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60960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298" w:lineRule="auto"/>
        <w:tabs>
          <w:tab w:leader="none" w:pos="48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ind w:left="480" w:hanging="459"/>
        <w:spacing w:after="0" w:line="184" w:lineRule="auto"/>
        <w:tabs>
          <w:tab w:leader="none" w:pos="480" w:val="left"/>
        </w:tabs>
        <w:numPr>
          <w:ilvl w:val="0"/>
          <w:numId w:val="2"/>
        </w:numPr>
        <w:rPr>
          <w:rFonts w:ascii="MS PGothic" w:cs="MS PGothic" w:eastAsia="MS PGothic" w:hAnsi="MS PGothic"/>
          <w:sz w:val="30"/>
          <w:szCs w:val="30"/>
          <w:color w:val="auto"/>
          <w:highlight w:val="black"/>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64" w:lineRule="exact"/>
        <w:rPr>
          <w:sz w:val="24"/>
          <w:szCs w:val="24"/>
          <w:color w:val="auto"/>
        </w:rPr>
      </w:pPr>
    </w:p>
    <w:p>
      <w:pPr>
        <w:ind w:left="4060"/>
        <w:spacing w:after="0"/>
        <w:tabs>
          <w:tab w:leader="none" w:pos="70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001-40690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RxSight,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-259715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52070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0"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2600" w:hanging="317"/>
        <w:spacing w:after="0"/>
        <w:tabs>
          <w:tab w:leader="none" w:pos="26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Columbia</w:t>
      </w:r>
    </w:p>
    <w:p>
      <w:pPr>
        <w:spacing w:after="0" w:line="1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Aliso Viejo, California</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94-3268801</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92656</w:t>
      </w:r>
    </w:p>
    <w:p>
      <w:pPr>
        <w:spacing w:after="0" w:line="27" w:lineRule="exact"/>
        <w:rPr>
          <w:sz w:val="24"/>
          <w:szCs w:val="24"/>
          <w:color w:val="auto"/>
        </w:rPr>
      </w:pPr>
    </w:p>
    <w:p>
      <w:pPr>
        <w:sectPr>
          <w:pgSz w:w="11900" w:h="16838" w:orient="portrait"/>
          <w:cols w:equalWidth="0" w:num="2">
            <w:col w:w="7420" w:space="520"/>
            <w:col w:w="3300"/>
          </w:cols>
          <w:pgMar w:left="320" w:top="1126"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4"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RXST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25" w:lineRule="exact"/>
        <w:rPr>
          <w:sz w:val="24"/>
          <w:szCs w:val="24"/>
          <w:color w:val="auto"/>
        </w:rPr>
      </w:pPr>
    </w:p>
    <w:p>
      <w:pPr>
        <w:ind w:right="3940"/>
        <w:spacing w:after="0" w:line="19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8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0"/>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20" w:type="dxa"/>
            <w:vAlign w:val="bottom"/>
          </w:tcPr>
          <w:p>
            <w:pPr>
              <w:ind w:left="36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60"/>
              <w:spacing w:after="0"/>
              <w:rPr>
                <w:sz w:val="20"/>
                <w:szCs w:val="20"/>
                <w:color w:val="auto"/>
              </w:rPr>
            </w:pPr>
            <w:r>
              <w:rPr>
                <w:rFonts w:ascii="Times New Roman" w:cs="Times New Roman" w:eastAsia="Times New Roman" w:hAnsi="Times New Roman"/>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20" w:type="dxa"/>
            <w:vAlign w:val="bottom"/>
          </w:tcPr>
          <w:p>
            <w:pPr>
              <w:ind w:left="36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20" w:type="dxa"/>
            <w:vAlign w:val="bottom"/>
          </w:tcPr>
          <w:p>
            <w:pPr>
              <w:ind w:left="36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74"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22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1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1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2"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3"/>
          <w:szCs w:val="13"/>
          <w:color w:val="auto"/>
        </w:rPr>
        <w:t>As of June 28, 2024, the aggregate market value of the voting and non-voting common equity held by non-affiliates of the registrant was approximately $2.3 billion based upon the closing price of $60.17 on the Nasdaq Global Market on such date.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February 14, 2025 was 40,490,542.</w:t>
      </w:r>
    </w:p>
    <w:p>
      <w:pPr>
        <w:spacing w:after="0" w:line="3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26" w:lineRule="exact"/>
        <w:rPr>
          <w:sz w:val="24"/>
          <w:szCs w:val="24"/>
          <w:color w:val="auto"/>
        </w:rPr>
      </w:pPr>
    </w:p>
    <w:p>
      <w:pPr>
        <w:ind w:right="20"/>
        <w:spacing w:after="0" w:line="251"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with the Securities and Exchange Commission in connection with the registrant’s 2025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2024. Except with respect to information specifically incorporated by reference,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762635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line="195"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2" w:right="339" w:bottom="1440" w:gutter="0" w:footer="0" w:header="0"/>
        </w:sectPr>
      </w:pPr>
    </w:p>
    <w:bookmarkStart w:id="2" w:name="page3"/>
    <w:bookmarkEnd w:id="2"/>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our consolidated financial statements and the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spacing w:after="0" w:line="141"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The forward-looking statements are contained principally in the section entitled “Risk Factors” in Part I, Item 1A of this report and “Management’s Discussion and Analysis of Financial Condition and Results of Operations” in Part II, Item 7 of this report. Forward-looking statements include, but are not limited to, statements concerning the following:</w:t>
      </w:r>
    </w:p>
    <w:p>
      <w:pPr>
        <w:spacing w:after="0" w:line="110" w:lineRule="exact"/>
        <w:rPr>
          <w:sz w:val="20"/>
          <w:szCs w:val="20"/>
          <w:color w:val="auto"/>
        </w:rPr>
      </w:pPr>
    </w:p>
    <w:p>
      <w:pPr>
        <w:ind w:left="900" w:right="120" w:hanging="518"/>
        <w:spacing w:after="0" w:line="258"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 including our expectation that we do not anticipate the need to raise additional capital or incur additional debt in order to reach profitability from operations, as disclosed in our future Annual Reports on Form 10-K or Quarterly Reports on Form 10-Q as filed with the Securities and Exchange Commission (“SEC”), provided that we may opportunistically seek to raise capital under advantageous circumstances from time to time in order to support the expansion of our sales and operations in the U.S. and internationally and to pursue other business opportunities;</w:t>
      </w:r>
    </w:p>
    <w:p>
      <w:pPr>
        <w:spacing w:after="0" w:line="114" w:lineRule="exact"/>
        <w:rPr>
          <w:rFonts w:ascii="Times New Roman" w:cs="Times New Roman" w:eastAsia="Times New Roman" w:hAnsi="Times New Roman"/>
          <w:sz w:val="18"/>
          <w:szCs w:val="18"/>
          <w:color w:val="auto"/>
        </w:rPr>
      </w:pPr>
    </w:p>
    <w:p>
      <w:pPr>
        <w:ind w:left="900" w:right="220" w:hanging="518"/>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current cash, cash equivalents and short-term investments through the date of filing of this report will be sufficient to fund our operations for at least the next 12 months;</w:t>
      </w:r>
    </w:p>
    <w:p>
      <w:pPr>
        <w:spacing w:after="0" w:line="8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financing;</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our gross margin may continue to improve as our manufacturing volume of Light-Adjustable Lenses (“LALs”) increases;</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the growth of our business and our organization, including with respect to new geographic markets;</w:t>
      </w:r>
    </w:p>
    <w:p>
      <w:pPr>
        <w:spacing w:after="0" w:line="143" w:lineRule="exact"/>
        <w:rPr>
          <w:rFonts w:ascii="Times New Roman" w:cs="Times New Roman" w:eastAsia="Times New Roman" w:hAnsi="Times New Roman"/>
          <w:sz w:val="18"/>
          <w:szCs w:val="18"/>
          <w:color w:val="auto"/>
        </w:rPr>
      </w:pPr>
    </w:p>
    <w:p>
      <w:pPr>
        <w:ind w:left="900" w:right="340" w:hanging="518"/>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over time, our adjustable lens solution can be used to address a broad range of cataract surgery patients, including those that would otherwise elect for a conventional cataract procedure today;</w:t>
      </w:r>
    </w:p>
    <w:p>
      <w:pPr>
        <w:spacing w:after="0" w:line="95" w:lineRule="exact"/>
        <w:rPr>
          <w:rFonts w:ascii="Times New Roman" w:cs="Times New Roman" w:eastAsia="Times New Roman" w:hAnsi="Times New Roman"/>
          <w:sz w:val="18"/>
          <w:szCs w:val="18"/>
          <w:color w:val="auto"/>
        </w:rPr>
      </w:pPr>
    </w:p>
    <w:p>
      <w:pPr>
        <w:ind w:left="900" w:right="80" w:hanging="518"/>
        <w:spacing w:after="0" w:line="26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RxSight system offers doctors and patients a significantly more reliable approach that can consistently deliver optimal, fully customized visual outcomes with few compromises, ultimately driving broad adoption and establishing it as the standard of care for premium cataract procedures;</w:t>
      </w:r>
    </w:p>
    <w:p>
      <w:pPr>
        <w:spacing w:after="0" w:line="109" w:lineRule="exact"/>
        <w:rPr>
          <w:rFonts w:ascii="Times New Roman" w:cs="Times New Roman" w:eastAsia="Times New Roman" w:hAnsi="Times New Roman"/>
          <w:sz w:val="18"/>
          <w:szCs w:val="18"/>
          <w:color w:val="auto"/>
        </w:rPr>
      </w:pPr>
    </w:p>
    <w:p>
      <w:pPr>
        <w:ind w:left="900" w:right="360" w:hanging="518"/>
        <w:spacing w:after="0" w:line="312"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belief that there is an opportunity to gain market share in the premium intraocular lens (“IOL”) market segment and also increase the penetration of premium IOLs in the broader market by converting doctors and patients currently electing for conventional cataract surgery;</w:t>
      </w:r>
    </w:p>
    <w:p>
      <w:pPr>
        <w:spacing w:after="0" w:line="58" w:lineRule="exact"/>
        <w:rPr>
          <w:rFonts w:ascii="Times New Roman" w:cs="Times New Roman" w:eastAsia="Times New Roman" w:hAnsi="Times New Roman"/>
          <w:sz w:val="17"/>
          <w:szCs w:val="17"/>
          <w:color w:val="auto"/>
        </w:rPr>
      </w:pPr>
    </w:p>
    <w:p>
      <w:pPr>
        <w:ind w:left="900" w:right="440" w:hanging="518"/>
        <w:spacing w:after="0" w:line="26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w:t>
      </w:r>
    </w:p>
    <w:p>
      <w:pPr>
        <w:spacing w:after="0" w:line="109" w:lineRule="exact"/>
        <w:rPr>
          <w:rFonts w:ascii="Times New Roman" w:cs="Times New Roman" w:eastAsia="Times New Roman" w:hAnsi="Times New Roman"/>
          <w:sz w:val="18"/>
          <w:szCs w:val="18"/>
          <w:color w:val="auto"/>
        </w:rPr>
      </w:pPr>
    </w:p>
    <w:p>
      <w:pPr>
        <w:ind w:left="900" w:hanging="518"/>
        <w:spacing w:after="0" w:line="312"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belief that current non-adjustable premium IOL offerings often cannot deliver on patient expectations regarding their desire to see at near, intermediate and far distances without reliance on glasses and to avoid troubling side effects such as glare, halos and loss of contrast sensitivity;</w:t>
      </w:r>
    </w:p>
    <w:p>
      <w:pPr>
        <w:spacing w:after="0" w:line="71" w:lineRule="exact"/>
        <w:rPr>
          <w:rFonts w:ascii="Times New Roman" w:cs="Times New Roman" w:eastAsia="Times New Roman" w:hAnsi="Times New Roman"/>
          <w:sz w:val="17"/>
          <w:szCs w:val="17"/>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intentions regarding investment in our business as we pursue growth;</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expected timelines related to our products, or developing new products, to address additional indications or otherwise;</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expand regulatory clearances for our products and any new products we create;</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uses of our existing resources;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24" w:lineRule="exact"/>
        <w:rPr>
          <w:sz w:val="20"/>
          <w:szCs w:val="20"/>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current manufacturing capacity is sufficient to meet our current expected demand for at least the next 12 months;</w:t>
      </w:r>
    </w:p>
    <w:p>
      <w:pPr>
        <w:spacing w:after="0" w:line="143" w:lineRule="exact"/>
        <w:rPr>
          <w:rFonts w:ascii="Times New Roman" w:cs="Times New Roman" w:eastAsia="Times New Roman" w:hAnsi="Times New Roman"/>
          <w:sz w:val="18"/>
          <w:szCs w:val="18"/>
          <w:color w:val="auto"/>
        </w:rPr>
      </w:pPr>
    </w:p>
    <w:p>
      <w:pPr>
        <w:ind w:left="900" w:right="40" w:hanging="518"/>
        <w:spacing w:after="0" w:line="28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existing facilities are adequate for our near-term needs, and that suitable additional or alternative space would be available in the future as required on commercially reasonable terms;</w:t>
      </w:r>
    </w:p>
    <w:p>
      <w:pPr>
        <w:spacing w:after="0" w:line="95"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payer coverage and reimbursement;</w:t>
      </w:r>
    </w:p>
    <w:p>
      <w:pPr>
        <w:spacing w:after="0" w:line="157" w:lineRule="exact"/>
        <w:rPr>
          <w:rFonts w:ascii="Times New Roman" w:cs="Times New Roman" w:eastAsia="Times New Roman" w:hAnsi="Times New Roman"/>
          <w:sz w:val="18"/>
          <w:szCs w:val="18"/>
          <w:color w:val="auto"/>
        </w:rPr>
      </w:pPr>
    </w:p>
    <w:p>
      <w:pPr>
        <w:ind w:left="900" w:hanging="518"/>
        <w:spacing w:after="0" w:line="28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supply of materials and components for our products from our third-party suppliers, including single and sole source suppliers;</w:t>
      </w:r>
    </w:p>
    <w:p>
      <w:pPr>
        <w:spacing w:after="0" w:line="8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intellectual property protection for our products and protect our intellectual property rights;</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conduct further clinical trials and any expectations related to the timing or outcomes of such trials;</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and future government laws, rules and regulations both in the United States and internationally;</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new and planned products and/or acquire new products; and</w:t>
      </w:r>
    </w:p>
    <w:p>
      <w:pPr>
        <w:spacing w:after="0" w:line="157" w:lineRule="exact"/>
        <w:rPr>
          <w:rFonts w:ascii="Times New Roman" w:cs="Times New Roman" w:eastAsia="Times New Roman" w:hAnsi="Times New Roman"/>
          <w:sz w:val="18"/>
          <w:szCs w:val="18"/>
          <w:color w:val="auto"/>
        </w:rPr>
      </w:pPr>
    </w:p>
    <w:p>
      <w:pPr>
        <w:ind w:left="900" w:right="100" w:hanging="518"/>
        <w:spacing w:after="0" w:line="28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 including anticipated growth rates for the conventional and premium IOL markets.</w:t>
      </w:r>
    </w:p>
    <w:p>
      <w:pPr>
        <w:spacing w:after="0" w:line="95"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96"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22" w:lineRule="exact"/>
        <w:rPr>
          <w:sz w:val="20"/>
          <w:szCs w:val="20"/>
          <w:color w:val="auto"/>
        </w:rPr>
      </w:pPr>
    </w:p>
    <w:p>
      <w:pPr>
        <w:ind w:right="20" w:firstLine="374"/>
        <w:spacing w:after="0" w:line="265"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8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INDUSTRY, BUSINESS AND MARKET DATA</w:t>
      </w:r>
    </w:p>
    <w:p>
      <w:pPr>
        <w:spacing w:after="0" w:line="16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7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148"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1" w:lineRule="exact"/>
        <w:rPr>
          <w:sz w:val="20"/>
          <w:szCs w:val="20"/>
          <w:color w:val="auto"/>
        </w:rPr>
      </w:pPr>
    </w:p>
    <w:p>
      <w:pPr>
        <w:ind w:right="100" w:firstLine="374"/>
        <w:spacing w:after="0" w:line="219" w:lineRule="auto"/>
        <w:rPr>
          <w:sz w:val="20"/>
          <w:szCs w:val="20"/>
          <w:color w:val="auto"/>
        </w:rPr>
      </w:pPr>
      <w:r>
        <w:rPr>
          <w:rFonts w:ascii="Times New Roman" w:cs="Times New Roman" w:eastAsia="Times New Roman" w:hAnsi="Times New Roman"/>
          <w:sz w:val="18"/>
          <w:szCs w:val="18"/>
          <w:color w:val="auto"/>
        </w:rPr>
        <w:t>We are a commercial-stage medical technology company dedicated to improving the vision of patients following cataract surgery. Our proprietary RxSight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Light Adjustable Lens system (“RxSight system”) is the first and only commercially available premium cataract technology that enables doctors to customize and optimize visual acuity for patients after surgery. The RxSight system is comprised of our RxSight Light Adjustable Lens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(LAL™/LAL+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collectively the “LAL”), RxSight Light Delivery Device (“LDD™”) and accessories. Our LAL is a premium intraocular lens (“IOL”) made of proprietary photosensitive material that changes shape in response to specific patterns of ultraviolet (“UV”) light generated by our LDD.</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 suboptimal, then the patient may experience suboptimal results that could necessitate a subsequent corneal refractive procedure or certain other compromises in order to reach vision targets.</w:t>
      </w:r>
    </w:p>
    <w:p>
      <w:pPr>
        <w:spacing w:after="0" w:line="118"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In contrast, with the RxSight system, the surgeon implants the LAL as they would in any other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w:t>
      </w:r>
    </w:p>
    <w:p>
      <w:pPr>
        <w:spacing w:after="0" w:line="11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A cataract is the loss of transparency in the eye’s natural lens, which causes blurry or hazy vision and can eventually lead to blindness. Approximately 50% of all individuals develop some form of cataracts by age 60, usually in both eyes, and prevalence increases with age. Among the world’s most commonly performed procedures, cataract surgery involves removing the cloudy natural lens and replacing it with a clear IOL. Prior to surgery, patients can opt for either a spherical monofocal IOL, which usually results in improved vision but requires glasses for best vision, or a premium IOL, which also corrects for astigmatism and/or presbyopia, thereby reducing spectacle dependence. In the United States, Medicare and private insurers typically cover the full cost of spherical IOL procedures, while premium IOL procedures require patients to pay an incremental out-of-pocket fee, typically ranging from $2,000 to $5,000 per eye depending on the specific premium IOL used. In the United States, the world’s largest premium IOL market, 2024 premium procedures represented about 20% of all cataract procedures and generated approximately $810 million in revenue, a figure that is projected to grow at a 12.0% compound annual growth rate (“CAGR”) by 2029, according to the Market Scope 2024 Premium Cataract Surgery Market Report.</w:t>
      </w:r>
    </w:p>
    <w:p>
      <w:pPr>
        <w:spacing w:after="0" w:line="105"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We believe that the premium cataract surgery market remains underpenetrated due to both doctors’ reluctance to recommend competitive premium IOLs to the full universe of eligible patients and patients’ confusion in assessing the associated trade-offs and side effects with competitive premium IOLs. We believe competitive premium IOLs often fail to deliver on patients’ expectations for quality vision across a range of distances without glasses.</w:t>
      </w:r>
    </w:p>
    <w:p>
      <w:pPr>
        <w:spacing w:after="0" w:line="110" w:lineRule="exact"/>
        <w:rPr>
          <w:sz w:val="20"/>
          <w:szCs w:val="20"/>
          <w:color w:val="auto"/>
        </w:rPr>
      </w:pPr>
    </w:p>
    <w:p>
      <w:pPr>
        <w:ind w:right="440" w:firstLine="374"/>
        <w:spacing w:after="0" w:line="265" w:lineRule="auto"/>
        <w:rPr>
          <w:sz w:val="20"/>
          <w:szCs w:val="20"/>
          <w:color w:val="auto"/>
        </w:rPr>
      </w:pPr>
      <w:r>
        <w:rPr>
          <w:rFonts w:ascii="Times New Roman" w:cs="Times New Roman" w:eastAsia="Times New Roman" w:hAnsi="Times New Roman"/>
          <w:sz w:val="18"/>
          <w:szCs w:val="18"/>
          <w:color w:val="auto"/>
        </w:rPr>
        <w:t>We believe our RxSight system offers doctors and patients a significantly more reliable approach that can consistently deliver optimal, fully customized visual outcomes with few compromises, ultimately driving broad adoption and establishing it as the standard of care for premium cataract procedures. The key benefits of our solution include:</w:t>
      </w:r>
    </w:p>
    <w:p>
      <w:pPr>
        <w:spacing w:after="0" w:line="106" w:lineRule="exact"/>
        <w:rPr>
          <w:sz w:val="20"/>
          <w:szCs w:val="20"/>
          <w:color w:val="auto"/>
        </w:rPr>
      </w:pPr>
    </w:p>
    <w:p>
      <w:pPr>
        <w:ind w:left="900" w:right="20" w:hanging="518"/>
        <w:spacing w:after="0" w:line="259"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Allowing full customization and optimization of patient vision after surgery. </w:t>
      </w:r>
      <w:r>
        <w:rPr>
          <w:rFonts w:ascii="Times New Roman" w:cs="Times New Roman" w:eastAsia="Times New Roman" w:hAnsi="Times New Roman"/>
          <w:sz w:val="18"/>
          <w:szCs w:val="18"/>
          <w:color w:val="auto"/>
        </w:rPr>
        <w:t>Our LAL uses a proprietary silicone formulation that enables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changing the mechanical and optical properties of the lens following implantation. Our LDD uses proprietary software and algorithms to deliver a short UV light exposure treatment that polymerizes specific portions of the lens and allows doctors to adjust spherical and cylindrical refraction in 0.25 diopter increments, similar to the adjustment increments used to refract patients for glasses or contact lenses, as well as in other refractive procedures like LASIK. All other premium IOLs are fixed-power lenses that cannot be adjusted following surgery;</w:t>
      </w:r>
    </w:p>
    <w:p>
      <w:pPr>
        <w:spacing w:after="0" w:line="96" w:lineRule="exact"/>
        <w:rPr>
          <w:rFonts w:ascii="Times New Roman" w:cs="Times New Roman" w:eastAsia="Times New Roman" w:hAnsi="Times New Roman"/>
          <w:sz w:val="18"/>
          <w:szCs w:val="18"/>
          <w:color w:val="auto"/>
        </w:rPr>
      </w:pPr>
    </w:p>
    <w:p>
      <w:pPr>
        <w:ind w:left="900" w:right="80" w:hanging="518"/>
        <w:spacing w:after="0" w:line="28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Delivering superior visual outcomes with low risk of side effects. </w:t>
      </w:r>
      <w:r>
        <w:rPr>
          <w:rFonts w:ascii="Times New Roman" w:cs="Times New Roman" w:eastAsia="Times New Roman" w:hAnsi="Times New Roman"/>
          <w:sz w:val="18"/>
          <w:szCs w:val="18"/>
          <w:color w:val="auto"/>
        </w:rPr>
        <w:t>In our Food and Drug Administration (“FDA”) clinical trial, 70% of LAL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achieved 20/20 or better uncorrected visual acuity without glasses, while in similar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6" w:name="page7"/>
    <w:bookmarkEnd w:id="6"/>
    <w:p>
      <w:pPr>
        <w:spacing w:after="0" w:line="124" w:lineRule="exact"/>
        <w:rPr>
          <w:sz w:val="20"/>
          <w:szCs w:val="20"/>
          <w:color w:val="auto"/>
        </w:rPr>
      </w:pPr>
    </w:p>
    <w:p>
      <w:pPr>
        <w:ind w:left="900" w:right="480"/>
        <w:spacing w:after="0" w:line="281" w:lineRule="auto"/>
        <w:rPr>
          <w:sz w:val="20"/>
          <w:szCs w:val="20"/>
          <w:color w:val="auto"/>
        </w:rPr>
      </w:pPr>
      <w:r>
        <w:rPr>
          <w:rFonts w:ascii="Times New Roman" w:cs="Times New Roman" w:eastAsia="Times New Roman" w:hAnsi="Times New Roman"/>
          <w:sz w:val="18"/>
          <w:szCs w:val="18"/>
          <w:color w:val="auto"/>
        </w:rPr>
        <w:t>trials of other premium IOLs, only about 40% of patients achieved this performance level. Additionally, LAL patients do not experience increased incidence of glare or halos that are common with other premium IOLs;</w:t>
      </w:r>
    </w:p>
    <w:p>
      <w:pPr>
        <w:spacing w:after="0" w:line="78" w:lineRule="exact"/>
        <w:rPr>
          <w:sz w:val="20"/>
          <w:szCs w:val="20"/>
          <w:color w:val="auto"/>
        </w:rPr>
      </w:pPr>
    </w:p>
    <w:p>
      <w:pPr>
        <w:ind w:left="900" w:right="40" w:hanging="518"/>
        <w:spacing w:after="0" w:line="259"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Providing accuracy and precision to optimize vision with both eyes. </w:t>
      </w:r>
      <w:r>
        <w:rPr>
          <w:rFonts w:ascii="Times New Roman" w:cs="Times New Roman" w:eastAsia="Times New Roman" w:hAnsi="Times New Roman"/>
          <w:sz w:val="18"/>
          <w:szCs w:val="18"/>
          <w:color w:val="auto"/>
        </w:rPr>
        <w:t>Most LAL patients choose minor differences in the refractive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correction of each eye, which can result in glasses-free vision across a full range of distances. In our most recent Phase IV commercial study data over 90% of patients were able to achieve 20/25 or better at distance without glasses, which is significantly higher than any of the alternative IOLs. In addition, over 90% of patients were also able to read 5-point font at near vision, which is typically the size of footnotes on a page;</w:t>
      </w:r>
    </w:p>
    <w:p>
      <w:pPr>
        <w:spacing w:after="0" w:line="110" w:lineRule="exact"/>
        <w:rPr>
          <w:rFonts w:ascii="Times New Roman" w:cs="Times New Roman" w:eastAsia="Times New Roman" w:hAnsi="Times New Roman"/>
          <w:sz w:val="18"/>
          <w:szCs w:val="18"/>
          <w:color w:val="auto"/>
        </w:rPr>
      </w:pPr>
    </w:p>
    <w:p>
      <w:pPr>
        <w:ind w:left="900" w:right="300" w:hanging="518"/>
        <w:spacing w:after="0" w:line="268"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Enabling patients to preview and compare possible vision outcomes. </w:t>
      </w:r>
      <w:r>
        <w:rPr>
          <w:rFonts w:ascii="Times New Roman" w:cs="Times New Roman" w:eastAsia="Times New Roman" w:hAnsi="Times New Roman"/>
          <w:sz w:val="18"/>
          <w:szCs w:val="18"/>
          <w:color w:val="auto"/>
        </w:rPr>
        <w:t>LAL patients are the only premium IOL patients able to test-drive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vision after surgery but before selecting a final refractive outcome. With up to three possible UV light treatments to adjust the LAL, patients direct their optimal visual acuity through an interactive and iterative process; and</w:t>
      </w:r>
    </w:p>
    <w:p>
      <w:pPr>
        <w:spacing w:after="0" w:line="102" w:lineRule="exact"/>
        <w:rPr>
          <w:rFonts w:ascii="Times New Roman" w:cs="Times New Roman" w:eastAsia="Times New Roman" w:hAnsi="Times New Roman"/>
          <w:sz w:val="18"/>
          <w:szCs w:val="18"/>
          <w:color w:val="auto"/>
        </w:rPr>
      </w:pPr>
    </w:p>
    <w:p>
      <w:pPr>
        <w:ind w:left="900" w:right="120" w:hanging="518"/>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Empowering doctors to grow their practices with a premium IOL they can trust and confidently recommend. </w:t>
      </w:r>
      <w:r>
        <w:rPr>
          <w:rFonts w:ascii="Times New Roman" w:cs="Times New Roman" w:eastAsia="Times New Roman" w:hAnsi="Times New Roman"/>
          <w:sz w:val="18"/>
          <w:szCs w:val="18"/>
          <w:color w:val="auto"/>
        </w:rPr>
        <w:t>Our RxSight system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shown to deliver excellent visual outcomes across a broad range of patient types and preferences. In our 2024 RxSight customer survey, 92% of respondents said they thought our RxSight system delivered the highest quality vision, 97% said they would recommend the LAL to others and 82% said they would select it for their own eyes.</w:t>
      </w:r>
    </w:p>
    <w:p>
      <w:pPr>
        <w:spacing w:after="0" w:line="98"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Our commercial efforts began in 2019 and have been primarily focused in the United States, where we are building a “razor and razor blade” business model to drive new customer adoption and ongoing LAL volume growth. Our U.S. commercial organization includes a direct sales team of LDD sales personnel and LAL account managers, as well as clinical specialists, field service engineers and marketing personnel. Our sales efforts are concentrated on the approximately 3,500 to 4,000 U.S. cataract surgeons that perform approximately 60% of all premium IOL procedures. As of December 31, 2024, we had established an installed base of 971 LDDs in ophthalmology practices and, since our inception through December 31, 2024, surgeons have implanted over 195,000 LALs.</w:t>
      </w:r>
    </w:p>
    <w:p>
      <w:pPr>
        <w:spacing w:after="0" w:line="118" w:lineRule="exact"/>
        <w:rPr>
          <w:sz w:val="20"/>
          <w:szCs w:val="20"/>
          <w:color w:val="auto"/>
        </w:rPr>
      </w:pPr>
    </w:p>
    <w:p>
      <w:pPr>
        <w:ind w:right="280" w:firstLine="374"/>
        <w:spacing w:after="0" w:line="260" w:lineRule="auto"/>
        <w:rPr>
          <w:sz w:val="20"/>
          <w:szCs w:val="20"/>
          <w:color w:val="auto"/>
        </w:rPr>
      </w:pPr>
      <w:r>
        <w:rPr>
          <w:rFonts w:ascii="Times New Roman" w:cs="Times New Roman" w:eastAsia="Times New Roman" w:hAnsi="Times New Roman"/>
          <w:sz w:val="18"/>
          <w:szCs w:val="18"/>
          <w:color w:val="auto"/>
        </w:rPr>
        <w:t>We plan to grow our business primarily by expanding the size of our LDD installed base and driving increased utilization of our LAL through heightened awareness of the superior clinical outcomes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Cataracts and other common vision conditions</w:t>
      </w:r>
    </w:p>
    <w:p>
      <w:pPr>
        <w:spacing w:after="0" w:line="161" w:lineRule="exact"/>
        <w:rPr>
          <w:sz w:val="20"/>
          <w:szCs w:val="20"/>
          <w:color w:val="auto"/>
        </w:rPr>
      </w:pPr>
    </w:p>
    <w:p>
      <w:pPr>
        <w:ind w:right="20" w:firstLine="374"/>
        <w:spacing w:after="0" w:line="257" w:lineRule="auto"/>
        <w:rPr>
          <w:sz w:val="20"/>
          <w:szCs w:val="20"/>
          <w:color w:val="auto"/>
        </w:rPr>
      </w:pPr>
      <w:r>
        <w:rPr>
          <w:rFonts w:ascii="Times New Roman" w:cs="Times New Roman" w:eastAsia="Times New Roman" w:hAnsi="Times New Roman"/>
          <w:sz w:val="18"/>
          <w:szCs w:val="18"/>
          <w:color w:val="auto"/>
        </w:rPr>
        <w:t>Common vision conditions can be roughly divided by two defining factors: 1) the typical age of onset and 2) whether the condition is more closely linked to the cornea, the front surface of the eye that controls about two-thirds of its focusing ability, or the natural lens, which sits behind the iris and is responsible for the eye’s remaining focusing power. From childhood through the fourth decade of life, refractive conditions related primarily to the cornea</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 myopia, hyperopia and astigmatism – typically have the greatest impact on visual acuity and are usually addressed with glasses and contact lenses. In adults with these conditions, corneal procedures like LASIK can reduce dependence on glasses and contact lenses.</w:t>
      </w:r>
    </w:p>
    <w:p>
      <w:pPr>
        <w:spacing w:after="0" w:line="99" w:lineRule="exact"/>
        <w:rPr>
          <w:sz w:val="20"/>
          <w:szCs w:val="20"/>
          <w:color w:val="auto"/>
        </w:rPr>
      </w:pPr>
    </w:p>
    <w:p>
      <w:pPr>
        <w:ind w:right="120" w:firstLine="374"/>
        <w:spacing w:after="0" w:line="276" w:lineRule="auto"/>
        <w:rPr>
          <w:sz w:val="20"/>
          <w:szCs w:val="20"/>
          <w:color w:val="auto"/>
        </w:rPr>
      </w:pPr>
      <w:r>
        <w:rPr>
          <w:rFonts w:ascii="Times New Roman" w:cs="Times New Roman" w:eastAsia="Times New Roman" w:hAnsi="Times New Roman"/>
          <w:sz w:val="17"/>
          <w:szCs w:val="17"/>
          <w:color w:val="auto"/>
        </w:rPr>
        <w:t>By age 50, most people also experience presbyopia, which manifests itself as increased difficulty seeing at near and intermediate distances without glasses or contact lenses. Presbyopia occurs because the natural lens is losing its elasticity and, therefore, its ability to focus light rays on near objects. By age 60, approximately half of all individuals also develop some form of cataracts, in which the normally clear lens loses its transparency and increasingly obstructs or otherwise interferes with the passage of light to the retina. The result is blurry or hazy vision and increased sensitivity to light, particularly at night, that cannot be treated with glasses or contact lenses. Cataracts are irreversible, progressive and usually affect both eyes. Cataracts can</w:t>
      </w: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spacing w:after="0" w:line="124"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significantly interfere with daily activities, affect quality of life and eventually cause blindness. According to the National Eye Institute, despite the availability of effective surgical treatment, cataracts are the leading cause of blindness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63500</wp:posOffset>
            </wp:positionV>
            <wp:extent cx="5317490" cy="1113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17490" cy="111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Cataract surgery</w:t>
      </w:r>
    </w:p>
    <w:p>
      <w:pPr>
        <w:spacing w:after="0" w:line="161"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Cataract surgery is among the most common surgical procedures performed in the world and involves replacement of the patient’s natural cloudy lens with a clear artificial IOL. In the United States, the procedure is commonly performed in an outpatient setting, such as an Ambulatory Surgery Center (“ASC”), by an ophthalmologist specializing in cataract surgery and often requires only 5 to 15 minutes to complete. In most cases, surgery begins with removal of the cataractous lens through a process known as phacoemulsification. During phacoemulsification, the ophthalmic surgeon makes a small surgical incision in the cornea and inserts an ultrasonic probe that breaks up, or emulsifies, the lens while a hollow needle removes the pieces of the lens (see image 1 below). After the cataract is removed, the surgeon inserts the replacement IOL through the same surgical incision (see image 2 below). Following implantation, the IOL sits firmly in place just behind the iris (see image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1280795</wp:posOffset>
            </wp:positionH>
            <wp:positionV relativeFrom="paragraph">
              <wp:posOffset>267335</wp:posOffset>
            </wp:positionV>
            <wp:extent cx="4820920" cy="1181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20920" cy="118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Conventional vs. premium cataract surgery</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Cataract surgery is often bifurcated into two categories based on IOL type, as follows:</w:t>
      </w:r>
    </w:p>
    <w:p>
      <w:pPr>
        <w:spacing w:after="0" w:line="153" w:lineRule="exact"/>
        <w:rPr>
          <w:sz w:val="20"/>
          <w:szCs w:val="20"/>
          <w:color w:val="auto"/>
        </w:rPr>
      </w:pPr>
    </w:p>
    <w:p>
      <w:pPr>
        <w:ind w:left="900" w:right="100" w:hanging="518"/>
        <w:spacing w:after="0" w:line="291"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Conventional: </w:t>
      </w:r>
      <w:r>
        <w:rPr>
          <w:rFonts w:ascii="Times New Roman" w:cs="Times New Roman" w:eastAsia="Times New Roman" w:hAnsi="Times New Roman"/>
          <w:sz w:val="17"/>
          <w:szCs w:val="17"/>
          <w:color w:val="auto"/>
        </w:rPr>
        <w:t>The patient receives a monofocal IOL, which is designed to provide vision at one pre-defined distance without correction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 visual problems that often affect cataract surgery patients such as corneal astigmatism and presbyopia. Nearly all patients undergoing conventional cataract surgery will need to rely on glasses following cataract surgery to achieve the best distance, intermediate and near vision.</w:t>
      </w:r>
    </w:p>
    <w:p>
      <w:pPr>
        <w:spacing w:after="0" w:line="84" w:lineRule="exact"/>
        <w:rPr>
          <w:rFonts w:ascii="Times New Roman" w:cs="Times New Roman" w:eastAsia="Times New Roman" w:hAnsi="Times New Roman"/>
          <w:sz w:val="17"/>
          <w:szCs w:val="17"/>
          <w:color w:val="auto"/>
        </w:rPr>
      </w:pPr>
    </w:p>
    <w:p>
      <w:pPr>
        <w:ind w:left="900" w:right="220" w:hanging="518"/>
        <w:spacing w:after="0" w:line="26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Premium: </w:t>
      </w:r>
      <w:r>
        <w:rPr>
          <w:rFonts w:ascii="Times New Roman" w:cs="Times New Roman" w:eastAsia="Times New Roman" w:hAnsi="Times New Roman"/>
          <w:sz w:val="18"/>
          <w:szCs w:val="18"/>
          <w:color w:val="auto"/>
        </w:rPr>
        <w:t>The patient receives a premium IOL, which is designed to address the shortcomings of conventional monofocal lenses by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correcting for the additional visual problems of astigmatism and/or presbyopia. Premium IOLs reduce the need for glasses relative to conventional IOLs but may impose trade-offs related to their ability to provide glasses-free near, intermediate and distance vision, as well as the potential for increased incidence of halos, glare and other side effects related to monofocal IOLs.</w:t>
      </w:r>
    </w:p>
    <w:p>
      <w:pPr>
        <w:spacing w:after="0" w:line="9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Healthcare payors typically cover the full cost of conventional cataract procedures. In the United States, a healthcare payor (primarily Centers for Medicare and Medicaid Services (“CMS”)) typically provides reimbursement for a conventional cataract procedure of approximately $500 for a surgeon fee and approximately $1,000 for a facility fee, which includes the cost of a conventional monofocal IOL. Accounting for reductions in CMS reimbursement and for inflation, reimbursement rates have decreased by two thirds since 1991. The surgeon fee covers all pre-operative cataract testing, the cataract operation and follow-up care for three months.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124"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For U.S. premium cataract procedures, the healthcare payor (primarily CMS) reimburses the same surgeon and facility fees, but the patient pays the surgeon an additional fee of approximately $2,000 for implantation of a toric IOL and an average between $2,000-$5,000 for implantation of other premium lenses, which includes the cost of the premium IOL. Consequently, premium cataract procedures are between 10 and 15 times more profitable for the doctors and ophthalmology practices than conventional cataract procedures and are less impacted by changes in reimbursement rates. At the same time, because premium cataract patients pay an additional out-of-pocket fee, they tend to have high expectations that the surgeon will satisfy their desire for quality, glasses-free vision.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According to the Market Scope 2024 Premium Cataract Surgery Market Report and 2024 Market Scope IOL Report:</w:t>
      </w:r>
    </w:p>
    <w:p>
      <w:pPr>
        <w:spacing w:after="0" w:line="157" w:lineRule="exact"/>
        <w:rPr>
          <w:sz w:val="20"/>
          <w:szCs w:val="20"/>
          <w:color w:val="auto"/>
        </w:rPr>
      </w:pPr>
    </w:p>
    <w:p>
      <w:pPr>
        <w:ind w:left="900" w:right="300" w:hanging="518"/>
        <w:spacing w:after="0" w:line="26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32 million cataract surgeries were performed globally in 2024, including 5.1 million in the United States. The number of procedures worldwide is projected to grow at a CAGR of 3.4% to over 37 million by 2029. In the United States, procedures are expected to grow at a CAGR of 3.2% to 5.9 million by 2029;</w:t>
      </w:r>
    </w:p>
    <w:p>
      <w:pPr>
        <w:spacing w:after="0" w:line="96" w:lineRule="exact"/>
        <w:rPr>
          <w:rFonts w:ascii="Times New Roman" w:cs="Times New Roman" w:eastAsia="Times New Roman" w:hAnsi="Times New Roman"/>
          <w:sz w:val="18"/>
          <w:szCs w:val="18"/>
          <w:color w:val="auto"/>
        </w:rPr>
      </w:pPr>
    </w:p>
    <w:p>
      <w:pPr>
        <w:ind w:left="900" w:right="140" w:hanging="518"/>
        <w:spacing w:after="0" w:line="28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is the world’s largest premium IOL market. In 2024, premium IOL procedures represented approximately 20% and 13% of cataract surgeries in the United States and worldwide, respectively;</w:t>
      </w:r>
    </w:p>
    <w:p>
      <w:pPr>
        <w:spacing w:after="0" w:line="95" w:lineRule="exact"/>
        <w:rPr>
          <w:rFonts w:ascii="Times New Roman" w:cs="Times New Roman" w:eastAsia="Times New Roman" w:hAnsi="Times New Roman"/>
          <w:sz w:val="18"/>
          <w:szCs w:val="18"/>
          <w:color w:val="auto"/>
        </w:rPr>
      </w:pPr>
    </w:p>
    <w:p>
      <w:pPr>
        <w:ind w:left="900" w:right="340" w:hanging="518"/>
        <w:spacing w:after="0" w:line="26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premium IOL revenue was approximately $2.8 billion globally and $810 million in the United States, and is expected to grow at a CAGR of 11.0% and 12.0%, respectively, through 2029. Key growth drivers include the increasing number of patients who prefer to be glasses-free, technological innovations, increased access to healthcare and rising disposable income; and</w:t>
      </w:r>
    </w:p>
    <w:p>
      <w:pPr>
        <w:spacing w:after="0" w:line="109" w:lineRule="exact"/>
        <w:rPr>
          <w:rFonts w:ascii="Times New Roman" w:cs="Times New Roman" w:eastAsia="Times New Roman" w:hAnsi="Times New Roman"/>
          <w:sz w:val="18"/>
          <w:szCs w:val="18"/>
          <w:color w:val="auto"/>
        </w:rPr>
      </w:pPr>
    </w:p>
    <w:p>
      <w:pPr>
        <w:ind w:left="900" w:right="60" w:hanging="518"/>
        <w:spacing w:after="0" w:line="28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there are approximately 9,000 ophthalmic surgeons that perform cataract surgery, including approximately 3,500 to 4,000 that perform roughly 60% of premium IOL cataract procedures.</w:t>
      </w:r>
    </w:p>
    <w:p>
      <w:pPr>
        <w:spacing w:after="0" w:line="82"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We believe there is an opportunity to gain market share in the premium IOL market segment and also increase the penetration of premium IOLs in the broader market by converting doctors and patients currently electing for conventional cataract surgery. We believe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 Furthermore, we believe current non-adjustable premium IOL offerings often cannot deliver on patient expectations regarding their desire to see at near, intermediate and far distances without reliance on glasses and to avoid troubling side effects such as glare, halos and loss of contrast sensitivity.</w:t>
      </w:r>
    </w:p>
    <w:p>
      <w:pPr>
        <w:spacing w:after="0" w:line="11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We are currently focused on driving awareness and penetration of our RxSight system in the premium cataract market, and primarily concentrating our near-term commercial efforts on the United States. We believe the United States is the most compelling market given the large population of individuals over the age of 60 that are covered by health insurance, the concentrated base of cataract surgeons experienced with premium IOL offerings, the high gross domestic product per capita and the favorable U.S. healthcare reimbursement system, which has a well-established history of covering a portion of the cost for cataract surgery.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Non-adjustable premium IOLs and their limitations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Prior to the commercial availability of our RxSight system, doctors and patients chose from two primary types of premium IOLs, as follows:</w:t>
      </w:r>
    </w:p>
    <w:p>
      <w:pPr>
        <w:spacing w:after="0" w:line="140" w:lineRule="exact"/>
        <w:rPr>
          <w:sz w:val="20"/>
          <w:szCs w:val="20"/>
          <w:color w:val="auto"/>
        </w:rPr>
      </w:pPr>
    </w:p>
    <w:p>
      <w:pPr>
        <w:ind w:left="900" w:right="40" w:hanging="518"/>
        <w:spacing w:after="0" w:line="254"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Multifocal Lenses. </w:t>
      </w:r>
      <w:r>
        <w:rPr>
          <w:rFonts w:ascii="Times New Roman" w:cs="Times New Roman" w:eastAsia="Times New Roman" w:hAnsi="Times New Roman"/>
          <w:sz w:val="18"/>
          <w:szCs w:val="18"/>
          <w:color w:val="auto"/>
        </w:rPr>
        <w:t>Multifocal lenses have two or more corrective zones, which allow the patient to receive focused light from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distances. Although multifocal lenses provide patients with a wider range of vision compared to the standard monofocal IOLs, multifocal lenses split light across the multiple corrective zones on the lens, sometimes impacting visual quality. For example, approximately two to three times as many patients who choose a multifocal lens over a monofocal lens experience side effects such as glare and halos, as well as reduced contrast vision, which are especially problematic in low light situations such as driving at night. For some patients these become more pronounced and can lead to explantation (removal of the IOL and replacement with another type of IOL). Extended-depth-of-focus (“EDOF”) lenses are similar to multifocals, except they have only one corrective zone. They create an elongated focal point that allows for a broader range of vision, although patients will still often require glasses for distance and near vision. EDOF lenses will still typically result in glare and halos, as well as reduced contrast vision, although generally less severe than those experienced with multifocal lenses; and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20" w:lineRule="exact"/>
        <w:rPr>
          <w:sz w:val="20"/>
          <w:szCs w:val="20"/>
          <w:color w:val="auto"/>
        </w:rPr>
      </w:pPr>
    </w:p>
    <w:p>
      <w:pPr>
        <w:ind w:left="900" w:right="220" w:hanging="518"/>
        <w:spacing w:after="0" w:line="26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Astigmatism-Correcting or Toric Lenses. </w:t>
      </w:r>
      <w:r>
        <w:rPr>
          <w:rFonts w:ascii="Times New Roman" w:cs="Times New Roman" w:eastAsia="Times New Roman" w:hAnsi="Times New Roman"/>
          <w:sz w:val="18"/>
          <w:szCs w:val="18"/>
          <w:color w:val="auto"/>
        </w:rPr>
        <w:t>Toric lenses correct for astigmatism, a condition in which the cornea is not uniformly curved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to distortion of near and distance vision. According to the 2024 Market Scope IOL Report, approximately 70% of the population has clinically significant astigmatism of 0.5 diopters or more. Corrective toric lenses can provide additional distance, intermediate or near vision correction depending on the power of the lens selected and if their optical design incorporates either multifocal or EDOF features.</w:t>
      </w:r>
    </w:p>
    <w:p>
      <w:pPr>
        <w:spacing w:after="0" w:line="98"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When preparing patients for premium cataract surgery, surgeons must have a comprehensive understanding of available premium IOL options and how to best match a patient to the technology that fits their priorities. Patient decisions are based on several factors and tend to be heavily influenced by surgeon recommendations, as well as the patient’s motivation for independence from glasses and willingness to tolerate side effects. During an initial consultation, surgeons often ask patients to fill out a survey regarding their vision experiences and expectations to determine if the patient is a good premium IOL candidate. If so, the surgeon helps select the appropriate premium IOL based on the patient’s lifestyle and the type of vision they most value (i.e., near, intermediate or distance). Significant time is often required to educate patients on the various trade-offs with respect to the visual outcomes associated with each type of premium IOL. Following this consultation, surgery is usually scheduled within several weeks or months.</w:t>
      </w:r>
    </w:p>
    <w:p>
      <w:pPr>
        <w:spacing w:after="0" w:line="11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Prior to surgery, the patient’s eyes are measured using one or more diagnostic devices to help the surgeon predict the lens focusing power best suited to achieve the optimal postoperative outcome. Focusing power, expressed in diopters (D), refers to how a lens focuses light to a point (spherical power) or a line (cylindrical or astigmatic power). Accurately predicting lens power is critical to reducing postoperative residual refractive error and delivering the best possible visual outcomes. Because the lens power of competitive premium IOLs cannot be changed after implantation, doctors rely on a series of preoperative diagnostic tests and predictive formulae to determine the lens power. Typically, the patient returns a day after surgery to have their eye evaluated and ensure healing is underway. After approximately one month, premium cataract patients that are dissatisfied with their results may be fitted for glasses or elect to undergo a secondary, remedial procedure to meet desired vision targets. A separate LASIK procedure is the most common surgical procedure to correct any residual visual errors following the cataract procedure.</w:t>
      </w:r>
    </w:p>
    <w:p>
      <w:pPr>
        <w:spacing w:after="0" w:line="12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 key limitation of these competitive premium IOLs is that they cannot be adjusted after the surgery and, as such, require the patient to commit to a desired visual outcome prior to the procedure. However, in discussing vision optimization options with patients ahead of the procedure, it can be difficult to effectively demonstrate different visual outcomes. Once a premium IOL is selected, another key limitation is the ability of the surgeon to precisely predict the correct lens power and then implant the IOL with the level of accuracy required to deliver the patient’s expected outcome. Additionally, the incision made to remove the cloudy lens and insert the IOL along with the resultant healing process often creates additional levels of astigmatism, which cannot be predicted with precision before cataract surgery.</w:t>
      </w:r>
    </w:p>
    <w:p>
      <w:pPr>
        <w:spacing w:after="0" w:line="105"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We believe that the need to commit to a visual outcome before surgery combined with the limited ability to make adjustments following the procedure are key factors contributing to the low levels of premium IOL penetration. When expectations regarding postoperative visual acuity and independence from glasses are not met, patients are often disappointed. As a result, even though 60% of cataract patients rate “being glasses free after cataract surgery” as extremely important, surgeons are often hesitant to recommend existing premium IOLs to their patients.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61"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We designed our RxSight system to address the shortcomings of existing premium IOL technologies and provide a solution that doctors can trust to improve visual outcomes and achieve high levels of patient satisfaction. We began commercializing our solution in the United States in 2019 and are focused on establishing the RxSight system as the standard of care for premium IOL procedures. As of December 31, 2024, we had an installed base of 971 LDDs in ophthalmology practices, and since our inception over 195,000 surgeries have been performed with our RxSight system.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RxSight system</w:t>
      </w:r>
    </w:p>
    <w:p>
      <w:pPr>
        <w:spacing w:after="0" w:line="161" w:lineRule="exact"/>
        <w:rPr>
          <w:sz w:val="20"/>
          <w:szCs w:val="20"/>
          <w:color w:val="auto"/>
        </w:rPr>
      </w:pPr>
    </w:p>
    <w:p>
      <w:pPr>
        <w:ind w:right="20" w:firstLine="374"/>
        <w:spacing w:after="0" w:line="265" w:lineRule="auto"/>
        <w:rPr>
          <w:sz w:val="20"/>
          <w:szCs w:val="20"/>
          <w:color w:val="auto"/>
        </w:rPr>
      </w:pPr>
      <w:r>
        <w:rPr>
          <w:rFonts w:ascii="Times New Roman" w:cs="Times New Roman" w:eastAsia="Times New Roman" w:hAnsi="Times New Roman"/>
          <w:sz w:val="18"/>
          <w:szCs w:val="18"/>
          <w:color w:val="auto"/>
        </w:rPr>
        <w:t>Our RxSight system is the first and only FDA-approved IOL technology that enables doctors to customize and optimize visual acuity for patients after cataract surgery. With the RxSight system, the doctor performs a standard cataract procedure to implant the LAL, determines refractive error with patient input after healing is complete, then uses the LDD to reshape the LAL</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24" w:lineRule="exact"/>
        <w:rPr>
          <w:sz w:val="20"/>
          <w:szCs w:val="20"/>
          <w:color w:val="auto"/>
        </w:rPr>
      </w:pPr>
    </w:p>
    <w:p>
      <w:pPr>
        <w:ind w:right="920"/>
        <w:spacing w:after="0" w:line="281" w:lineRule="auto"/>
        <w:rPr>
          <w:sz w:val="20"/>
          <w:szCs w:val="20"/>
          <w:color w:val="auto"/>
        </w:rPr>
      </w:pPr>
      <w:r>
        <w:rPr>
          <w:rFonts w:ascii="Times New Roman" w:cs="Times New Roman" w:eastAsia="Times New Roman" w:hAnsi="Times New Roman"/>
          <w:sz w:val="18"/>
          <w:szCs w:val="18"/>
          <w:color w:val="auto"/>
        </w:rPr>
        <w:t>to achieve the patients’ desired vision outcomes. Our RxSight system is comprised of two key components, along with other intraoperative and postoperative accessories:</w:t>
      </w:r>
    </w:p>
    <w:p>
      <w:pPr>
        <w:spacing w:after="0" w:line="78" w:lineRule="exact"/>
        <w:rPr>
          <w:sz w:val="20"/>
          <w:szCs w:val="20"/>
          <w:color w:val="auto"/>
        </w:rPr>
      </w:pPr>
    </w:p>
    <w:p>
      <w:pPr>
        <w:ind w:left="900" w:right="180" w:hanging="518"/>
        <w:spacing w:after="0" w:line="268"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RxSight Light Adjustable Lens: </w:t>
      </w:r>
      <w:r>
        <w:rPr>
          <w:rFonts w:ascii="Times New Roman" w:cs="Times New Roman" w:eastAsia="Times New Roman" w:hAnsi="Times New Roman"/>
          <w:sz w:val="18"/>
          <w:szCs w:val="18"/>
          <w:color w:val="auto"/>
        </w:rPr>
        <w:t>The LAL is our proprietary IOL that can be adjusted postoperatively to improve uncorrected visual acuity.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IOL is made of special photosensitive material that changes shape and power when a specific pattern of UV light is delivered from the LDD.</w:t>
      </w:r>
    </w:p>
    <w:p>
      <w:pPr>
        <w:spacing w:after="0" w:line="102" w:lineRule="exact"/>
        <w:rPr>
          <w:rFonts w:ascii="Times New Roman" w:cs="Times New Roman" w:eastAsia="Times New Roman" w:hAnsi="Times New Roman"/>
          <w:sz w:val="18"/>
          <w:szCs w:val="18"/>
          <w:color w:val="auto"/>
        </w:rPr>
      </w:pPr>
    </w:p>
    <w:p>
      <w:pPr>
        <w:ind w:left="900" w:right="240" w:hanging="518"/>
        <w:spacing w:after="0" w:line="268"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RxSight Light Delivery Device: </w:t>
      </w:r>
      <w:r>
        <w:rPr>
          <w:rFonts w:ascii="Times New Roman" w:cs="Times New Roman" w:eastAsia="Times New Roman" w:hAnsi="Times New Roman"/>
          <w:sz w:val="18"/>
          <w:szCs w:val="18"/>
          <w:color w:val="auto"/>
        </w:rPr>
        <w:t>The LDD is our proprietary office-based light treatment device that delivers UV light in a precisely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programmed pattern to induce a predictable change in the shape and refractive properties of the LAL, enabling surgeons to precisely modify the LAL based on the visual correction needed to achieve the patient’s desired vision after cataract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79375</wp:posOffset>
            </wp:positionV>
            <wp:extent cx="3553460" cy="1884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3460" cy="188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foundational technology</w:t>
      </w:r>
    </w:p>
    <w:p>
      <w:pPr>
        <w:spacing w:after="0" w:line="161" w:lineRule="exact"/>
        <w:rPr>
          <w:sz w:val="20"/>
          <w:szCs w:val="20"/>
          <w:color w:val="auto"/>
        </w:rPr>
      </w:pPr>
    </w:p>
    <w:p>
      <w:pPr>
        <w:ind w:right="360" w:firstLine="374"/>
        <w:spacing w:after="0" w:line="260" w:lineRule="auto"/>
        <w:rPr>
          <w:sz w:val="20"/>
          <w:szCs w:val="20"/>
          <w:color w:val="auto"/>
        </w:rPr>
      </w:pPr>
      <w:r>
        <w:rPr>
          <w:rFonts w:ascii="Times New Roman" w:cs="Times New Roman" w:eastAsia="Times New Roman" w:hAnsi="Times New Roman"/>
          <w:sz w:val="18"/>
          <w:szCs w:val="18"/>
          <w:color w:val="auto"/>
        </w:rPr>
        <w:t>We have developed our RxSight system over the last 20 years, incorporating expertise and proprietary technologies across multiple disciplines, including optics, material science, chemistry, software and hardware engineering. The proprietary RxSight technology that enables post-operative adjustability is based on the principles of photochemistry. The LAL is made of a photosensitive material that changes shape and power when a specific pattern of UV light is delivered to the LAL.</w:t>
      </w:r>
    </w:p>
    <w:p>
      <w:pPr>
        <w:spacing w:after="0" w:line="114"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Our LAL, which we manufacture using our proprietary silicone formulation, leverages the unique material properties of silicone. Silicone consists of an inorganic silicon-oxygen backbone, which is a chain of alternating silicon and oxygen atoms with an attached side group, which is a pair of organic molecules bonded to each silicon atom in the chain. Combined with organic side functionality including reactive groups, silicones can be cross-linked at multiple points resulting in three-dimensional structures. By varying chain length, attached side group and cross-linking design, silicone polymers can be tailored to have unique properties, leading to their broad use across a wide array of applications. We have developed a novel application of silicone to optimize the mechanical and optical properties of IOLs in order to improve vision in patients following cataract surgery.</w:t>
      </w:r>
    </w:p>
    <w:p>
      <w:pPr>
        <w:spacing w:after="0" w:line="105"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To create the LAL, we use a composition of silicone polymers including low molecular weight functionalized polymer, we call them “macromers”, mixed with photo-active molecules and other compounds. The initial composition of our lens material is a viscous liquid that is thermally cured in a lens mold. Thermal curing and photopolymerization use temperature and ultraviolet light, respectively, to initiate and propagate a polymerization reaction. To avoid polymerizing the macromers in the composition, the thermal curing is performed at a low temperature. The partial polymerization of the LAL results in a solid but soft silicone lens, leaving the photosensitive macromers unpolymerized and distributed throughout the lens. While the resulting lens is optically clear, the macromers and photo-active molecules remain free to continuously move within the lens.</w:t>
      </w:r>
    </w:p>
    <w:p>
      <w:pPr>
        <w:spacing w:after="0" w:line="11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After packaging and sterilization, the LAL is ready to be implanted as part of a standard cataract surgical procedure to replace the patient’s natural lens. Once wound healing is complete, a short exposure of UV light is applied to the LAL to adjust the refractive properties of the lens. When the UV light is directed to a specific portion of the lens, the exposed macromers in that portion of the lens are polymerized and become stationary. This creates an excess concentration of free macromers in the unexposed portion of the lens and sets up a diffusion gradient over which the unpolymerized macromers move from the concentrated area to the less concentrated area. Over the next one to two days, the unpolymerized macromers redistribute across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2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lens to achieve a uniform distribution. The redistribution of the macromers causes the exposed portion of the lens to swell relative to the unexposed portion of the lens, enabling refractive power change.</w:t>
      </w:r>
    </w:p>
    <w:p>
      <w:pPr>
        <w:spacing w:after="0" w:line="82"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movement of the macromers causes a highly predictable change in the curvature of the lens. If the central portion of the lens is exposed to UV light, unpolymerized macromers in the periphery of the lens move into the central portion. As a result, the central portion of the lens swells, creating a lens shape for correction of hyperopia. Conversely, if the periphery of the lens is exposed to UV light, unpolymerized macromers in the central portion of the lens migrate into the periphery. As a result, the periphery of the lens swells, creating a lens shape for correction of myopia. In addition to spherical correction for myopia or hyperopia, customized cylinder adjustments along any axis of the lens can be targeted to correct for astigmatism.</w:t>
      </w:r>
    </w:p>
    <w:p>
      <w:pPr>
        <w:spacing w:after="0" w:line="115"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To achieve the desired refractive change in the LAL, our LDD uses proprietary software and algorithms to deliver a short UV exposure treatment that polymerizes specific portions of the lens according to a predefined pattern of light, called a nomogram. Nomograms allow for adjustment of spherical and cylindrical refraction in 0.25 diopter increments, like the adjustment increments used to refract patients for glasses or contact lenses, as well as in other refractive procedures like LASIK, which has similar refractive accuracy. Designed for placement in the doctor’s office, the LDD is a combination of a standard slit lamp and a digital light projector. The slit lamp portion allows the doctor to see inside the patient’s eye and align the light beam with the LAL. The digital light projector portion projects an image onto the LAL using DLP technology that has approximately 250,000 micro mirrors that are electronically activated to represent an image stored in memory.</w:t>
      </w:r>
    </w:p>
    <w:p>
      <w:pPr>
        <w:spacing w:after="0" w:line="119"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Each UV light treatment consumes only a portion of the macromers in the lens, allowing the LAL to be adjusted multiple times. This process can be repeated up to three times over a period of several weeks, until the patient and doctor are satisfied. The entire lens is then polymerized to provide a stable correction. After adjustment light treatments are completed, one or two lock-in light treatments are applied to consume all remaining macromers and photo-active compounds. After the final lock-in treatment, the lens power can no longer be adjusted.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61" w:lineRule="exact"/>
        <w:rPr>
          <w:sz w:val="20"/>
          <w:szCs w:val="20"/>
          <w:color w:val="auto"/>
        </w:rPr>
      </w:pPr>
    </w:p>
    <w:p>
      <w:pPr>
        <w:ind w:right="40" w:firstLine="374"/>
        <w:spacing w:after="0" w:line="271" w:lineRule="auto"/>
        <w:rPr>
          <w:sz w:val="20"/>
          <w:szCs w:val="20"/>
          <w:color w:val="auto"/>
        </w:rPr>
      </w:pPr>
      <w:r>
        <w:rPr>
          <w:rFonts w:ascii="Times New Roman" w:cs="Times New Roman" w:eastAsia="Times New Roman" w:hAnsi="Times New Roman"/>
          <w:sz w:val="17"/>
          <w:szCs w:val="17"/>
          <w:color w:val="auto"/>
        </w:rPr>
        <w:t>With the RxSight system, the surgeon performs a standard IOL implant procedure, replacing the patients’ natural lens with the LAL. Two to three weeks following surgery, the patient visits the doctor’s office for a standard postoperative refraction, which is similar to the eye test used to create a prescription for eye glasses. Using a traditional phoropter and vision chart, a clinician determines the refractive error and prescription required and inputs the information into the LDD’s graphical user interface. The patient’s eye is dilated and a contact lens is applied to the eye as the patient is seated in front of the LDD for a light treatment. Based on the prescription input, the LDD generates a programmed, predetermined exposure of UV light. For approximately 100 seconds, the light painlessly and non-invasively reshapes the implanted LAL to correct the measured refractive error. The entire treatment takes less than five minutes. The patient returns approximately three to five days later for additional light treatments to further adjust their vision, if desired, or to lock-in the lens. While patients can receive up to three adjustments, the average number of adjustments in our FDA clinical trial was 1.6.</w:t>
      </w:r>
    </w:p>
    <w:p>
      <w:pPr>
        <w:spacing w:after="0" w:line="108" w:lineRule="exact"/>
        <w:rPr>
          <w:sz w:val="20"/>
          <w:szCs w:val="20"/>
          <w:color w:val="auto"/>
        </w:rPr>
      </w:pPr>
    </w:p>
    <w:p>
      <w:pPr>
        <w:ind w:right="180" w:firstLine="374"/>
        <w:spacing w:after="0" w:line="274" w:lineRule="auto"/>
        <w:rPr>
          <w:sz w:val="20"/>
          <w:szCs w:val="20"/>
          <w:color w:val="auto"/>
        </w:rPr>
      </w:pPr>
      <w:r>
        <w:rPr>
          <w:rFonts w:ascii="Times New Roman" w:cs="Times New Roman" w:eastAsia="Times New Roman" w:hAnsi="Times New Roman"/>
          <w:sz w:val="17"/>
          <w:szCs w:val="17"/>
          <w:color w:val="auto"/>
        </w:rPr>
        <w:t>The RxSight system enables a fully interactive and iterative process to optimize visual acuity with patients able to test drive their vision, comparing possible outcomes before selecting a final prescription for their LAL. In clinical practice since our FDA approval, roughly 86% of patients choose some form of blended vision and 73% of those patients change their target during the course of LDD treatments to optimize their spherical target, underscoring the value of adjustability and customization. From the time of surgery until 24 hours after the LAL is locked in, the patient wears UV light protective glasses as unprotected exposure to light can cause uncontrolled changes in the LAL. Since late 2021, we have included ActivShield technology on all LALs, which provides an extra layer of UV protection on the lens surface and reduces dependence on patient compliance with protective glasses.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benefits of RxSight system for patients</w:t>
      </w:r>
    </w:p>
    <w:p>
      <w:pPr>
        <w:spacing w:after="0" w:line="157" w:lineRule="exact"/>
        <w:rPr>
          <w:sz w:val="20"/>
          <w:szCs w:val="20"/>
          <w:color w:val="auto"/>
        </w:rPr>
      </w:pPr>
    </w:p>
    <w:p>
      <w:pPr>
        <w:ind w:left="900" w:right="80" w:hanging="518"/>
        <w:spacing w:after="0" w:line="257"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Superior vision outcomes. </w:t>
      </w:r>
      <w:r>
        <w:rPr>
          <w:rFonts w:ascii="Times New Roman" w:cs="Times New Roman" w:eastAsia="Times New Roman" w:hAnsi="Times New Roman"/>
          <w:sz w:val="18"/>
          <w:szCs w:val="18"/>
          <w:color w:val="auto"/>
        </w:rPr>
        <w:t>In the pivotal study that formed the basis for our FDA approval, the observed rate of eyes with 20/20 or better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uncorrected distance visual acuity for our LAL was 70.1%. This compares favorably to the results of pivotal studies with similar study designs and patient populations that supported FDA approval of Alcon’s Acrysof Toric (38.4%) and J&amp;J’s Tecnis Toric (43.6%). Most LAL patients choose minor differences in the refractive correction of each eye, which can result in glasses-free vision across a full range of distances. In our most recent Phase IV commercial study data over 90% of LAL patients who chose to optimize vision with both eyes, achieved 20/25 or better distance vision and were also able to read 5-point font without glasses;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20" w:lineRule="exact"/>
        <w:rPr>
          <w:sz w:val="20"/>
          <w:szCs w:val="20"/>
          <w:color w:val="auto"/>
        </w:rPr>
      </w:pPr>
    </w:p>
    <w:p>
      <w:pPr>
        <w:ind w:left="900" w:right="160" w:hanging="518"/>
        <w:spacing w:after="0" w:line="268"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Postoperative customization. </w:t>
      </w:r>
      <w:r>
        <w:rPr>
          <w:rFonts w:ascii="Times New Roman" w:cs="Times New Roman" w:eastAsia="Times New Roman" w:hAnsi="Times New Roman"/>
          <w:sz w:val="18"/>
          <w:szCs w:val="18"/>
          <w:color w:val="auto"/>
        </w:rPr>
        <w:t>Our RxSight system enables patients to preview and compare possible vision outcomes after surgery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unique preferences and lifestyle requirements before they select a final prescription for their LAL. With up to three possible adjusting light treatments, patients can dial-in their optimal visual acuity through an interactive and iterative process;</w:t>
      </w:r>
    </w:p>
    <w:p>
      <w:pPr>
        <w:spacing w:after="0" w:line="88" w:lineRule="exact"/>
        <w:rPr>
          <w:rFonts w:ascii="Times New Roman" w:cs="Times New Roman" w:eastAsia="Times New Roman" w:hAnsi="Times New Roman"/>
          <w:sz w:val="18"/>
          <w:szCs w:val="18"/>
          <w:color w:val="auto"/>
        </w:rPr>
      </w:pPr>
    </w:p>
    <w:p>
      <w:pPr>
        <w:ind w:left="900" w:right="100" w:hanging="518"/>
        <w:spacing w:after="0" w:line="259"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increase in glare and halo. </w:t>
      </w:r>
      <w:r>
        <w:rPr>
          <w:rFonts w:ascii="Times New Roman" w:cs="Times New Roman" w:eastAsia="Times New Roman" w:hAnsi="Times New Roman"/>
          <w:sz w:val="18"/>
          <w:szCs w:val="18"/>
          <w:color w:val="auto"/>
        </w:rPr>
        <w:t>Our LALs do not induce higher rates of glare and halos compared to monofocal IOLs. In contrast, multifocal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IOLs, generally relied upon to improve near vision, are associated with a higher incidence of unwanted side effects including reduced contrast sensitivity and increased glare and halos around bright lights. These problems can lead to explants, in which patients undergo another procedure to remove the multifocal IOL and replace it with another type of IOL. In FDA studies for the Alcon Panoptix, J&amp;J Symfony and Alcon Vivity lenses, 48.8%, 59.2% and 17.0% of subjects, respectively, reported being bothered by halos postoperatively; and</w:t>
      </w:r>
    </w:p>
    <w:p>
      <w:pPr>
        <w:spacing w:after="0" w:line="110" w:lineRule="exact"/>
        <w:rPr>
          <w:rFonts w:ascii="Times New Roman" w:cs="Times New Roman" w:eastAsia="Times New Roman" w:hAnsi="Times New Roman"/>
          <w:sz w:val="18"/>
          <w:szCs w:val="18"/>
          <w:color w:val="auto"/>
        </w:rPr>
      </w:pPr>
    </w:p>
    <w:p>
      <w:pPr>
        <w:ind w:left="900" w:right="360" w:hanging="518"/>
        <w:spacing w:after="0" w:line="268"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Corrects residual refractive error</w:t>
      </w:r>
      <w:r>
        <w:rPr>
          <w:rFonts w:ascii="Times New Roman" w:cs="Times New Roman" w:eastAsia="Times New Roman" w:hAnsi="Times New Roman"/>
          <w:sz w:val="18"/>
          <w:szCs w:val="18"/>
          <w:color w:val="auto"/>
        </w:rPr>
        <w:t>. The RxSight system can reduce the potential for secondary surgical procedures by correcting residual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refractive error after surgery using our office based LDD to shape the LAL. With other premium IOLs, a separate LASIK procedure is generally the only way to correct for residual visual errors following the primary cataract procedure.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benefits of RxSight system for doctors</w:t>
      </w:r>
    </w:p>
    <w:p>
      <w:pPr>
        <w:spacing w:after="0" w:line="144" w:lineRule="exact"/>
        <w:rPr>
          <w:sz w:val="20"/>
          <w:szCs w:val="20"/>
          <w:color w:val="auto"/>
        </w:rPr>
      </w:pPr>
    </w:p>
    <w:p>
      <w:pPr>
        <w:ind w:left="900" w:hanging="518"/>
        <w:spacing w:after="0" w:line="26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Clear value proposition for patients, helping doctors to build their premium cataract practices. </w:t>
      </w:r>
      <w:r>
        <w:rPr>
          <w:rFonts w:ascii="Times New Roman" w:cs="Times New Roman" w:eastAsia="Times New Roman" w:hAnsi="Times New Roman"/>
          <w:sz w:val="18"/>
          <w:szCs w:val="18"/>
          <w:color w:val="auto"/>
        </w:rPr>
        <w:t>Rather than explaining the complicated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trade-offs with respect to visual outcomes and predicting refraction before surgery, the surgeon may simply tell patients that their vision will be corrected postoperatively via a painless, in-office process similar to being prescribed glasses. The doctor can also share the LALs clinical results with the patient to provide reassurance that the procedure will deliver desired results;</w:t>
      </w:r>
    </w:p>
    <w:p>
      <w:pPr>
        <w:spacing w:after="0" w:line="107" w:lineRule="exact"/>
        <w:rPr>
          <w:rFonts w:ascii="Times New Roman" w:cs="Times New Roman" w:eastAsia="Times New Roman" w:hAnsi="Times New Roman"/>
          <w:sz w:val="18"/>
          <w:szCs w:val="18"/>
          <w:color w:val="auto"/>
        </w:rPr>
      </w:pPr>
    </w:p>
    <w:p>
      <w:pPr>
        <w:ind w:left="900" w:right="180" w:hanging="518"/>
        <w:spacing w:after="0" w:line="26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confidence. </w:t>
      </w:r>
      <w:r>
        <w:rPr>
          <w:rFonts w:ascii="Times New Roman" w:cs="Times New Roman" w:eastAsia="Times New Roman" w:hAnsi="Times New Roman"/>
          <w:sz w:val="18"/>
          <w:szCs w:val="18"/>
          <w:color w:val="auto"/>
        </w:rPr>
        <w:t>The clinical benefit of “dialing-in” to achieve superior visual outcomes postoperatively increases doctors’ confidence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LAL can meet patients’ expectations. The doctor does not need to decide prior to surgery whether the patient will be particularly sensitive to suboptimal visual outcomes or side effects (such as glare, halo and loss of contrast). The patient is also unlikely to need a postoperative adjustment such as LASIK to improve their outcome;</w:t>
      </w:r>
    </w:p>
    <w:p>
      <w:pPr>
        <w:spacing w:after="0" w:line="107" w:lineRule="exact"/>
        <w:rPr>
          <w:rFonts w:ascii="Times New Roman" w:cs="Times New Roman" w:eastAsia="Times New Roman" w:hAnsi="Times New Roman"/>
          <w:sz w:val="18"/>
          <w:szCs w:val="18"/>
          <w:color w:val="auto"/>
        </w:rPr>
      </w:pPr>
    </w:p>
    <w:p>
      <w:pPr>
        <w:ind w:left="900" w:right="240" w:hanging="518"/>
        <w:spacing w:after="0" w:line="259"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Fewer intraoperative measurements. </w:t>
      </w:r>
      <w:r>
        <w:rPr>
          <w:rFonts w:ascii="Times New Roman" w:cs="Times New Roman" w:eastAsia="Times New Roman" w:hAnsi="Times New Roman"/>
          <w:sz w:val="18"/>
          <w:szCs w:val="18"/>
          <w:color w:val="auto"/>
        </w:rPr>
        <w:t>With other premium IOLs, the lens power is fixed and cannot be changed after surgery, requiring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doctors to spend considerable time on preoperative and intraoperative measurements to estimate the most suitable lens power to implant and lens position. With our RxSight system, surgeons are not as dependent on preoperative and intraoperative equipment for measurements. Instead, they can focus on the surgical procedure, knowing refractive error will be corrected postoperatively with the LDD, and with the patient’s active involvement;</w:t>
      </w:r>
    </w:p>
    <w:p>
      <w:pPr>
        <w:spacing w:after="0" w:line="96" w:lineRule="exact"/>
        <w:rPr>
          <w:rFonts w:ascii="Times New Roman" w:cs="Times New Roman" w:eastAsia="Times New Roman" w:hAnsi="Times New Roman"/>
          <w:sz w:val="18"/>
          <w:szCs w:val="18"/>
          <w:color w:val="auto"/>
        </w:rPr>
      </w:pPr>
    </w:p>
    <w:p>
      <w:pPr>
        <w:ind w:left="900" w:right="220" w:hanging="518"/>
        <w:spacing w:after="0" w:line="259"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 application across different patients’ needs. </w:t>
      </w:r>
      <w:r>
        <w:rPr>
          <w:rFonts w:ascii="Times New Roman" w:cs="Times New Roman" w:eastAsia="Times New Roman" w:hAnsi="Times New Roman"/>
          <w:sz w:val="18"/>
          <w:szCs w:val="18"/>
          <w:color w:val="auto"/>
        </w:rPr>
        <w:t>Our IOLs can address a broad range of patient types and needs, while providing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that doctors can trust to improve visual outcomes, eliminating the need for extensive preoperative discussions with patients about which IOL may best fit their lifestyle and visual preferences. Moreover, the superior outcomes and patient-centered approach of the RxSight system helps drive patient referrals and grow premium cataract volumes, which generally produce higher practice revenue and profit margin than conventional procedures; and</w:t>
      </w:r>
    </w:p>
    <w:p>
      <w:pPr>
        <w:spacing w:after="0" w:line="110" w:lineRule="exact"/>
        <w:rPr>
          <w:rFonts w:ascii="Times New Roman" w:cs="Times New Roman" w:eastAsia="Times New Roman" w:hAnsi="Times New Roman"/>
          <w:sz w:val="18"/>
          <w:szCs w:val="18"/>
          <w:color w:val="auto"/>
        </w:rPr>
      </w:pPr>
    </w:p>
    <w:p>
      <w:pPr>
        <w:ind w:left="900" w:right="140" w:hanging="518"/>
        <w:spacing w:after="0" w:line="257"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Economic benefits that drive practice growth. </w:t>
      </w:r>
      <w:r>
        <w:rPr>
          <w:rFonts w:ascii="Times New Roman" w:cs="Times New Roman" w:eastAsia="Times New Roman" w:hAnsi="Times New Roman"/>
          <w:sz w:val="18"/>
          <w:szCs w:val="18"/>
          <w:color w:val="auto"/>
        </w:rPr>
        <w:t>A recent economic impact survey by Haffey &amp; Company, of the practices using the RxSight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revealed that LAL procedures were sourced from all other categories of other IOLs. For example, respondents indicated that approximately 40% of their LAL patients would have otherwise selected a conventional monofocal IOL, which is far less profitable for a practice than a LAL procedure. In addition, based on an average of 11 LALs implanted per month at these practices, doctors observed a payback period of approximately six months for the LDD, based on the current list purchase price. Following this payback period, practices continue to reap the financial benefit of converting patients to the RxSight system.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right="320" w:firstLine="374"/>
        <w:spacing w:after="0" w:line="281" w:lineRule="auto"/>
        <w:rPr>
          <w:sz w:val="20"/>
          <w:szCs w:val="20"/>
          <w:color w:val="auto"/>
        </w:rPr>
      </w:pPr>
      <w:r>
        <w:rPr>
          <w:rFonts w:ascii="Times New Roman" w:cs="Times New Roman" w:eastAsia="Times New Roman" w:hAnsi="Times New Roman"/>
          <w:sz w:val="18"/>
          <w:szCs w:val="18"/>
          <w:color w:val="auto"/>
        </w:rPr>
        <w:t>We are leveraging the tangible and compelling benefits of our RxSight solution to achieve broad adoption of our technology and establish it as the standard of care for premium cataract surgery. Our growth strategies include:</w:t>
      </w:r>
    </w:p>
    <w:p>
      <w:pPr>
        <w:spacing w:after="0" w:line="51" w:lineRule="exact"/>
        <w:rPr>
          <w:sz w:val="20"/>
          <w:szCs w:val="20"/>
          <w:color w:val="auto"/>
        </w:rPr>
      </w:pPr>
    </w:p>
    <w:p>
      <w:pPr>
        <w:ind w:left="900" w:hanging="518"/>
        <w:spacing w:after="0" w:line="28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Establishing new customers and growing our installed base of LDDs. </w:t>
      </w:r>
      <w:r>
        <w:rPr>
          <w:rFonts w:ascii="Times New Roman" w:cs="Times New Roman" w:eastAsia="Times New Roman" w:hAnsi="Times New Roman"/>
          <w:sz w:val="18"/>
          <w:szCs w:val="18"/>
          <w:color w:val="auto"/>
        </w:rPr>
        <w:t>We believe our technology offers a differentiated value proposition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doctors and patients, providing us an opportunity to grow our share in the premium</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84" w:lineRule="exact"/>
        <w:rPr>
          <w:sz w:val="20"/>
          <w:szCs w:val="20"/>
          <w:color w:val="auto"/>
        </w:rPr>
      </w:pPr>
    </w:p>
    <w:p>
      <w:pPr>
        <w:ind w:left="900" w:right="100"/>
        <w:spacing w:after="0" w:line="254" w:lineRule="auto"/>
        <w:rPr>
          <w:sz w:val="20"/>
          <w:szCs w:val="20"/>
          <w:color w:val="auto"/>
        </w:rPr>
      </w:pPr>
      <w:r>
        <w:rPr>
          <w:rFonts w:ascii="Times New Roman" w:cs="Times New Roman" w:eastAsia="Times New Roman" w:hAnsi="Times New Roman"/>
          <w:sz w:val="18"/>
          <w:szCs w:val="18"/>
          <w:color w:val="auto"/>
        </w:rPr>
        <w:t>IOL market and increase the penetration of premium IOLs in the broader cataract surgery market. To grow our installed base, we are focused primarily on converting high-volume premium cataract surgeons to the RxSight system by highlighting its clinical, economic and workflow benefits compared to competing premium IOL technologies. Secondarily, we are focused on the broader pool of cataract surgeons who may implant premium IOLs sparingly or not at all due to suboptimal visual outcomes, persistent side effects and uneven patient satisfaction sometimes associated with non-adjustable premium IOL offerings. Because our RxSight system is designed to overcome these shortcomings, we believe many of these doctors have the potential to be successful RxSight customers. We are also investing in professional education, additional clinical studies and registries that expand our evidence base, facilitating peer-to-peer dialogue and forums and communicating the benefits of our technology through marketing initiatives, tradeshows and podium presentations;</w:t>
      </w:r>
    </w:p>
    <w:p>
      <w:pPr>
        <w:spacing w:after="0" w:line="77" w:lineRule="exact"/>
        <w:rPr>
          <w:sz w:val="20"/>
          <w:szCs w:val="20"/>
          <w:color w:val="auto"/>
        </w:rPr>
      </w:pPr>
    </w:p>
    <w:p>
      <w:pPr>
        <w:ind w:left="900" w:right="20" w:hanging="518"/>
        <w:spacing w:after="0" w:line="25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Increasing the utilization of our LALs by empowering doctors to grow their practices. </w:t>
      </w:r>
      <w:r>
        <w:rPr>
          <w:rFonts w:ascii="Times New Roman" w:cs="Times New Roman" w:eastAsia="Times New Roman" w:hAnsi="Times New Roman"/>
          <w:sz w:val="18"/>
          <w:szCs w:val="18"/>
          <w:color w:val="auto"/>
        </w:rPr>
        <w:t>We work closely with every new customer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a thorough training and onboarding process, providing a high level of service to help the practice succeed with the RxSight system. This support helps the practice confidently recommend the LAL to an increasing number of patients and, in turn, grow their practice. In a recent RxSight customer survey conducted by Haffey &amp; Company, 92% of doctors said they thought our RxSight system delivered the highest quality vision, 97% said they would recommend the LAL to others and 82% said they would select it for their own eyes. In addition to personnel support, we also provide practices with marketing materials, such as patient brochures, literature and digital content for website and social media promotions. We also provide ongoing training related to new technology features and developments, as well as education on the patient benefits of our solution;</w:t>
      </w:r>
    </w:p>
    <w:p>
      <w:pPr>
        <w:spacing w:after="0" w:line="74" w:lineRule="exact"/>
        <w:rPr>
          <w:rFonts w:ascii="Times New Roman" w:cs="Times New Roman" w:eastAsia="Times New Roman" w:hAnsi="Times New Roman"/>
          <w:sz w:val="18"/>
          <w:szCs w:val="18"/>
          <w:color w:val="auto"/>
        </w:rPr>
      </w:pPr>
    </w:p>
    <w:p>
      <w:pPr>
        <w:ind w:left="900" w:right="80" w:hanging="518"/>
        <w:spacing w:after="0" w:line="259"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Strategically expanding our commercial organization and marketing activities. </w:t>
      </w:r>
      <w:r>
        <w:rPr>
          <w:rFonts w:ascii="Times New Roman" w:cs="Times New Roman" w:eastAsia="Times New Roman" w:hAnsi="Times New Roman"/>
          <w:sz w:val="18"/>
          <w:szCs w:val="18"/>
          <w:color w:val="auto"/>
        </w:rPr>
        <w:t>Since launching the RxSight system commercially in 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we have substantially increased the size and scope of our U.S. commercial organization. While we believe our current commercial organization is well built to reach our focused target of high-volume premium cataract surgeons, we will add highly qualified personnel for time to time, with a strategic mix of sales personnel and clinical specialists, to drive higher levels of awareness and penetration in certain regions. We also expect to accelerate marketing initiatives and professional education, including training on best practices and techniques;</w:t>
      </w:r>
    </w:p>
    <w:p>
      <w:pPr>
        <w:spacing w:after="0" w:line="69" w:lineRule="exact"/>
        <w:rPr>
          <w:rFonts w:ascii="Times New Roman" w:cs="Times New Roman" w:eastAsia="Times New Roman" w:hAnsi="Times New Roman"/>
          <w:sz w:val="18"/>
          <w:szCs w:val="18"/>
          <w:color w:val="auto"/>
        </w:rPr>
      </w:pPr>
    </w:p>
    <w:p>
      <w:pPr>
        <w:ind w:left="900" w:right="20" w:hanging="518"/>
        <w:spacing w:after="0" w:line="247"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Investing in RxSight system enhancements and expanding indications. </w:t>
      </w:r>
      <w:r>
        <w:rPr>
          <w:rFonts w:ascii="Times New Roman" w:cs="Times New Roman" w:eastAsia="Times New Roman" w:hAnsi="Times New Roman"/>
          <w:sz w:val="18"/>
          <w:szCs w:val="18"/>
          <w:color w:val="auto"/>
        </w:rPr>
        <w:t>We continue to enhance our RxSight system to improve the patient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doctor experience, meet evolving customer needs and address the widest possible patient population. Since our initial FDA approval in November 2017 through December 31, 2024, we have received approximately 40 supplemental approvals. Recent enhancements include the addition of low diopter powers for the LAL+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improvements to our manufacturing processes and improvements to the LDD software. We believe these technological advancements help to drive increased adoption of our RxSight system;</w:t>
      </w:r>
    </w:p>
    <w:p>
      <w:pPr>
        <w:spacing w:after="0" w:line="77" w:lineRule="exact"/>
        <w:rPr>
          <w:rFonts w:ascii="Times New Roman" w:cs="Times New Roman" w:eastAsia="Times New Roman" w:hAnsi="Times New Roman"/>
          <w:sz w:val="18"/>
          <w:szCs w:val="18"/>
          <w:color w:val="auto"/>
        </w:rPr>
      </w:pPr>
    </w:p>
    <w:p>
      <w:pPr>
        <w:ind w:left="900" w:hanging="518"/>
        <w:spacing w:after="0" w:line="257"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Scaling our business to achieve cost and production efficiencies. </w:t>
      </w:r>
      <w:r>
        <w:rPr>
          <w:rFonts w:ascii="Times New Roman" w:cs="Times New Roman" w:eastAsia="Times New Roman" w:hAnsi="Times New Roman"/>
          <w:sz w:val="18"/>
          <w:szCs w:val="18"/>
          <w:color w:val="auto"/>
        </w:rPr>
        <w:t>We expect to realize operating leverage through increased scale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efficiencies as our commercial operations grow. We have executed a number of design and manufacturing process improvements to streamline both LAL and LDD production, and have developed a more compact LDD, which was approved by the FDA in January 2023 and began shipping in the third quarter of 2023. We are also concurrently executing on our strategy to optimize our diverse supply chain and to develop second sources from less expensive suppliers. We anticipate that the combination of these strategies will drive margin improvement in the future when introduced into production and offered for sale; and</w:t>
      </w:r>
    </w:p>
    <w:p>
      <w:pPr>
        <w:spacing w:after="0" w:line="72" w:lineRule="exact"/>
        <w:rPr>
          <w:rFonts w:ascii="Times New Roman" w:cs="Times New Roman" w:eastAsia="Times New Roman" w:hAnsi="Times New Roman"/>
          <w:sz w:val="18"/>
          <w:szCs w:val="18"/>
          <w:color w:val="auto"/>
        </w:rPr>
      </w:pPr>
    </w:p>
    <w:p>
      <w:pPr>
        <w:ind w:left="900" w:right="60" w:hanging="518"/>
        <w:spacing w:after="0" w:line="257"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Growing our commercial operations in international markets. </w:t>
      </w:r>
      <w:r>
        <w:rPr>
          <w:rFonts w:ascii="Times New Roman" w:cs="Times New Roman" w:eastAsia="Times New Roman" w:hAnsi="Times New Roman"/>
          <w:sz w:val="18"/>
          <w:szCs w:val="18"/>
          <w:color w:val="auto"/>
        </w:rPr>
        <w:t>While our current commercial focus is on the large opportunity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we believe the RxSight system offers compelling benefits for cataract doctors and patients in select international markets. According to the Market Scope 2024 Premium Report, over 80% of the premium IOL procedures in 2024 were outside the United States. Our RxSight system has regulatory approval in the U.S., Europe, Canada, Mexico and Korea. We may selectively pursue commercial expansion outside the United States, with a priority on markets where we see significant potential growth opportunities. New approvals may also be sought in large cataract markets with more complex regulatory environments such as Asia and Europe.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clinical studies</w:t>
      </w:r>
    </w:p>
    <w:p>
      <w:pPr>
        <w:spacing w:after="0" w:line="12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 July 2016, we completed our FDA Phase 3 pivotal randomized clinical study of 600 subjects, designed to evaluate the safety and effectiveness of performing light treatments to correct postoperative spherical and cylindrical refractive error. In this study, 391 subjects had the LAL implanted in one eye and the results were compared at the six-month postoperative visit against 193 subjects with a monofocal control IOL implanted in one eye. The LAL met all primary effectiveness endpoints and was approved by the FDA on November 22, 2017 as the first commercially available adjustable IOL. In the study, 70.1% of LAL</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 w:name="page15"/>
    <w:bookmarkEnd w:id="14"/>
    <w:p>
      <w:pPr>
        <w:spacing w:after="0" w:line="84"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subjects achieved monocular uncorrected distance visual acuity of 20/20 or better compared to 36.3% of the eyes implanted with the monofocal control IOL. In addition to being statistically significantly better than the control IOL, the observed rate of eyes with 20/20 or better uncorrected distance visual acuity was the highest reported for any approved intraocular lens and approximately twice what was observed by the two most popular astigmatism-correcting IOLs (38.4% by Alcon’s Acrysof Toric, and 43.6% by J&amp;J’s Tecnis Toric) in similar patient populations in the pivotal studies that led to their approvals by the FDA. Additionally, LAL patients reported a low rate of glare or halo, visual side effects that are frequently reported with premium IOLs.</w:t>
      </w:r>
    </w:p>
    <w:p>
      <w:pPr>
        <w:spacing w:after="0" w:line="63" w:lineRule="exact"/>
        <w:rPr>
          <w:sz w:val="20"/>
          <w:szCs w:val="20"/>
          <w:color w:val="auto"/>
        </w:rPr>
      </w:pPr>
    </w:p>
    <w:p>
      <w:pPr>
        <w:ind w:right="20" w:firstLine="374"/>
        <w:spacing w:after="0" w:line="244" w:lineRule="auto"/>
        <w:rPr>
          <w:sz w:val="20"/>
          <w:szCs w:val="20"/>
          <w:color w:val="auto"/>
        </w:rPr>
      </w:pPr>
      <w:r>
        <w:rPr>
          <w:rFonts w:ascii="Times New Roman" w:cs="Times New Roman" w:eastAsia="Times New Roman" w:hAnsi="Times New Roman"/>
          <w:sz w:val="18"/>
          <w:szCs w:val="18"/>
          <w:color w:val="auto"/>
        </w:rPr>
        <w:t>In 2024, we completed a 500-eye prospective, randomized, controlled multi-center Post Approval Study (“PAS”), which was a requirement of our Premarket Approval (“PMA”) approval. As of February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2025, the PAS was accepted by the FDA and they stated that “we fulfilled our Post Approval Study requirements.” The PAS subjects were randomized in a 2:1 ratio to receive either the LAL or a monofocal IOL. Study subjects were followed for six months. The study compared effectiveness and safety of the LAL and a monofocal IOL. 335 eyes were implanted with the LAL and 165 eyes with a monofocal control IOL. Both safety endpoints were met. Regarding effectiveness, the monocular uncorrected distance visual acuity was 20/25 or better in 82.5% of LAL eyes compared to 50.6% of control eyes. The study found that the odds of achieving manifest refraction cylinder of 0.50 D or less were more than 20 times greater for the LAL group than the control group at six months.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Our commercial efforts are designed to create a “razor and razor blade” business model by building a sizable LDD installed base to drive ongoing growth in LAL procedure volumes. LDD sales personnel are responsible for establishing relationships with doctors and securing new customers. New customer contracts typically include sale of the LDD between approximately $130,000 - $145,000, sale of LALs for approximately $1,000 each and an LAL consignment agreement. Once the LDD is installed, our clinical specialists work closely with the practice’s doctors, technicians and staff members to ensure that they are fully trained, proficient LAL providers. Our LAL account managers oversee this process and engage with practices on an ongoing basis to assist with patient awareness and education programs, development of efficient patient flow processes and other initiatives. To achieve broad awareness of the RxSight system among cataract surgeons, we also conduct various marketing programs, including promotions at industry and society conferences, podium presentations, social media, and educational webinars focused on the differentiated benefits of our RxSight system.</w:t>
      </w:r>
    </w:p>
    <w:p>
      <w:pPr>
        <w:spacing w:after="0" w:line="81" w:lineRule="exact"/>
        <w:rPr>
          <w:sz w:val="20"/>
          <w:szCs w:val="20"/>
          <w:color w:val="auto"/>
        </w:rPr>
      </w:pPr>
    </w:p>
    <w:p>
      <w:pPr>
        <w:ind w:right="340" w:firstLine="374"/>
        <w:spacing w:after="0" w:line="281" w:lineRule="auto"/>
        <w:rPr>
          <w:sz w:val="20"/>
          <w:szCs w:val="20"/>
          <w:color w:val="auto"/>
        </w:rPr>
      </w:pPr>
      <w:r>
        <w:rPr>
          <w:rFonts w:ascii="Times New Roman" w:cs="Times New Roman" w:eastAsia="Times New Roman" w:hAnsi="Times New Roman"/>
          <w:sz w:val="18"/>
          <w:szCs w:val="18"/>
          <w:color w:val="auto"/>
        </w:rPr>
        <w:t>Our RxSight system has regulatory approval in the U.S., Europe, Canada, Mexico and Korea. Beyond these, we have begun sales in select foreign jurisdictions where permitted.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Our research and development activities are focused on programs that improve clinical outcomes, improve customer experience, expand our indications for use, reduce manufacturing costs and lifecycle management. Since our initial FDA approval in November 2017 through December 31, 2024, we have received approximately 40 supplemental approvals that advance these objectives.</w:t>
      </w:r>
    </w:p>
    <w:p>
      <w:pPr>
        <w:spacing w:after="0" w:line="110" w:lineRule="exact"/>
        <w:rPr>
          <w:sz w:val="20"/>
          <w:szCs w:val="20"/>
          <w:color w:val="auto"/>
        </w:rPr>
      </w:pPr>
    </w:p>
    <w:p>
      <w:pPr>
        <w:ind w:right="340" w:firstLine="374"/>
        <w:spacing w:after="0" w:line="265" w:lineRule="auto"/>
        <w:rPr>
          <w:sz w:val="20"/>
          <w:szCs w:val="20"/>
          <w:color w:val="auto"/>
        </w:rPr>
      </w:pPr>
      <w:r>
        <w:rPr>
          <w:rFonts w:ascii="Times New Roman" w:cs="Times New Roman" w:eastAsia="Times New Roman" w:hAnsi="Times New Roman"/>
          <w:sz w:val="18"/>
          <w:szCs w:val="18"/>
          <w:color w:val="auto"/>
        </w:rPr>
        <w:t>In January 2023, the FDA approved our PMA supplement for our compact LDD with various modifications and it was approved in Canada in September 2024 and in Korea in February 2025. Research and development expenses were $34.4 million, $29.1 million and $26.0 million for the years ended December 31, 2024, 2023 and 2022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48" w:lineRule="exact"/>
        <w:rPr>
          <w:sz w:val="20"/>
          <w:szCs w:val="20"/>
          <w:color w:val="auto"/>
        </w:rPr>
      </w:pPr>
    </w:p>
    <w:p>
      <w:pPr>
        <w:ind w:right="200" w:firstLine="374"/>
        <w:spacing w:after="0" w:line="260" w:lineRule="auto"/>
        <w:rPr>
          <w:sz w:val="20"/>
          <w:szCs w:val="20"/>
          <w:color w:val="auto"/>
        </w:rPr>
      </w:pPr>
      <w:r>
        <w:rPr>
          <w:rFonts w:ascii="Times New Roman" w:cs="Times New Roman" w:eastAsia="Times New Roman" w:hAnsi="Times New Roman"/>
          <w:sz w:val="18"/>
          <w:szCs w:val="18"/>
          <w:color w:val="auto"/>
        </w:rPr>
        <w:t>We currently manufacture, assemble, test, and ship our LAL and LDD in Aliso Viejo, California at our campus of four facilities which consist of an aggregate of approximately 150,000 total square feet. We have intentionally pursued a vertically integrated manufacturing strategy offering critical advantages, including control over our product quality and rapid product iteration using strong R&amp;D and quality groups. We believe our current manufacturing capacity is sufficient to meet our current expected demand for at least the next 12 months.</w:t>
      </w:r>
    </w:p>
    <w:p>
      <w:pPr>
        <w:spacing w:after="0" w:line="114"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are registered with the FDA as a medical device manufacturer and are licensed by the State of California to manufacture and distribute our medical devices. We are required to manufacture our products in compliance with the FDA’s Quality System Regulation (“QSR”) (21 CFR 820). The FDA enforces the QSR through periodic inspections and may also inspect the facilities of our suppliers. All of our current Aliso Viejo, California facilities have been registered with the FDA, the State of California, and the European Notified Body (British Standards Institution) for the manufacture and distribution of medical devices.</w:t>
      </w:r>
    </w:p>
    <w:p>
      <w:pPr>
        <w:spacing w:after="0" w:line="115" w:lineRule="exact"/>
        <w:rPr>
          <w:sz w:val="20"/>
          <w:szCs w:val="20"/>
          <w:color w:val="auto"/>
        </w:rPr>
      </w:pPr>
    </w:p>
    <w:p>
      <w:pPr>
        <w:ind w:right="780" w:firstLine="374"/>
        <w:spacing w:after="0" w:line="281" w:lineRule="auto"/>
        <w:rPr>
          <w:sz w:val="20"/>
          <w:szCs w:val="20"/>
          <w:color w:val="auto"/>
        </w:rPr>
      </w:pPr>
      <w:r>
        <w:rPr>
          <w:rFonts w:ascii="Times New Roman" w:cs="Times New Roman" w:eastAsia="Times New Roman" w:hAnsi="Times New Roman"/>
          <w:sz w:val="18"/>
          <w:szCs w:val="18"/>
          <w:color w:val="auto"/>
        </w:rPr>
        <w:t>We have received International Organization for Standardization (“ISO”) 13485:2016 certification for our quality management system. ISO certification generally includes recertification audits every third year, scheduled annual surveillance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2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audits and periodic unannounced audits. We have also received quality system certification to the Medical Device Single Audit Program (“MDSAP”) to cover the jurisdictions of United States, Canada, Brazil, Japan, and Australia from the British Standards Institution. The MDSAP certification follows the ISO 13485:2016 certification schedule. The most recent recertification and surveillance audit was conducted in July 2022.</w:t>
      </w:r>
    </w:p>
    <w:p>
      <w:pPr>
        <w:spacing w:after="0" w:line="96"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The LAL is a silicone intraocular lens made from a proprietary blend of custom chemical components. Chemical component vendors produce the raw materials, which we inspect, blend, further purify, and process, and formulate into uncured silicone blend. Using this uncured silicone, we mold the lens in one of our two Class 7 clean rooms. After curing, the molded lens is inspected and packaged and then sent to a third-party ethylene oxide sterilization vendor. After sterilization, the lens is returned to us for final inspection, packaging, and shipment to customers.</w:t>
      </w:r>
    </w:p>
    <w:p>
      <w:pPr>
        <w:spacing w:after="0" w:line="11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Our LDD is a UV projector medical device, which consists of an anterior segment biomicroscope, computer controllers for performing light treatments, and a biometrically designed patient interface and table. The optics are bonded into their mounts using epoxies, which are then oven cured, assembled into the main optical housing and optimized on a proprietary precision alignment station. The completed optical head is integrated into the table, along with a computer, power supplies and other electro-mechanical parts. We outsource the cables and circuit boards used in the LDD to certified specialty contract manufacturers. The fully assembled LDD is put through an electrical safety and final acceptance test process, and then reviewed by quality control, packaged and shipped directly to our customers for installation.</w:t>
      </w:r>
    </w:p>
    <w:p>
      <w:pPr>
        <w:spacing w:after="0" w:line="118" w:lineRule="exact"/>
        <w:rPr>
          <w:sz w:val="20"/>
          <w:szCs w:val="20"/>
          <w:color w:val="auto"/>
        </w:rPr>
      </w:pPr>
    </w:p>
    <w:p>
      <w:pPr>
        <w:ind w:right="60" w:firstLine="374"/>
        <w:spacing w:after="0" w:line="252" w:lineRule="auto"/>
        <w:rPr>
          <w:sz w:val="20"/>
          <w:szCs w:val="20"/>
          <w:color w:val="auto"/>
        </w:rPr>
      </w:pPr>
      <w:r>
        <w:rPr>
          <w:rFonts w:ascii="Times New Roman" w:cs="Times New Roman" w:eastAsia="Times New Roman" w:hAnsi="Times New Roman"/>
          <w:sz w:val="18"/>
          <w:szCs w:val="18"/>
          <w:color w:val="auto"/>
        </w:rPr>
        <w:t>We use a combination of internally manufactured and externally sourced components to produce the LAL and LDD. We rely on third parties, including single and sole source suppliers, to manufacture certain components and subcomponents of our products that include off-the-shelf chemical, materials, microchips integrated into printed circuit boards and cables, sub-assemblies, and custom parts that are provided by qualified and approved suppliers. We also employ a third-party sterilization vendor.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w:t>
      </w:r>
    </w:p>
    <w:p>
      <w:pPr>
        <w:spacing w:after="0" w:line="109"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Our suppliers are evaluated, qualified, and approved as part of our supplier quality program, which includes verification and monitoring procedures to ensure that our suppliers comply with FDA and ISO standards, as well as our own specifications and requirements. We inspect and verify externally sourced components under strict processes supported by internal policies and procedures. We maintain a rigorous change control policy to assure that no product or process changes are implemented without our prior review and approval.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reimbursement and patient billing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Dual aspect payment model</w:t>
      </w:r>
    </w:p>
    <w:p>
      <w:pPr>
        <w:spacing w:after="0" w:line="16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the United States, the CMS has determined that the additional refractive correction provided by astigmatism correcting and presbyopia correcting (premium) IOLs is not a covered benefit. As described in two CMS rulings (CMS 05-01 and CMS 1536-R), premium IOLs have both a covered and non-covered aspect, providing the framework for the “dual-aspect payment model.” In effect since 2005, this model means that CMS does not reimburse the physician or the facility for the additional costs associated with a premium IOL, while still covering the cost of the conventional IOL procedure. Instead, the patient selecting a premium IOL is responsible for the additional charges from the physician and from the facility that exceed the regular charges for insertion of a conventional IOL that are submitted to CMS by each of these providers. As of 2017, CMS has recognized the LAL as an astigmatism correcting (premium) IOL, making it eligible for the dual aspect payment model. Most commercial payers mirror the Medicare rulings, but this can vary by payor.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 w:name="page17"/>
    <w:bookmarkEnd w:id="16"/>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Procedure coding and payment</w:t>
      </w:r>
    </w:p>
    <w:p>
      <w:pPr>
        <w:spacing w:after="0" w:line="148" w:lineRule="exact"/>
        <w:rPr>
          <w:sz w:val="20"/>
          <w:szCs w:val="20"/>
          <w:color w:val="auto"/>
        </w:rPr>
      </w:pPr>
    </w:p>
    <w:p>
      <w:pPr>
        <w:jc w:val="both"/>
        <w:ind w:right="240" w:firstLine="374"/>
        <w:spacing w:after="0" w:line="265" w:lineRule="auto"/>
        <w:rPr>
          <w:sz w:val="20"/>
          <w:szCs w:val="20"/>
          <w:color w:val="auto"/>
        </w:rPr>
      </w:pPr>
      <w:r>
        <w:rPr>
          <w:rFonts w:ascii="Times New Roman" w:cs="Times New Roman" w:eastAsia="Times New Roman" w:hAnsi="Times New Roman"/>
          <w:sz w:val="18"/>
          <w:szCs w:val="18"/>
          <w:color w:val="auto"/>
        </w:rPr>
        <w:t>In the United States, we primarily sell our LAL products to ambulatory surgical centers (“ASCs”) and occasionally to hospitals. These customers in turn bill various third-party payors, such as commercial payors and state and government payors, as well as patients and doctors directly for the services provided to each patient.</w:t>
      </w:r>
    </w:p>
    <w:p>
      <w:pPr>
        <w:spacing w:after="0" w:line="110"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Third-party payors require physicians and hospitals to identify the service for which they are seeking reimbursement by using Current Procedural Terminology, or CPT, codes, which are created and maintained by the American Medical Association, or AMA. For cataract surgery, the most common specific CPT codes are 66984 (Cataract surgery with IOL, on stage) and 66982 (Cataract surgery, complex). The facility fees associated with these codes include payment for a conventional IOL of up to $150. A specific HCPCS code is listed on the CMS claim by the facility to indicate use of premium IOL for tracking purposes only (V2787 or V2788 for astigmatism-correcting or presbyopia-correction function of IOL, respectively). Similarly, the physician includes HCPCS code A9270 (non-covered item or service) on their claim to Medicare (or another third party) to indicate charges for extended care related to the correction of refractive error.</w:t>
      </w:r>
    </w:p>
    <w:p>
      <w:pPr>
        <w:spacing w:after="0" w:line="119"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While an Advanced Beneficiary Notice (“ABN”) or Notice of Exclusion from Medicare Benefits (“NEMB”) is not required, most providers issue an ABN or NEMB to alert patients that CMS (or non-Medicare payers) do not cover the additional charges associated with a premium IOL and to get the patient’s agreement to pay these charges. Patients are then billed directly by the physician and the ASC for these charges. In some cases, the physician bills the patient exclusively and then reimburses the ASC for the additional cost of the premium IOL.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payor and government program coverage</w:t>
      </w:r>
    </w:p>
    <w:p>
      <w:pPr>
        <w:spacing w:after="0" w:line="161"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While the dual aspect payment model has been in use for over 15 years, the extent to which this model will be used by non-government third-party payors, such as commercial insurance, and managed healthcare organizations may vary. One third-party payor’s decision does not ensure that other payors will also follow this model. As a result, the coverage determination process can require manufacturers to provide additional support for the use of a product to each payor separately. This can be a time-consuming process, with no assurance that the dual aspect model will be applied consistently.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outside of the United States</w:t>
      </w:r>
    </w:p>
    <w:p>
      <w:pPr>
        <w:spacing w:after="0" w:line="148"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also vary significantly by country, and many countries have instituted price ceilings on specific products and therapies. In many countries, analogous determinations to the dual aspect CMS ruling have been made, allowing for partial coverage of the cataract procedure by national health systems, with patients paying out of pocket for refractive services associated with the premium IOL. In other countries, such dual billing is not allowed, forcing patients to pay for the entire cost of the cataract surgery and IOL when a premium IOL is used. In such markets, it may be possible for doctors to charge separately for the cost of light treatments, which are not part of the cataract procedure. This method would require a different billing methodology by us than is currently used in the United States, where light treatments are included with the purchase of the LAL. There is no assurance that these methodologies will be allowed or that an adequate level of payment will be established, or that the third-party payors’ reimbursement policies will not adversely affect the ability for manufacturers to sell products profitably.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License Agreements and Other Material Agreements</w:t>
      </w:r>
    </w:p>
    <w:p>
      <w:pPr>
        <w:spacing w:after="0" w:line="12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obtain, maintain, protect, and enforce our intellectual property rights, including our patent rights, preserve the confidentiality of our trade secrets, operate without infringing, misappropriating or otherwise violating the intellectual property rights of others and prevent others from infringing, misappropriating or otherwise violating our intellectual property rights. We rely on a combination of patent, trademark, trade secret, copyright and other intellectual property rights and measures to protect the products and technology that we consider important to our business. We also rely on know-how and continuing technological innovation to develop and maintain our competitive position.</w:t>
      </w:r>
    </w:p>
    <w:p>
      <w:pPr>
        <w:spacing w:after="0" w:line="115"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Our policy is to seek to protect our proprietary position by, among other methods, pursuing and obtaining patent protection in the United States and in jurisdictions outside of the United States related to our technology, inventions, improvements and products that are important to the development and implementation of our business. Our patent portfolio covers various aspects of our LDD, LAL and related devices and methods.</w:t>
      </w:r>
    </w:p>
    <w:p>
      <w:pPr>
        <w:spacing w:after="0" w:line="96"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Generally, in the United States, issued patents are granted a term of 20 years from the earliest claimed non-provisional or Patent Cooperation Treaty (“PCT”) filing date. In certain instances, a patent term can be adjusted to recapture a portion of delay by the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2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U.S. Patent and Trademark Office (“USPTO”), in examining the patent application (patent term adjustment, or PTA) or extended to account for term effectively lost as a result of the FDA regulatory review period (patent term extension, or PTE), or both. Additionally, a patent term may be shortened if a patent is terminally disclaimed over an earlier filed patent. However, the life of the patent, and the protection it affords, is limited. In addition, we cannot provide any assurance that any patents will be issued from our pending or future applications or that any issued patents will adequately protect our current and future products. We also cannot predict the breadth of claims that may be allowed or enforced in our owned or in-licensed patents or whether such claims, if issued, will cover our products, provide sufficient protection from competitors or otherwise provide any competitive advantage. Any issued patents that we may own or in-license in the future may be challenged, invalidated, narrowed, held unenforceable, infringed or circumvented.</w:t>
      </w:r>
    </w:p>
    <w:p>
      <w:pPr>
        <w:spacing w:after="0" w:line="106"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2024, our patent estate is directed to various aspects of our programs and technology, including our LAL and our LDD as well as lens adjustment procedure and other technology. The U.S. and foreign patents issued or pending are estimated to expire from 2025 to 2044, without taking into account any possible patent term adjustments or extensions and assuming payment of all appropriate maintenance, renewal, annuity, and other governmental fees. Further details on certain segments of our patent portfolio, including our owned and exclusively in-licensed issued patents and patent applications, are included below.</w:t>
      </w:r>
    </w:p>
    <w:p>
      <w:pPr>
        <w:spacing w:after="0" w:line="115" w:lineRule="exact"/>
        <w:rPr>
          <w:sz w:val="20"/>
          <w:szCs w:val="20"/>
          <w:color w:val="auto"/>
        </w:rPr>
      </w:pPr>
    </w:p>
    <w:p>
      <w:pPr>
        <w:ind w:left="900" w:right="40" w:hanging="518"/>
        <w:spacing w:after="0" w:line="312"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LAL: Some of the patents directed to our current LAL include, for example, U.S. Pat. No. 10,470,874, which is estimated to expire in 2026, U.S. Pat. No. 10,874,505, which is estimated to expire in 2033, and U.S. Pat. No. 11,266,495, which is estimated to expire in 2039.</w:t>
      </w:r>
    </w:p>
    <w:p>
      <w:pPr>
        <w:spacing w:after="0" w:line="71" w:lineRule="exact"/>
        <w:rPr>
          <w:rFonts w:ascii="Times New Roman" w:cs="Times New Roman" w:eastAsia="Times New Roman" w:hAnsi="Times New Roman"/>
          <w:sz w:val="17"/>
          <w:szCs w:val="17"/>
          <w:color w:val="auto"/>
        </w:rPr>
      </w:pPr>
    </w:p>
    <w:p>
      <w:pPr>
        <w:ind w:left="900" w:right="160" w:hanging="518"/>
        <w:spacing w:after="0" w:line="28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LDD: Some of the patents directed to our LDD include, for example, U.S. Pat. No. 10,864,075, which is estimated to expire in 2038, and U.S. Pat. No. 10,932,864, which is estimated to expire in 2039.</w:t>
      </w:r>
    </w:p>
    <w:p>
      <w:pPr>
        <w:spacing w:after="0" w:line="81" w:lineRule="exact"/>
        <w:rPr>
          <w:rFonts w:ascii="Times New Roman" w:cs="Times New Roman" w:eastAsia="Times New Roman" w:hAnsi="Times New Roman"/>
          <w:sz w:val="18"/>
          <w:szCs w:val="18"/>
          <w:color w:val="auto"/>
        </w:rPr>
      </w:pPr>
    </w:p>
    <w:p>
      <w:pPr>
        <w:ind w:left="900" w:right="140" w:hanging="518"/>
        <w:spacing w:after="0" w:line="28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lens adjustment procedure: Some of the patents directed to our lens adjustment procedure include, for example, U.S. Pat. No. 10,166,731, which is estimated to expire in 2036.</w:t>
      </w:r>
    </w:p>
    <w:p>
      <w:pPr>
        <w:spacing w:after="0" w:line="95" w:lineRule="exact"/>
        <w:rPr>
          <w:rFonts w:ascii="Times New Roman" w:cs="Times New Roman" w:eastAsia="Times New Roman" w:hAnsi="Times New Roman"/>
          <w:sz w:val="18"/>
          <w:szCs w:val="18"/>
          <w:color w:val="auto"/>
        </w:rPr>
      </w:pPr>
    </w:p>
    <w:p>
      <w:pPr>
        <w:ind w:left="900" w:right="20" w:hanging="518"/>
        <w:spacing w:after="0" w:line="28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RxSight system accessories: A patent directed to our RxSight system accessories includes, for example, U.S. Pat. No. 11,083,568, which is estimated to expire in 2037.</w:t>
      </w:r>
    </w:p>
    <w:p>
      <w:pPr>
        <w:spacing w:after="0" w:line="95"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Pursuant to the agreement with QAD, Inc. (“QAD”) dated October 29, 2015 (the “QAD Agreement”), we received a nonexclusive, non-transferable, perpetual license to use certain QAD software at the physical location where we install the software. Under the agreement, we purchase such QAD software through individual orders (“Purchase Orders”), and each Purchase Order has a respective payment fee and maintenance fee. We use the software licensed under the QAD agreement for inventory, shipping, receiving, sales order, work order, planning and financial transactions for the business. Maintenance for the software is offered by QAD and available for purchase by us on an annual basis, and such purchase was compulsory for the first year of the agreement. After the first year, maintenance purchased under the agreement automatically renews for successive one-year periods unless terminated by us or QAD 60 days prior to the effective date of any renewal term. Further, we grant QAD audit rights to verify our usage of QAD software, and if following such audit our use of the QAD software is in excess of our license, we are obligated to pay to QAD the amounts necessary to become compliant. QAD provides limited warranties to the software and retains all intellectual property ownership rights in the QAD software including any modifications made by us, however we receive a license to use any modifications made by us. Unless earlier terminated, the term of the QAD agreement is perpetual. Both parties have the right to terminate the agreement for convenience by giving the other party 90 days prior written notice and such termination does not affect the license granted. Either party to the agreement may terminate the agreement with notice, if the other materially breaches the agreement, and the breach is not cured within specified time periods. In addition, either party may terminate if the other party is adjudicated bankrupt or an official is appointed to manage its financial affairs. Upon termination for cause, we must immediately discontinue all use of the software.</w:t>
      </w:r>
    </w:p>
    <w:p>
      <w:pPr>
        <w:spacing w:after="0" w:line="113"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We believe that we have certain know-how and trade secrets relating to our technology and current and future products. We rely on trade secrets to protect certain aspects of our technology related to our current and future products. However, trade secrets and know-how can be difficult to protect. We seek to protect our trade secrets and know-how, in part, by entering into confidentiality agreements with our employees, consultants, scientific advisors, service providers, and contractors but these agreements may not provide meaningful protection, and we cannot guarantee that we have executed such agreements with all applicable counterparties. These agreements may also be breached, and we may not have an adequate remedy for any such breach. We also seek to preserve the integrity and confidentiality of our data and trade secrets by maintaining physical security of our premises and physical and electronic security of our information technology systems. Although we take steps to protect our trade secrets and know-how, third parties may independently develop or otherwise gain access to our trade secrets and know-how.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24"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For more information regarding risks related to our intellectual property, please see “Risk Factors-Risks related to Intellectual Property” in Part I, Item 1A of this Annual Report.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right="80" w:firstLine="374"/>
        <w:spacing w:after="0" w:line="265" w:lineRule="auto"/>
        <w:rPr>
          <w:sz w:val="20"/>
          <w:szCs w:val="20"/>
          <w:color w:val="auto"/>
        </w:rPr>
      </w:pPr>
      <w:r>
        <w:rPr>
          <w:rFonts w:ascii="Times New Roman" w:cs="Times New Roman" w:eastAsia="Times New Roman" w:hAnsi="Times New Roman"/>
          <w:sz w:val="18"/>
          <w:szCs w:val="18"/>
          <w:color w:val="auto"/>
        </w:rPr>
        <w:t>Competition in the surgical ophthalmology market is intense and is primarily driven by technological innovation and the regulatory approval required to commercialize products in the key markets around the world. The development of new or improved products may make existing products less attractive, reduce them to commodity status or even make them obsolete. We believe the principal competitive factors in our markets include:</w:t>
      </w:r>
    </w:p>
    <w:p>
      <w:pPr>
        <w:spacing w:after="0" w:line="110" w:lineRule="exact"/>
        <w:rPr>
          <w:sz w:val="20"/>
          <w:szCs w:val="20"/>
          <w:color w:val="auto"/>
        </w:rPr>
      </w:pPr>
    </w:p>
    <w:p>
      <w:pPr>
        <w:ind w:left="900" w:hanging="51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patient outcomes, oftentimes measured by visual acuity, and adverse event rates;</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experience, including patient recovery time and level of discomfort;</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treating doctors and referral sources;</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doctor learning curves and willingness to adopt new technologies;</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ease-of-use and reliability;</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benefits and cost savings;</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clinical evidence;</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distribution and marketing to surgeons and potential patients; and</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price and qualification for coverage and reimbursement.</w:t>
      </w:r>
    </w:p>
    <w:p>
      <w:pPr>
        <w:spacing w:after="0" w:line="157"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From a commercial perspective, we believe our primary competitors in the cataract U.S. IOL market are premium IOL providers, including Alcon and Johnson &amp; Johnson. According to Market Scope, the global cataract IOL market is highly concentrated, with these top two players accounting for approximately 75% of the total U.S. premium cataract surgery market and approximately 60% of the global manufacturer market revenue. Our competitors are significantly larger than us with greater financial, marketing, sales and personnel resources, greater brand recognition and longer operating histories. We believe our ability to compete effectively will be dependent on our ability to build the commercial infrastructure necessary to effectively and cost-efficiently drive awareness of the unique value of our RxSight system.</w:t>
      </w:r>
    </w:p>
    <w:p>
      <w:pPr>
        <w:spacing w:after="0" w:line="118" w:lineRule="exact"/>
        <w:rPr>
          <w:sz w:val="20"/>
          <w:szCs w:val="20"/>
          <w:color w:val="auto"/>
        </w:rPr>
      </w:pPr>
    </w:p>
    <w:p>
      <w:pPr>
        <w:ind w:right="140" w:firstLine="374"/>
        <w:spacing w:after="0" w:line="288" w:lineRule="auto"/>
        <w:rPr>
          <w:sz w:val="20"/>
          <w:szCs w:val="20"/>
          <w:color w:val="auto"/>
        </w:rPr>
      </w:pPr>
      <w:r>
        <w:rPr>
          <w:rFonts w:ascii="Times New Roman" w:cs="Times New Roman" w:eastAsia="Times New Roman" w:hAnsi="Times New Roman"/>
          <w:sz w:val="17"/>
          <w:szCs w:val="17"/>
          <w:color w:val="auto"/>
        </w:rPr>
        <w:t>In addition, patients who receive an LAL will be required to wear UV protective glasses until final lock-in which is approximately 4-5 weeks after surgery. They will also be required to return for an additional two to three clinic visits compared to traditional cataract surgery. The additional clinic visits are non-surgical but do require the patient’s eyes to be dilated. Due to these additional requirements, market acceptance of the LAL may be impacted.</w:t>
      </w:r>
    </w:p>
    <w:p>
      <w:pPr>
        <w:spacing w:after="0" w:line="78" w:lineRule="exact"/>
        <w:rPr>
          <w:sz w:val="20"/>
          <w:szCs w:val="20"/>
          <w:color w:val="auto"/>
        </w:rPr>
      </w:pPr>
    </w:p>
    <w:p>
      <w:pPr>
        <w:ind w:right="40" w:firstLine="374"/>
        <w:spacing w:after="0" w:line="274" w:lineRule="auto"/>
        <w:rPr>
          <w:sz w:val="20"/>
          <w:szCs w:val="20"/>
          <w:color w:val="auto"/>
        </w:rPr>
      </w:pPr>
      <w:r>
        <w:rPr>
          <w:rFonts w:ascii="Times New Roman" w:cs="Times New Roman" w:eastAsia="Times New Roman" w:hAnsi="Times New Roman"/>
          <w:sz w:val="17"/>
          <w:szCs w:val="17"/>
          <w:color w:val="auto"/>
        </w:rPr>
        <w:t>The most popular premium IOLs families approved for cataract treatment are toric and multifocal Acrysof and Tecnis IOL models. According to the Market Scope 2024 Premium Report Alcon and Johnson &amp; Johnson are two of the top IOL manufacturers, with an estimated 2024 revenue share of the world-wide premium IOL market of approximately 44%, 24%, and 7% respectively. The Acrysof and Tecnis families of IOLs are available in a monofocal Toric, multifocal Toric and EDOF Toric versions. The PC and Toric versions of these lenses represented over half of all premium multifocal IOLs sold in 2024. The rest of the market is shared between several smaller companies each with under 5% market share. From a technology perspective, we believe the LAL competes with nearly all of the existing IOLs, including conventional, premium astigmatism correcting and premium presbyopia correcting lenses.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Our products and operations are subject to extensive and ongoing regulation by the FDA under the Federal Food, Drug, and Cosmetic Act, (the “FDCA”) and its implementing regulations, as well as other federal, state and local regulatory authorities in the United States, as well as foreign regulatory authorities. The FDA regulates, among other things, product design and development, pre-clinical and clinical testing, manufacturing, packaging, labeling, storage, record keeping and reporting, clearance or approval, marketing, distribution, promotion, import and export, and post-marketing surveillance in the United States to assure the safety and effectiveness of medical products for their intended use.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medical devices</w:t>
      </w:r>
    </w:p>
    <w:p>
      <w:pPr>
        <w:spacing w:after="0" w:line="121"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Unless an exemption applies, each new or significantly modified medical device we seek to commercially distribute in the United States will require either a premarket notification to the FDA requesting permission for commercial distribution under Section 510(k) of the FDCA, also referred to as a 510(k) clearance, or approval from the FDA of a PMA application. Both the 510(k) clearance and PMA processes can be resource intensive, expensive, and lengthy, and require payment of significant user fees, unless an exemption is available.</w:t>
      </w:r>
    </w:p>
    <w:p>
      <w:pPr>
        <w:spacing w:after="0" w:line="101"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FDA classifies medical devices into one of three classes – Class I, Class II or Class III – depending on the degree of risk associated with each medical device and the extent of control needed to provide reasonable assurances with respect to safety and effectiveness.</w:t>
      </w:r>
    </w:p>
    <w:p>
      <w:pPr>
        <w:spacing w:after="0" w:line="95"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Class I devices are those for which safety and effectiveness can be reasonably assured by adherence to the FDA’s general controls for medical devices, which include compliance with the applicable portions of FDA’s current good manufacturing practices for devices, as reflected in of the Quality System Regulation, or QSR, establishment registration and device listing, reporting of adverse events and malfunctions, and appropriate, truthful and non-misleading labeling and promotional materials. Some Class I devices, also called Class I reserved devices, also require premarket clearance by the FDA through the 510(k) premarket notification process described below. Most Class I products are exempt from the premarket notification requirements.</w:t>
      </w:r>
    </w:p>
    <w:p>
      <w:pPr>
        <w:spacing w:after="0" w:line="115" w:lineRule="exact"/>
        <w:rPr>
          <w:sz w:val="20"/>
          <w:szCs w:val="20"/>
          <w:color w:val="auto"/>
        </w:rPr>
      </w:pPr>
    </w:p>
    <w:p>
      <w:pPr>
        <w:ind w:right="260" w:firstLine="374"/>
        <w:spacing w:after="0" w:line="260" w:lineRule="auto"/>
        <w:rPr>
          <w:sz w:val="20"/>
          <w:szCs w:val="20"/>
          <w:color w:val="auto"/>
        </w:rPr>
      </w:pPr>
      <w:r>
        <w:rPr>
          <w:rFonts w:ascii="Times New Roman" w:cs="Times New Roman" w:eastAsia="Times New Roman" w:hAnsi="Times New Roman"/>
          <w:sz w:val="18"/>
          <w:szCs w:val="18"/>
          <w:color w:val="auto"/>
        </w:rPr>
        <w:t>Class II devices are those that are subject to the FDA’s general controls and any other special controls deemed necessary by the FDA to ensure the safety and effectiveness of the device. These special controls can include performance standards, patient registries, product-specific FDA guidance documents, special labeling requirements and post-market surveillance. Most Class II devices are subject to premarket review and clearance by the FDA through the 510(k) premarket notification process.</w:t>
      </w:r>
    </w:p>
    <w:p>
      <w:pPr>
        <w:spacing w:after="0" w:line="10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or implantable devices, in addition to those deemed novel and not substantially equivalent following the 510(k) process. Due to the level of risk associated with Class III devices, the FDA’s general controls and special controls alone are insufficient to assure their safety and effectiveness. Devices placed in Class III generally require the submission of a PMA application, demonstrating the safety and effectiveness of the device which must be approved by the FDA prior to marketing, or the receipt of a 510(k) de novo classification, which provides for the reclassification of the device into Class I or II. The PMA approval process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21"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24"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Obtaining FDA marketing authorization, de novo down-classification, or approval for medical devices is expensive and uncertain, and may take several years, and generally requires significant scientific and clinical data.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Investigational device process</w:t>
      </w:r>
    </w:p>
    <w:p>
      <w:pPr>
        <w:spacing w:after="0" w:line="121" w:lineRule="exact"/>
        <w:rPr>
          <w:sz w:val="20"/>
          <w:szCs w:val="20"/>
          <w:color w:val="auto"/>
        </w:rPr>
      </w:pPr>
    </w:p>
    <w:p>
      <w:pPr>
        <w:jc w:val="both"/>
        <w:ind w:right="140" w:firstLine="374"/>
        <w:spacing w:after="0" w:line="265" w:lineRule="auto"/>
        <w:rPr>
          <w:sz w:val="20"/>
          <w:szCs w:val="20"/>
          <w:color w:val="auto"/>
        </w:rPr>
      </w:pPr>
      <w:r>
        <w:rPr>
          <w:rFonts w:ascii="Times New Roman" w:cs="Times New Roman" w:eastAsia="Times New Roman" w:hAnsi="Times New Roman"/>
          <w:sz w:val="18"/>
          <w:szCs w:val="18"/>
          <w:color w:val="auto"/>
        </w:rPr>
        <w:t>In the United States,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IRB approval is obtained. If the device presents a “significant risk”</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human health, as defined by the FDA, the sponsor must submit an IDE application to the FDA and obtain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subjects. Generally, clinical trials for a significant risk device may begin once the IDE application is approved by the FDA and the study protocol and informed consent are approved by appropriate institutional review boards at the clinical trial sites. There can be no assurance that submission of an IDE will result in the ability to commence clinical trials, and although the FDA’s approval of an IDE allows clinical testing to go forward for a specified number of subjects, it does not bind the FDA to accept the results of the trial as sufficient to prove the product’s safety and effectiveness, even if the trial meets its intended success criteria.</w:t>
      </w:r>
    </w:p>
    <w:p>
      <w:pPr>
        <w:spacing w:after="0" w:line="122"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good clinical practice regulations for institutional review board approval and for informed consent and other human subject protections. Required records and reports are subject to inspection by the FDA.</w:t>
      </w:r>
    </w:p>
    <w:p>
      <w:pPr>
        <w:spacing w:after="0" w:line="101" w:lineRule="exact"/>
        <w:rPr>
          <w:sz w:val="20"/>
          <w:szCs w:val="20"/>
          <w:color w:val="auto"/>
        </w:rPr>
      </w:pPr>
    </w:p>
    <w:p>
      <w:pPr>
        <w:ind w:right="360" w:firstLine="374"/>
        <w:spacing w:after="0" w:line="265" w:lineRule="auto"/>
        <w:rPr>
          <w:sz w:val="20"/>
          <w:szCs w:val="20"/>
          <w:color w:val="auto"/>
        </w:rPr>
      </w:pPr>
      <w:r>
        <w:rPr>
          <w:rFonts w:ascii="Times New Roman" w:cs="Times New Roman" w:eastAsia="Times New Roman" w:hAnsi="Times New Roman"/>
          <w:sz w:val="18"/>
          <w:szCs w:val="18"/>
          <w:color w:val="auto"/>
        </w:rPr>
        <w:t>The results of clinical testing may be unfavorable, or, even if the intended safety and effectiveness success criteria are achieved, may not be considered sufficient for the FDA to grant marketing approval or clearance of a product. The commencement or completion of any clinical trial may be delayed or halted, or be inadequate to support approval of a PMA application, for numerous reasons, including, but not limited to, the following:</w:t>
      </w:r>
    </w:p>
    <w:p>
      <w:pPr>
        <w:spacing w:after="0" w:line="110" w:lineRule="exact"/>
        <w:rPr>
          <w:sz w:val="20"/>
          <w:szCs w:val="20"/>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do not approve a clinical trial protocol or a clinical trial, or place a clinical trial on hold;</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do not enroll in clinical trials at the rate expected;</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do not comply with trial protocols;</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follow-up is not at the rate expected;</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experience adverse events;</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die during a clinical trial, even though their death may not be related to the products that are part of the trial;</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malfunctions occur with unexpected frequency or potential adverse consequences;</w:t>
      </w:r>
    </w:p>
    <w:p>
      <w:pPr>
        <w:spacing w:after="0" w:line="157" w:lineRule="exact"/>
        <w:rPr>
          <w:rFonts w:ascii="Times New Roman" w:cs="Times New Roman" w:eastAsia="Times New Roman" w:hAnsi="Times New Roman"/>
          <w:sz w:val="18"/>
          <w:szCs w:val="18"/>
          <w:color w:val="auto"/>
        </w:rPr>
      </w:pPr>
    </w:p>
    <w:p>
      <w:pPr>
        <w:ind w:left="900" w:right="280" w:hanging="518"/>
        <w:spacing w:after="0" w:line="28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device malfunctions of similar products already in the market that change the FDA’s view toward approval of new or similar PMAs or result in the imposition of new requirements or testing;</w:t>
      </w:r>
    </w:p>
    <w:p>
      <w:pPr>
        <w:spacing w:after="0" w:line="8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review boards and third-party clinical investigators may delay or reject the trial protocol;</w:t>
      </w:r>
    </w:p>
    <w:p>
      <w:pPr>
        <w:spacing w:after="0" w:line="157" w:lineRule="exact"/>
        <w:rPr>
          <w:rFonts w:ascii="Times New Roman" w:cs="Times New Roman" w:eastAsia="Times New Roman" w:hAnsi="Times New Roman"/>
          <w:sz w:val="18"/>
          <w:szCs w:val="18"/>
          <w:color w:val="auto"/>
        </w:rPr>
      </w:pPr>
    </w:p>
    <w:p>
      <w:pPr>
        <w:ind w:left="900" w:right="420" w:hanging="518"/>
        <w:spacing w:after="0" w:line="26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spacing w:after="0" w:line="109"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investigators are disqualified by the FDA;</w:t>
      </w:r>
    </w:p>
    <w:p>
      <w:pPr>
        <w:spacing w:after="0" w:line="143" w:lineRule="exact"/>
        <w:rPr>
          <w:rFonts w:ascii="Times New Roman" w:cs="Times New Roman" w:eastAsia="Times New Roman" w:hAnsi="Times New Roman"/>
          <w:sz w:val="18"/>
          <w:szCs w:val="18"/>
          <w:color w:val="auto"/>
        </w:rPr>
      </w:pPr>
    </w:p>
    <w:p>
      <w:pPr>
        <w:ind w:left="900" w:right="220" w:hanging="518"/>
        <w:spacing w:after="0" w:line="26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spacing w:after="0" w:line="109" w:lineRule="exact"/>
        <w:rPr>
          <w:rFonts w:ascii="Times New Roman" w:cs="Times New Roman" w:eastAsia="Times New Roman" w:hAnsi="Times New Roman"/>
          <w:sz w:val="18"/>
          <w:szCs w:val="18"/>
          <w:color w:val="auto"/>
        </w:rPr>
      </w:pPr>
    </w:p>
    <w:p>
      <w:pPr>
        <w:ind w:left="900" w:right="560" w:hanging="518"/>
        <w:spacing w:after="0" w:line="28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have significant financial interests related to us or our study such that the FDA deems the study results unreliable, or we or investigators fail to disclose such interests;</w:t>
      </w:r>
    </w:p>
    <w:p>
      <w:pPr>
        <w:spacing w:after="0" w:line="95" w:lineRule="exact"/>
        <w:rPr>
          <w:rFonts w:ascii="Times New Roman" w:cs="Times New Roman" w:eastAsia="Times New Roman" w:hAnsi="Times New Roman"/>
          <w:sz w:val="18"/>
          <w:szCs w:val="18"/>
          <w:color w:val="auto"/>
        </w:rPr>
      </w:pPr>
    </w:p>
    <w:p>
      <w:pPr>
        <w:ind w:left="900" w:right="420" w:hanging="518"/>
        <w:spacing w:after="0" w:line="28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inspections of our clinical trials or manufacturing facilities, which may, among other things, require us to undertake corrective action or suspend or terminate our clinical trials;</w:t>
      </w:r>
    </w:p>
    <w:p>
      <w:pPr>
        <w:spacing w:after="0" w:line="8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or final results of the clinical trial are inconclusive or unfavorable as to safety or effectiveness; or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24" w:lineRule="exact"/>
        <w:rPr>
          <w:sz w:val="20"/>
          <w:szCs w:val="20"/>
          <w:color w:val="auto"/>
        </w:rPr>
      </w:pPr>
    </w:p>
    <w:p>
      <w:pPr>
        <w:ind w:left="900" w:hanging="51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concludes that our trial design is unreliable or inadequate to demonstrate safety and effectiveness.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510(k) clearance process</w:t>
      </w:r>
    </w:p>
    <w:p>
      <w:pPr>
        <w:spacing w:after="0" w:line="121" w:lineRule="exact"/>
        <w:rPr>
          <w:sz w:val="20"/>
          <w:szCs w:val="20"/>
          <w:color w:val="auto"/>
        </w:rPr>
      </w:pPr>
    </w:p>
    <w:p>
      <w:pPr>
        <w:ind w:right="740" w:firstLine="374"/>
        <w:spacing w:after="0" w:line="281" w:lineRule="auto"/>
        <w:rPr>
          <w:sz w:val="20"/>
          <w:szCs w:val="20"/>
          <w:color w:val="auto"/>
        </w:rPr>
      </w:pPr>
      <w:r>
        <w:rPr>
          <w:rFonts w:ascii="Times New Roman" w:cs="Times New Roman" w:eastAsia="Times New Roman" w:hAnsi="Times New Roman"/>
          <w:sz w:val="18"/>
          <w:szCs w:val="18"/>
          <w:color w:val="auto"/>
        </w:rPr>
        <w:t>Under the 510(k) process, the manufacturer must submit to the FDA a premarket notification, demonstrating that the device is “substantially equivalent,” as defined in the statute, to a legally marketed predicate device.</w:t>
      </w:r>
    </w:p>
    <w:p>
      <w:pPr>
        <w:spacing w:after="0" w:line="9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 predicate device is a legally marketed device that is not subject to premarket approval, i.e., a device that was legally marketed prior to May 28, 1976 (pre-amendments device) and for which a PMA is not required, a device that has been reclassified from Class III to Class II or Class I, or a device that was previously found substantially equivalent through the 510(k) process. A device is considered to be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different questions of safety or effectiveness than the predicate device. Clinical data is sometimes, but not always, required to support substantial equivalence.</w:t>
      </w:r>
    </w:p>
    <w:p>
      <w:pPr>
        <w:spacing w:after="0" w:line="11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Before the FDA will accept a 510(k) premarket notification for substantive review, the FDA will first assess whether the submission satisfies a minimum threshold of acceptability. If the FDA determines that the 510(k) submission lacks necessary information for substantive review,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If a 510(k) submission is accepted for substantive review, the Medical Device User Fee Amendments sets a performance goal of 90 days for FDA review of a 510(k) submission, but the review time can be delayed if FDA raises questions or requests additional information during the review process. As a practical matter, clearance often takes longer, and clearance is never assured. Thus, as a practical matter, clearance often takes longer than 90 days.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110"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A manufacturer can also submit a petition for direct de novo review if the manufacturer is unable to identify an appropriate predicate device and the new device or new use of the device presents a moderate or low risk.</w:t>
      </w:r>
    </w:p>
    <w:p>
      <w:pPr>
        <w:spacing w:after="0" w:line="114"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Medical devices can only be marketed for the indications for which they are cleared or approved. 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or de novo classification. The determination as to whether or not a modification constitutes such a change is initially left to the manufacturer using available FDA guidance; however, the FDA may review this determination to evaluate the regulatory status of the modified product at any time and may require the manufacturer to cease marketing and recall the modified device until new 510(k) clearance or PMA approval is obtained. If the FDA disagrees with a manufacturer’s determination regarding whether a new premarket submission is required for the modification of an existing device, the FDA can require the manufacturer to cease marketing and/or recall the modified device until 510(k) clearance or approval of a PMA application is obtained. The manufacturer may also be subject to significant regulatory fines or penalties.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PMA approval process</w:t>
      </w:r>
    </w:p>
    <w:p>
      <w:pPr>
        <w:spacing w:after="0" w:line="121"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substantive review. The FDA, by statute and by regulation,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a total of 360 days. 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24" w:lineRule="exact"/>
        <w:rPr>
          <w:sz w:val="20"/>
          <w:szCs w:val="20"/>
          <w:color w:val="auto"/>
        </w:rPr>
      </w:pPr>
    </w:p>
    <w:p>
      <w:pPr>
        <w:jc w:val="both"/>
        <w:ind w:right="900" w:firstLine="374"/>
        <w:spacing w:after="0" w:line="265" w:lineRule="auto"/>
        <w:rPr>
          <w:sz w:val="20"/>
          <w:szCs w:val="20"/>
          <w:color w:val="auto"/>
        </w:rPr>
      </w:pPr>
      <w:r>
        <w:rPr>
          <w:rFonts w:ascii="Times New Roman" w:cs="Times New Roman" w:eastAsia="Times New Roman" w:hAnsi="Times New Roman"/>
          <w:sz w:val="18"/>
          <w:szCs w:val="18"/>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96" w:lineRule="exact"/>
        <w:rPr>
          <w:sz w:val="20"/>
          <w:szCs w:val="20"/>
          <w:color w:val="auto"/>
        </w:rPr>
      </w:pPr>
    </w:p>
    <w:p>
      <w:pPr>
        <w:ind w:left="900" w:hanging="51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device may not be shown safe or effective to the FDA’s satisfaction;</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pre-clinical studies and/or clinical trials may be found unreliable or insufficient to support approval;</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may not meet applicable requirements; and</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approval policies or adoption of new regulations may require additional data.</w:t>
      </w:r>
    </w:p>
    <w:p>
      <w:pPr>
        <w:spacing w:after="0" w:line="157"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12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w:t>
      </w:r>
    </w:p>
    <w:p>
      <w:pPr>
        <w:spacing w:after="0" w:line="101"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approving a PMA application, as a condition of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require post-market surveillance for certain devices cleared under a 510(k) notification, such as implants or life-supporting or life-sustaining devices used outside a device user facility. The FDA may also approve a PMA application with other post-approval conditions intended to ensure the safety and effectiveness of the device, such as, among other things, restrictions on labeling, promotion, sale, distribution and use. Significant modifications to the manufacturing process, labeling and design for a device which has received approval through the PMA process may require submission of a new PMA application or PMA supplement prior to marketing.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regulation by the FDA</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Even after the FDA permits a device to be marketed, numerous regulatory requirements apply, including but not limited to:</w:t>
      </w:r>
    </w:p>
    <w:p>
      <w:pPr>
        <w:spacing w:after="0" w:line="157" w:lineRule="exact"/>
        <w:rPr>
          <w:sz w:val="20"/>
          <w:szCs w:val="20"/>
          <w:color w:val="auto"/>
        </w:rPr>
      </w:pPr>
    </w:p>
    <w:p>
      <w:pPr>
        <w:ind w:left="900" w:hanging="51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w:t>
      </w:r>
    </w:p>
    <w:p>
      <w:pPr>
        <w:spacing w:after="0" w:line="143" w:lineRule="exact"/>
        <w:rPr>
          <w:rFonts w:ascii="Times New Roman" w:cs="Times New Roman" w:eastAsia="Times New Roman" w:hAnsi="Times New Roman"/>
          <w:sz w:val="18"/>
          <w:szCs w:val="18"/>
          <w:color w:val="auto"/>
        </w:rPr>
      </w:pPr>
    </w:p>
    <w:p>
      <w:pPr>
        <w:ind w:left="900" w:right="120" w:hanging="518"/>
        <w:spacing w:after="0" w:line="26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QSR, or Quality Management System Regulation (“QMSR”), which goes into effect in February 2026, which requires manufacturers, including third-party manufacturers, to follow stringent design, testing, production, control, supplier/contractor selection, complaint handling, documentation, and other quality assurance procedures during the manufacturing process;</w:t>
      </w:r>
    </w:p>
    <w:p>
      <w:pPr>
        <w:spacing w:after="0" w:line="109" w:lineRule="exact"/>
        <w:rPr>
          <w:rFonts w:ascii="Times New Roman" w:cs="Times New Roman" w:eastAsia="Times New Roman" w:hAnsi="Times New Roman"/>
          <w:sz w:val="18"/>
          <w:szCs w:val="18"/>
          <w:color w:val="auto"/>
        </w:rPr>
      </w:pPr>
    </w:p>
    <w:p>
      <w:pPr>
        <w:ind w:left="900" w:hanging="518"/>
        <w:spacing w:after="0" w:line="26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advertising and promotion requirements, restrictions on sale distribution or use of a device, each including the FDA general prohibition against the promotion of products for any uses other than those authorized by the FDA, which are commonly known as “off label” uses;</w:t>
      </w:r>
    </w:p>
    <w:p>
      <w:pPr>
        <w:spacing w:after="0" w:line="109" w:lineRule="exact"/>
        <w:rPr>
          <w:rFonts w:ascii="Times New Roman" w:cs="Times New Roman" w:eastAsia="Times New Roman" w:hAnsi="Times New Roman"/>
          <w:sz w:val="18"/>
          <w:szCs w:val="18"/>
          <w:color w:val="auto"/>
        </w:rPr>
      </w:pPr>
    </w:p>
    <w:p>
      <w:pPr>
        <w:ind w:left="900" w:right="320" w:hanging="518"/>
        <w:spacing w:after="0" w:line="281"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Device Reporting (“MDR”) regulation, which requires that manufactures report to the FDA if their device may have caused or contributed to a death or serious injury or if their device malfunctioned and the device or a similar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device marketed by the manufacturer would be likely to cause or contribute to a death or serious injury if the malfunction were to recur;</w:t>
      </w:r>
    </w:p>
    <w:p>
      <w:pPr>
        <w:spacing w:after="0" w:line="144" w:lineRule="exact"/>
        <w:rPr>
          <w:sz w:val="20"/>
          <w:szCs w:val="20"/>
          <w:color w:val="auto"/>
        </w:rPr>
      </w:pPr>
    </w:p>
    <w:p>
      <w:pPr>
        <w:ind w:left="900" w:right="80" w:hanging="518"/>
        <w:spacing w:after="0" w:line="312"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medical device corrections and removal reporting regulations, which require that manufactures report to the FDA field corrections or removals if undertaken to reduce a risk to health posed by a device or to remedy a violation of the FDCA Act that may present a risk to health;</w:t>
      </w:r>
    </w:p>
    <w:p>
      <w:pPr>
        <w:spacing w:after="0" w:line="71" w:lineRule="exact"/>
        <w:rPr>
          <w:rFonts w:ascii="Times New Roman" w:cs="Times New Roman" w:eastAsia="Times New Roman" w:hAnsi="Times New Roman"/>
          <w:sz w:val="17"/>
          <w:szCs w:val="17"/>
          <w:color w:val="auto"/>
        </w:rPr>
      </w:pPr>
    </w:p>
    <w:p>
      <w:pPr>
        <w:ind w:left="900" w:right="660" w:hanging="518"/>
        <w:spacing w:after="0" w:line="28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requirements, including a mandatory recall if there is a reasonable probability that the device would cause serious adverse health consequences or death;</w:t>
      </w:r>
    </w:p>
    <w:p>
      <w:pPr>
        <w:spacing w:after="0" w:line="95"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of repair, replacement or refund;</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tracking requirements; and</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market study and surveillance requirements.</w:t>
      </w:r>
    </w:p>
    <w:p>
      <w:pPr>
        <w:spacing w:after="0" w:line="157"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After a device receives 510(k) clearance, any modification that could significantly affect its safety or effectiveness, or that would constitute a major change in its intended use, will require a new 510(k) or possibly a PMA. The FDA requires each manufacturer to make this determination initially, but the FDA can review any such decision and can disagree with a manufacturer’s determination. If the FDA disagrees with our determination not to seek a new 510(k) clearance, the FDA may retroactively require us to seek 510(k) clearance or possibly a PMA. The FDA could also require us to cease marketing and distribution and/or recall the modified device until 510(k) clearance or a PMA is obtained. Also, in these circumstances, we may be subject to significant regulatory fines and penalties.</w:t>
      </w:r>
    </w:p>
    <w:p>
      <w:pPr>
        <w:spacing w:after="0" w:line="10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Some changes to an approved PMA device, including changes in indications, labeling, or manufacturing processes or facilities, require submission and FDA approval of a new PMA application or PMA supplement, as appropriate, before the change can be implemented. Supplements to a PMA often require the submission of the same type of information required for an original PMA application, except that the supplement is generally limited to that information needed to support the proposed change from the device covered by the original PMA. The FDA uses the same procedures and actions in reviewing PMA supplements as it does in reviewing original PMA applications.</w:t>
      </w:r>
    </w:p>
    <w:p>
      <w:pPr>
        <w:spacing w:after="0" w:line="115"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FDA regulations require us to register as a medical device manufacturer with the FDA. Additionally, some states also require medical device manufacturers and/or distributors doing business within the state to register with the state or apply for a state license, which could subject our facility to state inspection as well as FDA inspection on a routine basis for compliance with the QSR and any applicable state requirements. The FDA issued a final rule in February 2024 replacing the QSR with QMSR, which incorporates by reference the quality management system requirements of ISO 13485:2016. The FDA has stated that the standards contained in ISO 13485:216 are substantially similar to those set forth in the existing QSR. The FDA will begin to enforce the QMSR requirements upon the effective date, February 2, 2026. These regulations require that we manufacture our products and maintain related documentation in a prescribed manner with respect to manufacturing, testing and control activities. Further, the FDA requires us to comply with various FDA regulations regarding labeling. Failure by us or by our suppliers to comply with applicable regulatory requirements can result in enforcement action by the FDA or state authorities, which may include any of the following sanctions:</w:t>
      </w:r>
    </w:p>
    <w:p>
      <w:pPr>
        <w:spacing w:after="0" w:line="119" w:lineRule="exact"/>
        <w:rPr>
          <w:sz w:val="20"/>
          <w:szCs w:val="20"/>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fines, injunctions, consent decrees and civil penalties;</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voluntary or mandatory recall or seizure of our products;</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processing, clearing or approving submissions or applications for new products or modifications to existing products;</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FDA approvals or clearances that have already been granted; and</w:t>
      </w:r>
    </w:p>
    <w:p>
      <w:pPr>
        <w:spacing w:after="0" w:line="15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44"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Newly discovered or developed safety or effectiveness data may require changes to a product’s labeling, including the addition of new warnings and contraindications, and also may require the implementation of other risk management measures.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2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Also, new government requirements, including those resulting from new legislation, may be established, or the FDA’s policies may change, which could delay or prevent regulatory clearance or approval of our products under development.</w:t>
      </w:r>
    </w:p>
    <w:p>
      <w:pPr>
        <w:spacing w:after="0" w:line="82" w:lineRule="exact"/>
        <w:rPr>
          <w:sz w:val="20"/>
          <w:szCs w:val="20"/>
          <w:color w:val="auto"/>
        </w:rPr>
      </w:pPr>
    </w:p>
    <w:p>
      <w:pPr>
        <w:ind w:right="40" w:firstLine="374"/>
        <w:spacing w:after="0" w:line="276" w:lineRule="auto"/>
        <w:rPr>
          <w:sz w:val="20"/>
          <w:szCs w:val="20"/>
          <w:color w:val="auto"/>
        </w:rPr>
      </w:pPr>
      <w:r>
        <w:rPr>
          <w:rFonts w:ascii="Times New Roman" w:cs="Times New Roman" w:eastAsia="Times New Roman" w:hAnsi="Times New Roman"/>
          <w:sz w:val="17"/>
          <w:szCs w:val="17"/>
          <w:color w:val="auto"/>
        </w:rPr>
        <w:t>Our facilities, records and manufacturing processes are subject to periodic unscheduled inspections by the FDA. Failure to comply with the applicable United States medical device regulatory requirements could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withdrawals or suspensions of current product clearances or approvals and criminal prosecution.</w:t>
      </w:r>
    </w:p>
    <w:p>
      <w:pPr>
        <w:spacing w:after="0" w:line="103" w:lineRule="exact"/>
        <w:rPr>
          <w:sz w:val="20"/>
          <w:szCs w:val="20"/>
          <w:color w:val="auto"/>
        </w:rPr>
      </w:pPr>
    </w:p>
    <w:p>
      <w:pPr>
        <w:ind w:right="220" w:firstLine="374"/>
        <w:spacing w:after="0" w:line="280" w:lineRule="auto"/>
        <w:rPr>
          <w:sz w:val="20"/>
          <w:szCs w:val="20"/>
          <w:color w:val="auto"/>
        </w:rPr>
      </w:pPr>
      <w:r>
        <w:rPr>
          <w:rFonts w:ascii="Times New Roman" w:cs="Times New Roman" w:eastAsia="Times New Roman" w:hAnsi="Times New Roman"/>
          <w:sz w:val="17"/>
          <w:szCs w:val="17"/>
          <w:color w:val="auto"/>
        </w:rPr>
        <w:t>When the FDA conducts an inspection, the inspectors will identify any deficiencies they believe exist in the form of a notice of inspectional observations, or Form FDA 483. If we receive a notice of inspectional observations or deficiencies from the FDA following an inspection, we would be required to respond in writing, and would be required to undertake corrective and/or preventive or other actions in order to address the FDA’s or other regulators’ concerns. Failure to address the FDA’s concerns may result in the issuance of a warning letter or other enforcement or administrative actions.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medical device premarket authorization process</w:t>
      </w:r>
    </w:p>
    <w:p>
      <w:pPr>
        <w:spacing w:after="0" w:line="121"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The European Union has adopted numerous directives and standards regulating the design, manufacture, clinical trials, labeling and adverse event reporting for medical devices. Our products are regulated in the European Union as medical devices per European Union Directive 93/42/EEC, also known as the Medical Device Directive (“MDD”). The MDD sets out the basic regulatory framework for medical devices in the European Union. The system of regulating medical devices operates by way of a certification for each medical device. Each certified device is marked with the CE mark which shows that the device has a Certificat de Conformité. There are national bodies known as Competent Authorities in each member state which oversee the implementation of the MDD within their jurisdiction. The means for achieving the requirements for the CE mark vary according to the nature of the device. Devices are classified in accordance with their perceived risks, similarly to the U.S. system. The class of a product determines the conformity assessment required before the CE mark can be placed on a product. Conformity assessments for our products are carried out as required by the MDD. Each member state can appoint Notified Bodies within its jurisdiction. If a Notified Body of a one-member state has issued a Certificat de Conformité, the device can be sold throughout the European Union without further conformance tests being required in other member states. The CE mark is contingent upon continued compliance with the applicable regulations and the quality system requirements of the ISO 13485 standard.</w:t>
      </w:r>
    </w:p>
    <w:p>
      <w:pPr>
        <w:spacing w:after="0" w:line="81"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The new European Union Medical Devices Regulation 2017/745, or EU MDR, which was published in May 2017 with a transition period of three years, replaces the MDD and will expand and modify the pre-market and post-market obligations of the MDD. The date of application of the EU MDR has been postponed to May 26, 2024 with implementation dates based off of risk classification of the medical device. Recently, the European Commission proposed legislative amendments, including amendments to extend the transition period to the new rules from May 26, 2024 to December 31, 2027 for higher risk devices and until December 31, 2028 for medium and lower risk devices. The EU MDR will impose additional requirements on clinical evaluation process, safety, classification and performance of medical device products. The EU MDR will have no impact on our current and future products as registrations to the EU MDR are in process and are scheduled for completion prior to the implementation dates. The company has passed the MDR upgrade assessment with no observations and a recommendation for certification by the European Notified Body in December 2021. In addition to inspections by the FDA and other regulatory entities, we are also subject to periodic inspections by applicable European Notified Body with respect to regulatory requirements that apply to medical devices designed and manufactured by us and clinical trials sponsored by us. We are also certified to the Medical Device Single Audit Program (“MDSAP”) for the jurisdictions of the United States, Canada, Japan, Brazil, and Australia which allows for one single audit performed by Notified Body to cover those jurisdictions with respect to quality systems. All registrations and certifications due to Great Britain leaving the European Union (Brexit) and Switzerland ending a joint agreement with the European Union (Swexit) have been done to the timelines as required for these countries and will continue to be performed to the updated timelines as published during these processes.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regulatory matters</w:t>
      </w:r>
    </w:p>
    <w:p>
      <w:pPr>
        <w:spacing w:after="0" w:line="12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Medical device companies are subject to additional healthcare regulation and enforcement by the federal government and by authorities in the states and foreign jurisdictions in which they conduct their business. Manufacturing, sales, promotion and other activities following product clearance or approval are subject to regulation by numerous regulatory authorities in the United States in addition to the FDA, including the CMS, other divisions of the Department of Health and Human Services, the Department of Justice, the Consumer Product Safety Commission, the Federal Trade Commission, the Occupational Safety &amp; Health Administration, the Environmental Protection Agency, and state and local governments. For example, in the United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States, sales, marketing and scientific and educational programs also must comply with state and federal fraud and abuse, anti-kickback false claims, transparency, government price reporting, anti-corruption, and health information privacy and security laws and regulations. Internationally, other governments also impose regulations in connection with their healthcare reimbursement programs and the delivery of healthcare items and services. These laws include the following:</w:t>
      </w:r>
    </w:p>
    <w:p>
      <w:pPr>
        <w:spacing w:after="0" w:line="114" w:lineRule="exact"/>
        <w:rPr>
          <w:sz w:val="20"/>
          <w:szCs w:val="20"/>
          <w:color w:val="auto"/>
        </w:rPr>
      </w:pPr>
    </w:p>
    <w:p>
      <w:pPr>
        <w:ind w:left="900" w:hanging="518"/>
        <w:spacing w:after="0" w:line="25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healthcare fraud and abuse laws generally apply to our activities because our products are covered under federal healthcare programs such as Medicare and Medicaid. The Anti-Kickback Statute is particularly relevant because of its broad applicability. The federal Anti-Kickback Statute makes it illegal for any person, including a prescription medical device manufacturer (or a party acting on its behalf), to knowingly and willfully solicit, receive, offer or pay any remuneration that is intended to induce or reward referrals, including the purchase, recommendation, order or prescription of a particular medical device, for which payment may be made under a federal healthcare program, such as Medicare or Medicaid. Almost any financial arrangement with a healthcare provider, patient or customer could implicate the Anti-Kickback Statute. Statutory exceptions and regulatory safe harbors protect certain arrangements if specific requirements are met. The government can exercise enforcement discretion in taking action against arrangements that do not fit within a safe harbor. Further, a person or entity does not need to have actual knowledge of the statute or specific intent to violate it. Moreover, the government may assert that a claim including items or services resulting from a violation of the federal Anti-Kickback Statute constitutes a false or fraudulent claim for purposes of the civil False Claims Act. Penalties for violations of the Anti- Kickback Statute include, but are not limited to, criminal, civil and/or administrative penalties, damages, fines, disgorgement, individual imprisonment, possible exclusion from Medicare, Medicaid and other federal healthcare programs. Our exclusion would mean that procedures using our products would no longer be eligible for reimbursement under federal healthcare programs;</w:t>
      </w:r>
    </w:p>
    <w:p>
      <w:pPr>
        <w:spacing w:after="0" w:line="112" w:lineRule="exact"/>
        <w:rPr>
          <w:rFonts w:ascii="Times New Roman" w:cs="Times New Roman" w:eastAsia="Times New Roman" w:hAnsi="Times New Roman"/>
          <w:sz w:val="18"/>
          <w:szCs w:val="18"/>
          <w:color w:val="auto"/>
        </w:rPr>
      </w:pPr>
    </w:p>
    <w:p>
      <w:pPr>
        <w:ind w:left="900" w:right="260" w:hanging="518"/>
        <w:spacing w:after="0" w:line="25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development affecting the healthcare industry is the increased use of the federal Civil False Claims Act and, in particular, actions brought pursuant to the False Claims Act’s “whistleblower” or “qui tam” provisions. In recent years, the number of suits brought against healthcare companies by private individuals has increased dramatically. The federal civil and criminal false claims acts, including the civil FCA,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119" w:lineRule="exact"/>
        <w:rPr>
          <w:rFonts w:ascii="Times New Roman" w:cs="Times New Roman" w:eastAsia="Times New Roman" w:hAnsi="Times New Roman"/>
          <w:sz w:val="18"/>
          <w:szCs w:val="18"/>
          <w:color w:val="auto"/>
        </w:rPr>
      </w:pPr>
    </w:p>
    <w:p>
      <w:pPr>
        <w:ind w:left="900" w:right="120" w:hanging="518"/>
        <w:spacing w:after="0" w:line="258"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14" w:lineRule="exact"/>
        <w:rPr>
          <w:rFonts w:ascii="Times New Roman" w:cs="Times New Roman" w:eastAsia="Times New Roman" w:hAnsi="Times New Roman"/>
          <w:sz w:val="18"/>
          <w:szCs w:val="18"/>
          <w:color w:val="auto"/>
        </w:rPr>
      </w:pPr>
    </w:p>
    <w:p>
      <w:pPr>
        <w:ind w:left="900" w:right="120" w:hanging="518"/>
        <w:spacing w:after="0" w:line="258"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 Insurance Portability and Accountability Act of 1996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with respect to safeguarding the privacy, security and transmission of individually identifiable health information;</w:t>
      </w:r>
    </w:p>
    <w:p>
      <w:pPr>
        <w:spacing w:after="0" w:line="101" w:lineRule="exact"/>
        <w:rPr>
          <w:rFonts w:ascii="Times New Roman" w:cs="Times New Roman" w:eastAsia="Times New Roman" w:hAnsi="Times New Roman"/>
          <w:sz w:val="18"/>
          <w:szCs w:val="18"/>
          <w:color w:val="auto"/>
        </w:rPr>
      </w:pPr>
    </w:p>
    <w:p>
      <w:pPr>
        <w:ind w:left="900" w:right="340" w:hanging="518"/>
        <w:spacing w:after="0" w:line="281"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95"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medical devices;</w:t>
      </w:r>
    </w:p>
    <w:p>
      <w:pPr>
        <w:spacing w:after="0" w:line="157" w:lineRule="exact"/>
        <w:rPr>
          <w:rFonts w:ascii="Times New Roman" w:cs="Times New Roman" w:eastAsia="Times New Roman" w:hAnsi="Times New Roman"/>
          <w:sz w:val="18"/>
          <w:szCs w:val="18"/>
          <w:color w:val="auto"/>
        </w:rPr>
      </w:pPr>
    </w:p>
    <w:p>
      <w:pPr>
        <w:ind w:left="900" w:right="180" w:hanging="518"/>
        <w:spacing w:after="0" w:line="25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there has been a recent trend of increased federal and state regulation of payments made to doctors. 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24" w:lineRule="exact"/>
        <w:rPr>
          <w:sz w:val="20"/>
          <w:szCs w:val="20"/>
          <w:color w:val="auto"/>
        </w:rPr>
      </w:pPr>
    </w:p>
    <w:p>
      <w:pPr>
        <w:ind w:left="900" w:right="20" w:hanging="518"/>
        <w:spacing w:after="0" w:line="25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104" w:lineRule="exact"/>
        <w:rPr>
          <w:rFonts w:ascii="Times New Roman" w:cs="Times New Roman" w:eastAsia="Times New Roman" w:hAnsi="Times New Roman"/>
          <w:sz w:val="18"/>
          <w:szCs w:val="18"/>
          <w:color w:val="auto"/>
        </w:rPr>
      </w:pPr>
    </w:p>
    <w:p>
      <w:pPr>
        <w:ind w:left="900" w:right="120" w:hanging="518"/>
        <w:spacing w:after="0" w:line="254"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certain biotechnology, pharmaceutical, and medical device companies to comply with the industry’s voluntary compliance guidelines and the relevant compliance guidance promulgated by the federal government and may require applicable manufacturers to disclose or report certain information related to payments and other transfers of value to doctors and entities or sales, marketing, pricing, clinical trials, marketing expenditures and activities,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122"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various interpretations.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individual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health care reform</w:t>
      </w:r>
    </w:p>
    <w:p>
      <w:pPr>
        <w:spacing w:after="0" w:line="121"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Changes in healthcare policy could increase our costs and subject us to additional regulatory requirements that may interrupt commercialization of our current and future solutions. Current and future legislative proposals to further reform healthcare or reduce healthcare costs may limit coverage for the procedures associated with the use of our products or result in lower reimbursement for those procedures. The cost containment measures that payers and providers are instituting and the effect of any healthcare reform initiative implemented in the future could significantly reduce our revenues from the sale of our products. Changes in healthcare policy, including changes in the implementation or the repeal of the ACA in the United States, could increase our costs, decrease our revenue and impact sales of and reimbursement and coverage for our current and future products.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held oral arguments in November 2020.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of the Biden administration will impact the ACA and our business. Other legislative changes have been proposed and adopted since the ACA was enacted, including aggregate reductions of Medicare payments to providers of 2% per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fiscal year and reduced payments to several types of Medicare providers, which will remain in effect through 2032 absent additional congressional action, with the exception of a temporary suspension from May 1, 2020 through March 31, 2022 due to the COVID-19 pandemic, unless additional action is taken by Congress. Moreover, there recently has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Complying with any new legislation or reversing changes implemented under the ACA could be time-intensive and expensive, resulting in a material adverse effect on our business.</w:t>
      </w:r>
    </w:p>
    <w:p>
      <w:pPr>
        <w:spacing w:after="0" w:line="11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105" w:lineRule="exact"/>
        <w:rPr>
          <w:sz w:val="20"/>
          <w:szCs w:val="20"/>
          <w:color w:val="auto"/>
        </w:rPr>
      </w:pPr>
    </w:p>
    <w:p>
      <w:pPr>
        <w:ind w:right="80" w:firstLine="374"/>
        <w:spacing w:after="0" w:line="260" w:lineRule="auto"/>
        <w:rPr>
          <w:sz w:val="20"/>
          <w:szCs w:val="20"/>
          <w:color w:val="auto"/>
        </w:rPr>
      </w:pPr>
      <w:r>
        <w:rPr>
          <w:rFonts w:ascii="Times New Roman" w:cs="Times New Roman" w:eastAsia="Times New Roman" w:hAnsi="Times New Roman"/>
          <w:sz w:val="18"/>
          <w:szCs w:val="18"/>
          <w:color w:val="auto"/>
        </w:rPr>
        <w:t>We believe that there will continue to be proposals by legislators at both the federal and state levels, regulators and third-party payors to reduce costs while expanding individual healthcare benefits.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61"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Medical device companies may be subject to foreign and U.S. federal and state health information privacy, data protection, security and data breach notification laws, which may govern the collection, use, disclosure and protection of health-related and other personal information.</w:t>
      </w:r>
    </w:p>
    <w:p>
      <w:pPr>
        <w:spacing w:after="0" w:line="8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United States Department of Health and Human Services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22"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personal information secure may constitute a violation of laws or unfair acts or practices in or affecting commerce in violation of Section 5(a) of the Federal Trade Commission Act, 15 U.S.C § 45(a). The FTC expects a company’s data security measures to be reasonable and appropriate in light of the sensitivity and volume of personal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w:t>
      </w:r>
    </w:p>
    <w:p>
      <w:pPr>
        <w:spacing w:after="0" w:line="118"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Any actual or perceived failure to comply with these laws can result in private claims, demands and litigation, regulatory investigations and other proceedings, and the imposition of significant civil and/or criminal penalties and other relief. For example, California enacted the California Consumer Privacy Act, (“CCPA”), which went into effect January 1, 2020. The CCPA, among other things, created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06"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(“CPRA”). The CPRA, which became effective January 1, 2023 created additional obligations with respect to certain data relating to consumers,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8" w:name="page29"/>
    <w:bookmarkEnd w:id="28"/>
    <w:p>
      <w:pPr>
        <w:spacing w:after="0" w:line="12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w:t>
      </w:r>
    </w:p>
    <w:p>
      <w:pPr>
        <w:spacing w:after="0" w:line="10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EU also has laws and regulations dealing with the collection, use and processing of personal data obtained from individuals in the EU, including the EU General Data Protection Regulation, or GDPR. These laws and regulations are often more restrictive than those in the United States and restrict transfers of personal data to the United States unless certain requirements are met. The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 has adopted the UK General Data Protection Regulation and UK Data Protection Act of 2018, which retains the GDPR in the United Kingdom’s national law and provides for a penalty structure similar to the GDPR. 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the interpretations or applications of existing laws, regulations and standards, we may also become subject to fines, audits, inquiries, whistleblower complaints, adverse media coverage, investigations, lawsuits, loss of export privileges, severe criminal or civil sanction or other penalties.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As of December 31, 2024, we had 498 full-time employees. All of our employees are full-time and none of our employees are represented by a labor union or covered under a collective bargaining agreement.</w:t>
      </w:r>
    </w:p>
    <w:p>
      <w:pPr>
        <w:spacing w:after="0" w:line="95"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Our corporate headquarters are in Aliso Viejo, California where we lease four facilities housing our headquarters, manufacturing, research and development and administrative offices. The four facility leases are for approximately 150,000 square feet in the aggregate. The leases on our four facilities expire on January 31, 2031, with two options to extend for five years each. We believe that our existing facilities are adequate for our near-term needs but expect to need additional space as we grow. We believe that suitable additional or alternative space would be available in the future as required on commercially reasonable terms.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0" w:firstLine="374"/>
        <w:spacing w:after="0" w:line="265"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340" w:firstLine="374"/>
        <w:spacing w:after="0" w:line="260" w:lineRule="auto"/>
        <w:rPr>
          <w:sz w:val="20"/>
          <w:szCs w:val="20"/>
          <w:color w:val="auto"/>
        </w:rPr>
      </w:pPr>
      <w:r>
        <w:rPr>
          <w:rFonts w:ascii="Times New Roman" w:cs="Times New Roman" w:eastAsia="Times New Roman" w:hAnsi="Times New Roman"/>
          <w:sz w:val="18"/>
          <w:szCs w:val="18"/>
          <w:color w:val="auto"/>
        </w:rPr>
        <w:t>We were incorporated in California on March 5, 1997 as Calhoun Vision, Inc. and changed our name to RxSight, Inc. in October 2016. We reincorporated in Delaware on July 6, 2021. Our principal executive offices are located at 100 Columbia, Aliso Viejo, California 92656. Our telephone number is (949) 521-7830. We maintain a website at www.rxsight.com. Information contained on our website is not incorporated by reference into this Annual Report on Form 10-K or any other filings we make with the SEC.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900" w:firstLine="374"/>
        <w:spacing w:after="0" w:line="281"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other filings with the SEC, and all amendments to these filings, can be obtained free of charge from our website at www.rxsight.com following our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filing of any of these reports with the SEC. The SEC maintains an internet site that contains reports, proxy and information statements and other information regarding issuers that file electronically with the SEC at www.sec.gov. The contents of these and other websites referenced throughout the filing are not incorporated and do not constitute a part of this filing. Further, the Company’s references to the URLs for these websites are intended to be inactive textual references only.</w:t>
      </w:r>
    </w:p>
    <w:p>
      <w:pPr>
        <w:spacing w:after="0" w:line="74"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We have used, and intend to continue to use, our investor relations website, press releases, public conference calls, and webcasts to disclose material non-public information and to comply with our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30" w:name="page31"/>
    <w:bookmarkEnd w:id="30"/>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The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related to our business and products:</w:t>
      </w:r>
    </w:p>
    <w:p>
      <w:pPr>
        <w:spacing w:after="0" w:line="121" w:lineRule="exact"/>
        <w:rPr>
          <w:sz w:val="20"/>
          <w:szCs w:val="20"/>
          <w:color w:val="auto"/>
        </w:rPr>
      </w:pPr>
    </w:p>
    <w:p>
      <w:pPr>
        <w:ind w:left="1140" w:right="48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95" w:lineRule="exact"/>
        <w:rPr>
          <w:rFonts w:ascii="Times New Roman" w:cs="Times New Roman" w:eastAsia="Times New Roman" w:hAnsi="Times New Roman"/>
          <w:sz w:val="18"/>
          <w:szCs w:val="18"/>
          <w:color w:val="auto"/>
        </w:rPr>
      </w:pPr>
    </w:p>
    <w:p>
      <w:pPr>
        <w:ind w:left="1140" w:right="22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operating losses, and we expect to continue to incur losses in the future. If we ever achieve profitability, we may not be able to sustain it.</w:t>
      </w:r>
    </w:p>
    <w:p>
      <w:pPr>
        <w:spacing w:after="0" w:line="81" w:lineRule="exact"/>
        <w:rPr>
          <w:rFonts w:ascii="Times New Roman" w:cs="Times New Roman" w:eastAsia="Times New Roman" w:hAnsi="Times New Roman"/>
          <w:sz w:val="18"/>
          <w:szCs w:val="18"/>
          <w:color w:val="auto"/>
        </w:rPr>
      </w:pPr>
    </w:p>
    <w:p>
      <w:pPr>
        <w:ind w:left="1140" w:right="44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support our continued operations and the growth of our business, we may seek to raise additional capital, which may not be available to us on acceptable terms, or at all.</w:t>
      </w:r>
    </w:p>
    <w:p>
      <w:pPr>
        <w:spacing w:after="0" w:line="95" w:lineRule="exact"/>
        <w:rPr>
          <w:rFonts w:ascii="Times New Roman" w:cs="Times New Roman" w:eastAsia="Times New Roman" w:hAnsi="Times New Roman"/>
          <w:sz w:val="18"/>
          <w:szCs w:val="18"/>
          <w:color w:val="auto"/>
        </w:rPr>
      </w:pPr>
    </w:p>
    <w:p>
      <w:pPr>
        <w:ind w:left="1140" w:right="6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95" w:lineRule="exact"/>
        <w:rPr>
          <w:rFonts w:ascii="Times New Roman" w:cs="Times New Roman" w:eastAsia="Times New Roman" w:hAnsi="Times New Roman"/>
          <w:sz w:val="18"/>
          <w:szCs w:val="18"/>
          <w:color w:val="auto"/>
        </w:rPr>
      </w:pPr>
    </w:p>
    <w:p>
      <w:pPr>
        <w:ind w:left="1140" w:right="12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81" w:lineRule="exact"/>
        <w:rPr>
          <w:rFonts w:ascii="Times New Roman" w:cs="Times New Roman" w:eastAsia="Times New Roman" w:hAnsi="Times New Roman"/>
          <w:sz w:val="18"/>
          <w:szCs w:val="18"/>
          <w:color w:val="auto"/>
        </w:rPr>
      </w:pPr>
    </w:p>
    <w:p>
      <w:pPr>
        <w:ind w:left="1140" w:right="8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expand sales of our products internationally in the future, but we may experience difficulties in obtaining regulatory clearance or approval or in successfully marketing our products internationally even if approved.</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variety of risks associated with marketing our products internationally could materially adversely affect our business.</w:t>
      </w:r>
    </w:p>
    <w:p>
      <w:pPr>
        <w:spacing w:after="0" w:line="157" w:lineRule="exact"/>
        <w:rPr>
          <w:rFonts w:ascii="Times New Roman" w:cs="Times New Roman" w:eastAsia="Times New Roman" w:hAnsi="Times New Roman"/>
          <w:sz w:val="18"/>
          <w:szCs w:val="18"/>
          <w:color w:val="auto"/>
        </w:rPr>
      </w:pPr>
    </w:p>
    <w:p>
      <w:pPr>
        <w:ind w:left="1140" w:right="4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political and market conditions, including downgrades of the U.S. credit rating, may adversely affect our business, results of operations and financial condition, including our revenue growth and profitability.</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significant disruption in our information technology systems or breaches of data security.</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21" w:lineRule="exact"/>
        <w:rPr>
          <w:sz w:val="20"/>
          <w:szCs w:val="20"/>
          <w:color w:val="auto"/>
        </w:rPr>
      </w:pPr>
    </w:p>
    <w:p>
      <w:pPr>
        <w:ind w:left="1140" w:hanging="383"/>
        <w:spacing w:after="0" w:line="265"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109" w:lineRule="exact"/>
        <w:rPr>
          <w:rFonts w:ascii="Times New Roman" w:cs="Times New Roman" w:eastAsia="Times New Roman" w:hAnsi="Times New Roman"/>
          <w:sz w:val="18"/>
          <w:szCs w:val="18"/>
          <w:color w:val="auto"/>
        </w:rPr>
      </w:pPr>
    </w:p>
    <w:p>
      <w:pPr>
        <w:ind w:left="1140" w:right="180" w:hanging="383"/>
        <w:spacing w:after="0" w:line="28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trade secrets and other proprietary information, our business and competitive position may be harmed.</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 which could impair our business.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ind w:left="38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ind w:left="1140" w:right="480" w:hanging="383"/>
        <w:spacing w:after="0" w:line="28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21" w:lineRule="exact"/>
        <w:rPr>
          <w:sz w:val="20"/>
          <w:szCs w:val="20"/>
          <w:color w:val="auto"/>
        </w:rPr>
      </w:pPr>
    </w:p>
    <w:p>
      <w:pPr>
        <w:ind w:left="1140" w:right="340" w:hanging="383"/>
        <w:spacing w:after="0" w:line="281"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 parties, including single and sole source suppliers, to manufacture certain components and subcomponents of the RxSight system, making us vulnerable to supply disruptions and price fluctuations.</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volatile, and you could lose all or part of your investment.</w:t>
      </w:r>
    </w:p>
    <w:p>
      <w:pPr>
        <w:spacing w:after="0" w:line="157" w:lineRule="exact"/>
        <w:rPr>
          <w:rFonts w:ascii="Times New Roman" w:cs="Times New Roman" w:eastAsia="Times New Roman" w:hAnsi="Times New Roman"/>
          <w:sz w:val="18"/>
          <w:szCs w:val="18"/>
          <w:color w:val="auto"/>
        </w:rPr>
      </w:pPr>
    </w:p>
    <w:p>
      <w:pPr>
        <w:ind w:left="1140" w:right="500" w:hanging="383"/>
        <w:spacing w:after="0" w:line="281"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140" w:right="200" w:hanging="383"/>
        <w:spacing w:after="0" w:line="281"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recruit, retain, manage and motivate qualified executives as we build out the management team, and we are highly dependent on our management team.</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proceedings could adversely affect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products</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50"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We were incorporated in March 1997 and began commercializing our products in the second half of 2019, when we initiated a full launch of our LAL and LDD.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11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105"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2" w:name="page33"/>
    <w:bookmarkEnd w:id="32"/>
    <w:p>
      <w:pPr>
        <w:ind w:right="160" w:firstLine="374"/>
        <w:spacing w:after="0" w:line="255" w:lineRule="auto"/>
        <w:rPr>
          <w:sz w:val="20"/>
          <w:szCs w:val="20"/>
          <w:color w:val="auto"/>
        </w:rPr>
      </w:pPr>
      <w:r>
        <w:rPr>
          <w:rFonts w:ascii="Times New Roman" w:cs="Times New Roman" w:eastAsia="Times New Roman" w:hAnsi="Times New Roman"/>
          <w:sz w:val="18"/>
          <w:szCs w:val="18"/>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in the future. If we ever achieve profitability, we may not be able to sustain it.</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have incurred losses from operations since our inception and expect to continue to incur losses from operations in the future. We reported losses from operations of $36.9 million and $50.1 million for the years ended December 31, 2024 and 2023, respectively. As a result of these losses, as of December 31, 2024, we had an accumulated deficit of $622.1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w:t>
      </w:r>
    </w:p>
    <w:p>
      <w:pPr>
        <w:spacing w:after="0" w:line="105" w:lineRule="exact"/>
        <w:rPr>
          <w:sz w:val="20"/>
          <w:szCs w:val="20"/>
          <w:color w:val="auto"/>
        </w:rPr>
      </w:pPr>
    </w:p>
    <w:p>
      <w:pPr>
        <w:ind w:right="480" w:firstLine="374"/>
        <w:spacing w:after="0" w:line="281" w:lineRule="auto"/>
        <w:rPr>
          <w:sz w:val="20"/>
          <w:szCs w:val="20"/>
          <w:color w:val="auto"/>
        </w:rPr>
      </w:pPr>
      <w:r>
        <w:rPr>
          <w:rFonts w:ascii="Times New Roman" w:cs="Times New Roman" w:eastAsia="Times New Roman" w:hAnsi="Times New Roman"/>
          <w:sz w:val="18"/>
          <w:szCs w:val="18"/>
          <w:color w:val="auto"/>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50"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118"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Because of these and other factors, we expect to continue to incur net losses and negative cash flows from operations in the future. Our future liquidity and capital funding requirements will depend on numerous factors, including:</w:t>
      </w:r>
    </w:p>
    <w:p>
      <w:pPr>
        <w:spacing w:after="0" w:line="82" w:lineRule="exact"/>
        <w:rPr>
          <w:sz w:val="20"/>
          <w:szCs w:val="20"/>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growth;</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leveraging future strategic partnerships;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investments, primarily in inventories and accounts receivable;</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or raise additional funds through future debt or equity offerings to finance our operations;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any clinical trial results for our current or future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effect of competing or complementary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reimbursement for procedures using our products;</w:t>
      </w:r>
    </w:p>
    <w:p>
      <w:pPr>
        <w:spacing w:after="0" w:line="143" w:lineRule="exact"/>
        <w:rPr>
          <w:rFonts w:ascii="Times New Roman" w:cs="Times New Roman" w:eastAsia="Times New Roman" w:hAnsi="Times New Roman"/>
          <w:sz w:val="18"/>
          <w:szCs w:val="18"/>
          <w:color w:val="auto"/>
        </w:rPr>
      </w:pPr>
    </w:p>
    <w:p>
      <w:pPr>
        <w:ind w:left="1140" w:right="60" w:hanging="383"/>
        <w:spacing w:after="0" w:line="265"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3" w:name="page34"/>
    <w:bookmarkEnd w:id="33"/>
    <w:p>
      <w:pPr>
        <w:ind w:left="1140" w:right="600" w:hanging="383"/>
        <w:spacing w:after="0" w:line="281"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employees and the need and ability to hire additional management, sales, research and development, scientific and customer support personnel;</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or other arrangements that we have or may establish;</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finance lease payments for our facilities;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157"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10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conflicts in Eastern Europe, the Middle East and otherwise.</w:t>
      </w:r>
    </w:p>
    <w:p>
      <w:pPr>
        <w:spacing w:after="0" w:line="11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As of December 31, 2024, we had $237.2 million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we cannot assure you that we will be able to generate sufficient liquidity as and when needed. Further, although we do not anticipate the need to raise additional capital or incur additional debt in order to reach profit from operations, as such metric may be disclosed in the Company’s future Annual Reports on Form 10-K or Quarterly Reports on Form 10-Q filed with the SEC, we may opportunistically seek to raise capital under advantageous circumstances from time to time in order to support the expansion of our sales and operations in the U.S. and internationally and to pursue other business opportunities.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We cannot assure you that we will be able to generate sufficient liquidity as and when needed.</w:t>
      </w:r>
    </w:p>
    <w:p>
      <w:pPr>
        <w:spacing w:after="0" w:line="12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including downgrades of the U.S. credit rating, may adversely affect our business, results of operations and financial condition, including our revenue growth and profitability.</w:t>
      </w:r>
    </w:p>
    <w:p>
      <w:pPr>
        <w:spacing w:after="0" w:line="50"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spacing w:after="0" w:line="106"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Deterioration in the economic conditions globally resulting in instability in global financial markets, including: inflation and rising interest rates and instability in the capital markets.</w:t>
      </w:r>
    </w:p>
    <w:p>
      <w:pPr>
        <w:spacing w:after="0" w:line="95" w:lineRule="exact"/>
        <w:rPr>
          <w:sz w:val="20"/>
          <w:szCs w:val="20"/>
          <w:color w:val="auto"/>
        </w:rPr>
      </w:pPr>
    </w:p>
    <w:p>
      <w:pPr>
        <w:ind w:right="640" w:firstLine="374"/>
        <w:spacing w:after="0" w:line="281" w:lineRule="auto"/>
        <w:rPr>
          <w:sz w:val="20"/>
          <w:szCs w:val="20"/>
          <w:color w:val="auto"/>
        </w:rPr>
      </w:pPr>
      <w:r>
        <w:rPr>
          <w:rFonts w:ascii="Times New Roman" w:cs="Times New Roman" w:eastAsia="Times New Roman" w:hAnsi="Times New Roman"/>
          <w:sz w:val="18"/>
          <w:szCs w:val="18"/>
          <w:color w:val="auto"/>
        </w:rPr>
        <w:t>Various social and political circumstances in the U.S. and around the world (including wars and other forms of conflict, terrorist acts, security operations and catastrophic events such as fires, floods, earthquakes, tornadoes, hurricanes and global</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34" w:name="page35"/>
    <w:bookmarkEnd w:id="34"/>
    <w:p>
      <w:pPr>
        <w:ind w:right="280"/>
        <w:spacing w:after="0" w:line="281" w:lineRule="auto"/>
        <w:rPr>
          <w:sz w:val="20"/>
          <w:szCs w:val="20"/>
          <w:color w:val="auto"/>
        </w:rPr>
      </w:pPr>
      <w:r>
        <w:rPr>
          <w:rFonts w:ascii="Times New Roman" w:cs="Times New Roman" w:eastAsia="Times New Roman" w:hAnsi="Times New Roman"/>
          <w:sz w:val="18"/>
          <w:szCs w:val="18"/>
          <w:color w:val="auto"/>
        </w:rPr>
        <w:t>health epidemics) may also contribute to increased market volatility and economic uncertainties or deterioration in the U.S. and worldwide and have a material adverse effect on our business, financial conditions, results of operations and prospects.</w:t>
      </w:r>
    </w:p>
    <w:p>
      <w:pPr>
        <w:spacing w:after="0" w:line="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spacing w:after="0" w:line="66"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currently maintain all of our cash, cash equivalents and short-term investments with one financial institution. At the current time, our cash, cash equivalents and short-term investment balances with such financial institution are held primarily in U.S. treasury bills with a duration of less than 12 months. A portion of our operating cash is held in accounts in excess of the Federal Deposit Insurance Corporation (“FDIC”) insurance limits. The failure of the financial institution in which our cash, cash equivalents and short-term-investments are held, the resulting inability for us to obtain the return of our funds from that financial institution, or any other adverse condition suffered by the financial institution, could impact access to our operating cash and a temporary inability to access our short-term investments in U.S. treasury bills which could have an adverse effect on our business, financial condition and results of operations.</w:t>
      </w:r>
    </w:p>
    <w:p>
      <w:pPr>
        <w:spacing w:after="0" w:line="10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50"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110" w:lineRule="exact"/>
        <w:rPr>
          <w:sz w:val="20"/>
          <w:szCs w:val="20"/>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effectiveness and reliability of our RxSight system, especially relative to alternative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patient events involving our RxSight system;</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studies and trials relating to our RxSight system;</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meaningful clinical benefits for our patients;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to market our planned or future products for use in the United States or internationally;</w:t>
      </w:r>
    </w:p>
    <w:p>
      <w:pPr>
        <w:spacing w:after="0" w:line="143" w:lineRule="exact"/>
        <w:rPr>
          <w:rFonts w:ascii="Times New Roman" w:cs="Times New Roman" w:eastAsia="Times New Roman" w:hAnsi="Times New Roman"/>
          <w:sz w:val="18"/>
          <w:szCs w:val="18"/>
          <w:color w:val="auto"/>
        </w:rPr>
      </w:pPr>
    </w:p>
    <w:p>
      <w:pPr>
        <w:ind w:left="1140" w:right="100" w:hanging="383"/>
        <w:spacing w:after="0" w:line="281"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relative cost and perceived advantages and disadvantages of alternative technologies or treatment methods for conditions treated by our products;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patient willingness to pay for the additional costs associated with our premium intraocular lens out of pocket;</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doctors adopt our RxSight system;</w:t>
      </w:r>
    </w:p>
    <w:p>
      <w:pPr>
        <w:spacing w:after="0" w:line="143" w:lineRule="exact"/>
        <w:rPr>
          <w:rFonts w:ascii="Times New Roman" w:cs="Times New Roman" w:eastAsia="Times New Roman" w:hAnsi="Times New Roman"/>
          <w:sz w:val="18"/>
          <w:szCs w:val="18"/>
          <w:color w:val="auto"/>
        </w:rPr>
      </w:pPr>
    </w:p>
    <w:p>
      <w:pPr>
        <w:ind w:left="1140" w:right="140" w:hanging="383"/>
        <w:spacing w:after="0" w:line="260"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11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in and to our RxSight system;</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patients value the customized vision delivered by the RxSight system and are satisfied with their results;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regulatory requirements applicable to our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successful in educating doctors about IOLs in general, and the benefits of our RxSight system;</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among doctors;</w:t>
      </w: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6" w:right="499" w:bottom="1440" w:gutter="0" w:footer="0" w:header="0"/>
        </w:sectPr>
      </w:pPr>
    </w:p>
    <w:bookmarkStart w:id="35" w:name="page36"/>
    <w:bookmarkEnd w:id="35"/>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commercial organization;</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efforts in the United States, including our efforts to build out our sales team;</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commercialization of our products into international markets;</w:t>
      </w:r>
    </w:p>
    <w:p>
      <w:pPr>
        <w:spacing w:after="0" w:line="157" w:lineRule="exact"/>
        <w:rPr>
          <w:rFonts w:ascii="Times New Roman" w:cs="Times New Roman" w:eastAsia="Times New Roman" w:hAnsi="Times New Roman"/>
          <w:sz w:val="18"/>
          <w:szCs w:val="18"/>
          <w:color w:val="auto"/>
        </w:rPr>
      </w:pPr>
    </w:p>
    <w:p>
      <w:pPr>
        <w:ind w:left="1140" w:right="300" w:hanging="383"/>
        <w:spacing w:after="0" w:line="265"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validate and maintain a commercially viable manufacturing process that is compliant with the Quality Systems Regulations (“QSR”), or QSMR when it goes into effect in February 2026, and other applicable foreign, federal and state regulatory requirements;</w:t>
      </w:r>
    </w:p>
    <w:p>
      <w:pPr>
        <w:spacing w:after="0" w:line="10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or future clinical trials; and</w:t>
      </w:r>
    </w:p>
    <w:p>
      <w:pPr>
        <w:spacing w:after="0" w:line="143" w:lineRule="exact"/>
        <w:rPr>
          <w:rFonts w:ascii="Times New Roman" w:cs="Times New Roman" w:eastAsia="Times New Roman" w:hAnsi="Times New Roman"/>
          <w:sz w:val="18"/>
          <w:szCs w:val="18"/>
          <w:color w:val="auto"/>
        </w:rPr>
      </w:pPr>
    </w:p>
    <w:p>
      <w:pPr>
        <w:ind w:left="1140" w:right="100" w:hanging="383"/>
        <w:spacing w:after="0" w:line="281"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comparable non-U.S. regulatory authorities to conduct additional clinical trials for current or future indications.</w:t>
      </w:r>
    </w:p>
    <w:p>
      <w:pPr>
        <w:spacing w:after="0" w:line="95"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11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5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105"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RxSight system will depend upon attaining significant market acceptance of these products among patients and doctors.</w:t>
      </w:r>
    </w:p>
    <w:p>
      <w:pPr>
        <w:spacing w:after="0" w:line="121"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current customers that have adopted our RxSight system. Our future growth and profitability largely depend on our ability to increase other doctors’ awareness of our RxSight system and our products and on the willingness of doctors and patients to adopt them. These parties may not adopt our products like our current customers have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6" w:name="page37"/>
    <w:bookmarkEnd w:id="36"/>
    <w:p>
      <w:pPr>
        <w:ind w:right="160"/>
        <w:spacing w:after="0" w:line="281" w:lineRule="auto"/>
        <w:rPr>
          <w:sz w:val="20"/>
          <w:szCs w:val="20"/>
          <w:color w:val="auto"/>
        </w:rPr>
      </w:pPr>
      <w:r>
        <w:rPr>
          <w:rFonts w:ascii="Times New Roman" w:cs="Times New Roman" w:eastAsia="Times New Roman" w:hAnsi="Times New Roman"/>
          <w:sz w:val="18"/>
          <w:szCs w:val="18"/>
          <w:color w:val="auto"/>
        </w:rPr>
        <w:t>doctors tend to be slow in changing their medical treatment practices and may be hesitant to select our products for recommendation to their patients for a variety of reasons, including:</w:t>
      </w:r>
    </w:p>
    <w:p>
      <w:pPr>
        <w:spacing w:after="0" w:line="95" w:lineRule="exact"/>
        <w:rPr>
          <w:sz w:val="20"/>
          <w:szCs w:val="20"/>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competing companies and distributors that sell other products;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alternative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and concerns that we are relatively new to market;</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sufficient clinical evidence, including long-term data, supporting safety or clinical benefits;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commitment and skill development that may be required to gain familiarity and proficiency with our products;</w:t>
      </w:r>
    </w:p>
    <w:p>
      <w:pPr>
        <w:spacing w:after="0" w:line="157" w:lineRule="exact"/>
        <w:rPr>
          <w:rFonts w:ascii="Times New Roman" w:cs="Times New Roman" w:eastAsia="Times New Roman" w:hAnsi="Times New Roman"/>
          <w:sz w:val="18"/>
          <w:szCs w:val="18"/>
          <w:color w:val="auto"/>
        </w:rPr>
      </w:pPr>
    </w:p>
    <w:p>
      <w:pPr>
        <w:ind w:left="1140" w:right="60" w:hanging="383"/>
        <w:spacing w:after="0" w:line="28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confusion regarding the wide range of commercially available premium IOL offerings and their ability to deliver promised results at near, middle and far distances without reliance on glasses;</w:t>
      </w:r>
    </w:p>
    <w:p>
      <w:pPr>
        <w:spacing w:after="0" w:line="95" w:lineRule="exact"/>
        <w:rPr>
          <w:rFonts w:ascii="Times New Roman" w:cs="Times New Roman" w:eastAsia="Times New Roman" w:hAnsi="Times New Roman"/>
          <w:sz w:val="18"/>
          <w:szCs w:val="18"/>
          <w:color w:val="auto"/>
        </w:rPr>
      </w:pPr>
    </w:p>
    <w:p>
      <w:pPr>
        <w:ind w:left="1140" w:right="600" w:hanging="383"/>
        <w:spacing w:after="0" w:line="28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reticence to select a premium IOL due to nonperformance and adverse side effects associated with competing products in the market;</w:t>
      </w:r>
    </w:p>
    <w:p>
      <w:pPr>
        <w:spacing w:after="0" w:line="81" w:lineRule="exact"/>
        <w:rPr>
          <w:rFonts w:ascii="Times New Roman" w:cs="Times New Roman" w:eastAsia="Times New Roman" w:hAnsi="Times New Roman"/>
          <w:sz w:val="18"/>
          <w:szCs w:val="18"/>
          <w:color w:val="auto"/>
        </w:rPr>
      </w:pPr>
    </w:p>
    <w:p>
      <w:pPr>
        <w:ind w:left="1140" w:right="120" w:hanging="383"/>
        <w:spacing w:after="0" w:line="265"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109" w:lineRule="exact"/>
        <w:rPr>
          <w:rFonts w:ascii="Times New Roman" w:cs="Times New Roman" w:eastAsia="Times New Roman" w:hAnsi="Times New Roman"/>
          <w:sz w:val="18"/>
          <w:szCs w:val="18"/>
          <w:color w:val="auto"/>
        </w:rPr>
      </w:pPr>
    </w:p>
    <w:p>
      <w:pPr>
        <w:ind w:left="1140" w:right="280" w:hanging="383"/>
        <w:spacing w:after="0" w:line="28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generate patient referral due to dissatisfaction with results obtained through treatment with our products, the out-of-pocket cost of treatments using our products or otherwise.</w:t>
      </w:r>
    </w:p>
    <w:p>
      <w:pPr>
        <w:spacing w:after="0" w:line="95" w:lineRule="exact"/>
        <w:rPr>
          <w:sz w:val="20"/>
          <w:szCs w:val="20"/>
          <w:color w:val="auto"/>
        </w:rPr>
      </w:pPr>
    </w:p>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96" w:lineRule="exact"/>
        <w:rPr>
          <w:sz w:val="20"/>
          <w:szCs w:val="20"/>
          <w:color w:val="auto"/>
        </w:rPr>
      </w:pPr>
    </w:p>
    <w:p>
      <w:pPr>
        <w:jc w:val="both"/>
        <w:ind w:right="620" w:firstLine="374"/>
        <w:spacing w:after="0" w:line="288" w:lineRule="auto"/>
        <w:rPr>
          <w:sz w:val="20"/>
          <w:szCs w:val="20"/>
          <w:color w:val="auto"/>
        </w:rPr>
      </w:pPr>
      <w:r>
        <w:rPr>
          <w:rFonts w:ascii="Times New Roman" w:cs="Times New Roman" w:eastAsia="Times New Roman" w:hAnsi="Times New Roman"/>
          <w:sz w:val="17"/>
          <w:szCs w:val="17"/>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92"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119"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RxSight system involves surgical risks and is contraindicated in certain patients, which may limit adoption.</w:t>
      </w:r>
    </w:p>
    <w:p>
      <w:pPr>
        <w:spacing w:after="0" w:line="157"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7" w:name="page38"/>
    <w:bookmarkEnd w:id="37"/>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5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and Johnson &amp; Johnson.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119" w:lineRule="exact"/>
        <w:rPr>
          <w:sz w:val="20"/>
          <w:szCs w:val="20"/>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patient outcomes, oftentimes measured by visual acuity, and adverse event rates;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experience, including patient recovery time and level of discomfort;</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treating doctors and referral sources;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Doctor learning curves and willingness to adopt new technologies;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Ease-of-use and reliability;</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benefits and cost savings;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clinical evidence;</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distribution and marketing to surgeons and potential patients;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price and qualification for coverage and reimbursement.</w:t>
      </w:r>
    </w:p>
    <w:p>
      <w:pPr>
        <w:spacing w:after="0" w:line="157"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We compete primarily on the basis that our products are designed to enable more doctors to treat more patients more efficiently and effectively. Our continued success depends on our ability to:</w:t>
      </w:r>
    </w:p>
    <w:p>
      <w:pPr>
        <w:spacing w:after="0" w:line="82" w:lineRule="exact"/>
        <w:rPr>
          <w:sz w:val="20"/>
          <w:szCs w:val="20"/>
          <w:color w:val="auto"/>
        </w:rPr>
      </w:pPr>
    </w:p>
    <w:p>
      <w:pPr>
        <w:ind w:left="1140" w:right="40" w:hanging="383"/>
        <w:spacing w:after="0" w:line="281"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innovative, proprietary products that address significant clinical needs in a manner that is safe and effective for patients and easy-to-use for doctors;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clearances or approvals;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effectiveness in our sponsored and third-party clinical trials;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force across key markets to increase doctors’ awareness;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adequate reimbursement for procedures using our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research, development, sales and clinical personnel;</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market and sell our products;</w:t>
      </w:r>
    </w:p>
    <w:p>
      <w:pPr>
        <w:spacing w:after="0" w:line="157" w:lineRule="exact"/>
        <w:rPr>
          <w:rFonts w:ascii="Times New Roman" w:cs="Times New Roman" w:eastAsia="Times New Roman" w:hAnsi="Times New Roman"/>
          <w:sz w:val="18"/>
          <w:szCs w:val="18"/>
          <w:color w:val="auto"/>
        </w:rPr>
      </w:pPr>
    </w:p>
    <w:p>
      <w:pPr>
        <w:ind w:left="1140" w:right="120" w:hanging="383"/>
        <w:spacing w:after="0" w:line="281"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doctors with a sufficient return on investment as compared to alternative premium IOL procedures that justifies the upfront cost of our LDD; and</w:t>
      </w:r>
    </w:p>
    <w:p>
      <w:pPr>
        <w:spacing w:after="0" w:line="81" w:lineRule="exact"/>
        <w:rPr>
          <w:rFonts w:ascii="Times New Roman" w:cs="Times New Roman" w:eastAsia="Times New Roman" w:hAnsi="Times New Roman"/>
          <w:sz w:val="18"/>
          <w:szCs w:val="18"/>
          <w:color w:val="auto"/>
        </w:rPr>
      </w:pPr>
    </w:p>
    <w:p>
      <w:pPr>
        <w:ind w:left="1140" w:right="540" w:hanging="383"/>
        <w:spacing w:after="0" w:line="281"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95"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38" w:name="page39"/>
    <w:bookmarkEnd w:id="38"/>
    <w:p>
      <w:pPr>
        <w:ind w:right="200"/>
        <w:spacing w:after="0" w:line="281" w:lineRule="auto"/>
        <w:rPr>
          <w:sz w:val="20"/>
          <w:szCs w:val="20"/>
          <w:color w:val="auto"/>
        </w:rPr>
      </w:pPr>
      <w:r>
        <w:rPr>
          <w:rFonts w:ascii="Times New Roman" w:cs="Times New Roman" w:eastAsia="Times New Roman" w:hAnsi="Times New Roman"/>
          <w:sz w:val="18"/>
          <w:szCs w:val="18"/>
          <w:color w:val="auto"/>
        </w:rPr>
        <w:t>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95"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9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50" w:lineRule="exact"/>
        <w:rPr>
          <w:sz w:val="20"/>
          <w:szCs w:val="20"/>
          <w:color w:val="auto"/>
        </w:rPr>
      </w:pPr>
    </w:p>
    <w:p>
      <w:pPr>
        <w:ind w:right="80" w:firstLine="374"/>
        <w:spacing w:after="0" w:line="252" w:lineRule="auto"/>
        <w:rPr>
          <w:sz w:val="20"/>
          <w:szCs w:val="20"/>
          <w:color w:val="auto"/>
        </w:rPr>
      </w:pPr>
      <w:r>
        <w:rPr>
          <w:rFonts w:ascii="Times New Roman" w:cs="Times New Roman" w:eastAsia="Times New Roman" w:hAnsi="Times New Roman"/>
          <w:sz w:val="18"/>
          <w:szCs w:val="18"/>
          <w:color w:val="auto"/>
        </w:rPr>
        <w:t>We currently maintain our research and development, manufacturing and administrative operations in Aliso Viejo, California, and we do not have redundant facilities. We operate in four separate facilities, designated as a single manufacturing facility, and should any one of these facilities be significantly damaged or destroyed by natural or man-made disasters, such as earthquakes, and/or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128"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Furthermore, the current leases on our four facilities expire on January 31, 2031, with two options to extend for five years each.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change may adversely affect sales of our products and may cause our products to become obsolete.</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39" w:name="page40"/>
    <w:bookmarkEnd w:id="39"/>
    <w:p>
      <w:pPr>
        <w:ind w:right="460"/>
        <w:spacing w:after="0" w:line="281" w:lineRule="auto"/>
        <w:rPr>
          <w:sz w:val="20"/>
          <w:szCs w:val="20"/>
          <w:color w:val="auto"/>
        </w:rPr>
      </w:pPr>
      <w:r>
        <w:rPr>
          <w:rFonts w:ascii="Times New Roman" w:cs="Times New Roman" w:eastAsia="Times New Roman" w:hAnsi="Times New Roman"/>
          <w:sz w:val="18"/>
          <w:szCs w:val="18"/>
          <w:color w:val="auto"/>
        </w:rPr>
        <w:t>development resources or compete effectively with the research and development programs of our current or future competitors could have a material adverse effect on our business, financial condition and results of operations.</w:t>
      </w:r>
    </w:p>
    <w:p>
      <w:pPr>
        <w:spacing w:after="0" w:line="9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5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clinical trials are unsuccessful or significantly delayed, or if we do not complete our clinical trials, our business may be harmed.</w:t>
      </w:r>
    </w:p>
    <w:p>
      <w:pPr>
        <w:spacing w:after="0" w:line="121"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119" w:lineRule="exact"/>
        <w:rPr>
          <w:sz w:val="20"/>
          <w:szCs w:val="20"/>
          <w:color w:val="auto"/>
        </w:rPr>
      </w:pPr>
    </w:p>
    <w:p>
      <w:pPr>
        <w:ind w:right="700" w:firstLine="374"/>
        <w:spacing w:after="0" w:line="312" w:lineRule="auto"/>
        <w:rPr>
          <w:sz w:val="20"/>
          <w:szCs w:val="20"/>
          <w:color w:val="auto"/>
        </w:rPr>
      </w:pPr>
      <w:r>
        <w:rPr>
          <w:rFonts w:ascii="Times New Roman" w:cs="Times New Roman" w:eastAsia="Times New Roman" w:hAnsi="Times New Roman"/>
          <w:sz w:val="17"/>
          <w:szCs w:val="17"/>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72" w:lineRule="exact"/>
        <w:rPr>
          <w:sz w:val="20"/>
          <w:szCs w:val="20"/>
          <w:color w:val="auto"/>
        </w:rPr>
      </w:pPr>
    </w:p>
    <w:p>
      <w:pPr>
        <w:ind w:left="1140" w:right="240" w:hanging="383"/>
        <w:spacing w:after="0" w:line="28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nonclinical studies or clinical development of our products, as well as the associated costs, including any unforeseen costs we may incur as a result of clinical trial delays;</w:t>
      </w:r>
    </w:p>
    <w:p>
      <w:pPr>
        <w:spacing w:after="0" w:line="81" w:lineRule="exact"/>
        <w:rPr>
          <w:rFonts w:ascii="Times New Roman" w:cs="Times New Roman" w:eastAsia="Times New Roman" w:hAnsi="Times New Roman"/>
          <w:sz w:val="18"/>
          <w:szCs w:val="18"/>
          <w:color w:val="auto"/>
        </w:rPr>
      </w:pPr>
    </w:p>
    <w:p>
      <w:pPr>
        <w:ind w:left="1140" w:right="500" w:hanging="383"/>
        <w:spacing w:after="0" w:line="28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our clinical trials may be slower than we anticipate, or we may experience high screen failure rates in our clinical trials, resulting in significant delays;</w:t>
      </w:r>
    </w:p>
    <w:p>
      <w:pPr>
        <w:spacing w:after="0" w:line="95" w:lineRule="exact"/>
        <w:rPr>
          <w:rFonts w:ascii="Times New Roman" w:cs="Times New Roman" w:eastAsia="Times New Roman" w:hAnsi="Times New Roman"/>
          <w:sz w:val="18"/>
          <w:szCs w:val="18"/>
          <w:color w:val="auto"/>
        </w:rPr>
      </w:pPr>
    </w:p>
    <w:p>
      <w:pPr>
        <w:ind w:left="1140" w:right="400" w:hanging="383"/>
        <w:spacing w:after="0" w:line="28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produce negative or inconclusive results, and we may decide, or regulators may require us, to conduct additional clinical and/or preclinical testing which may be expensive and time-consuming;</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results may not meet the level of statistical significance required by the FDA or other regulatory authorities;</w:t>
      </w:r>
    </w:p>
    <w:p>
      <w:pPr>
        <w:spacing w:after="0" w:line="143" w:lineRule="exact"/>
        <w:rPr>
          <w:rFonts w:ascii="Times New Roman" w:cs="Times New Roman" w:eastAsia="Times New Roman" w:hAnsi="Times New Roman"/>
          <w:sz w:val="18"/>
          <w:szCs w:val="18"/>
          <w:color w:val="auto"/>
        </w:rPr>
      </w:pPr>
    </w:p>
    <w:p>
      <w:pPr>
        <w:ind w:left="1140" w:right="80" w:hanging="383"/>
        <w:spacing w:after="0" w:line="28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that one or more of our products is not sufficiently safe for investigational use in humans;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interpret data from preclinical testing and clinical trials in different ways than we do;</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or failure in obtaining approval of our clinical trial protocols from the FDA or other regulatory authorities;</w:t>
      </w:r>
    </w:p>
    <w:p>
      <w:pPr>
        <w:spacing w:after="0" w:line="143" w:lineRule="exact"/>
        <w:rPr>
          <w:rFonts w:ascii="Times New Roman" w:cs="Times New Roman" w:eastAsia="Times New Roman" w:hAnsi="Times New Roman"/>
          <w:sz w:val="18"/>
          <w:szCs w:val="18"/>
          <w:color w:val="auto"/>
        </w:rPr>
      </w:pPr>
    </w:p>
    <w:p>
      <w:pPr>
        <w:ind w:left="1140" w:right="340" w:hanging="383"/>
        <w:spacing w:after="0" w:line="28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obtaining institutional review board approvals or governmental approvals to conduct clinical trials at prospective sites;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0" w:name="page41"/>
    <w:bookmarkEnd w:id="40"/>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our or our suppliers’ manufacturing processes or facilities unsatisfactory;</w:t>
      </w:r>
    </w:p>
    <w:p>
      <w:pPr>
        <w:spacing w:after="0" w:line="157" w:lineRule="exact"/>
        <w:rPr>
          <w:rFonts w:ascii="Times New Roman" w:cs="Times New Roman" w:eastAsia="Times New Roman" w:hAnsi="Times New Roman"/>
          <w:sz w:val="18"/>
          <w:szCs w:val="18"/>
          <w:color w:val="auto"/>
        </w:rPr>
      </w:pPr>
    </w:p>
    <w:p>
      <w:pPr>
        <w:ind w:left="1140" w:right="220" w:hanging="383"/>
        <w:spacing w:after="0" w:line="281"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trouble in managing multiple clinical sites;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trouble finding patients to enroll in our trials;</w:t>
      </w:r>
    </w:p>
    <w:p>
      <w:pPr>
        <w:spacing w:after="0" w:line="157" w:lineRule="exact"/>
        <w:rPr>
          <w:rFonts w:ascii="Times New Roman" w:cs="Times New Roman" w:eastAsia="Times New Roman" w:hAnsi="Times New Roman"/>
          <w:sz w:val="18"/>
          <w:szCs w:val="18"/>
          <w:color w:val="auto"/>
        </w:rPr>
      </w:pPr>
    </w:p>
    <w:p>
      <w:pPr>
        <w:ind w:left="1140" w:right="200" w:hanging="383"/>
        <w:spacing w:after="0" w:line="281"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agreeing on acceptable terms with third-party research organizations and trial sites that may help us conduct the clinical trials; and</w:t>
      </w:r>
    </w:p>
    <w:p>
      <w:pPr>
        <w:spacing w:after="0" w:line="81" w:lineRule="exact"/>
        <w:rPr>
          <w:rFonts w:ascii="Times New Roman" w:cs="Times New Roman" w:eastAsia="Times New Roman" w:hAnsi="Times New Roman"/>
          <w:sz w:val="18"/>
          <w:szCs w:val="18"/>
          <w:color w:val="auto"/>
        </w:rPr>
      </w:pPr>
    </w:p>
    <w:p>
      <w:pPr>
        <w:ind w:left="1140" w:right="240" w:hanging="383"/>
        <w:spacing w:after="0" w:line="281"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regulators, may suspend or terminate our clinical trials because the participating patients are being exposed to unacceptable health risks.</w:t>
      </w:r>
    </w:p>
    <w:p>
      <w:pPr>
        <w:spacing w:after="0" w:line="95"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50"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a significant disruption in our information technology systems or breaches of data security.</w:t>
      </w:r>
    </w:p>
    <w:p>
      <w:pPr>
        <w:spacing w:after="0" w:line="12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We rely upon the capacity, reliability and security of our information technology infrastructure and our ability to expand and continually update this infrastructure in response to our business needs. In some cases, we rely upon third-party hosting and support services to meet these needs. The internet has experienced increasingly sophisticated and damaging threats in the form of phishing emails, malware, malicious websites, ransomware, exploitation of application vulnerabilities, and nation-state attacks. It is also becoming more common for these attacks to leverage previously unknown vulnerabilities. The growing and evolving cyber-risk environment means that individuals, companies, and organizations of all sizes, including ourselves, our customers, suppliers and our hosting and support partners, are increasingly vulnerable to attacks and disruptions on their networks and systems by a wide range of actors on an ongoing and regular basis.</w:t>
      </w:r>
    </w:p>
    <w:p>
      <w:pPr>
        <w:spacing w:after="0" w:line="7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For example, as previously disclosed, on May 2, 2024, an unauthorized actor targeted the personal cell phone number of an RxSight employee. On May 3, 2024, the unauthorized actor obtained unauthorized access to the employee’s cloud-based work account and to e-mails and files that were accessible from that account. We discovered the incident on the same day, May 3, 2024, promptly disabled the employee’s account, initiated response and investigation procedures, contacted our insurance provider, and retained external cybersecurity experts to assist in our response and investigation. While the unauthorized actor accessed and acquired copies of e-mail messages and other materials that were accessible from the employee’s cloud-based work account, our information systems were never interrupted and remained operational during this unauthorized access, and we have not observed any aspect of this incident that has had a material impact on our operations, financial systems, or financial condition. However, there can be no assurance as to whether the incident will have a future material impact on our operations, financial systems, or financial condition and we remain subject to various risks due to the incident.</w:t>
      </w:r>
    </w:p>
    <w:p>
      <w:pPr>
        <w:spacing w:after="0" w:line="78"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We maintain information security tools and technologies, staff, policies and procedures for managing risk to our networks and information systems, and conduct employee training on cybersecurity designed to mitigate persistent and continuously evolving cybersecurity threats. Our network security controls are comprised of administrative, physical and technical controls, which include, but are not limited to, the implementation of firewalls, anti-virus protection, patches, log monitors, routine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41" w:name="page42"/>
    <w:bookmarkEnd w:id="41"/>
    <w:p>
      <w:pPr>
        <w:spacing w:after="0" w:line="252" w:lineRule="auto"/>
        <w:rPr>
          <w:sz w:val="20"/>
          <w:szCs w:val="20"/>
          <w:color w:val="auto"/>
        </w:rPr>
      </w:pPr>
      <w:r>
        <w:rPr>
          <w:rFonts w:ascii="Times New Roman" w:cs="Times New Roman" w:eastAsia="Times New Roman" w:hAnsi="Times New Roman"/>
          <w:sz w:val="18"/>
          <w:szCs w:val="18"/>
          <w:color w:val="auto"/>
        </w:rPr>
        <w:t>backups, off-site storage, network audits and other routine updates and modifications. We also routinely monitor and develop our internal information technology systems to address risks to our information systems. Any system failure, accident or security breach or incident could result in disruptions to our business processes, network degradation, and system down time, along with the potential that a third-party will gain unauthorized access to, acquire, or otherwise use, modify, or process intellectual property, proprietary business information, and data related to our employees, customers, suppliers, and business partners, including personal data, in an unauthorized manner. Any disruption, degradation, or other security breach, incident, or other event that results in loss or unavailability of or damage to our data or systems, system downtime or other disruptions, or in inappropriate disclosure or other processing of confidential or personal data, could adversely impact us and our customers, potentially resulting in, among other things, financial losses, loss of customers or business, our inability to transact business, adverse impact on our reputation, actual or alleged violations of applicable privacy, data protection, security and other laws, regulatory fines, penalties, litigation, reputational damage, reimbursement, or additional compliance and regulatory costs. We may also incur additional costs related to cybersecurity risk management and remediation. There can be no assurance that we or our service providers, if applicable, will not suffer losses relating to cyber-attacks or security breaches or incidents in the future or that our insurance coverage will be adequate to cover all the costs resulting from such events. No assurances can be given that our efforts to reduce the risks of, or to detect, such attacks, breaches or incidents that occur will be successful and our failure to do so could have a material adverse effect on our business, financial condition and results of operations.</w:t>
      </w:r>
    </w:p>
    <w:p>
      <w:pPr>
        <w:spacing w:after="0" w:line="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50"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11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66"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05"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2" w:name="page43"/>
    <w:bookmarkEnd w:id="42"/>
    <w:p>
      <w:pPr>
        <w:ind w:right="20"/>
        <w:spacing w:after="0" w:line="265" w:lineRule="auto"/>
        <w:rPr>
          <w:sz w:val="20"/>
          <w:szCs w:val="20"/>
          <w:color w:val="auto"/>
        </w:rPr>
      </w:pPr>
      <w:r>
        <w:rPr>
          <w:rFonts w:ascii="Times New Roman" w:cs="Times New Roman" w:eastAsia="Times New Roman" w:hAnsi="Times New Roman"/>
          <w:sz w:val="18"/>
          <w:szCs w:val="18"/>
          <w:color w:val="auto"/>
        </w:rPr>
        <w:t>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110"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10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identify, acquire and develop other products, we may be unable to grow our business.</w:t>
      </w:r>
    </w:p>
    <w:p>
      <w:pPr>
        <w:spacing w:after="0" w:line="121" w:lineRule="exact"/>
        <w:rPr>
          <w:sz w:val="20"/>
          <w:szCs w:val="20"/>
          <w:color w:val="auto"/>
        </w:rPr>
      </w:pPr>
    </w:p>
    <w:p>
      <w:pPr>
        <w:jc w:val="both"/>
        <w:ind w:right="480" w:firstLine="374"/>
        <w:spacing w:after="0" w:line="265" w:lineRule="auto"/>
        <w:rPr>
          <w:sz w:val="20"/>
          <w:szCs w:val="20"/>
          <w:color w:val="auto"/>
        </w:rPr>
      </w:pPr>
      <w:r>
        <w:rPr>
          <w:rFonts w:ascii="Times New Roman" w:cs="Times New Roman" w:eastAsia="Times New Roman" w:hAnsi="Times New Roman"/>
          <w:sz w:val="18"/>
          <w:szCs w:val="18"/>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110"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101"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114" w:lineRule="exact"/>
        <w:rPr>
          <w:sz w:val="20"/>
          <w:szCs w:val="20"/>
          <w:color w:val="auto"/>
        </w:rPr>
      </w:pPr>
    </w:p>
    <w:p>
      <w:pPr>
        <w:ind w:right="300" w:firstLine="374"/>
        <w:spacing w:after="0" w:line="281" w:lineRule="auto"/>
        <w:rPr>
          <w:sz w:val="20"/>
          <w:szCs w:val="20"/>
          <w:color w:val="auto"/>
        </w:rPr>
      </w:pPr>
      <w:r>
        <w:rPr>
          <w:rFonts w:ascii="Times New Roman" w:cs="Times New Roman" w:eastAsia="Times New Roman" w:hAnsi="Times New Roman"/>
          <w:sz w:val="18"/>
          <w:szCs w:val="18"/>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50"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06"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43" w:name="page44"/>
    <w:bookmarkEnd w:id="43"/>
    <w:p>
      <w:pPr>
        <w:ind w:right="600"/>
        <w:spacing w:after="0" w:line="281" w:lineRule="auto"/>
        <w:rPr>
          <w:sz w:val="20"/>
          <w:szCs w:val="20"/>
          <w:color w:val="auto"/>
        </w:rPr>
      </w:pPr>
      <w:r>
        <w:rPr>
          <w:rFonts w:ascii="Times New Roman" w:cs="Times New Roman" w:eastAsia="Times New Roman" w:hAnsi="Times New Roman"/>
          <w:sz w:val="18"/>
          <w:szCs w:val="18"/>
          <w:color w:val="auto"/>
        </w:rPr>
        <w:t>the use of our available cash, or the incurrence of debt, which could harm our operating results. In addition, if an acquired business fails to meet our expectations, our operating results, business and financial condition may suffer.</w:t>
      </w:r>
    </w:p>
    <w:p>
      <w:pPr>
        <w:spacing w:after="0" w:line="91"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66"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108"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115" w:lineRule="exact"/>
        <w:rPr>
          <w:sz w:val="20"/>
          <w:szCs w:val="20"/>
          <w:color w:val="auto"/>
        </w:rPr>
      </w:pPr>
    </w:p>
    <w:p>
      <w:pPr>
        <w:jc w:val="both"/>
        <w:ind w:right="100" w:firstLine="374"/>
        <w:spacing w:after="0" w:line="288" w:lineRule="auto"/>
        <w:rPr>
          <w:sz w:val="20"/>
          <w:szCs w:val="20"/>
          <w:color w:val="auto"/>
        </w:rPr>
      </w:pPr>
      <w:r>
        <w:rPr>
          <w:rFonts w:ascii="Times New Roman" w:cs="Times New Roman" w:eastAsia="Times New Roman" w:hAnsi="Times New Roman"/>
          <w:sz w:val="17"/>
          <w:szCs w:val="17"/>
          <w:color w:val="auto"/>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92"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101"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66"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4" w:name="page45"/>
    <w:bookmarkEnd w:id="44"/>
    <w:p>
      <w:pPr>
        <w:ind w:right="380" w:firstLine="374"/>
        <w:spacing w:after="0" w:line="265"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110" w:lineRule="exact"/>
        <w:rPr>
          <w:sz w:val="20"/>
          <w:szCs w:val="20"/>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market and sell our products.</w:t>
      </w:r>
    </w:p>
    <w:p>
      <w:pPr>
        <w:spacing w:after="0" w:line="144"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19"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110" w:lineRule="exact"/>
        <w:rPr>
          <w:sz w:val="20"/>
          <w:szCs w:val="20"/>
          <w:color w:val="auto"/>
        </w:rPr>
      </w:pPr>
    </w:p>
    <w:p>
      <w:pPr>
        <w:jc w:val="both"/>
        <w:ind w:righ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66" w:lineRule="exact"/>
        <w:rPr>
          <w:sz w:val="20"/>
          <w:szCs w:val="20"/>
          <w:color w:val="auto"/>
        </w:rPr>
      </w:pPr>
    </w:p>
    <w:p>
      <w:pPr>
        <w:ind w:right="480" w:firstLine="374"/>
        <w:spacing w:after="0" w:line="265" w:lineRule="auto"/>
        <w:rPr>
          <w:sz w:val="20"/>
          <w:szCs w:val="20"/>
          <w:color w:val="auto"/>
        </w:rPr>
      </w:pPr>
      <w:r>
        <w:rPr>
          <w:rFonts w:ascii="Times New Roman" w:cs="Times New Roman" w:eastAsia="Times New Roman" w:hAnsi="Times New Roman"/>
          <w:sz w:val="18"/>
          <w:szCs w:val="18"/>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96" w:lineRule="exact"/>
        <w:rPr>
          <w:sz w:val="20"/>
          <w:szCs w:val="20"/>
          <w:color w:val="auto"/>
        </w:rPr>
      </w:pPr>
    </w:p>
    <w:p>
      <w:pPr>
        <w:ind w:left="1140" w:right="580" w:hanging="383"/>
        <w:spacing w:after="0" w:line="281"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 including changes to regulatory requirements and implementation of new regulations in foreign countries;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5" w:name="page46"/>
    <w:bookmarkEnd w:id="45"/>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43" w:lineRule="exact"/>
        <w:rPr>
          <w:rFonts w:ascii="Times New Roman" w:cs="Times New Roman" w:eastAsia="Times New Roman" w:hAnsi="Times New Roman"/>
          <w:sz w:val="18"/>
          <w:szCs w:val="18"/>
          <w:color w:val="auto"/>
        </w:rPr>
      </w:pPr>
    </w:p>
    <w:p>
      <w:pPr>
        <w:ind w:left="1140" w:right="320" w:hanging="383"/>
        <w:spacing w:after="0" w:line="281"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57" w:lineRule="exact"/>
        <w:rPr>
          <w:rFonts w:ascii="Times New Roman" w:cs="Times New Roman" w:eastAsia="Times New Roman" w:hAnsi="Times New Roman"/>
          <w:sz w:val="18"/>
          <w:szCs w:val="18"/>
          <w:color w:val="auto"/>
        </w:rPr>
      </w:pPr>
    </w:p>
    <w:p>
      <w:pPr>
        <w:ind w:left="1140" w:right="320" w:hanging="383"/>
        <w:spacing w:after="0" w:line="281"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57" w:lineRule="exact"/>
        <w:rPr>
          <w:sz w:val="20"/>
          <w:szCs w:val="20"/>
          <w:color w:val="auto"/>
        </w:rPr>
      </w:pPr>
    </w:p>
    <w:p>
      <w:pPr>
        <w:ind w:right="80" w:firstLine="374"/>
        <w:spacing w:after="0" w:line="281"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95"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110" w:lineRule="exact"/>
        <w:rPr>
          <w:sz w:val="20"/>
          <w:szCs w:val="20"/>
          <w:color w:val="auto"/>
        </w:rPr>
      </w:pPr>
    </w:p>
    <w:p>
      <w:pPr>
        <w:ind w:right="180" w:firstLine="374"/>
        <w:spacing w:after="0" w:line="253"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24"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46" w:name="page47"/>
    <w:bookmarkEnd w:id="46"/>
    <w:p>
      <w:pPr>
        <w:ind w:right="60"/>
        <w:spacing w:after="0" w:line="281" w:lineRule="auto"/>
        <w:rPr>
          <w:sz w:val="20"/>
          <w:szCs w:val="20"/>
          <w:color w:val="auto"/>
        </w:rPr>
      </w:pPr>
      <w:r>
        <w:rPr>
          <w:rFonts w:ascii="Times New Roman" w:cs="Times New Roman" w:eastAsia="Times New Roman" w:hAnsi="Times New Roman"/>
          <w:sz w:val="18"/>
          <w:szCs w:val="18"/>
          <w:color w:val="auto"/>
        </w:rPr>
        <w:t>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or maintain satisfactory pricing and margins for our products.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118"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To the extent changes to state regulations and interpretation of the practice of optometry, changes to insurance coverage and government reimbursement rates for our products and related procedures and/or changes in medical or professional malpractice insurance coverage for doctors who perform procedures using our products are implemented, such changes could affect the adoption of our products and our future revenue.</w:t>
      </w:r>
    </w:p>
    <w:p>
      <w:pPr>
        <w:spacing w:after="0" w:line="48"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States regulate the practice of optometry, including the types of procedures optometrists are authorized to perform in each state. To the extent states change the scope of optometry with respect to those who are qualified to perform LDD procedures involving our RxSight system, such state regulation or policy can have a material impact on our business. Additionally, payor restrictions on the coverage and/or reimbursement levels for procedures using our RxSight system can negatively impact our business. Changes to medical or professional malpractice insurance coverage policies for doctors who perform procedures using our products, can also impact the adoption of our products and our business operations. We 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p>
    <w:p>
      <w:pPr>
        <w:spacing w:after="0" w:line="119" w:lineRule="exact"/>
        <w:rPr>
          <w:sz w:val="20"/>
          <w:szCs w:val="20"/>
          <w:color w:val="auto"/>
        </w:rPr>
      </w:pPr>
    </w:p>
    <w:p>
      <w:pPr>
        <w:ind w:right="140" w:firstLine="374"/>
        <w:spacing w:after="0" w:line="254" w:lineRule="auto"/>
        <w:rPr>
          <w:sz w:val="20"/>
          <w:szCs w:val="20"/>
          <w:color w:val="auto"/>
        </w:rPr>
      </w:pPr>
      <w:r>
        <w:rPr>
          <w:rFonts w:ascii="Times New Roman" w:cs="Times New Roman" w:eastAsia="Times New Roman" w:hAnsi="Times New Roman"/>
          <w:sz w:val="18"/>
          <w:szCs w:val="18"/>
          <w:color w:val="auto"/>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may fluctuate significantly and may not fully reflect the underlying performance of our business.</w:t>
      </w:r>
    </w:p>
    <w:p>
      <w:pPr>
        <w:spacing w:after="0" w:line="121"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11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expanded, and expect to continue to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66"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have and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operating results and financial metrics may be difficult to predict as a result of seasonality.</w:t>
      </w:r>
    </w:p>
    <w:p>
      <w:pPr>
        <w:spacing w:after="0" w:line="121"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11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50"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2024, we had federal net operating loss carryforwards (“NOLs”) of approximately $345.2 million, some of which will begin to expire in various years ranging from 2025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the deductibility of such federal NOLs, is generally limited to 80% of taxable income. It is uncertain if and to what extent various states will conform to the Tax Act, as modified by the CARES Act.</w:t>
      </w:r>
    </w:p>
    <w:p>
      <w:pPr>
        <w:spacing w:after="0" w:line="11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66"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14"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10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122" w:lineRule="exact"/>
        <w:rPr>
          <w:sz w:val="20"/>
          <w:szCs w:val="20"/>
          <w:color w:val="auto"/>
        </w:rPr>
      </w:pPr>
    </w:p>
    <w:p>
      <w:pPr>
        <w:ind w:right="80" w:firstLine="374"/>
        <w:spacing w:after="0" w:line="260"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114"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105" w:lineRule="exact"/>
        <w:rPr>
          <w:sz w:val="20"/>
          <w:szCs w:val="20"/>
          <w:color w:val="auto"/>
        </w:rPr>
      </w:pPr>
    </w:p>
    <w:p>
      <w:pPr>
        <w:ind w:right="80" w:firstLine="374"/>
        <w:spacing w:after="0" w:line="276" w:lineRule="auto"/>
        <w:rPr>
          <w:sz w:val="20"/>
          <w:szCs w:val="20"/>
          <w:color w:val="auto"/>
        </w:rPr>
      </w:pPr>
      <w:r>
        <w:rPr>
          <w:rFonts w:ascii="Times New Roman" w:cs="Times New Roman" w:eastAsia="Times New Roman" w:hAnsi="Times New Roman"/>
          <w:sz w:val="17"/>
          <w:szCs w:val="17"/>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9" w:name="page50"/>
    <w:bookmarkEnd w:id="49"/>
    <w:p>
      <w:pPr>
        <w:ind w:right="120"/>
        <w:spacing w:after="0" w:line="281" w:lineRule="auto"/>
        <w:rPr>
          <w:sz w:val="20"/>
          <w:szCs w:val="20"/>
          <w:color w:val="auto"/>
        </w:rPr>
      </w:pPr>
      <w:r>
        <w:rPr>
          <w:rFonts w:ascii="Times New Roman" w:cs="Times New Roman" w:eastAsia="Times New Roman" w:hAnsi="Times New Roman"/>
          <w:sz w:val="18"/>
          <w:szCs w:val="18"/>
          <w:color w:val="auto"/>
        </w:rPr>
        <w:t>of any issued patents will provide sufficient protection from competitors. As a result, the issuance, scope, validity, enforceability and commercial value of our patent rights are highly uncertain.</w:t>
      </w:r>
    </w:p>
    <w:p>
      <w:pPr>
        <w:spacing w:after="0" w:line="95"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08"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14"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19" w:lineRule="exact"/>
        <w:rPr>
          <w:sz w:val="20"/>
          <w:szCs w:val="20"/>
          <w:color w:val="auto"/>
        </w:rPr>
      </w:pPr>
    </w:p>
    <w:p>
      <w:pPr>
        <w:ind w:right="140" w:firstLine="374"/>
        <w:spacing w:after="0" w:line="260" w:lineRule="auto"/>
        <w:rPr>
          <w:sz w:val="20"/>
          <w:szCs w:val="20"/>
          <w:color w:val="auto"/>
        </w:rPr>
      </w:pPr>
      <w:r>
        <w:rPr>
          <w:rFonts w:ascii="Times New Roman" w:cs="Times New Roman" w:eastAsia="Times New Roman" w:hAnsi="Times New Roman"/>
          <w:sz w:val="18"/>
          <w:szCs w:val="18"/>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01"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1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118" w:lineRule="exact"/>
        <w:rPr>
          <w:sz w:val="20"/>
          <w:szCs w:val="20"/>
          <w:color w:val="auto"/>
        </w:rPr>
      </w:pPr>
    </w:p>
    <w:p>
      <w:pPr>
        <w:jc w:val="both"/>
        <w:ind w:right="80" w:firstLine="374"/>
        <w:spacing w:after="0" w:line="265" w:lineRule="auto"/>
        <w:rPr>
          <w:sz w:val="20"/>
          <w:szCs w:val="20"/>
          <w:color w:val="auto"/>
        </w:rPr>
      </w:pPr>
      <w:r>
        <w:rPr>
          <w:rFonts w:ascii="Times New Roman" w:cs="Times New Roman" w:eastAsia="Times New Roman" w:hAnsi="Times New Roman"/>
          <w:sz w:val="18"/>
          <w:szCs w:val="18"/>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50" w:name="page51"/>
    <w:bookmarkEnd w:id="50"/>
    <w:p>
      <w:pPr>
        <w:spacing w:after="0" w:line="254" w:lineRule="auto"/>
        <w:rPr>
          <w:sz w:val="20"/>
          <w:szCs w:val="20"/>
          <w:color w:val="auto"/>
        </w:rPr>
      </w:pPr>
      <w:r>
        <w:rPr>
          <w:rFonts w:ascii="Times New Roman" w:cs="Times New Roman" w:eastAsia="Times New Roman" w:hAnsi="Times New Roman"/>
          <w:sz w:val="18"/>
          <w:szCs w:val="18"/>
          <w:color w:val="auto"/>
        </w:rPr>
        <w:t>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The United States government has released a draft framework that may be used by an agency when deciding to exercise its march-in rights for public comments, and as such, the framework for deciding when march-in rights are exercised may change. Any exercise by the government of such rights could harm our competitive position, business, financial condition, results of operations and prospects.</w:t>
      </w:r>
    </w:p>
    <w:p>
      <w:pPr>
        <w:spacing w:after="0" w:line="119"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technology for an adequate amount of time.</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114"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6"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1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0" w:lineRule="exact"/>
        <w:rPr>
          <w:sz w:val="20"/>
          <w:szCs w:val="20"/>
          <w:color w:val="auto"/>
        </w:rPr>
      </w:pPr>
    </w:p>
    <w:p>
      <w:pPr>
        <w:ind w:right="100" w:firstLine="374"/>
        <w:spacing w:after="0" w:line="288" w:lineRule="auto"/>
        <w:rPr>
          <w:sz w:val="20"/>
          <w:szCs w:val="20"/>
          <w:color w:val="auto"/>
        </w:rPr>
      </w:pPr>
      <w:r>
        <w:rPr>
          <w:rFonts w:ascii="Times New Roman" w:cs="Times New Roman" w:eastAsia="Times New Roman" w:hAnsi="Times New Roman"/>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78" w:lineRule="exact"/>
        <w:rPr>
          <w:sz w:val="20"/>
          <w:szCs w:val="20"/>
          <w:color w:val="auto"/>
        </w:rPr>
      </w:pPr>
    </w:p>
    <w:p>
      <w:pPr>
        <w:jc w:val="both"/>
        <w:ind w:right="200" w:firstLine="374"/>
        <w:spacing w:after="0" w:line="265"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51" w:name="page52"/>
    <w:bookmarkEnd w:id="51"/>
    <w:p>
      <w:pPr>
        <w:ind w:right="140"/>
        <w:spacing w:after="0" w:line="265" w:lineRule="auto"/>
        <w:rPr>
          <w:sz w:val="20"/>
          <w:szCs w:val="20"/>
          <w:color w:val="auto"/>
        </w:rPr>
      </w:pPr>
      <w:r>
        <w:rPr>
          <w:rFonts w:ascii="Times New Roman" w:cs="Times New Roman" w:eastAsia="Times New Roman" w:hAnsi="Times New Roman"/>
          <w:sz w:val="18"/>
          <w:szCs w:val="18"/>
          <w:color w:val="auto"/>
        </w:rPr>
        <w:t>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10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50"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10"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1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66"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124" w:lineRule="exact"/>
        <w:rPr>
          <w:sz w:val="20"/>
          <w:szCs w:val="20"/>
          <w:color w:val="auto"/>
        </w:rPr>
      </w:pPr>
    </w:p>
    <w:p>
      <w:pPr>
        <w:ind w:right="120" w:firstLine="374"/>
        <w:spacing w:after="0" w:line="274" w:lineRule="auto"/>
        <w:rPr>
          <w:sz w:val="20"/>
          <w:szCs w:val="20"/>
          <w:color w:val="auto"/>
        </w:rPr>
      </w:pPr>
      <w:r>
        <w:rPr>
          <w:rFonts w:ascii="Times New Roman" w:cs="Times New Roman" w:eastAsia="Times New Roman" w:hAnsi="Times New Roman"/>
          <w:sz w:val="17"/>
          <w:szCs w:val="17"/>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90"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18"/>
          <w:szCs w:val="18"/>
          <w:color w:val="auto"/>
        </w:rPr>
        <w:t>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115"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0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50" w:lineRule="exact"/>
        <w:rPr>
          <w:sz w:val="20"/>
          <w:szCs w:val="20"/>
          <w:color w:val="auto"/>
        </w:rPr>
      </w:pPr>
    </w:p>
    <w:p>
      <w:pPr>
        <w:ind w:firstLine="374"/>
        <w:spacing w:after="0" w:line="251"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133" w:lineRule="exact"/>
        <w:rPr>
          <w:sz w:val="20"/>
          <w:szCs w:val="20"/>
          <w:color w:val="auto"/>
        </w:rPr>
      </w:pPr>
    </w:p>
    <w:p>
      <w:pPr>
        <w:ind w:right="20" w:firstLine="374"/>
        <w:spacing w:after="0" w:line="271" w:lineRule="auto"/>
        <w:rPr>
          <w:sz w:val="20"/>
          <w:szCs w:val="20"/>
          <w:color w:val="auto"/>
        </w:rPr>
      </w:pPr>
      <w:r>
        <w:rPr>
          <w:rFonts w:ascii="Times New Roman" w:cs="Times New Roman" w:eastAsia="Times New Roman" w:hAnsi="Times New Roman"/>
          <w:sz w:val="17"/>
          <w:szCs w:val="17"/>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spacing w:after="0" w:line="108" w:lineRule="exact"/>
        <w:rPr>
          <w:sz w:val="20"/>
          <w:szCs w:val="20"/>
          <w:color w:val="auto"/>
        </w:rPr>
      </w:pPr>
    </w:p>
    <w:p>
      <w:pPr>
        <w:ind w:right="260" w:firstLine="374"/>
        <w:spacing w:after="0" w:line="281" w:lineRule="auto"/>
        <w:rPr>
          <w:sz w:val="20"/>
          <w:szCs w:val="20"/>
          <w:color w:val="auto"/>
        </w:rPr>
      </w:pPr>
      <w:r>
        <w:rPr>
          <w:rFonts w:ascii="Times New Roman" w:cs="Times New Roman" w:eastAsia="Times New Roman" w:hAnsi="Times New Roman"/>
          <w:sz w:val="18"/>
          <w:szCs w:val="18"/>
          <w:color w:val="auto"/>
        </w:rPr>
        <w:t>Further, if patents, trademarks, copyrights, or trade secrets are successfully asserted against us, this may harm our business and result in injunctions preventing us from developing, manufacturing, marketing or selling our products, or result 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3" w:name="page54"/>
    <w:bookmarkEnd w:id="53"/>
    <w:p>
      <w:pPr>
        <w:ind w:right="260"/>
        <w:spacing w:after="0" w:line="281" w:lineRule="auto"/>
        <w:rPr>
          <w:sz w:val="20"/>
          <w:szCs w:val="20"/>
          <w:color w:val="auto"/>
        </w:rPr>
      </w:pPr>
      <w:r>
        <w:rPr>
          <w:rFonts w:ascii="Times New Roman" w:cs="Times New Roman" w:eastAsia="Times New Roman" w:hAnsi="Times New Roman"/>
          <w:sz w:val="18"/>
          <w:szCs w:val="18"/>
          <w:color w:val="auto"/>
        </w:rPr>
        <w:t>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95"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105"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18"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17"/>
          <w:szCs w:val="17"/>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108"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105"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21" w:lineRule="exact"/>
        <w:rPr>
          <w:sz w:val="20"/>
          <w:szCs w:val="20"/>
          <w:color w:val="auto"/>
        </w:rPr>
      </w:pPr>
    </w:p>
    <w:p>
      <w:pPr>
        <w:ind w:right="60" w:firstLine="374"/>
        <w:spacing w:after="0" w:line="280" w:lineRule="auto"/>
        <w:rPr>
          <w:sz w:val="20"/>
          <w:szCs w:val="20"/>
          <w:color w:val="auto"/>
        </w:rPr>
      </w:pPr>
      <w:r>
        <w:rPr>
          <w:rFonts w:ascii="Times New Roman" w:cs="Times New Roman" w:eastAsia="Times New Roman" w:hAnsi="Times New Roman"/>
          <w:sz w:val="17"/>
          <w:szCs w:val="17"/>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products are subject, in part, to the terms and conditions of licenses granted to us by others.</w:t>
      </w:r>
    </w:p>
    <w:p>
      <w:pPr>
        <w:spacing w:after="0" w:line="12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Although we do not currently rely upon any material licenses to any patent rights, proprietary technology, or other intellectual property from any third parties for the development of our products and technology, we may in the future rely, in part, upon licenses to certain patent rights, proprietary technology and other intellectual property from third parties that are important or necessary to the development of our products and technology, including future products and technology. Further development and commercialization of our current products, and development of any future products, may require us to enter into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06" w:lineRule="exact"/>
        <w:rPr>
          <w:sz w:val="20"/>
          <w:szCs w:val="20"/>
          <w:color w:val="auto"/>
        </w:rPr>
      </w:pPr>
    </w:p>
    <w:p>
      <w:pPr>
        <w:jc w:val="both"/>
        <w:ind w:right="120" w:firstLine="374"/>
        <w:spacing w:after="0" w:line="272" w:lineRule="auto"/>
        <w:rPr>
          <w:sz w:val="20"/>
          <w:szCs w:val="20"/>
          <w:color w:val="auto"/>
        </w:rPr>
      </w:pPr>
      <w:r>
        <w:rPr>
          <w:rFonts w:ascii="Times New Roman" w:cs="Times New Roman" w:eastAsia="Times New Roman" w:hAnsi="Times New Roman"/>
          <w:sz w:val="17"/>
          <w:szCs w:val="17"/>
          <w:color w:val="auto"/>
        </w:rPr>
        <w:t>In addition, and as such, in the future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Additionally, patents that may be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potential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22" w:lineRule="exact"/>
        <w:rPr>
          <w:sz w:val="20"/>
          <w:szCs w:val="20"/>
          <w:color w:val="auto"/>
        </w:rPr>
      </w:pPr>
    </w:p>
    <w:p>
      <w:pPr>
        <w:ind w:right="340" w:firstLine="374"/>
        <w:spacing w:after="0" w:line="265" w:lineRule="auto"/>
        <w:rPr>
          <w:sz w:val="20"/>
          <w:szCs w:val="20"/>
          <w:color w:val="auto"/>
        </w:rPr>
      </w:pPr>
      <w:r>
        <w:rPr>
          <w:rFonts w:ascii="Times New Roman" w:cs="Times New Roman" w:eastAsia="Times New Roman" w:hAnsi="Times New Roman"/>
          <w:sz w:val="18"/>
          <w:szCs w:val="18"/>
          <w:color w:val="auto"/>
        </w:rPr>
        <w:t>Our potential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11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5" w:name="page56"/>
    <w:bookmarkEnd w:id="55"/>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66"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w:t>
      </w:r>
    </w:p>
    <w:p>
      <w:pPr>
        <w:spacing w:after="0" w:line="144" w:lineRule="exact"/>
        <w:rPr>
          <w:sz w:val="20"/>
          <w:szCs w:val="20"/>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57" w:lineRule="exact"/>
        <w:rPr>
          <w:rFonts w:ascii="Times New Roman" w:cs="Times New Roman" w:eastAsia="Times New Roman" w:hAnsi="Times New Roman"/>
          <w:sz w:val="18"/>
          <w:szCs w:val="18"/>
          <w:color w:val="auto"/>
        </w:rPr>
      </w:pPr>
    </w:p>
    <w:p>
      <w:pPr>
        <w:ind w:left="1140" w:right="480" w:hanging="383"/>
        <w:spacing w:after="0" w:line="281"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43" w:lineRule="exact"/>
        <w:rPr>
          <w:rFonts w:ascii="Times New Roman" w:cs="Times New Roman" w:eastAsia="Times New Roman" w:hAnsi="Times New Roman"/>
          <w:sz w:val="18"/>
          <w:szCs w:val="18"/>
          <w:color w:val="auto"/>
        </w:rPr>
      </w:pPr>
    </w:p>
    <w:p>
      <w:pPr>
        <w:ind w:left="1140" w:right="340" w:hanging="383"/>
        <w:spacing w:after="0" w:line="281"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products, and what activities satisfy those diligence obligations;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57" w:lineRule="exact"/>
        <w:rPr>
          <w:rFonts w:ascii="Times New Roman" w:cs="Times New Roman" w:eastAsia="Times New Roman" w:hAnsi="Times New Roman"/>
          <w:sz w:val="18"/>
          <w:szCs w:val="18"/>
          <w:color w:val="auto"/>
        </w:rPr>
      </w:pPr>
    </w:p>
    <w:p>
      <w:pPr>
        <w:ind w:left="1140" w:right="20" w:hanging="383"/>
        <w:spacing w:after="0" w:line="281"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any of our future licensors and us and our partners.</w:t>
      </w:r>
    </w:p>
    <w:p>
      <w:pPr>
        <w:spacing w:after="0" w:line="82" w:lineRule="exact"/>
        <w:rPr>
          <w:sz w:val="20"/>
          <w:szCs w:val="20"/>
          <w:color w:val="auto"/>
        </w:rPr>
      </w:pPr>
    </w:p>
    <w:p>
      <w:pPr>
        <w:jc w:val="both"/>
        <w:ind w:right="240" w:firstLine="374"/>
        <w:spacing w:after="0" w:line="312" w:lineRule="auto"/>
        <w:rPr>
          <w:sz w:val="20"/>
          <w:szCs w:val="20"/>
          <w:color w:val="auto"/>
        </w:rPr>
      </w:pPr>
      <w:r>
        <w:rPr>
          <w:rFonts w:ascii="Times New Roman" w:cs="Times New Roman" w:eastAsia="Times New Roman" w:hAnsi="Times New Roman"/>
          <w:sz w:val="17"/>
          <w:szCs w:val="17"/>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72" w:lineRule="exact"/>
        <w:rPr>
          <w:sz w:val="20"/>
          <w:szCs w:val="20"/>
          <w:color w:val="auto"/>
        </w:rPr>
      </w:pPr>
    </w:p>
    <w:p>
      <w:pPr>
        <w:ind w:right="40" w:firstLine="374"/>
        <w:spacing w:after="0" w:line="265"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1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05" w:lineRule="exact"/>
        <w:rPr>
          <w:sz w:val="20"/>
          <w:szCs w:val="20"/>
          <w:color w:val="auto"/>
        </w:rPr>
      </w:pPr>
    </w:p>
    <w:p>
      <w:pPr>
        <w:jc w:val="both"/>
        <w:ind w:right="160" w:firstLine="374"/>
        <w:spacing w:after="0" w:line="265" w:lineRule="auto"/>
        <w:rPr>
          <w:sz w:val="20"/>
          <w:szCs w:val="20"/>
          <w:color w:val="auto"/>
        </w:rPr>
      </w:pPr>
      <w:r>
        <w:rPr>
          <w:rFonts w:ascii="Times New Roman" w:cs="Times New Roman" w:eastAsia="Times New Roman" w:hAnsi="Times New Roman"/>
          <w:sz w:val="18"/>
          <w:szCs w:val="18"/>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110" w:lineRule="exact"/>
        <w:rPr>
          <w:sz w:val="20"/>
          <w:szCs w:val="20"/>
          <w:color w:val="auto"/>
        </w:rPr>
      </w:pPr>
    </w:p>
    <w:p>
      <w:pPr>
        <w:jc w:val="both"/>
        <w:ind w:right="40" w:firstLine="374"/>
        <w:spacing w:after="0" w:line="260" w:lineRule="auto"/>
        <w:rPr>
          <w:sz w:val="20"/>
          <w:szCs w:val="20"/>
          <w:color w:val="auto"/>
        </w:rPr>
      </w:pPr>
      <w:r>
        <w:rPr>
          <w:rFonts w:ascii="Times New Roman" w:cs="Times New Roman" w:eastAsia="Times New Roman" w:hAnsi="Times New Roman"/>
          <w:sz w:val="18"/>
          <w:szCs w:val="18"/>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6" w:name="page57"/>
    <w:bookmarkEnd w:id="56"/>
    <w:p>
      <w:pPr>
        <w:ind w:right="120"/>
        <w:spacing w:after="0" w:line="281" w:lineRule="auto"/>
        <w:rPr>
          <w:sz w:val="20"/>
          <w:szCs w:val="20"/>
          <w:color w:val="auto"/>
        </w:rPr>
      </w:pPr>
      <w:r>
        <w:rPr>
          <w:rFonts w:ascii="Times New Roman" w:cs="Times New Roman" w:eastAsia="Times New Roman" w:hAnsi="Times New Roman"/>
          <w:sz w:val="18"/>
          <w:szCs w:val="18"/>
          <w:color w:val="auto"/>
        </w:rPr>
        <w:t>monitor whether our predecessors or future licensors limit their use of the technology to these uses, and we could incur substantial expenses to enforce our rights to our licensed technology in the event of misuse.</w:t>
      </w:r>
    </w:p>
    <w:p>
      <w:pPr>
        <w:spacing w:after="0" w:line="95" w:lineRule="exact"/>
        <w:rPr>
          <w:sz w:val="20"/>
          <w:szCs w:val="20"/>
          <w:color w:val="auto"/>
        </w:rPr>
      </w:pPr>
    </w:p>
    <w:p>
      <w:pPr>
        <w:ind w:right="200" w:firstLine="374"/>
        <w:spacing w:after="0" w:line="280" w:lineRule="auto"/>
        <w:rPr>
          <w:sz w:val="20"/>
          <w:szCs w:val="20"/>
          <w:color w:val="auto"/>
        </w:rPr>
      </w:pPr>
      <w:r>
        <w:rPr>
          <w:rFonts w:ascii="Times New Roman" w:cs="Times New Roman" w:eastAsia="Times New Roman" w:hAnsi="Times New Roman"/>
          <w:sz w:val="17"/>
          <w:szCs w:val="17"/>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any products we may develop through acquisitions and in-licenses.</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50"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95" w:lineRule="exact"/>
        <w:rPr>
          <w:sz w:val="20"/>
          <w:szCs w:val="20"/>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43" w:lineRule="exact"/>
        <w:rPr>
          <w:rFonts w:ascii="Times New Roman" w:cs="Times New Roman" w:eastAsia="Times New Roman" w:hAnsi="Times New Roman"/>
          <w:sz w:val="18"/>
          <w:szCs w:val="18"/>
          <w:color w:val="auto"/>
        </w:rPr>
      </w:pPr>
    </w:p>
    <w:p>
      <w:pPr>
        <w:jc w:val="both"/>
        <w:ind w:left="1140" w:right="320" w:hanging="383"/>
        <w:spacing w:after="0" w:line="288" w:lineRule="auto"/>
        <w:tabs>
          <w:tab w:leader="none" w:pos="11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91" w:lineRule="exact"/>
        <w:rPr>
          <w:rFonts w:ascii="Times New Roman" w:cs="Times New Roman" w:eastAsia="Times New Roman" w:hAnsi="Times New Roman"/>
          <w:sz w:val="17"/>
          <w:szCs w:val="17"/>
          <w:color w:val="auto"/>
        </w:rPr>
      </w:pPr>
    </w:p>
    <w:p>
      <w:pPr>
        <w:ind w:left="1140" w:right="220" w:hanging="383"/>
        <w:spacing w:after="0" w:line="281"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and future products;</w:t>
      </w:r>
    </w:p>
    <w:p>
      <w:pPr>
        <w:spacing w:after="0" w:line="95" w:lineRule="exact"/>
        <w:rPr>
          <w:rFonts w:ascii="Times New Roman" w:cs="Times New Roman" w:eastAsia="Times New Roman" w:hAnsi="Times New Roman"/>
          <w:sz w:val="18"/>
          <w:szCs w:val="18"/>
          <w:color w:val="auto"/>
        </w:rPr>
      </w:pPr>
    </w:p>
    <w:p>
      <w:pPr>
        <w:ind w:left="1140" w:right="400" w:hanging="383"/>
        <w:spacing w:after="0" w:line="281"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57" w:lineRule="exact"/>
        <w:rPr>
          <w:rFonts w:ascii="Times New Roman" w:cs="Times New Roman" w:eastAsia="Times New Roman" w:hAnsi="Times New Roman"/>
          <w:sz w:val="18"/>
          <w:szCs w:val="18"/>
          <w:color w:val="auto"/>
        </w:rPr>
      </w:pPr>
    </w:p>
    <w:p>
      <w:pPr>
        <w:ind w:left="1140" w:right="600" w:hanging="383"/>
        <w:spacing w:after="0" w:line="265"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09" w:lineRule="exact"/>
        <w:rPr>
          <w:rFonts w:ascii="Times New Roman" w:cs="Times New Roman" w:eastAsia="Times New Roman" w:hAnsi="Times New Roman"/>
          <w:sz w:val="18"/>
          <w:szCs w:val="18"/>
          <w:color w:val="auto"/>
        </w:rPr>
      </w:pPr>
    </w:p>
    <w:p>
      <w:pPr>
        <w:ind w:left="1140" w:right="100" w:hanging="383"/>
        <w:spacing w:after="0" w:line="281"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81" w:lineRule="exact"/>
        <w:rPr>
          <w:rFonts w:ascii="Times New Roman" w:cs="Times New Roman" w:eastAsia="Times New Roman" w:hAnsi="Times New Roman"/>
          <w:sz w:val="18"/>
          <w:szCs w:val="18"/>
          <w:color w:val="auto"/>
        </w:rPr>
      </w:pPr>
    </w:p>
    <w:p>
      <w:pPr>
        <w:ind w:left="1140" w:right="860" w:hanging="383"/>
        <w:spacing w:after="0" w:line="281"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7" w:name="page58"/>
    <w:bookmarkEnd w:id="57"/>
    <w:p>
      <w:pPr>
        <w:ind w:left="1140" w:right="380" w:hanging="383"/>
        <w:spacing w:after="0" w:line="281"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95" w:lineRule="exact"/>
        <w:rPr>
          <w:rFonts w:ascii="Times New Roman" w:cs="Times New Roman" w:eastAsia="Times New Roman" w:hAnsi="Times New Roman"/>
          <w:sz w:val="18"/>
          <w:szCs w:val="18"/>
          <w:color w:val="auto"/>
        </w:rPr>
      </w:pPr>
    </w:p>
    <w:p>
      <w:pPr>
        <w:ind w:left="1140" w:right="580" w:hanging="383"/>
        <w:spacing w:after="0" w:line="281"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other proprietary information, our business and competitive position may be harmed.</w:t>
      </w:r>
    </w:p>
    <w:p>
      <w:pPr>
        <w:spacing w:after="0" w:line="50"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125"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108"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or those to whom they</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8" w:name="page59"/>
    <w:bookmarkEnd w:id="58"/>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In addition, some courts are less willing or unwilling to protect trade secrets and agreement terms that address non-competition are difficult to enforce in many jurisdictions and might not be enforceable in certain cases.</w:t>
      </w:r>
    </w:p>
    <w:p>
      <w:pPr>
        <w:spacing w:after="0" w:line="113" w:lineRule="exact"/>
        <w:rPr>
          <w:sz w:val="20"/>
          <w:szCs w:val="20"/>
          <w:color w:val="auto"/>
        </w:rPr>
      </w:pPr>
    </w:p>
    <w:p>
      <w:pPr>
        <w:ind w:right="280" w:firstLine="374"/>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9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patent law or the patent law of other countries or jurisdictions could diminish the value of patents in general, thereby impairing our ability to protect our products.</w:t>
      </w:r>
    </w:p>
    <w:p>
      <w:pPr>
        <w:spacing w:after="0" w:line="50"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1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121"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59" w:name="page60"/>
    <w:bookmarkEnd w:id="59"/>
    <w:p>
      <w:pPr>
        <w:ind w:right="460"/>
        <w:spacing w:after="0" w:line="281" w:lineRule="auto"/>
        <w:rPr>
          <w:sz w:val="20"/>
          <w:szCs w:val="20"/>
          <w:color w:val="auto"/>
        </w:rPr>
      </w:pPr>
      <w:r>
        <w:rPr>
          <w:rFonts w:ascii="Times New Roman" w:cs="Times New Roman" w:eastAsia="Times New Roman" w:hAnsi="Times New Roman"/>
          <w:sz w:val="18"/>
          <w:szCs w:val="18"/>
          <w:color w:val="auto"/>
        </w:rPr>
        <w:t>we do not have any issued or in-licensed patents and any future patent claims or other intellectual property rights may not be effective or sufficient to prevent them from so competing.</w:t>
      </w:r>
    </w:p>
    <w:p>
      <w:pPr>
        <w:spacing w:after="0" w:line="9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05" w:lineRule="exact"/>
        <w:rPr>
          <w:sz w:val="20"/>
          <w:szCs w:val="20"/>
          <w:color w:val="auto"/>
        </w:rPr>
      </w:pPr>
    </w:p>
    <w:p>
      <w:pPr>
        <w:ind w:right="100" w:firstLine="374"/>
        <w:spacing w:after="0" w:line="280"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99"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Since June 1, 2023, European applications have the option, upon grant of a patent, of becoming a Unitary Patent which will be subject to the jurisdiction of the Unitary Patent Court (“UPC”). This is a significant change in European patent practice. As the UPC is a new court system, precedent is developing for the court, increasing the uncertainty of any litigation.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120" w:firstLine="374"/>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95" w:lineRule="exact"/>
        <w:rPr>
          <w:sz w:val="20"/>
          <w:szCs w:val="20"/>
          <w:color w:val="auto"/>
        </w:rPr>
      </w:pPr>
    </w:p>
    <w:p>
      <w:pPr>
        <w:ind w:left="1140" w:right="140" w:hanging="383"/>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81" w:lineRule="exact"/>
        <w:rPr>
          <w:rFonts w:ascii="Times New Roman" w:cs="Times New Roman" w:eastAsia="Times New Roman" w:hAnsi="Times New Roman"/>
          <w:sz w:val="18"/>
          <w:szCs w:val="18"/>
          <w:color w:val="auto"/>
        </w:rPr>
      </w:pPr>
    </w:p>
    <w:p>
      <w:pPr>
        <w:ind w:left="1140" w:right="300" w:hanging="383"/>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95" w:lineRule="exact"/>
        <w:rPr>
          <w:rFonts w:ascii="Times New Roman" w:cs="Times New Roman" w:eastAsia="Times New Roman" w:hAnsi="Times New Roman"/>
          <w:sz w:val="18"/>
          <w:szCs w:val="18"/>
          <w:color w:val="auto"/>
        </w:rPr>
      </w:pPr>
    </w:p>
    <w:p>
      <w:pPr>
        <w:ind w:left="1140" w:right="140" w:hanging="383"/>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licensors or collaborators might not have been the first to file patent applications covering certain of our inventions;</w:t>
      </w:r>
    </w:p>
    <w:p>
      <w:pPr>
        <w:spacing w:after="0" w:line="95" w:lineRule="exact"/>
        <w:rPr>
          <w:rFonts w:ascii="Times New Roman" w:cs="Times New Roman" w:eastAsia="Times New Roman" w:hAnsi="Times New Roman"/>
          <w:sz w:val="18"/>
          <w:szCs w:val="18"/>
          <w:color w:val="auto"/>
        </w:rPr>
      </w:pPr>
    </w:p>
    <w:p>
      <w:pPr>
        <w:ind w:left="1140" w:right="1060" w:hanging="383"/>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owned or in-licensed patent applications will not lead to issued patents;</w:t>
      </w:r>
    </w:p>
    <w:p>
      <w:pPr>
        <w:spacing w:after="0" w:line="157" w:lineRule="exact"/>
        <w:rPr>
          <w:rFonts w:ascii="Times New Roman" w:cs="Times New Roman" w:eastAsia="Times New Roman" w:hAnsi="Times New Roman"/>
          <w:sz w:val="18"/>
          <w:szCs w:val="18"/>
          <w:color w:val="auto"/>
        </w:rPr>
      </w:pPr>
    </w:p>
    <w:p>
      <w:pPr>
        <w:ind w:left="1140" w:right="80" w:hanging="383"/>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95" w:lineRule="exact"/>
        <w:rPr>
          <w:rFonts w:ascii="Times New Roman" w:cs="Times New Roman" w:eastAsia="Times New Roman" w:hAnsi="Times New Roman"/>
          <w:sz w:val="18"/>
          <w:szCs w:val="18"/>
          <w:color w:val="auto"/>
        </w:rPr>
      </w:pPr>
    </w:p>
    <w:p>
      <w:pPr>
        <w:ind w:left="1140" w:right="80" w:hanging="383"/>
        <w:spacing w:after="0" w:line="288" w:lineRule="auto"/>
        <w:tabs>
          <w:tab w:leader="none" w:pos="11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78"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57" w:lineRule="exact"/>
        <w:rPr>
          <w:rFonts w:ascii="Times New Roman" w:cs="Times New Roman" w:eastAsia="Times New Roman" w:hAnsi="Times New Roman"/>
          <w:sz w:val="18"/>
          <w:szCs w:val="18"/>
          <w:color w:val="auto"/>
        </w:rPr>
      </w:pPr>
    </w:p>
    <w:p>
      <w:pPr>
        <w:ind w:left="1140" w:right="320" w:hanging="383"/>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60" w:name="page61"/>
    <w:bookmarkEnd w:id="60"/>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our proprietary software to general release, adversely affect our ability to sell our products and subject us to possible litigation.</w:t>
      </w:r>
    </w:p>
    <w:p>
      <w:pPr>
        <w:spacing w:after="0" w:line="50"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We may incorporate open source software in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7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50"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50"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55" w:lineRule="exact"/>
        <w:rPr>
          <w:sz w:val="20"/>
          <w:szCs w:val="20"/>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and manufacture;</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preclinical and clinical testing, labeling, packaging, storage and distribution;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1" w:name="page62"/>
    <w:bookmarkEnd w:id="61"/>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effective;</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changes;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 and</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marketing surveillance, including reporting of deaths or serious injuries and recalls and correction and removals.</w:t>
      </w:r>
    </w:p>
    <w:p>
      <w:pPr>
        <w:spacing w:after="0" w:line="157"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Before a new medical device, or a new intended use for an existing product, can be marketed in the United States, a company must first submit and receive either 510(k) clearance pursuant to Section 510(k) of the FDCA, or approval of a premarket approval, or PMA, application from the FDA, unless an exemption applies.</w:t>
      </w:r>
    </w:p>
    <w:p>
      <w:pPr>
        <w:spacing w:after="0" w:line="110"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57" w:lineRule="exact"/>
        <w:rPr>
          <w:sz w:val="20"/>
          <w:szCs w:val="20"/>
          <w:color w:val="auto"/>
        </w:rPr>
      </w:pPr>
    </w:p>
    <w:p>
      <w:pPr>
        <w:ind w:left="1140" w:right="180" w:hanging="383"/>
        <w:spacing w:after="0" w:line="281"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our products are safe or effective for their intended uses;</w:t>
      </w:r>
    </w:p>
    <w:p>
      <w:pPr>
        <w:spacing w:after="0" w:line="95" w:lineRule="exact"/>
        <w:rPr>
          <w:rFonts w:ascii="Times New Roman" w:cs="Times New Roman" w:eastAsia="Times New Roman" w:hAnsi="Times New Roman"/>
          <w:sz w:val="18"/>
          <w:szCs w:val="18"/>
          <w:color w:val="auto"/>
        </w:rPr>
      </w:pPr>
    </w:p>
    <w:p>
      <w:pPr>
        <w:ind w:left="1140" w:right="180" w:hanging="383"/>
        <w:spacing w:after="0" w:line="281"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8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43" w:lineRule="exact"/>
        <w:rPr>
          <w:rFonts w:ascii="Times New Roman" w:cs="Times New Roman" w:eastAsia="Times New Roman" w:hAnsi="Times New Roman"/>
          <w:sz w:val="18"/>
          <w:szCs w:val="18"/>
          <w:color w:val="auto"/>
        </w:rPr>
      </w:pPr>
    </w:p>
    <w:p>
      <w:pPr>
        <w:ind w:left="1140" w:right="380" w:hanging="383"/>
        <w:spacing w:after="0" w:line="260"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114" w:lineRule="exact"/>
        <w:rPr>
          <w:rFonts w:ascii="Times New Roman" w:cs="Times New Roman" w:eastAsia="Times New Roman" w:hAnsi="Times New Roman"/>
          <w:sz w:val="18"/>
          <w:szCs w:val="18"/>
          <w:color w:val="auto"/>
        </w:rPr>
      </w:pPr>
    </w:p>
    <w:p>
      <w:pPr>
        <w:ind w:left="1140" w:right="160" w:hanging="383"/>
        <w:spacing w:after="0" w:line="281"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authority may identify significant deficiencies in our manufacturing processes, facilities or analytical methods or those of our third-party contract manufacturers;</w:t>
      </w:r>
    </w:p>
    <w:p>
      <w:pPr>
        <w:spacing w:after="0" w:line="95" w:lineRule="exact"/>
        <w:rPr>
          <w:rFonts w:ascii="Times New Roman" w:cs="Times New Roman" w:eastAsia="Times New Roman" w:hAnsi="Times New Roman"/>
          <w:sz w:val="18"/>
          <w:szCs w:val="18"/>
          <w:color w:val="auto"/>
        </w:rPr>
      </w:pPr>
    </w:p>
    <w:p>
      <w:pPr>
        <w:ind w:left="1140" w:right="340" w:hanging="383"/>
        <w:spacing w:after="0" w:line="281"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62" w:name="page63"/>
    <w:bookmarkEnd w:id="62"/>
    <w:p>
      <w:pPr>
        <w:ind w:left="1140" w:right="260" w:hanging="383"/>
        <w:spacing w:after="0" w:line="281"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regulatory authorities may audit our clinical trial data and conclude that the data is not sufficiently reliable to support approval or clearance.</w:t>
      </w:r>
    </w:p>
    <w:p>
      <w:pPr>
        <w:spacing w:after="0" w:line="95"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10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115"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In addition, we are required to timely file various reports with the FDA, including, Medical Device Reporting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114"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10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115" w:lineRule="exact"/>
        <w:rPr>
          <w:sz w:val="20"/>
          <w:szCs w:val="20"/>
          <w:color w:val="auto"/>
        </w:rPr>
      </w:pPr>
    </w:p>
    <w:p>
      <w:pPr>
        <w:ind w:right="700" w:firstLine="374"/>
        <w:spacing w:after="0" w:line="281"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95" w:lineRule="exact"/>
        <w:rPr>
          <w:sz w:val="20"/>
          <w:szCs w:val="20"/>
          <w:color w:val="auto"/>
        </w:rPr>
      </w:pPr>
    </w:p>
    <w:p>
      <w:pPr>
        <w:ind w:left="1140" w:hanging="383"/>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fines, injunctions, consent decrees and civil penalties;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 of our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510(k) clearance or PMA of new products, new intended uses or modifications to existing products;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 or PMAs that have already been granted;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57"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in the United States.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Medical devices regulated by the FDA are subject to “general controls” which include: registration with the FDA; listing commercially distributed products with the FDA; complying with all applicable requirements under the QSR, or QSMR when its goes into effect in February 2026;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122"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101"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119"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124"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105"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our facility where the product is manufactured or disagrees with the promotion,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4" w:name="page65"/>
    <w:bookmarkEnd w:id="64"/>
    <w:p>
      <w:pPr>
        <w:ind w:right="300"/>
        <w:spacing w:after="0" w:line="281" w:lineRule="auto"/>
        <w:rPr>
          <w:sz w:val="20"/>
          <w:szCs w:val="20"/>
          <w:color w:val="auto"/>
        </w:rPr>
      </w:pPr>
      <w:r>
        <w:rPr>
          <w:rFonts w:ascii="Times New Roman" w:cs="Times New Roman" w:eastAsia="Times New Roman" w:hAnsi="Times New Roman"/>
          <w:sz w:val="18"/>
          <w:szCs w:val="18"/>
          <w:color w:val="auto"/>
        </w:rPr>
        <w:t>marketing or labeling of a product, such regulatory agency may impose restrictions on that product or us, including requiring withdrawal of the product from the market.</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a regulatory agency or enforcement authority may, among other things:</w:t>
      </w:r>
    </w:p>
    <w:p>
      <w:pPr>
        <w:spacing w:after="0" w:line="144" w:lineRule="exact"/>
        <w:rPr>
          <w:sz w:val="20"/>
          <w:szCs w:val="20"/>
          <w:color w:val="auto"/>
        </w:rPr>
      </w:pPr>
    </w:p>
    <w:p>
      <w:pPr>
        <w:ind w:left="1140" w:right="760" w:hanging="383"/>
        <w:spacing w:after="0" w:line="281"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our facility to an adverse inspectional finding or Form 483, or other compliance or enforcement notice, communication or correspondence;</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or untitled letters that would result in adverse publicity or may require corrective advertising;</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clearances or approvals;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clear or approve pending applications or supplements to approved applications submitted by us;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sub-assembly suppliers’ facilities;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157" w:lineRule="exact"/>
        <w:rPr>
          <w:sz w:val="20"/>
          <w:szCs w:val="20"/>
          <w:color w:val="auto"/>
        </w:rPr>
      </w:pPr>
    </w:p>
    <w:p>
      <w:pPr>
        <w:ind w:right="120" w:firstLine="374"/>
        <w:spacing w:after="0" w:line="281" w:lineRule="auto"/>
        <w:rPr>
          <w:sz w:val="20"/>
          <w:szCs w:val="20"/>
          <w:color w:val="auto"/>
        </w:rPr>
      </w:pPr>
      <w:r>
        <w:rPr>
          <w:rFonts w:ascii="Times New Roman" w:cs="Times New Roman" w:eastAsia="Times New Roman" w:hAnsi="Times New Roman"/>
          <w:sz w:val="18"/>
          <w:szCs w:val="18"/>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82" w:lineRule="exact"/>
        <w:rPr>
          <w:sz w:val="20"/>
          <w:szCs w:val="20"/>
          <w:color w:val="auto"/>
        </w:rPr>
      </w:pPr>
    </w:p>
    <w:p>
      <w:pPr>
        <w:ind w:right="220" w:firstLine="374"/>
        <w:spacing w:after="0" w:line="260"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14"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Recently,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11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5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65" w:name="page66"/>
    <w:bookmarkEnd w:id="65"/>
    <w:p>
      <w:pPr>
        <w:ind w:right="40"/>
        <w:spacing w:after="0" w:line="265" w:lineRule="auto"/>
        <w:rPr>
          <w:sz w:val="20"/>
          <w:szCs w:val="20"/>
          <w:color w:val="auto"/>
        </w:rPr>
      </w:pPr>
      <w:r>
        <w:rPr>
          <w:rFonts w:ascii="Times New Roman" w:cs="Times New Roman" w:eastAsia="Times New Roman" w:hAnsi="Times New Roman"/>
          <w:sz w:val="18"/>
          <w:szCs w:val="18"/>
          <w:color w:val="auto"/>
        </w:rPr>
        <w:t>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10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66"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10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RxSight system is approved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in Canada and in Mexico. Obtaining additional foreign regulatory approvals and establishing and ensuring compliance with foreign regulatory requirements in jurisdictions where we conduct business currently or in the future, could be time-consuming and expensive, and could delay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122" w:lineRule="exact"/>
        <w:rPr>
          <w:sz w:val="20"/>
          <w:szCs w:val="20"/>
          <w:color w:val="auto"/>
        </w:rPr>
      </w:pPr>
    </w:p>
    <w:p>
      <w:pPr>
        <w:ind w:firstLine="374"/>
        <w:spacing w:after="0" w:line="270" w:lineRule="auto"/>
        <w:rPr>
          <w:sz w:val="20"/>
          <w:szCs w:val="20"/>
          <w:color w:val="auto"/>
        </w:rPr>
      </w:pPr>
      <w:r>
        <w:rPr>
          <w:rFonts w:ascii="Times New Roman" w:cs="Times New Roman" w:eastAsia="Times New Roman" w:hAnsi="Times New Roman"/>
          <w:sz w:val="17"/>
          <w:szCs w:val="17"/>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w:t>
      </w:r>
    </w:p>
    <w:p>
      <w:pPr>
        <w:spacing w:after="0" w:line="2" w:lineRule="exact"/>
        <w:rPr>
          <w:sz w:val="20"/>
          <w:szCs w:val="20"/>
          <w:color w:val="auto"/>
        </w:rPr>
      </w:pPr>
    </w:p>
    <w:p>
      <w:pPr>
        <w:ind w:right="60" w:firstLine="8"/>
        <w:spacing w:after="0" w:line="251"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1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50"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101" w:lineRule="exact"/>
        <w:rPr>
          <w:sz w:val="20"/>
          <w:szCs w:val="20"/>
          <w:color w:val="auto"/>
        </w:rPr>
      </w:pPr>
    </w:p>
    <w:p>
      <w:pPr>
        <w:jc w:val="both"/>
        <w:ind w:right="80" w:firstLine="374"/>
        <w:spacing w:after="0" w:line="260" w:lineRule="auto"/>
        <w:rPr>
          <w:sz w:val="20"/>
          <w:szCs w:val="20"/>
          <w:color w:val="auto"/>
        </w:rPr>
      </w:pPr>
      <w:r>
        <w:rPr>
          <w:rFonts w:ascii="Times New Roman" w:cs="Times New Roman" w:eastAsia="Times New Roman" w:hAnsi="Times New Roman"/>
          <w:sz w:val="18"/>
          <w:szCs w:val="18"/>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66" w:name="page67"/>
    <w:bookmarkEnd w:id="66"/>
    <w:p>
      <w:pPr>
        <w:ind w:right="20"/>
        <w:spacing w:after="0" w:line="281" w:lineRule="auto"/>
        <w:rPr>
          <w:sz w:val="20"/>
          <w:szCs w:val="20"/>
          <w:color w:val="auto"/>
        </w:rPr>
      </w:pPr>
      <w:r>
        <w:rPr>
          <w:rFonts w:ascii="Times New Roman" w:cs="Times New Roman" w:eastAsia="Times New Roman" w:hAnsi="Times New Roman"/>
          <w:sz w:val="18"/>
          <w:szCs w:val="18"/>
          <w:color w:val="auto"/>
        </w:rPr>
        <w:t>submission of these reports has been and could be used by competitors against us in competitive situations and cause customers to delay purchase decisions or cancel orders and would harm our reputation.</w:t>
      </w:r>
    </w:p>
    <w:p>
      <w:pPr>
        <w:spacing w:after="0" w:line="95"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101"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1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the FDA’s QSR or QSMR when it goes into effect in February 2026, or other applicable foreign regulations, our manufacturing or distribution operations could be delayed or shut down and our revenue could suffer.</w:t>
      </w:r>
    </w:p>
    <w:p>
      <w:pPr>
        <w:spacing w:after="0" w:line="50"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Our manufacturing and design processes and those of our third-party component suppliers are required to comply with the FDA’s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Further, the FDA issued a final rule in February 2024 replacing the QSR with Quality Management System Regulation (“QMSR”), which incorporates by reference the quality management system requirements of ISO 13485:2016. The FDA has stated that the standards contained in ISO 13485:216 are substantially similar to those set forth in the existing QSR. The FDA will begin to enforce the QMSR requirements upon the effective date, February 2, 2026. If we or any of our suppliers or contractors fail to meet the regulatory requirements or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126" w:lineRule="exact"/>
        <w:rPr>
          <w:sz w:val="20"/>
          <w:szCs w:val="20"/>
          <w:color w:val="auto"/>
        </w:rPr>
      </w:pPr>
    </w:p>
    <w:p>
      <w:pPr>
        <w:jc w:val="both"/>
        <w:ind w:right="120" w:firstLine="374"/>
        <w:spacing w:after="0" w:line="265" w:lineRule="auto"/>
        <w:rPr>
          <w:sz w:val="20"/>
          <w:szCs w:val="20"/>
          <w:color w:val="auto"/>
        </w:rPr>
      </w:pPr>
      <w:r>
        <w:rPr>
          <w:rFonts w:ascii="Times New Roman" w:cs="Times New Roman" w:eastAsia="Times New Roman" w:hAnsi="Times New Roman"/>
          <w:sz w:val="18"/>
          <w:szCs w:val="18"/>
          <w:color w:val="auto"/>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spacing w:after="0" w:line="96"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can provide no assurance that we will continue to remain in material compliance with the QSR, or QSMR when it goes into effect in February 2026.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11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50"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114" w:lineRule="exact"/>
        <w:rPr>
          <w:sz w:val="20"/>
          <w:szCs w:val="20"/>
          <w:color w:val="auto"/>
        </w:rPr>
      </w:pPr>
    </w:p>
    <w:p>
      <w:pPr>
        <w:jc w:val="both"/>
        <w:ind w:right="420" w:firstLine="374"/>
        <w:spacing w:after="0" w:line="265" w:lineRule="auto"/>
        <w:rPr>
          <w:sz w:val="20"/>
          <w:szCs w:val="20"/>
          <w:color w:val="auto"/>
        </w:rPr>
      </w:pPr>
      <w:r>
        <w:rPr>
          <w:rFonts w:ascii="Times New Roman" w:cs="Times New Roman" w:eastAsia="Times New Roman" w:hAnsi="Times New Roman"/>
          <w:sz w:val="18"/>
          <w:szCs w:val="18"/>
          <w:color w:val="auto"/>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67" w:name="page68"/>
    <w:bookmarkEnd w:id="67"/>
    <w:p>
      <w:pPr>
        <w:ind w:right="580"/>
        <w:spacing w:after="0" w:line="265" w:lineRule="auto"/>
        <w:rPr>
          <w:sz w:val="20"/>
          <w:szCs w:val="20"/>
          <w:color w:val="auto"/>
        </w:rPr>
      </w:pPr>
      <w:r>
        <w:rPr>
          <w:rFonts w:ascii="Times New Roman" w:cs="Times New Roman" w:eastAsia="Times New Roman" w:hAnsi="Times New Roman"/>
          <w:sz w:val="18"/>
          <w:szCs w:val="18"/>
          <w:color w:val="auto"/>
        </w:rPr>
        <w:t>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110" w:lineRule="exact"/>
        <w:rPr>
          <w:sz w:val="20"/>
          <w:szCs w:val="20"/>
          <w:color w:val="auto"/>
        </w:rPr>
      </w:pPr>
    </w:p>
    <w:p>
      <w:pPr>
        <w:ind w:right="200" w:firstLine="374"/>
        <w:spacing w:after="0" w:line="255" w:lineRule="auto"/>
        <w:rPr>
          <w:sz w:val="20"/>
          <w:szCs w:val="20"/>
          <w:color w:val="auto"/>
        </w:rPr>
      </w:pPr>
      <w:r>
        <w:rPr>
          <w:rFonts w:ascii="Times New Roman" w:cs="Times New Roman" w:eastAsia="Times New Roman" w:hAnsi="Times New Roman"/>
          <w:sz w:val="18"/>
          <w:szCs w:val="18"/>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new Trump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106"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2032, with the exception of a temporary suspension implemented under various COVID-19 relief legislation.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119" w:lineRule="exact"/>
        <w:rPr>
          <w:sz w:val="20"/>
          <w:szCs w:val="20"/>
          <w:color w:val="auto"/>
        </w:rPr>
      </w:pPr>
    </w:p>
    <w:p>
      <w:pPr>
        <w:ind w:right="400" w:firstLine="374"/>
        <w:spacing w:after="0" w:line="265" w:lineRule="auto"/>
        <w:rPr>
          <w:sz w:val="20"/>
          <w:szCs w:val="20"/>
          <w:color w:val="auto"/>
        </w:rPr>
      </w:pPr>
      <w:r>
        <w:rPr>
          <w:rFonts w:ascii="Times New Roman" w:cs="Times New Roman" w:eastAsia="Times New Roman" w:hAnsi="Times New Roman"/>
          <w:sz w:val="18"/>
          <w:szCs w:val="18"/>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110" w:lineRule="exact"/>
        <w:rPr>
          <w:sz w:val="20"/>
          <w:szCs w:val="20"/>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57"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7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United States federal and state fraud and abuse and other healthcare laws and regulations, we could face substantial penalties and our business operations and financial condition could be adversely affected.</w:t>
      </w:r>
    </w:p>
    <w:p>
      <w:pPr>
        <w:spacing w:after="0" w:line="5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68" w:name="page69"/>
    <w:bookmarkEnd w:id="68"/>
    <w:p>
      <w:pPr>
        <w:ind w:right="500"/>
        <w:spacing w:after="0" w:line="265" w:lineRule="auto"/>
        <w:rPr>
          <w:sz w:val="20"/>
          <w:szCs w:val="20"/>
          <w:color w:val="auto"/>
        </w:rPr>
      </w:pPr>
      <w:r>
        <w:rPr>
          <w:rFonts w:ascii="Times New Roman" w:cs="Times New Roman" w:eastAsia="Times New Roman" w:hAnsi="Times New Roman"/>
          <w:sz w:val="18"/>
          <w:szCs w:val="18"/>
          <w:color w:val="auto"/>
        </w:rPr>
        <w:t>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110"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105" w:lineRule="exact"/>
        <w:rPr>
          <w:sz w:val="20"/>
          <w:szCs w:val="20"/>
          <w:color w:val="auto"/>
        </w:rPr>
      </w:pPr>
    </w:p>
    <w:p>
      <w:pPr>
        <w:ind w:left="1140" w:hanging="383"/>
        <w:spacing w:after="0" w:line="256"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spacing w:after="0" w:line="118" w:lineRule="exact"/>
        <w:rPr>
          <w:rFonts w:ascii="Times New Roman" w:cs="Times New Roman" w:eastAsia="Times New Roman" w:hAnsi="Times New Roman"/>
          <w:sz w:val="18"/>
          <w:szCs w:val="18"/>
          <w:color w:val="auto"/>
        </w:rPr>
      </w:pPr>
    </w:p>
    <w:p>
      <w:pPr>
        <w:ind w:left="1140" w:right="40" w:hanging="383"/>
        <w:spacing w:after="0" w:line="258"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114" w:lineRule="exact"/>
        <w:rPr>
          <w:rFonts w:ascii="Times New Roman" w:cs="Times New Roman" w:eastAsia="Times New Roman" w:hAnsi="Times New Roman"/>
          <w:sz w:val="18"/>
          <w:szCs w:val="18"/>
          <w:color w:val="auto"/>
        </w:rPr>
      </w:pPr>
    </w:p>
    <w:p>
      <w:pPr>
        <w:ind w:left="1140" w:right="340" w:hanging="383"/>
        <w:spacing w:after="0" w:line="281"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81" w:lineRule="exact"/>
        <w:rPr>
          <w:rFonts w:ascii="Times New Roman" w:cs="Times New Roman" w:eastAsia="Times New Roman" w:hAnsi="Times New Roman"/>
          <w:sz w:val="18"/>
          <w:szCs w:val="18"/>
          <w:color w:val="auto"/>
        </w:rPr>
      </w:pPr>
    </w:p>
    <w:p>
      <w:pPr>
        <w:ind w:left="1140" w:right="60" w:hanging="383"/>
        <w:spacing w:after="0" w:line="260"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114" w:lineRule="exact"/>
        <w:rPr>
          <w:rFonts w:ascii="Times New Roman" w:cs="Times New Roman" w:eastAsia="Times New Roman" w:hAnsi="Times New Roman"/>
          <w:sz w:val="18"/>
          <w:szCs w:val="18"/>
          <w:color w:val="auto"/>
        </w:rPr>
      </w:pPr>
    </w:p>
    <w:p>
      <w:pPr>
        <w:ind w:left="1140" w:right="20" w:hanging="383"/>
        <w:spacing w:after="0" w:line="256"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spacing w:after="0" w:line="118" w:lineRule="exact"/>
        <w:rPr>
          <w:rFonts w:ascii="Times New Roman" w:cs="Times New Roman" w:eastAsia="Times New Roman" w:hAnsi="Times New Roman"/>
          <w:sz w:val="18"/>
          <w:szCs w:val="18"/>
          <w:color w:val="auto"/>
        </w:rPr>
      </w:pPr>
    </w:p>
    <w:p>
      <w:pPr>
        <w:ind w:left="1140" w:right="20" w:hanging="383"/>
        <w:spacing w:after="0" w:line="254"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69" w:name="page70"/>
    <w:bookmarkEnd w:id="69"/>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118"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10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11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CMS fee schedules may harm our revenue and operating results.</w:t>
      </w:r>
    </w:p>
    <w:p>
      <w:pPr>
        <w:spacing w:after="0" w:line="121"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0" w:name="page71"/>
    <w:bookmarkEnd w:id="70"/>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50" w:lineRule="exact"/>
        <w:rPr>
          <w:sz w:val="20"/>
          <w:szCs w:val="20"/>
          <w:color w:val="auto"/>
        </w:rPr>
      </w:pPr>
    </w:p>
    <w:p>
      <w:pPr>
        <w:ind w:right="160" w:firstLine="374"/>
        <w:spacing w:after="0" w:line="276" w:lineRule="auto"/>
        <w:rPr>
          <w:sz w:val="20"/>
          <w:szCs w:val="20"/>
          <w:color w:val="auto"/>
        </w:rPr>
      </w:pPr>
      <w:r>
        <w:rPr>
          <w:rFonts w:ascii="Times New Roman" w:cs="Times New Roman" w:eastAsia="Times New Roman" w:hAnsi="Times New Roman"/>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103"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 June 2024, the U.S. Supreme Court overruled the Chevron doctrine, which gives deference to regulatory agencies’ statutory interpretations in litigation against federal government agencies where the law is ambiguous. This landmark Supreme Court decision may invite more stakeholders to bring lawsuits against the FDA and other federal agencies to challenge longstanding decisions and policies, which could lead to uncertainties in the industry. Further, changes in the leadership of the FDA and other federal agencies under the new Trump administration may lead to new policies and changes in the regulations that can increase our compliance costs. 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50"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 2017, the European Union (“EU”) published the new EU Medical Device Regulation (“EU MDR”) (2017/745), the application of which was postponed until May 26, 2021 for class I devices (lowest risk) and May 26, 2024 for all other class devices (higher risk devices). In February 2023, EU Parliament voted to extend the EU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EU MDR, notified bodies are required to seek designation to operate as conformity assessment authorities under the new law. While we are currently in compliance with the EU MDR and in process of transferring certification from MDD to EU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119" w:lineRule="exact"/>
        <w:rPr>
          <w:sz w:val="20"/>
          <w:szCs w:val="20"/>
          <w:color w:val="auto"/>
        </w:rPr>
      </w:pPr>
    </w:p>
    <w:p>
      <w:pPr>
        <w:ind w:left="1140" w:hanging="38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some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emphasis on clinical data;</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transparency, including publication of clinical trial data and safety summaries;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content and structure for technical files to support registration;</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device identification system;</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burden on post-market surveillance and clinical follow-up;</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adverse event reporting time from 30 to 15 days after the event;</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review times; and</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power to notified bodies.</w:t>
      </w:r>
    </w:p>
    <w:p>
      <w:pPr>
        <w:spacing w:after="0" w:line="157"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protracted and the costs of operating in Europe will increase. A significantly more costly path to regulatory compliance is anticipated.</w:t>
      </w:r>
    </w:p>
    <w:p>
      <w:pPr>
        <w:spacing w:after="0" w:line="15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5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or failures associated with our products could lead to recalls, safety alerts or litigation, as well as significant costs and negative publicity.</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119"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114"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11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2" w:name="page73"/>
    <w:bookmarkEnd w:id="72"/>
    <w:p>
      <w:pPr>
        <w:ind w:firstLine="374"/>
        <w:spacing w:after="0" w:line="254" w:lineRule="auto"/>
        <w:rPr>
          <w:sz w:val="20"/>
          <w:szCs w:val="20"/>
          <w:color w:val="auto"/>
        </w:rPr>
      </w:pPr>
      <w:r>
        <w:rPr>
          <w:rFonts w:ascii="Times New Roman" w:cs="Times New Roman" w:eastAsia="Times New Roman" w:hAnsi="Times New Roman"/>
          <w:sz w:val="18"/>
          <w:szCs w:val="18"/>
          <w:color w:val="auto"/>
        </w:rPr>
        <w:t>We are required to file adverse event reports under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11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5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10"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laws may result in liabilities, expenses and restrictions on our operations. Failure to comply with environmental laws and regulations could subject us to significant liability.</w:t>
      </w:r>
    </w:p>
    <w:p>
      <w:pPr>
        <w:spacing w:after="0" w:line="50"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19"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Our research and development and manufacturing operations involve the use of hazardous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3" w:name="page74"/>
    <w:bookmarkEnd w:id="73"/>
    <w:p>
      <w:pPr>
        <w:spacing w:after="0" w:line="252" w:lineRule="auto"/>
        <w:rPr>
          <w:sz w:val="20"/>
          <w:szCs w:val="20"/>
          <w:color w:val="auto"/>
        </w:rPr>
      </w:pPr>
      <w:r>
        <w:rPr>
          <w:rFonts w:ascii="Times New Roman" w:cs="Times New Roman" w:eastAsia="Times New Roman" w:hAnsi="Times New Roman"/>
          <w:sz w:val="18"/>
          <w:szCs w:val="18"/>
          <w:color w:val="auto"/>
        </w:rPr>
        <w:t>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12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our collection and use of data, which could result in investigations, inquiries, litigation, fines, legislative and regulatory action and negative press about our privacy and data and security protection practices.</w:t>
      </w:r>
    </w:p>
    <w:p>
      <w:pPr>
        <w:spacing w:after="0" w:line="50"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have been and could again be subject to attacks on our systems by outside parties, or by fraudulent or inappropriate behavior by our service providers or employees. Third parties may also gain access to users’ accounts using stolen or inferred credentials, computer malware, viruses, spamming, sim-swap attacks, phishing attacks or other means, and may use such access to obtain users’ personal data or prevent use of their accounts. Data breaches or other incidents could result in a violation of applicable United States and international privacy, data protection, security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108" w:lineRule="exact"/>
        <w:rPr>
          <w:sz w:val="20"/>
          <w:szCs w:val="20"/>
          <w:color w:val="auto"/>
        </w:rPr>
      </w:pPr>
    </w:p>
    <w:p>
      <w:pPr>
        <w:ind w:right="80" w:firstLine="374"/>
        <w:spacing w:after="0" w:line="251" w:lineRule="auto"/>
        <w:rPr>
          <w:sz w:val="20"/>
          <w:szCs w:val="20"/>
          <w:color w:val="auto"/>
        </w:rPr>
      </w:pPr>
      <w:r>
        <w:rPr>
          <w:rFonts w:ascii="Times New Roman" w:cs="Times New Roman" w:eastAsia="Times New Roman" w:hAnsi="Times New Roman"/>
          <w:sz w:val="18"/>
          <w:szCs w:val="18"/>
          <w:color w:val="auto"/>
        </w:rPr>
        <w:t>This risk is enhanced in certain jurisdictions and, as we expand our operations domestically and internationally, we may be subject to additional laws in other jurisdictions. Any failure, or perceived failure, by us to comply with privacy, data protection or security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regulations or rules concerning personal information and data security and have prioritized privacy and security violations for enforcement actions. Additionally, in the United States, California adopted the CCPA in January 2020, which requires certain companies that process information of California consumers to, among other things, provide certain disclosures to California consumers and afford such consumers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unauthorized access and exfiltration, theft, or disclosure of personal information.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proposed or enacted privacy laws that are similar to the CCPA and CPRA, further complicating the legal landscape. Further, other states have enacted laws that cover certain aspects of the collection, use, disclosure, and/or other processing of health information, such as Washington’s My Health, My Data Act, which, among other things, provides for a private right of action. It remains unclear how various provisions of the CCPA and these other new and evolving state laws will be interpreted and enforced. In addition, laws in all 50 states require businesses to provide notice to consumers whose personal information has been accessed or acquired as a result of a data breach (and, in some cases, to regulators). The effects of the CCPA, CPRA and other laws relating to privacy, data protection and cybersecurity are potentially</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significant, and may require us to modify our practices and policies and to incur substantial costs and expenses in an effort to comply.</w:t>
      </w:r>
    </w:p>
    <w:p>
      <w:pPr>
        <w:spacing w:after="0" w:line="157"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106"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the GDPR is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data protection or security, which enhances risks relating to compliance with such laws. Further, the United Kingdom has adopted the UK General Data Protection Regulation and UK Data Protection Act, which retain the GDPR in the United Kingdom’s national law and provide for a penalty structure similar to the GDPR. These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data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spacing w:after="0" w:line="128"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and the United Kingdom has adopted its own new standard contractual clauses. In June 2021, the European Commission issued an adequacy decision in respect of the United Kingdom’s data protection framework, enabling data transfers from EU member states to the United Kingdom to continue without requiring contractual or other additional measures. The European Commission’s adequacy decision must be renewed in 2025 and is subject to revocation at any point. Any nonrenewal or revocation of, or modifications to, this adequacy decision could lead to additional costs and increase our overall risk exposure. These developments and other regulatory guidance or developments may impose additional obligations with respect to the transfer of personal data from the EEA, Switzerland, and the United Kingdom,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Switzerland, and the United Kingdom to the U.S. Any of these events, if occurring, could adversely affect the manner in which we provide our services and thus materially affect our operations and financial results.</w:t>
      </w:r>
    </w:p>
    <w:p>
      <w:pPr>
        <w:spacing w:after="0" w:line="12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 or is alleged to be, inconsistent with our practices and policies. Any noncompliance, or perceived noncompliance, with laws, regulations, standards and other obligations or changes in interpretations or applications of existing laws, regulations, standards and other obligations, may subject us to fines, audits, inquiries, whistleblower complaints, adverse media coverage, investigations, lawsuits, loss of export privileges, severe criminal or civil sanction or other penalties. Additionally, although we endeavor to comply with our public statements and documentation, we may at times fail to do so or be alleged to have failed to do so. The publication of our privacy policies and other statements that provide notices and representations about privacy, data protection or security can subject us to potential government or legal action if they are found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5" w:name="page76"/>
    <w:bookmarkEnd w:id="75"/>
    <w:p>
      <w:pPr>
        <w:ind w:right="120"/>
        <w:spacing w:after="0" w:line="265" w:lineRule="auto"/>
        <w:rPr>
          <w:sz w:val="20"/>
          <w:szCs w:val="20"/>
          <w:color w:val="auto"/>
        </w:rPr>
      </w:pPr>
      <w:r>
        <w:rPr>
          <w:rFonts w:ascii="Times New Roman" w:cs="Times New Roman" w:eastAsia="Times New Roman" w:hAnsi="Times New Roman"/>
          <w:sz w:val="18"/>
          <w:szCs w:val="18"/>
          <w:color w:val="auto"/>
        </w:rPr>
        <w:t>to be deceptive, unfair or misrepresentative of our actual practices. Any concerns about our privacy, data protection or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10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6" w:lineRule="exact"/>
        <w:rPr>
          <w:sz w:val="20"/>
          <w:szCs w:val="20"/>
          <w:color w:val="auto"/>
        </w:rPr>
      </w:pPr>
    </w:p>
    <w:p>
      <w:pPr>
        <w:ind w:right="160" w:firstLine="374"/>
        <w:spacing w:after="0" w:line="26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96" w:lineRule="exact"/>
        <w:rPr>
          <w:sz w:val="20"/>
          <w:szCs w:val="20"/>
          <w:color w:val="auto"/>
        </w:rPr>
      </w:pPr>
    </w:p>
    <w:p>
      <w:pPr>
        <w:ind w:right="80" w:firstLine="374"/>
        <w:spacing w:after="0" w:line="252" w:lineRule="auto"/>
        <w:rPr>
          <w:sz w:val="20"/>
          <w:szCs w:val="20"/>
          <w:color w:val="auto"/>
        </w:rPr>
      </w:pPr>
      <w:r>
        <w:rPr>
          <w:rFonts w:ascii="Times New Roman" w:cs="Times New Roman" w:eastAsia="Times New Roman" w:hAnsi="Times New Roman"/>
          <w:sz w:val="18"/>
          <w:szCs w:val="18"/>
          <w:color w:val="auto"/>
        </w:rPr>
        <w:t>Disruptions at the FDA and other agencies, including delays, travel restrictions, and staffing shortages, may also slow the time necessary for new medical devices to be reviewed and/or approved by necessary government agencies, which would adversely affect our business. For example, in 2018 and 2019, the U.S. government shut down several times and certain regulatory agencies such as the FDA had to furlough critical employees and stop critical activities. In March 2020, in response to the COVID-19 pandemic, foreign and domestic inspections of facilities were largely placed on hold, the FDA worked to resume routine surveillance, bioresearch monitoring and pre-approval inspections on a prioritized basis. During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or may be unable to complete required inspections during the review period, which can delay clinical development and result in a complete response letter. On May 11, 2023, the federal government ended the COVID-19 public health emergency, which ended a number of temporary changes made to federally funded programs while some continue to be in effect. The full impact of such policy changes and the wind-down of the public health emergency on the FDA and other regulatory policies and operations is unclear. Disruptions at the FDA could significantly impact the ability of the FDA to timely review and process our regulatory submissions, which could have a material adverse effect on our business.</w:t>
      </w:r>
    </w:p>
    <w:p>
      <w:pPr>
        <w:spacing w:after="0" w:line="12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66"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have commercialized the RxSight system outside of the United States,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protection privacy, security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6" w:name="page77"/>
    <w:bookmarkEnd w:id="76"/>
    <w:p>
      <w:pPr>
        <w:spacing w:after="0" w:line="281" w:lineRule="auto"/>
        <w:rPr>
          <w:sz w:val="20"/>
          <w:szCs w:val="20"/>
          <w:color w:val="auto"/>
        </w:rPr>
      </w:pPr>
      <w:r>
        <w:rPr>
          <w:rFonts w:ascii="Times New Roman" w:cs="Times New Roman" w:eastAsia="Times New Roman" w:hAnsi="Times New Roman"/>
          <w:sz w:val="18"/>
          <w:szCs w:val="18"/>
          <w:color w:val="auto"/>
        </w:rPr>
        <w:t>suspension or debarment from U.S. government contracts, which could have a material and adverse effect on our business, financial condition and results of operations.</w:t>
      </w:r>
    </w:p>
    <w:p>
      <w:pPr>
        <w:spacing w:after="0" w:line="95"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66"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11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50"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11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105" w:lineRule="exact"/>
        <w:rPr>
          <w:sz w:val="20"/>
          <w:szCs w:val="20"/>
          <w:color w:val="auto"/>
        </w:rPr>
      </w:pPr>
    </w:p>
    <w:p>
      <w:pPr>
        <w:ind w:right="200" w:firstLine="374"/>
        <w:spacing w:after="0" w:line="260" w:lineRule="auto"/>
        <w:rPr>
          <w:sz w:val="20"/>
          <w:szCs w:val="20"/>
          <w:color w:val="auto"/>
        </w:rPr>
      </w:pPr>
      <w:r>
        <w:rPr>
          <w:rFonts w:ascii="Times New Roman" w:cs="Times New Roman" w:eastAsia="Times New Roman" w:hAnsi="Times New Roman"/>
          <w:sz w:val="18"/>
          <w:szCs w:val="18"/>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77" w:name="page78"/>
    <w:bookmarkEnd w:id="77"/>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50"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data protection and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highly volatile and could be subject to wide fluctuations in response to various factors, some of which we cannot control. From the date of our initial public offering through February 1, 2025, our common stock has traded at a low of $8.80 and a high of $66.54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“Part I, Item 1A, “Risk Factors,” and elsewhere in this report, these factors include:</w:t>
      </w:r>
    </w:p>
    <w:p>
      <w:pPr>
        <w:spacing w:after="0" w:line="118" w:lineRule="exact"/>
        <w:rPr>
          <w:sz w:val="20"/>
          <w:szCs w:val="20"/>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our results of operations and updates regarding our business, including financial and operational guidance;</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published by securities or industry analysts about our business and prospects;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of our current and future products or those of our competitors;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8" w:name="page79"/>
    <w:bookmarkEnd w:id="78"/>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43" w:lineRule="exact"/>
        <w:rPr>
          <w:rFonts w:ascii="Times New Roman" w:cs="Times New Roman" w:eastAsia="Times New Roman" w:hAnsi="Times New Roman"/>
          <w:sz w:val="18"/>
          <w:szCs w:val="18"/>
          <w:color w:val="auto"/>
        </w:rPr>
      </w:pPr>
    </w:p>
    <w:p>
      <w:pPr>
        <w:ind w:left="1140" w:right="600" w:hanging="383"/>
        <w:spacing w:after="0" w:line="281"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medical device sector;</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 and</w:t>
      </w:r>
    </w:p>
    <w:p>
      <w:pPr>
        <w:spacing w:after="0" w:line="157" w:lineRule="exact"/>
        <w:rPr>
          <w:rFonts w:ascii="Times New Roman" w:cs="Times New Roman" w:eastAsia="Times New Roman" w:hAnsi="Times New Roman"/>
          <w:sz w:val="18"/>
          <w:szCs w:val="18"/>
          <w:color w:val="auto"/>
        </w:rPr>
      </w:pPr>
    </w:p>
    <w:p>
      <w:pPr>
        <w:ind w:left="1140" w:right="360" w:hanging="383"/>
        <w:spacing w:after="0" w:line="281"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global and national events, such as the conflicts in Eastern Europe and the Middle East, and general economic downturns.</w:t>
      </w:r>
    </w:p>
    <w:p>
      <w:pPr>
        <w:spacing w:after="0" w:line="82"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Part I, Item1A, “Risk Factors,” could have a dramatic and adverse impact on the market price of our common stock.</w:t>
      </w:r>
    </w:p>
    <w:p>
      <w:pPr>
        <w:spacing w:after="0" w:line="95"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50"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9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50" w:lineRule="exact"/>
        <w:rPr>
          <w:sz w:val="20"/>
          <w:szCs w:val="20"/>
          <w:color w:val="auto"/>
        </w:rPr>
      </w:pPr>
    </w:p>
    <w:p>
      <w:pPr>
        <w:ind w:right="220" w:firstLine="374"/>
        <w:spacing w:after="0" w:line="272" w:lineRule="auto"/>
        <w:rPr>
          <w:sz w:val="20"/>
          <w:szCs w:val="20"/>
          <w:color w:val="auto"/>
        </w:rPr>
      </w:pPr>
      <w:r>
        <w:rPr>
          <w:rFonts w:ascii="Times New Roman" w:cs="Times New Roman" w:eastAsia="Times New Roman" w:hAnsi="Times New Roman"/>
          <w:sz w:val="17"/>
          <w:szCs w:val="17"/>
          <w:color w:val="auto"/>
        </w:rPr>
        <w:t>Our common stock is currently traded on Nasdaq Global Market, but we can provide no assurance that we will be able to maintain an active trading market on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95"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As of December 31, 2024, we had 40,428,220 shares of common stock issued and outstanding. All of these shares are available for sale in the public market, subject to limitations under Rule 144 with respect to affiliates of our company.</w:t>
      </w:r>
    </w:p>
    <w:p>
      <w:pPr>
        <w:spacing w:after="0" w:line="82"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We have filed registration statements on Form S-8 under the Securities Act registering the offer and sale of up to an aggregate of 10,660,797 shares of common stock pursuant to our Equity Plans (as defined in Note 2, “Summary of Accounting Policies – Stock-Based Compensation” in our notes to consolidated financial statements in this Annual Report on Form 10-K) and an aggregate of 757,694 shares of common stock pursuant to our 2021 ESPP. Our 2021 Plan and 2021 ESPP each contain an evergreen provision that may increase the number of shares available for issuance pursuant to such plans on the first day of each fiscal year. See Note 8 – Stock-Based Compensation Expense in the Notes to the consolidated financial statements included in this report.</w:t>
      </w:r>
    </w:p>
    <w:p>
      <w:pPr>
        <w:spacing w:after="0" w:line="118"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Further, immediately following the filing of this Form 10-K, we will file a registration statement on Form S-8 under the Securities Act to register the issuance of 1,617,128 shares of common stock subject to options or other equity awards reserved for future issuance under the 2021 Plan. The number of shares to be registered represents the annual evergreen increase calculated as 4% of the outstanding shares of our common stock on the last day of fiscal year 2024 under our 2021 Plan.</w:t>
      </w:r>
    </w:p>
    <w:p>
      <w:pPr>
        <w:spacing w:after="0" w:line="114"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On May 8, 2024, we filed an automatic shelf registration statement on Form S-3ASR with the SEC that enables us to offer for sale, from time to time and as the capital markets permit, an unspecified amount of common stock, preferred stock, debt securities, warrants and units. The shelf registration statement became automatically effective upon filing and is valid for three years. Each time we offer to sell securities under the registration statement, we will provide a prospectus supplement that will contain specific information about the terms of that offering and the securities being offered. For example, on May 9, 2024, we filed a prospectus supplement for the offer and sale of up to 1,785,714 shares of our common stock in an underwritten public offering (the “Public Offering”).</w:t>
      </w:r>
    </w:p>
    <w:p>
      <w:pPr>
        <w:spacing w:after="0" w:line="10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On May 13, 2024, we issued 2,053,571 shares of our common stock at a price to the public of $56.00 per share, which included the full exercise by the underwriters of their option to purchase up to 267,857 additional shares. Our net proceeds from the offering were $107.5 million, after deducting $6.9 in underwriting discounts and commissions and $0.6 million in other offering costs. We cannot predict what effect, if any, sales of our shares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spacing w:after="0" w:line="115"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1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maintain proper and effective internal controls, our ability to produce accurate financial statements on a timely basis could be impaired.</w:t>
      </w:r>
    </w:p>
    <w:p>
      <w:pPr>
        <w:spacing w:after="0" w:line="132"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assess the effectiveness of our internal control over financial reporting annually and the effectiveness of our disclosure controls and procedures quarterly. In addition, our independent registered public accounting firm will have to attest to the effectiveness of our internal control over financial reporting under Section 404(b). We have implemented improved processes for documenting and evaluating our system of internal controls required under Section 404(b) however, the rules governing the standards that must be met for management to assess our internal control over financial reporting are complex and require significant judgment, documentation, testing and possible remediation to meet the detailed standards. During the course of documenting, evaluating and testing our internal control over financial reporting, our management may identify significant deficiencies or material weaknesses which may not be remedied in time to meet the deadline imposed by the Sarbanes-Oxley Act.</w:t>
      </w:r>
    </w:p>
    <w:p>
      <w:pPr>
        <w:spacing w:after="0" w:line="108" w:lineRule="exact"/>
        <w:rPr>
          <w:sz w:val="20"/>
          <w:szCs w:val="20"/>
          <w:color w:val="auto"/>
        </w:rPr>
      </w:pPr>
    </w:p>
    <w:p>
      <w:pPr>
        <w:ind w:right="260" w:firstLine="374"/>
        <w:spacing w:after="0" w:line="260" w:lineRule="auto"/>
        <w:rPr>
          <w:sz w:val="20"/>
          <w:szCs w:val="20"/>
          <w:color w:val="auto"/>
        </w:rPr>
      </w:pPr>
      <w:r>
        <w:rPr>
          <w:rFonts w:ascii="Times New Roman" w:cs="Times New Roman" w:eastAsia="Times New Roman" w:hAnsi="Times New Roman"/>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0" w:name="page81"/>
    <w:bookmarkEnd w:id="80"/>
    <w:p>
      <w:pPr>
        <w:ind w:right="200" w:firstLine="374"/>
        <w:spacing w:after="0" w:line="256" w:lineRule="auto"/>
        <w:rPr>
          <w:sz w:val="20"/>
          <w:szCs w:val="20"/>
          <w:color w:val="auto"/>
        </w:rPr>
      </w:pPr>
      <w:r>
        <w:rPr>
          <w:rFonts w:ascii="Times New Roman" w:cs="Times New Roman" w:eastAsia="Times New Roman" w:hAnsi="Times New Roman"/>
          <w:sz w:val="18"/>
          <w:szCs w:val="18"/>
          <w:color w:val="auto"/>
        </w:rPr>
        <w:t>If we are unable to comply with the requirements of Section 404(b) of the Sarbanes-Oxley Act effectively and if management identifies one or more significant deficiencies or material weaknesses, or if our independent registered public accounting firm is unable to attest that our management’s report is fairly stated or if they are unable to express an opinion on the effectiveness of our internal controls or if we are unable to maintain proper and effective internal controls, we may not be able to produce timely and accurate financial statements any of which could result in a loss of investor confidence or negative investor perceptions. If any of the above were to happen, the market price of our stock could decline significantly and we could be subject to sanctions or investigations by Nasdaq, the SEC or other regulatory authorities.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bylaws and Delaware law might discourage, delay or prevent a change in control of our company or changes in our management and, therefore, depress the market price of our common stock.</w:t>
      </w:r>
    </w:p>
    <w:p>
      <w:pPr>
        <w:spacing w:after="0" w:line="50"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10" w:lineRule="exact"/>
        <w:rPr>
          <w:sz w:val="20"/>
          <w:szCs w:val="20"/>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57" w:lineRule="exact"/>
        <w:rPr>
          <w:rFonts w:ascii="Times New Roman" w:cs="Times New Roman" w:eastAsia="Times New Roman" w:hAnsi="Times New Roman"/>
          <w:sz w:val="18"/>
          <w:szCs w:val="18"/>
          <w:color w:val="auto"/>
        </w:rPr>
      </w:pPr>
    </w:p>
    <w:p>
      <w:pPr>
        <w:ind w:left="1140" w:right="280" w:hanging="383"/>
        <w:spacing w:after="0" w:line="281"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43" w:lineRule="exact"/>
        <w:rPr>
          <w:rFonts w:ascii="Times New Roman" w:cs="Times New Roman" w:eastAsia="Times New Roman" w:hAnsi="Times New Roman"/>
          <w:sz w:val="18"/>
          <w:szCs w:val="18"/>
          <w:color w:val="auto"/>
        </w:rPr>
      </w:pPr>
    </w:p>
    <w:p>
      <w:pPr>
        <w:ind w:left="1140" w:right="740" w:hanging="383"/>
        <w:spacing w:after="0" w:line="281"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157"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01" w:lineRule="exact"/>
        <w:rPr>
          <w:sz w:val="20"/>
          <w:szCs w:val="20"/>
          <w:color w:val="auto"/>
        </w:rPr>
      </w:pPr>
    </w:p>
    <w:p>
      <w:pPr>
        <w:jc w:val="both"/>
        <w:ind w:right="160" w:firstLine="374"/>
        <w:spacing w:after="0" w:line="265"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81" w:name="page82"/>
    <w:bookmarkEnd w:id="81"/>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jc w:val="both"/>
        <w:ind w:right="120" w:firstLine="374"/>
        <w:spacing w:after="0" w:line="265"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spacing w:after="0" w:line="110" w:lineRule="exact"/>
        <w:rPr>
          <w:sz w:val="20"/>
          <w:szCs w:val="20"/>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4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bylaws; and</w:t>
      </w:r>
    </w:p>
    <w:p>
      <w:pPr>
        <w:spacing w:after="0" w:line="15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44"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115"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124"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This Delaware forum provision does not apply to actions arising under the Securities Exchange Act of 1934 because the federal courts have exclusive jurisdiction over such claims.</w:t>
      </w:r>
    </w:p>
    <w:p>
      <w:pPr>
        <w:spacing w:after="0" w:line="7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50"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11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are authorized to issue and designate shares of our preferred stock in additional series without stockholder approval under our charter documents and Delaware law.</w:t>
      </w:r>
    </w:p>
    <w:p>
      <w:pPr>
        <w:spacing w:after="0" w:line="50"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82" w:name="page83"/>
    <w:bookmarkEnd w:id="82"/>
    <w:p>
      <w:pPr>
        <w:ind w:right="440"/>
        <w:spacing w:after="0" w:line="281" w:lineRule="auto"/>
        <w:rPr>
          <w:sz w:val="20"/>
          <w:szCs w:val="20"/>
          <w:color w:val="auto"/>
        </w:rPr>
      </w:pPr>
      <w:r>
        <w:rPr>
          <w:rFonts w:ascii="Times New Roman" w:cs="Times New Roman" w:eastAsia="Times New Roman" w:hAnsi="Times New Roman"/>
          <w:sz w:val="18"/>
          <w:szCs w:val="18"/>
          <w:color w:val="auto"/>
        </w:rPr>
        <w:t>series and the qualifications, limitations or restrictions thereof. The powers, preferences and rights of these additional series of preferred stock may be senior to or on parity with our common stock, which may reduce its value.</w:t>
      </w:r>
    </w:p>
    <w:p>
      <w:pPr>
        <w:spacing w:after="0" w:line="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0"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As an example, for taxable years beginning during or after 2022, the Tax Act eliminated the option to immediately deduct research and development expenditures currently and required taxpayers to capitalize and amortize them over five or fifteen years pursuant to Section 174 of the Code, which may impact our effective tax rate and our cash tax liability. Regulatory or legislative developments may arise from various U.S. tax reform proposals, some of which include proposed changes to the U.S. tax law,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 Finally, the Inflation Reduction Act of 2022 (the “IRA”) was effective beginning in fiscal year 2023. We do not currently expect that the IRA will have a material impact on our income tax liability.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1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or security breaches or incidents.</w:t>
      </w:r>
    </w:p>
    <w:p>
      <w:pPr>
        <w:spacing w:after="0" w:line="121"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Our computer systems, as well as those of our contractors and other third parties with whom we do business, are vulnerable to damage from computer viruses, ransomware and other malicious code, unauthorized access, natural disasters (including hurricanes), terrorism, war and telecommunication and electrical failures. Any disruption or interruption in our systems, or those of our contractors or other third parties with whom we do business, whether from these or other causes, could cause interruptions in our operations, result in a material disruption of the commercialization of our RxSight system and our future products, and result in significant legal and financial exposure and reputational damages that could potentially have an adverse effect on our business. For example, the loss, corruption, or unavailability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83" w:name="page84"/>
    <w:bookmarkEnd w:id="83"/>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The secure processing, maintenance, and transmission of this information is critical to our operations. Despite our security measures, our information technology and infrastructure may be vulnerable to attacks by hackers, internal bad actors, or others, or breached due to technical vulnerabilities, employee error, malfeasance, or other disruptions. Although, to our knowledge, we have not experienced any such material security breach to date, any security breach or security incident could compromise our systems and networks and the information stored or otherwise processed on them could be accessed, publicly disclosed, lost, stolen, rendered unavailable, modified, or otherwise processed without authorization. Any such actual or perceived access, disclosure, or other security breach or incident, loss, or unauthorized processing of information (whether affecting us or one of our third-party service providers or other third parties with whom we do business)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8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techniques and sophistication used to conduct cyber-attacks and security breaches or other incidents, including of information technology systems, as well as the sources and targets of these attacks, may take many forms (including phishing, social engineering, denial or degradation of service attacks, sim swaps, ransomware, malware or other malicious code), change frequently and are often not recognized until such attacks are launched or have been in place for a period of time. In addition, our employees, contractors, or third parties with whom we do business may attempt to circumvent our security measures in order to misappropriate information, including confidential, personal, or otherwise regulated or protected information, and may purposefully or inadvertently cause a breach or incident involving, or compromise of, such information. Third parties may have the technology or know-how to breach the security of the information collected, stored, or transmitted by us, our contractors, third-party service providers, or other third parties with whom we do business, and our respective security measures, as well as those of our respective third-party service providers, may not effectively prohibit others from obtaining improper access to this information. Advances in computer and software capabilities and encryption technology, new tools, geopolitical tensions and conflicts, and other developments may increase the risk of such a breach, incident, or compromise. There is no assurance that any security procedures or controls that we, our contractors, or our third-party service providers or other third parties with whom we do business have implemented will be sufficient to prevent data-security related incidents from occurring.</w:t>
      </w:r>
    </w:p>
    <w:p>
      <w:pPr>
        <w:spacing w:after="0" w:line="78"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12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 may adversely affect our business.</w:t>
      </w:r>
    </w:p>
    <w:p>
      <w:pPr>
        <w:spacing w:after="0" w:line="121"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Global economic, political and market conditions, armed conflict, including in Eastern Europe and the Middle East, and general economic downturns, may negatively impact our business. Challenging or uncertain economic conditions including those related to global epidemics, pandemics, or contagious diseases, geopolitical turmoil, and macroeconomic conditions, inflation, fluctuations in foreign exchange rates, instability in the global banking system, disruptions in supply chains and interest rates, could make it difficult for our customers and potential customers to accurately forecast and plan future business activities and may cause our customers and potential customers to slow or reduce spending, or vary order frequency, on our products. Furthermore, during challenging or uncertain economic times, our customers may face difficulties gaining timely access to sufficient credit and experience decreasing cash flow, which could impact their willingness to make purchases and their ability to make timely payments to us. Global economic conditions could have an adverse effect on demand for our products, including 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84" w:name="page85"/>
    <w:bookmarkEnd w:id="84"/>
    <w:p>
      <w:pPr>
        <w:ind w:right="580"/>
        <w:spacing w:after="0" w:line="281" w:lineRule="auto"/>
        <w:rPr>
          <w:sz w:val="20"/>
          <w:szCs w:val="20"/>
          <w:color w:val="auto"/>
        </w:rPr>
      </w:pPr>
      <w:r>
        <w:rPr>
          <w:rFonts w:ascii="Times New Roman" w:cs="Times New Roman" w:eastAsia="Times New Roman" w:hAnsi="Times New Roman"/>
          <w:sz w:val="18"/>
          <w:szCs w:val="18"/>
          <w:color w:val="auto"/>
        </w:rPr>
        <w:t>our ability to predict future operating results and on our financial condition and operating results. If global economic conditions remain uncertain or deteriorate, it may materially impact our business, operating results and financial condition.</w:t>
      </w:r>
    </w:p>
    <w:p>
      <w:pPr>
        <w:spacing w:after="0" w:line="95" w:lineRule="exact"/>
        <w:rPr>
          <w:sz w:val="20"/>
          <w:szCs w:val="20"/>
          <w:color w:val="auto"/>
        </w:rPr>
      </w:pPr>
    </w:p>
    <w:p>
      <w:pPr>
        <w:ind w:right="80" w:firstLine="374"/>
        <w:spacing w:after="0" w:line="280" w:lineRule="auto"/>
        <w:rPr>
          <w:sz w:val="20"/>
          <w:szCs w:val="20"/>
          <w:color w:val="auto"/>
        </w:rPr>
      </w:pPr>
      <w:r>
        <w:rPr>
          <w:rFonts w:ascii="Times New Roman" w:cs="Times New Roman" w:eastAsia="Times New Roman" w:hAnsi="Times New Roman"/>
          <w:sz w:val="17"/>
          <w:szCs w:val="17"/>
          <w:color w:val="auto"/>
        </w:rPr>
        <w:t>For example, we and other key international economies are currently operating in a period of economic uncertainty and the United States has recently experienced historically high levels of inflation and rising interest rates, which has led to increased costs of labor, capital, employee compensation and other similar effects. If unfavorable conditions in the national and global economy persist, or worsen, our current and potential customers’ operating costs will likely increase, which could result in reduced operating budgets. Our revenue may be disproportionately affected by delays or reductions in spending.</w:t>
      </w:r>
    </w:p>
    <w:p>
      <w:pPr>
        <w:spacing w:after="0" w:line="86"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Factors such as geopolitical events (including the conflicts in Eastern Europe and the Middle East), inflationary pressures, public health crises, and U.S. election cycles have caused extreme volatility and disruptions in the capital and credit markets in recent years. Uncertainty or unfavorable global economic conditions could result in a variety of impacts to our business, including weakening demand for our products, and adversely impacting our ability to raise additional capital when needed on acceptable terms, if at all. A weak or declining economy has strained in the past and may in the future strain our manufacturers or suppliers, possibly resulting in supply disruption, or cause our customers to delay making payments for our products. Further, the Trump administration has proposed or enacted tariffs and substantial changes to trade policies, which could adversely affect our business. For example, the Trump administration has imposed tariffs on certain foreign products, including most recently from Canada, Mexico and China, that in the past have resulted in and may result in future retaliatory tariffs on U.S. goods and products. We cannot predict whether these policies will continue, or if new policies will be enacted, or the impact, if any, that any policy changes could have on our business. Any of the foregoing could harm our business and we cannot anticipate all of the ways in which the economic climate and financial market conditions could adversely affect our business.</w:t>
      </w:r>
    </w:p>
    <w:p>
      <w:pPr>
        <w:spacing w:after="0" w:line="124"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The present conditions and state of the U.S. and global economies make it difficult to predict whether, when and to what extent a recession has occurred or will occur in the near future.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results of operations, and financial condition could be adversely affected.</w:t>
      </w:r>
    </w:p>
    <w:p>
      <w:pPr>
        <w:spacing w:after="0" w:line="114"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Additionally, adverse worldwide economic conditions may also adversely impact our suppliers’ ability to provide us with materials and components, cause them to limit or place burdensome conditions upon future transactions with us, or affect their ability to fulfill their respective contractual obligations to us, which could have a material adverse effect on our business, financial condition and 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280" w:firstLine="374"/>
        <w:spacing w:after="0" w:line="258" w:lineRule="auto"/>
        <w:rPr>
          <w:sz w:val="20"/>
          <w:szCs w:val="20"/>
          <w:color w:val="auto"/>
        </w:rPr>
      </w:pPr>
      <w:r>
        <w:rPr>
          <w:rFonts w:ascii="Times New Roman" w:cs="Times New Roman" w:eastAsia="Times New Roman" w:hAnsi="Times New Roman"/>
          <w:sz w:val="18"/>
          <w:szCs w:val="18"/>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85" w:name="page86"/>
    <w:bookmarkEnd w:id="85"/>
    <w:p>
      <w:pPr>
        <w:ind w:right="80"/>
        <w:spacing w:after="0" w:line="281" w:lineRule="auto"/>
        <w:rPr>
          <w:sz w:val="20"/>
          <w:szCs w:val="20"/>
          <w:color w:val="auto"/>
        </w:rPr>
      </w:pPr>
      <w:r>
        <w:rPr>
          <w:rFonts w:ascii="Times New Roman" w:cs="Times New Roman" w:eastAsia="Times New Roman" w:hAnsi="Times New Roman"/>
          <w:sz w:val="18"/>
          <w:szCs w:val="18"/>
          <w:color w:val="auto"/>
        </w:rPr>
        <w:t>faults and fire zones and being consolidated in a certain geographical area is unknown. The occurrence of any of these business disruptions could seriously harm our operations and financial condition and increase our costs and expenses.</w:t>
      </w:r>
    </w:p>
    <w:p>
      <w:pPr>
        <w:spacing w:after="0" w:line="9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harmed if we are unable to accurately forecast customer demand for our products and manage our inventory.</w:t>
      </w:r>
    </w:p>
    <w:p>
      <w:pPr>
        <w:spacing w:after="0" w:line="5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seek to maintain sufficient levels of inventory in order to protect ourselves from supply interruptions, but due to the expansion of global lead times, particularly in Europe and Asia, has resulted in the lack of availability of raw materials, including semiconductors, computers, monitors electronic parts, metals, packaging, adhesives, chemicals,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110" w:lineRule="exact"/>
        <w:rPr>
          <w:sz w:val="20"/>
          <w:szCs w:val="20"/>
          <w:color w:val="auto"/>
        </w:rPr>
      </w:pPr>
    </w:p>
    <w:p>
      <w:pPr>
        <w:ind w:right="60" w:firstLine="374"/>
        <w:spacing w:after="0" w:line="270" w:lineRule="auto"/>
        <w:rPr>
          <w:sz w:val="20"/>
          <w:szCs w:val="20"/>
          <w:color w:val="auto"/>
        </w:rPr>
      </w:pPr>
      <w:r>
        <w:rPr>
          <w:rFonts w:ascii="Times New Roman" w:cs="Times New Roman" w:eastAsia="Times New Roman" w:hAnsi="Times New Roman"/>
          <w:sz w:val="17"/>
          <w:szCs w:val="17"/>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administers its cybersecurity risk oversight function directly as a whole, as well as through the Audit Committee pursuant to its charter. Our Audit Committee is primarily responsible for monitoring and assessing strategic risk exposure and receives periodic updates from management at Audit Committee meetings regarding cybersecurity threat risks and management’s strategies to manage the same, and our management is responsible for the day-to-day management of the material risks we face. Our Audit Committee reports to the board of directors regarding its activities, including with respect to cybersecurity risk oversight as appropriate, on a quarterly basis.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40" w:firstLine="374"/>
        <w:spacing w:after="0" w:line="260"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risks from cybersecurity threats and have processes for monitoring and assessing strategic risk exposures and reporting to the Audit Committee and board of directors. We regularly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within our IT infrastructure.</w:t>
      </w:r>
    </w:p>
    <w:p>
      <w:pPr>
        <w:spacing w:after="0" w:line="114" w:lineRule="exact"/>
        <w:rPr>
          <w:sz w:val="20"/>
          <w:szCs w:val="20"/>
          <w:color w:val="auto"/>
        </w:rPr>
      </w:pPr>
    </w:p>
    <w:p>
      <w:pPr>
        <w:ind w:right="280" w:firstLine="374"/>
        <w:spacing w:after="0" w:line="265" w:lineRule="auto"/>
        <w:rPr>
          <w:sz w:val="20"/>
          <w:szCs w:val="20"/>
          <w:color w:val="auto"/>
        </w:rPr>
      </w:pPr>
      <w:r>
        <w:rPr>
          <w:rFonts w:ascii="Times New Roman" w:cs="Times New Roman" w:eastAsia="Times New Roman" w:hAnsi="Times New Roman"/>
          <w:sz w:val="18"/>
          <w:szCs w:val="18"/>
          <w:color w:val="auto"/>
        </w:rPr>
        <w:t>We conduct periodic risk assessments to identify cybersecurity threats that may affect information systems that may be vulnerable to cybersecurity threats. These risk assessments include identification of reasonably foreseeable internal and external risks and the sufficiency of existing policies, procedures, systems, and safeguards in place to manage such risks.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86" w:name="page87"/>
    <w:bookmarkEnd w:id="86"/>
    <w:p>
      <w:pPr>
        <w:spacing w:after="0" w:line="84"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Following these risk assessments, if necessary, we implement and maintain reasonable safeguards to minimize identified risks and regularly monitor the effectiveness of our safeguards. We devote significant resources, including engaging experienced consultants and designate senior-level information technology management (“IT management”) to manage the risk assessment and mitigation process. Personnel tasked with managing cybersecurity risks periodically report to senior management and the Audit Committee. We use automated tools and trained personnel to maintain real-time threat monitoring and 24x7 alerting of all of our IT infrastructure and endpoints. We leverage various software tools, internal personnel and consultants to identify, triage, escalate and remediate threats. In the event of a security incident, we follow communication protocols to alert senior-level management as to the nature and severity of the threat while leveraging consultants and forensic tools to contain, document and mitigate the threat.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part of our overall risk management system, IT management monitors and tests our safeguards and trains our employees on these safeguards.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at all levels and departments are made aware of our cybersecurity policies and risks through communication and training.</w:t>
      </w:r>
    </w:p>
    <w:p>
      <w:pPr>
        <w:spacing w:after="0" w:line="125" w:lineRule="exact"/>
        <w:rPr>
          <w:sz w:val="20"/>
          <w:szCs w:val="20"/>
          <w:color w:val="auto"/>
        </w:rPr>
      </w:pPr>
    </w:p>
    <w:p>
      <w:pPr>
        <w:ind w:firstLine="374"/>
        <w:spacing w:after="0" w:line="280" w:lineRule="auto"/>
        <w:rPr>
          <w:sz w:val="20"/>
          <w:szCs w:val="20"/>
          <w:color w:val="auto"/>
        </w:rPr>
      </w:pPr>
      <w:r>
        <w:rPr>
          <w:rFonts w:ascii="Times New Roman" w:cs="Times New Roman" w:eastAsia="Times New Roman" w:hAnsi="Times New Roman"/>
          <w:sz w:val="17"/>
          <w:szCs w:val="17"/>
          <w:color w:val="auto"/>
        </w:rPr>
        <w:t>We have engaged, and expect to continue to engage, consultants, or other third parties in connection with our risk assessment processes. These providers assist us in designing and implementing our cybersecurity policies and procedures, as well as monitoring and testing the design of our processes. To oversee and identify risks from cybersecurity threats associated with our use of third-party service providers we expect them to implement and maintain reasonable security measures in connection with their work with us, and to promptly report any suspected breach of its security measures that may affect us.</w:t>
      </w:r>
    </w:p>
    <w:p>
      <w:pPr>
        <w:spacing w:after="0" w:line="9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 xml:space="preserve">For additional information regarding whether any risks from cybersecurity threats have materially affected or are reasonably likely to materially affect our company, including our business strategy, results of operations, or financial condition, please refer to Item 1A, “Risk Factors,” in this report, including the risk factor entitled </w:t>
      </w:r>
      <w:r>
        <w:rPr>
          <w:rFonts w:ascii="Times New Roman" w:cs="Times New Roman" w:eastAsia="Times New Roman" w:hAnsi="Times New Roman"/>
          <w:sz w:val="18"/>
          <w:szCs w:val="18"/>
          <w:b w:val="1"/>
          <w:bCs w:val="1"/>
          <w:i w:val="1"/>
          <w:iCs w:val="1"/>
          <w:color w:val="auto"/>
        </w:rPr>
        <w:t>“We may experience a significant disruption in our information technology systems or breaches of data security”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“Unauthorized third parties may seek to access our devices or other products and services, or related devices, products, and services, and modify or use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them in a way inconsistent with our FDA clearances and approvals, which may create risks to users.”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11D1E"/>
        </w:rPr>
        <w:t>As of the date of this report, we do not believe that we have experienced a material cybersecurity incident.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We currently lease four facilities which includes our headquarters, manufacturing, research and development and administrative offices in Aliso Viejo, California. The facility leases are for approximately 150,000 square feet in the aggregate. The current leases on our four facilities expire on January 31, 2031, with two options to extend for five years each. We believe that our facilities are adequate to meet our current needs.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2" w:lineRule="exact"/>
        <w:rPr>
          <w:sz w:val="20"/>
          <w:szCs w:val="20"/>
          <w:color w:val="auto"/>
        </w:rPr>
      </w:pPr>
    </w:p>
    <w:p>
      <w:pPr>
        <w:ind w:right="188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and holders</w:t>
      </w:r>
    </w:p>
    <w:p>
      <w:pPr>
        <w:ind w:firstLine="374"/>
        <w:spacing w:after="0" w:line="281"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Market under the symbol “RXST” since July 30, 2021. Prior to that time, there was no public market for our common stock.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As of February 14, 2025, there were approximately 110 registered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of then-existing debt instruments, if any, and other factors our Board of Directors deems relevant.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right="140" w:firstLine="374"/>
        <w:spacing w:after="0" w:line="265"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spacing w:after="0" w:line="110"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performance of our common stock for the periods indicated with the performance of the S&amp;P Healthcare and Supplies Index, the Russell 2000 Index, and the NASDAQ Composite Index from July 30, 2021 to December 31, 2024. This graph assumes an investment of $100 on July 30, 2021 in each of our common stock, the NASDAQ Composite Index, and the S &amp; P Healthcare Equipment and Supplies Index, and assumes reinvestment of dividends, if any. The stock price performance shown on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306705</wp:posOffset>
            </wp:positionV>
            <wp:extent cx="5779770" cy="3065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79770" cy="306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in Part I, Item 1A and elsewhere in this report. See “Special Note Regarding Forward-Looking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right="40" w:firstLine="374"/>
        <w:spacing w:after="0" w:line="243" w:lineRule="auto"/>
        <w:rPr>
          <w:sz w:val="20"/>
          <w:szCs w:val="20"/>
          <w:color w:val="auto"/>
        </w:rPr>
      </w:pPr>
      <w:r>
        <w:rPr>
          <w:rFonts w:ascii="Times New Roman" w:cs="Times New Roman" w:eastAsia="Times New Roman" w:hAnsi="Times New Roman"/>
          <w:sz w:val="18"/>
          <w:szCs w:val="18"/>
          <w:color w:val="auto"/>
        </w:rPr>
        <w:t>We are a commercial-stage medical technology company dedicated to providing high quality customized vision to patients following cataract surgery. Our proprietary RxSight® Light Adjustable Lens system (“RxSight system”) is the first and only commercially available premium cataract technology that enables doctors to customize and optimize visual acuity for patients after surgery. The RxSight system is comprised of our RxSight Light Adjustable Lens™ (“LAL™” and “LAL+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collectively the “LAL”), RxSight Light Delivery Device (“LDD™”), and accessories. Our LAL's are premium intraocular lens (“IOL”) made of proprietary photosensitive material that changes shape in response to specific patterns of ultraviolet (“UV”) light generated by our LDD.</w:t>
      </w:r>
    </w:p>
    <w:p>
      <w:pPr>
        <w:spacing w:after="0" w:line="12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isn’t exact, the patient may experience suboptimal results that could necessitate a subsequent corneal refractive procedure or certain other compromises in order to reach vision targets.</w:t>
      </w:r>
    </w:p>
    <w:p>
      <w:pPr>
        <w:spacing w:after="0" w:line="11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contrast, with the RxSight system, the surgeon implants the LAL during a standard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w:t>
      </w:r>
    </w:p>
    <w:p>
      <w:pPr>
        <w:spacing w:after="0" w:line="101"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We compete primarily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RxSight system has regulatory approval in the U.S., Europe, Canada, Mexico and Korea. We may selectively pursue commercial expansion in these or other geographies that accept these approvals in the future, with a priority on markets where we see significant potential opportunities. New approvals may also be sought in large foreign cataract markets with more complex regulatory processes such as Asia and Europe.</w:t>
      </w:r>
    </w:p>
    <w:p>
      <w:pPr>
        <w:spacing w:after="0" w:line="118"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We are a Delaware corporation headquartered in Aliso Viejo, California with one wholly owned subsidiary located in Amsterdam, Netherlands. The wholly owned subsidiary has a registered branch in the United Kingdom and a wholly owned subsidiary located in Germany.</w:t>
      </w:r>
    </w:p>
    <w:p>
      <w:pPr>
        <w:spacing w:after="0" w:line="95"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Our commercial efforts began in late 2019 and have been primarily focused in the United States, where we are building a “razor and razor blade” business model to drive new customer adoption and ongoing LAL volume growth. Our United States commercial organization includes a direct sales team of LDD sales personnel and LAL account managers, as well as clinical specialists, field service engineers and marketing personnel. Our sales efforts are concentrated on the roughly 3,500 to 4,000 U.S. cataract surgeons that perform approximately 60% of all premium IOL procedures. As of December 31, 2024, we had established an installed base of 971 LDDs in ophthalmology practices and, since our inception though December 31, 2024, surgeons have implanted over 195,000 LALs.</w:t>
      </w:r>
    </w:p>
    <w:p>
      <w:pPr>
        <w:spacing w:after="0" w:line="105" w:lineRule="exact"/>
        <w:rPr>
          <w:sz w:val="20"/>
          <w:szCs w:val="20"/>
          <w:color w:val="auto"/>
        </w:rPr>
      </w:pPr>
    </w:p>
    <w:p>
      <w:pPr>
        <w:ind w:right="80" w:firstLine="374"/>
        <w:spacing w:after="0" w:line="276" w:lineRule="auto"/>
        <w:rPr>
          <w:sz w:val="20"/>
          <w:szCs w:val="20"/>
          <w:color w:val="auto"/>
        </w:rPr>
      </w:pPr>
      <w:r>
        <w:rPr>
          <w:rFonts w:ascii="Times New Roman" w:cs="Times New Roman" w:eastAsia="Times New Roman" w:hAnsi="Times New Roman"/>
          <w:sz w:val="17"/>
          <w:szCs w:val="17"/>
          <w:color w:val="auto"/>
        </w:rPr>
        <w:t>We believe this business model provides an attractive and concentrated market opportunity addressable with a focused sales force. We intend to continue to make significant investments in our sales and marketing organization. We believe selectively increasing the number of sales representatives, practice development personnel and clinical trainers will help facilitate further adoption of our products among existing customer accounts as well as broaden awareness of our products to new accounts. We plan to grow our business primarily by expanding the size of our LDD installed base and driving increased utilization of our LAL through heightened awareness of the superior clinical outcomes that our RxSight system provides patients. To continue to</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90" w:name="page91"/>
    <w:bookmarkEnd w:id="90"/>
    <w:p>
      <w:pPr>
        <w:spacing w:after="0" w:line="12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strengthen our competitive position in the premium IOL market, our research and development activities are focused primarily on programs that improve clinical outcomes, improve customer experience, expand our indications for use, reduce manufacturing costs and lifecycle management. Our near-term research and development activities are focused on enhancements to the RxSight system to improve the patient and doctor experience, expand the range of patients that can be treated, as well as expand the RxSight system indications and drive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108"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in our sales and marketing organization, primarily sales representatives, clinical applications specialists and technical service personnel to support new customers and upgrades and LAL account managers to facilitate adoption of use of our LALs among existing accounts. We will expand our marketing efforts with additional print and digital, social media and other customer tools to expand their local advertising. We will also continue to make significant investments in research and development and clinical expenses to make enhancements in our current products. Additionally, as a public company, we have incurred and expect to continue to incur increased costs for employee-related expenses, director and officer insurance premiums, audit fees, (including costs for compliance with Section 404(b) of the Sarbanes-Oxley Act), legal fees, investor relations fees, fees to members of our Board of directors and expenses for compliance with public-company reporting requirements. Because of these and other factors, we expect to continue to incur net losses and negative cash flows from operations in the near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61"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We regularly review several operating and financial metrics to evaluate our business, measure our performance, identify trends affecting our business, formulate our business plan and make strategic decisions. We believe the number of LDDs installed and, LALs implanted are indicators of our ability to drive adoption and generate revenue. We believe these are important metrics for our business. We may not yet be able to accurately assess seasonality and other trends, and we will continue to evaluate our business in the future using these and other financial metrics as we observe trends in our business. Our quarterly and annual financial results may fluctuate as a result of a variety of factors many of which are outside our control. For example, it is not uncommon in our industry to experience seasonally weaker sales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110" w:lineRule="exact"/>
        <w:rPr>
          <w:sz w:val="20"/>
          <w:szCs w:val="20"/>
          <w:color w:val="auto"/>
        </w:rPr>
      </w:pPr>
    </w:p>
    <w:p>
      <w:pPr>
        <w:ind w:right="160" w:firstLine="374"/>
        <w:spacing w:after="0" w:line="265" w:lineRule="auto"/>
        <w:rPr>
          <w:sz w:val="20"/>
          <w:szCs w:val="20"/>
          <w:color w:val="auto"/>
        </w:rPr>
      </w:pPr>
      <w:r>
        <w:rPr>
          <w:rFonts w:ascii="Times New Roman" w:cs="Times New Roman" w:eastAsia="Times New Roman" w:hAnsi="Times New Roman"/>
          <w:sz w:val="18"/>
          <w:szCs w:val="18"/>
          <w:color w:val="auto"/>
        </w:rPr>
        <w:t>We believe the number of LDDs sold in each quarter and our LDD installed base at the end of each period are important metrics as they represent an installed base into which we can sell our LALs. We also believe the number of LALs sold (reported as implanted in a patient) in each quarter is an important metric indicative of adoption and utilization of our RxSight system.</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7"/>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3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rPr>
                <w:sz w:val="17"/>
                <w:szCs w:val="17"/>
                <w:color w:val="auto"/>
              </w:rPr>
            </w:pPr>
          </w:p>
        </w:tc>
        <w:tc>
          <w:tcPr>
            <w:tcW w:w="7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Q2</w:t>
            </w:r>
          </w:p>
        </w:tc>
        <w:tc>
          <w:tcPr>
            <w:tcW w:w="240" w:type="dxa"/>
            <w:vAlign w:val="bottom"/>
          </w:tcPr>
          <w:p>
            <w:pPr>
              <w:spacing w:after="0"/>
              <w:rPr>
                <w:sz w:val="17"/>
                <w:szCs w:val="17"/>
                <w:color w:val="auto"/>
              </w:rPr>
            </w:pPr>
          </w:p>
        </w:tc>
        <w:tc>
          <w:tcPr>
            <w:tcW w:w="8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Q3</w:t>
            </w:r>
          </w:p>
        </w:tc>
        <w:tc>
          <w:tcPr>
            <w:tcW w:w="220" w:type="dxa"/>
            <w:vAlign w:val="bottom"/>
          </w:tcPr>
          <w:p>
            <w:pPr>
              <w:spacing w:after="0"/>
              <w:rPr>
                <w:sz w:val="17"/>
                <w:szCs w:val="17"/>
                <w:color w:val="auto"/>
              </w:rPr>
            </w:pPr>
          </w:p>
        </w:tc>
        <w:tc>
          <w:tcPr>
            <w:tcW w:w="7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Q4</w:t>
            </w:r>
          </w:p>
        </w:tc>
        <w:tc>
          <w:tcPr>
            <w:tcW w:w="240" w:type="dxa"/>
            <w:vAlign w:val="bottom"/>
          </w:tcPr>
          <w:p>
            <w:pPr>
              <w:spacing w:after="0"/>
              <w:rPr>
                <w:sz w:val="17"/>
                <w:szCs w:val="17"/>
                <w:color w:val="auto"/>
              </w:rPr>
            </w:pPr>
          </w:p>
        </w:tc>
        <w:tc>
          <w:tcPr>
            <w:tcW w:w="6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Q1</w:t>
            </w:r>
          </w:p>
        </w:tc>
        <w:tc>
          <w:tcPr>
            <w:tcW w:w="220" w:type="dxa"/>
            <w:vAlign w:val="bottom"/>
          </w:tcPr>
          <w:p>
            <w:pPr>
              <w:spacing w:after="0"/>
              <w:rPr>
                <w:sz w:val="17"/>
                <w:szCs w:val="17"/>
                <w:color w:val="auto"/>
              </w:rPr>
            </w:pPr>
          </w:p>
        </w:tc>
        <w:tc>
          <w:tcPr>
            <w:tcW w:w="6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Q2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Q4</w:t>
            </w:r>
          </w:p>
        </w:tc>
        <w:tc>
          <w:tcPr>
            <w:tcW w:w="260" w:type="dxa"/>
            <w:vAlign w:val="bottom"/>
          </w:tcPr>
          <w:p>
            <w:pPr>
              <w:spacing w:after="0"/>
              <w:rPr>
                <w:sz w:val="17"/>
                <w:szCs w:val="17"/>
                <w:color w:val="auto"/>
              </w:rPr>
            </w:pPr>
          </w:p>
        </w:tc>
      </w:tr>
      <w:tr>
        <w:trPr>
          <w:trHeight w:val="209"/>
        </w:trPr>
        <w:tc>
          <w:tcPr>
            <w:tcW w:w="3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LDDs Sold</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0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9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8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Installed Base at End of Period</w:t>
            </w:r>
          </w:p>
        </w:tc>
        <w:tc>
          <w:tcPr>
            <w:tcW w:w="260" w:type="dxa"/>
            <w:vAlign w:val="bottom"/>
            <w:gridSpan w:val="2"/>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tcPr>
          <w:p>
            <w:pPr>
              <w:spacing w:after="0"/>
              <w:rPr>
                <w:sz w:val="18"/>
                <w:szCs w:val="18"/>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810</w:t>
            </w:r>
          </w:p>
        </w:tc>
        <w:tc>
          <w:tcPr>
            <w:tcW w:w="240" w:type="dxa"/>
            <w:vAlign w:val="bottom"/>
          </w:tcPr>
          <w:p>
            <w:pPr>
              <w:spacing w:after="0"/>
              <w:rPr>
                <w:sz w:val="18"/>
                <w:szCs w:val="18"/>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888</w:t>
            </w:r>
          </w:p>
        </w:tc>
        <w:tc>
          <w:tcPr>
            <w:tcW w:w="220" w:type="dxa"/>
            <w:vAlign w:val="bottom"/>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18"/>
                <w:szCs w:val="18"/>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gridSpan w:val="2"/>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60" w:type="dxa"/>
            <w:vAlign w:val="bottom"/>
          </w:tcPr>
          <w:p>
            <w:pPr>
              <w:spacing w:after="0"/>
              <w:rPr>
                <w:sz w:val="18"/>
                <w:szCs w:val="18"/>
                <w:color w:val="auto"/>
              </w:rPr>
            </w:pPr>
          </w:p>
        </w:tc>
      </w:tr>
      <w:tr>
        <w:trPr>
          <w:trHeight w:val="614"/>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96"/>
        </w:trPr>
        <w:tc>
          <w:tcPr>
            <w:tcW w:w="3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Q1</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Q2</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Q3</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Q4</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Q1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Q2</w:t>
            </w:r>
          </w:p>
        </w:tc>
        <w:tc>
          <w:tcPr>
            <w:tcW w:w="220" w:type="dxa"/>
            <w:vAlign w:val="bottom"/>
          </w:tcPr>
          <w:p>
            <w:pPr>
              <w:spacing w:after="0"/>
              <w:rPr>
                <w:sz w:val="17"/>
                <w:szCs w:val="17"/>
                <w:color w:val="auto"/>
              </w:rPr>
            </w:pPr>
          </w:p>
        </w:tc>
        <w:tc>
          <w:tcPr>
            <w:tcW w:w="140" w:type="dxa"/>
            <w:vAlign w:val="bottom"/>
            <w:tcBorders>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Q3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Q4</w:t>
            </w:r>
          </w:p>
        </w:tc>
        <w:tc>
          <w:tcPr>
            <w:tcW w:w="260" w:type="dxa"/>
            <w:vAlign w:val="bottom"/>
          </w:tcPr>
          <w:p>
            <w:pPr>
              <w:spacing w:after="0"/>
              <w:rPr>
                <w:sz w:val="17"/>
                <w:szCs w:val="17"/>
                <w:color w:val="auto"/>
              </w:rPr>
            </w:pPr>
          </w:p>
        </w:tc>
      </w:tr>
      <w:tr>
        <w:trPr>
          <w:trHeight w:val="209"/>
        </w:trPr>
        <w:tc>
          <w:tcPr>
            <w:tcW w:w="3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LALs Sold</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260" w:type="dxa"/>
            <w:vAlign w:val="bottom"/>
            <w:shd w:val="clear" w:color="auto" w:fill="CFF0FC"/>
          </w:tcPr>
          <w:p>
            <w:pPr>
              <w:spacing w:after="0"/>
              <w:rPr>
                <w:sz w:val="18"/>
                <w:szCs w:val="18"/>
                <w:color w:val="auto"/>
              </w:rPr>
            </w:pPr>
          </w:p>
        </w:tc>
      </w:tr>
      <w:tr>
        <w:trPr>
          <w:trHeight w:val="863"/>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62"/>
        </w:trPr>
        <w:tc>
          <w:tcPr>
            <w:tcW w:w="3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24" w:lineRule="exact"/>
        <w:rPr>
          <w:sz w:val="20"/>
          <w:szCs w:val="20"/>
          <w:color w:val="auto"/>
        </w:rPr>
      </w:pPr>
    </w:p>
    <w:p>
      <w:pPr>
        <w:ind w:right="380" w:firstLine="374"/>
        <w:spacing w:after="0" w:line="281" w:lineRule="auto"/>
        <w:rPr>
          <w:sz w:val="20"/>
          <w:szCs w:val="20"/>
          <w:color w:val="auto"/>
        </w:rPr>
      </w:pPr>
      <w:r>
        <w:rPr>
          <w:rFonts w:ascii="Times New Roman" w:cs="Times New Roman" w:eastAsia="Times New Roman" w:hAnsi="Times New Roman"/>
          <w:sz w:val="18"/>
          <w:szCs w:val="18"/>
          <w:color w:val="auto"/>
        </w:rPr>
        <w:t>During 2024, we had increased LDD sales of 39 and increased LAL sales of 43,182 when compared to 2023 from strong adoption of our RxSight technology by practices and doctors combined with an increased LDD installed base.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61"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Our sales consist of the sale of LALs used in cataract surgeries, the LDDs for delivering light to the LALs to adjust the lens post-surgery, as needed, and service and accessories. Revenue is derived from sales of products primarily in the United States.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spacing w:after="0" w:line="115" w:lineRule="exact"/>
        <w:rPr>
          <w:sz w:val="20"/>
          <w:szCs w:val="20"/>
          <w:color w:val="auto"/>
        </w:rPr>
      </w:pPr>
    </w:p>
    <w:p>
      <w:pPr>
        <w:ind w:right="80" w:firstLine="374"/>
        <w:spacing w:after="0" w:line="281" w:lineRule="auto"/>
        <w:rPr>
          <w:sz w:val="20"/>
          <w:szCs w:val="20"/>
          <w:color w:val="auto"/>
        </w:rPr>
      </w:pPr>
      <w:r>
        <w:rPr>
          <w:rFonts w:ascii="Times New Roman" w:cs="Times New Roman" w:eastAsia="Times New Roman" w:hAnsi="Times New Roman"/>
          <w:sz w:val="18"/>
          <w:szCs w:val="18"/>
          <w:color w:val="auto"/>
        </w:rPr>
        <w:t>LALs are held at customer sites on consignment. Revenue is recognized for LALs upon customer notification that the LALs have been implanted in a patient.</w:t>
      </w:r>
    </w:p>
    <w:p>
      <w:pPr>
        <w:spacing w:after="0" w:line="82"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revenue is recognized upon completion of training by at least one doctor and the initial warranty and service agreement are recognized ratably over the service period. After the first year, service contracts can be purchased separately on a standalone basis. Revenue for such service agreements will be recognized over the term of each contract.</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years ended December 31, 2024 and 2023, revenue from contracts with customers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34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0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0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LDD (including training)</w:t>
            </w:r>
          </w:p>
        </w:tc>
        <w:tc>
          <w:tcPr>
            <w:tcW w:w="120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39,704</w:t>
            </w:r>
          </w:p>
        </w:tc>
        <w:tc>
          <w:tcPr>
            <w:tcW w:w="1560" w:type="dxa"/>
            <w:vAlign w:val="bottom"/>
            <w:gridSpan w:val="2"/>
            <w:shd w:val="clear" w:color="auto" w:fill="CFF0FC"/>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LAL</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96,497</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100" w:type="dxa"/>
            <w:vAlign w:val="bottom"/>
          </w:tcPr>
          <w:p>
            <w:pPr>
              <w:spacing w:after="0"/>
              <w:rPr>
                <w:sz w:val="18"/>
                <w:szCs w:val="18"/>
                <w:color w:val="auto"/>
              </w:rPr>
            </w:pPr>
          </w:p>
        </w:tc>
      </w:tr>
      <w:tr>
        <w:trPr>
          <w:trHeight w:val="216"/>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warranty, service contracts, and accessories</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3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tcPr>
          <w:p>
            <w:pPr>
              <w:spacing w:after="0"/>
              <w:rPr>
                <w:sz w:val="18"/>
                <w:szCs w:val="18"/>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139,927</w:t>
            </w:r>
          </w:p>
        </w:tc>
        <w:tc>
          <w:tcPr>
            <w:tcW w:w="15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89,077</w:t>
            </w:r>
          </w:p>
        </w:tc>
        <w:tc>
          <w:tcPr>
            <w:tcW w:w="10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560" w:firstLine="374"/>
        <w:spacing w:after="0" w:line="398" w:lineRule="auto"/>
        <w:rPr>
          <w:sz w:val="20"/>
          <w:szCs w:val="20"/>
          <w:color w:val="auto"/>
        </w:rPr>
      </w:pPr>
      <w:r>
        <w:rPr>
          <w:rFonts w:ascii="Times New Roman" w:cs="Times New Roman" w:eastAsia="Times New Roman" w:hAnsi="Times New Roman"/>
          <w:sz w:val="18"/>
          <w:szCs w:val="18"/>
          <w:color w:val="auto"/>
        </w:rPr>
        <w:t xml:space="preserve">For the year ended December 31, 2024 and 2023 we did not have any one customer who individually accounted for more than 10% of revenue. </w:t>
      </w:r>
      <w:r>
        <w:rPr>
          <w:rFonts w:ascii="Times New Roman" w:cs="Times New Roman" w:eastAsia="Times New Roman" w:hAnsi="Times New Roman"/>
          <w:sz w:val="18"/>
          <w:szCs w:val="18"/>
          <w:b w:val="1"/>
          <w:bCs w:val="1"/>
          <w:i w:val="1"/>
          <w:iCs w:val="1"/>
          <w:color w:val="auto"/>
        </w:rPr>
        <w:t>Cost of sales</w:t>
      </w:r>
    </w:p>
    <w:p>
      <w:pPr>
        <w:spacing w:after="0" w:line="1"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Cost of sales consist of materials, labor and manufacturing overhead internally to produce our products as well as the cost of shipping and handling. Overhead costs include the cost of quality assurance, material procurement, inventory control, facilities, equipment and operations supervision and management and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p>
    <w:p>
      <w:pPr>
        <w:spacing w:after="0" w:line="101" w:lineRule="exact"/>
        <w:rPr>
          <w:sz w:val="20"/>
          <w:szCs w:val="20"/>
          <w:color w:val="auto"/>
        </w:rPr>
      </w:pPr>
    </w:p>
    <w:p>
      <w:pPr>
        <w:ind w:right="240" w:firstLine="374"/>
        <w:spacing w:after="0" w:line="260" w:lineRule="auto"/>
        <w:rPr>
          <w:sz w:val="20"/>
          <w:szCs w:val="20"/>
          <w:color w:val="auto"/>
        </w:rPr>
      </w:pPr>
      <w:r>
        <w:rPr>
          <w:rFonts w:ascii="Times New Roman" w:cs="Times New Roman" w:eastAsia="Times New Roman" w:hAnsi="Times New Roman"/>
          <w:sz w:val="18"/>
          <w:szCs w:val="18"/>
          <w:color w:val="auto"/>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p>
    <w:p>
      <w:pPr>
        <w:spacing w:after="0" w:line="114"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Our LDD, as is typical of many medical device capital equipment products, has a lower gross margin than the IOL, as the material cost of the LDD is significant, representing approximately 50% of the total cost to manufacture. In addition, the list price for and average selling price of our LDD are priced reasonably because LDDs, once sold, generate LAL procedures. Our LAL gross margin is higher, with low material cost but high fixed overhead costs. As our manufacturing volume of the LAL increases and the percentage of revenue from the LAL increases as a percentage of sales, we expect gross margin may continue to improve.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directors’ expenses, insurance costs, general corporate expenses and facilities-related expenses.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Interest expense consist primarily of interest incurred on indebtedness and non-cash interest related to the amortization of debt discount and issuance costs associated with our indebtedness and interest on leases.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and other income, net consist primarily of interest income earned on our short-term investments and cash equivalents.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term loan</w:t>
      </w:r>
    </w:p>
    <w:p>
      <w:pPr>
        <w:spacing w:after="0" w:line="121" w:lineRule="exact"/>
        <w:rPr>
          <w:sz w:val="20"/>
          <w:szCs w:val="20"/>
          <w:color w:val="auto"/>
        </w:rPr>
      </w:pPr>
    </w:p>
    <w:p>
      <w:pPr>
        <w:ind w:right="60" w:firstLine="374"/>
        <w:spacing w:after="0" w:line="280" w:lineRule="auto"/>
        <w:rPr>
          <w:sz w:val="20"/>
          <w:szCs w:val="20"/>
          <w:color w:val="auto"/>
        </w:rPr>
      </w:pPr>
      <w:r>
        <w:rPr>
          <w:rFonts w:ascii="Times New Roman" w:cs="Times New Roman" w:eastAsia="Times New Roman" w:hAnsi="Times New Roman"/>
          <w:sz w:val="17"/>
          <w:szCs w:val="17"/>
          <w:color w:val="auto"/>
        </w:rPr>
        <w:t>Loss on extinguishment of term loan consist of the loss from extinguishment of term loans due to repayment to Oxford Finance, LLC (“Oxford”). For more information regarding our prior term debt arrangement with Oxford, see “Management’s Discussion and Analysis of Financial Condition and Results of Operations (“MD&amp;A”) – Liquidity and Capital Resources – Refinancing and Payoff of Oxford Debt” in Part II, Item 7 of our Annual Report on Form 10-K for the year ended December 31, 2023, filed with the SEC on March 28, 2024 (the “2023 Form 10-K”), which is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right="56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together with the dollar increase or decrease and percentage change in those items: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2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340" w:type="dxa"/>
            <w:vAlign w:val="bottom"/>
          </w:tcPr>
          <w:p>
            <w:pPr>
              <w:spacing w:after="0"/>
              <w:rPr>
                <w:sz w:val="20"/>
                <w:szCs w:val="20"/>
                <w:color w:val="auto"/>
              </w:rPr>
            </w:pPr>
          </w:p>
        </w:tc>
        <w:tc>
          <w:tcPr>
            <w:tcW w:w="162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auto"/>
            </w:tcBorders>
            <w:vMerge w:val="continue"/>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139,927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89,077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57.1 %</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98,943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45,178</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84.0 %</w:t>
            </w:r>
          </w:p>
        </w:tc>
        <w:tc>
          <w:tcPr>
            <w:tcW w:w="0" w:type="dxa"/>
            <w:vAlign w:val="bottom"/>
          </w:tcPr>
          <w:p>
            <w:pPr>
              <w:spacing w:after="0"/>
              <w:rPr>
                <w:sz w:val="1"/>
                <w:szCs w:val="1"/>
                <w:color w:val="auto"/>
              </w:rPr>
            </w:pPr>
          </w:p>
        </w:tc>
      </w:tr>
      <w:tr>
        <w:trPr>
          <w:trHeight w:val="209"/>
        </w:trPr>
        <w:tc>
          <w:tcPr>
            <w:tcW w:w="4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101,434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74,799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26,635</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FF0FC"/>
              <w:bottom w:val="single" w:sz="8" w:color="CFF0FC"/>
            </w:tcBorders>
            <w:shd w:val="clear" w:color="auto" w:fill="CFF0FC"/>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CFF0FC"/>
              <w:bottom w:val="single" w:sz="8" w:color="auto"/>
            </w:tcBorders>
            <w:shd w:val="clear" w:color="auto" w:fill="CFF0FC"/>
          </w:tcPr>
          <w:p>
            <w:pPr>
              <w:spacing w:after="0"/>
              <w:rPr>
                <w:sz w:val="17"/>
                <w:szCs w:val="17"/>
                <w:color w:val="auto"/>
              </w:rPr>
            </w:pPr>
          </w:p>
        </w:tc>
        <w:tc>
          <w:tcPr>
            <w:tcW w:w="106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135,801</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auto"/>
            </w:tcBorders>
            <w:shd w:val="clear" w:color="auto" w:fill="CFF0FC"/>
          </w:tcPr>
          <w:p>
            <w:pPr>
              <w:spacing w:after="0"/>
              <w:rPr>
                <w:sz w:val="17"/>
                <w:szCs w:val="17"/>
                <w:color w:val="auto"/>
              </w:rPr>
            </w:pPr>
          </w:p>
        </w:tc>
        <w:tc>
          <w:tcPr>
            <w:tcW w:w="108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103,850</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31,951</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30.8</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(36,858 )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(50,085 )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(3,308 )</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(1,769 )</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531.4 %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(27,405 )</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(48,588 )</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(27,455 )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(48,608 )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short-term investments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(229.7 )</w:t>
            </w:r>
          </w:p>
        </w:tc>
        <w:tc>
          <w:tcPr>
            <w:tcW w:w="0" w:type="dxa"/>
            <w:vAlign w:val="bottom"/>
          </w:tcPr>
          <w:p>
            <w:pPr>
              <w:spacing w:after="0"/>
              <w:rPr>
                <w:sz w:val="1"/>
                <w:szCs w:val="1"/>
                <w:color w:val="auto"/>
              </w:rPr>
            </w:pPr>
          </w:p>
        </w:tc>
      </w:tr>
      <w:tr>
        <w:trPr>
          <w:trHeight w:val="209"/>
        </w:trPr>
        <w:tc>
          <w:tcPr>
            <w:tcW w:w="4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(27,284 )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(48,518 )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-2567940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-2567940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-2567940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-2567940</wp:posOffset>
            </wp:positionV>
            <wp:extent cx="154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-1994535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-1994535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-2152650</wp:posOffset>
            </wp:positionV>
            <wp:extent cx="9398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6970395</wp:posOffset>
            </wp:positionH>
            <wp:positionV relativeFrom="paragraph">
              <wp:posOffset>-2152650</wp:posOffset>
            </wp:positionV>
            <wp:extent cx="179705"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-1155065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-1155065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-1155065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-1155065</wp:posOffset>
            </wp:positionV>
            <wp:extent cx="1543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-872490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-872490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-872490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-872490</wp:posOffset>
            </wp:positionV>
            <wp:extent cx="1543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-316230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-316230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-316230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-316230</wp:posOffset>
            </wp:positionV>
            <wp:extent cx="1543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Sales increased by $50.8 million, or 57.1%, to $139.9 million for the year ended December 31, 2024 from $89.1 million for the year ended December 31, 2023. The increase was due to incremental sales of 43,182 LALs primarily due to continued penetration in existing customers, an increased LDD installed base of 305 and incremental sales of 39 LDDs from strong adoption of our RxSight technology by practices and doctors.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40" w:firstLine="374"/>
        <w:spacing w:after="0" w:line="280" w:lineRule="auto"/>
        <w:rPr>
          <w:sz w:val="20"/>
          <w:szCs w:val="20"/>
          <w:color w:val="auto"/>
        </w:rPr>
      </w:pPr>
      <w:r>
        <w:rPr>
          <w:rFonts w:ascii="Times New Roman" w:cs="Times New Roman" w:eastAsia="Times New Roman" w:hAnsi="Times New Roman"/>
          <w:sz w:val="17"/>
          <w:szCs w:val="17"/>
          <w:color w:val="auto"/>
        </w:rPr>
        <w:t>Cost of sales increased by $5.7 million, or 16.1%, to $41.0 million for the year ended December 31, 2024 from $35.3 million for the year ended December 31, 2023, primarily due to the increase in the number of LALs and LDDs sold during the period. Gross margin increased to 70.7% in the year ended December 31, 2024 from 60.4% in 2023 primarily due to improved operating leverage, favorable product mix from a greater percentage of revenue from LAL sales and increased margins on our LDD due to lower material costs from the introduction of our compact LDD during the third quarter of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$26.6 million, or 35.6%, to $101.4 million for the year ended December 31, 2024, from $74.8 million for the year ended December 31, 2023. This increase was primarily attributable to an increase in selling and marketing personnel costs of $19.4 million due mainly to additional headcount of 44, increased sales commissions, incentive bonuses and employee benefits of $9.4 million, $3.2 million of increased stock-based compensation expense, $3.7 million in additional marketing study costs, and new customer acquisition costs, in each case when compared to the year ended December 31, 2023. General and administrative expenses increased by $7.2 million due to increased personnel expenses of $2.6 million, and increased stock-based compensation of $2.8 million and as well as $1.6 million of increased sales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tax, outside services, software licenses and bank fees due to an increase in our general administration infrastructure to support an increased installed base and revenues.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374"/>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increased by $5.3 million to $34.4 million for the year ended December 31, 2024 from $29.1 million for the year ended December 31, 2023, an increase of 18.3%. This increase was primarily attributable to $2.9 million in increased facility costs due to increased research and development infrastructure, $2.2 million in increased personnel costs which includes stock-based compensation and $0.4 million in increased clinical study costs.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Other income (expense), net increased by $8.0 million to income of $9.5 million for the year ended December 31, 2024 from income of $1.5 million for the year ended December 31, 2023. This change was primarily due to increased interest income of $2.9 million primarily from higher short-term investment balances and decreased interest expense of $3.3 million on the Oxford term loan and a decrease of $1.8 million loss from extinguishment of term loan due to the repayment of the Oxford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21" w:lineRule="exact"/>
        <w:rPr>
          <w:sz w:val="20"/>
          <w:szCs w:val="20"/>
          <w:color w:val="auto"/>
        </w:rPr>
      </w:pPr>
    </w:p>
    <w:p>
      <w:pPr>
        <w:ind w:right="80" w:firstLine="374"/>
        <w:spacing w:after="0" w:line="260"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2023 compared to the year ended December 31, 2022 has been omitted from this Annual Report on Form 10-K, but may be found in “MD&amp;A – Results of Operations – Comparison of the years ended December 31, 2023 and 2022” in Part II, Item 7 of the 2023 Form 10-K, which discussion is incorporated herein by reference and which is available free of charge on the SEC’s website at www.sec.gov.</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20" w:firstLine="374"/>
        <w:spacing w:after="0" w:line="281"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and we anticipate that we will continue to incur losses in the near future.</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2024, we had cash and cash equivalents of $16.7 million, short-term investments of $220.5 million, and accumulated deficit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$622.1 million. For the years ended December 31, 2024 and 2023, our net losses from operations were $36.9 and $50.1 million, respectively. We generated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of $139.9 million and had a net loss of $27.5 million for the year ended December 31, 2024, compared to sales of $89.1 million and net loss of $48.6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year ended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61" w:lineRule="exact"/>
        <w:rPr>
          <w:sz w:val="20"/>
          <w:szCs w:val="20"/>
          <w:color w:val="auto"/>
        </w:rPr>
      </w:pPr>
    </w:p>
    <w:p>
      <w:pPr>
        <w:ind w:right="100" w:firstLine="374"/>
        <w:spacing w:after="0" w:line="280" w:lineRule="auto"/>
        <w:rPr>
          <w:sz w:val="20"/>
          <w:szCs w:val="20"/>
          <w:color w:val="auto"/>
        </w:rPr>
      </w:pPr>
      <w:r>
        <w:rPr>
          <w:rFonts w:ascii="Times New Roman" w:cs="Times New Roman" w:eastAsia="Times New Roman" w:hAnsi="Times New Roman"/>
          <w:sz w:val="17"/>
          <w:szCs w:val="17"/>
          <w:color w:val="auto"/>
        </w:rPr>
        <w:t>On May 8, 2024, we filed an automatic shelf registration statement on Form S-3 (“shelf registration statement”). The shelf registration statement is effective for three years and permits us to sell, from time to time, common stock, preferred stock, debt securities, warrants, and/or units. The shelf registration statement is intended to provide us with the flexibility to access additional capital. At the time of filing the shelf registration statement, we also filed a prospectus supplement to sell up to an aggregate value of $115.0 million dollars of common stock through a public offering (“Public Offering”).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14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On May 8, 2024, we entered into an underwriting agreement with BofA Securities, Inc., in which we agreed to issue and sell 1,785,714 shares of our common stock in a Public Offering, pursuant to the shelf registration statement. The shares of common stock were sold at a price to the public of $56.00 per share. Under the terms of the underwriting agreement, we also granted the underwriters an option exercisable for 30 days from the date of the underwriting agreement to purchase up to an additional 267,857 shares of common stock on the same terms and conditions. The underwriters' option was exercised in full on May 10, 2024 and the Public Offering (inclusive of the underwriters' option shares) closed on May 13, 2024. We received net proceeds of approximately $107.5 million from the Public Offering, after deducting underwriters' discounts and commissions of $6.9 million and other offering expenses of $0.6 million.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2024 lease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100 Columbia lease to include 120 Columbia Suites 300, 400 and 500</w:t>
      </w:r>
    </w:p>
    <w:p>
      <w:pPr>
        <w:spacing w:after="0" w:line="119"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On November 6, 2024, we entered into a new lease amendment to one of our existing leases comprising our headquarters, manufacturing, research and development and administrative offices in Aliso Viejo, California. We entered into the new amended lease to have continued long-term access to our facilities and acquire additional square footage.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lease activity</w:t>
      </w:r>
    </w:p>
    <w:p>
      <w:pPr>
        <w:spacing w:after="0" w:line="161"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On April 18, 2024, we entered into a new lease, and amendments to two existing leases, for three of our four facilities comprising our headquarters, manufacturing, research and development and administrative offices in Aliso Viejo, California. We entered into the new lease and amended two existing leases to extend the rental terms and options, ensure continued long-term access to our facilities, acquire additional square footage to expand manufacturing, and align the lease end dates for each of our four facilities. See Note 11 – Leases in the Notes to the consolidated financial statements included in this report.</w:t>
      </w:r>
    </w:p>
    <w:p>
      <w:pPr>
        <w:spacing w:after="0" w:line="101" w:lineRule="exact"/>
        <w:rPr>
          <w:sz w:val="20"/>
          <w:szCs w:val="20"/>
          <w:color w:val="auto"/>
        </w:rPr>
      </w:pPr>
    </w:p>
    <w:p>
      <w:pPr>
        <w:ind w:right="480" w:firstLine="374"/>
        <w:spacing w:after="0" w:line="281" w:lineRule="auto"/>
        <w:rPr>
          <w:sz w:val="20"/>
          <w:szCs w:val="20"/>
          <w:color w:val="auto"/>
        </w:rPr>
      </w:pPr>
      <w:r>
        <w:rPr>
          <w:rFonts w:ascii="Times New Roman" w:cs="Times New Roman" w:eastAsia="Times New Roman" w:hAnsi="Times New Roman"/>
          <w:sz w:val="18"/>
          <w:szCs w:val="18"/>
          <w:color w:val="auto"/>
        </w:rPr>
        <w:t>Our four facility operating leases are our only material contractual obligations. For an additional description of these contractual obligations and commitments, see Note 11 – Leases in the Notes to the consolidated financial statements included in this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 of credit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standby letter of credit was not required to be renewed and expired on September 30,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liquidity and capital funding requirements will depend on numerous factors, including:</w:t>
      </w:r>
    </w:p>
    <w:p>
      <w:pPr>
        <w:spacing w:after="0" w:line="144" w:lineRule="exact"/>
        <w:rPr>
          <w:sz w:val="20"/>
          <w:szCs w:val="20"/>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growth, including potential international expansion;</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investments, primarily in inventories and accounts receivable;</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or borrow to finance our operations;</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any clinical trial results for our current or future products;</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effect of competing or complementary products;</w:t>
      </w:r>
    </w:p>
    <w:p>
      <w:pPr>
        <w:spacing w:after="0" w:line="116" w:lineRule="exact"/>
        <w:rPr>
          <w:rFonts w:ascii="Times New Roman" w:cs="Times New Roman" w:eastAsia="Times New Roman" w:hAnsi="Times New Roman"/>
          <w:sz w:val="18"/>
          <w:szCs w:val="18"/>
          <w:color w:val="auto"/>
        </w:rPr>
      </w:pPr>
    </w:p>
    <w:p>
      <w:pPr>
        <w:ind w:left="900" w:right="160" w:hanging="518"/>
        <w:spacing w:after="0" w:line="265"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69" w:lineRule="exact"/>
        <w:rPr>
          <w:rFonts w:ascii="Times New Roman" w:cs="Times New Roman" w:eastAsia="Times New Roman" w:hAnsi="Times New Roman"/>
          <w:sz w:val="18"/>
          <w:szCs w:val="18"/>
          <w:color w:val="auto"/>
        </w:rPr>
      </w:pPr>
    </w:p>
    <w:p>
      <w:pPr>
        <w:ind w:left="900" w:right="160" w:hanging="518"/>
        <w:spacing w:after="0" w:line="281"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employees and the need and ability to hire additional management, sales, research and development, scientific and customer support personnel;</w:t>
      </w:r>
    </w:p>
    <w:p>
      <w:pPr>
        <w:spacing w:after="0" w:line="54"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or other arrangements that we have or may establish;</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finance lease payments for our facilities; and</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157"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$16.7 million, short-term investments of $220.5 million, and an accumulated deficit of $622.1 million. 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We may also opportunistically raise capital under advantageous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circumstances from time to time, such as the Public Offering, in order to support the expansion of our sales and operations in the U.S. and internationally and to pursue other business opportunities. If we determine that we need to raise additional funds,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 If we raise additional funds by issuing equity securities, our stockholders may experience dilution.</w:t>
      </w:r>
    </w:p>
    <w:p>
      <w:pPr>
        <w:spacing w:after="0" w:line="105" w:lineRule="exact"/>
        <w:rPr>
          <w:sz w:val="20"/>
          <w:szCs w:val="20"/>
          <w:color w:val="auto"/>
        </w:rPr>
      </w:pPr>
    </w:p>
    <w:p>
      <w:pPr>
        <w:ind w:right="2240" w:firstLine="374"/>
        <w:spacing w:after="0" w:line="422" w:lineRule="auto"/>
        <w:rPr>
          <w:sz w:val="20"/>
          <w:szCs w:val="20"/>
          <w:color w:val="auto"/>
        </w:rPr>
      </w:pPr>
      <w:r>
        <w:rPr>
          <w:rFonts w:ascii="Times New Roman" w:cs="Times New Roman" w:eastAsia="Times New Roman" w:hAnsi="Times New Roman"/>
          <w:sz w:val="18"/>
          <w:szCs w:val="18"/>
          <w:color w:val="auto"/>
        </w:rPr>
        <w:t xml:space="preserve">See Part I, Item 1A (Risk Factors) of this report for additional risks associated with our substantial capital requirements. </w:t>
      </w:r>
      <w:r>
        <w:rPr>
          <w:rFonts w:ascii="Times New Roman" w:cs="Times New Roman" w:eastAsia="Times New Roman" w:hAnsi="Times New Roman"/>
          <w:sz w:val="18"/>
          <w:szCs w:val="18"/>
          <w:b w:val="1"/>
          <w:bCs w:val="1"/>
          <w:i w:val="1"/>
          <w:iCs w:val="1"/>
          <w:color w:val="auto"/>
        </w:rPr>
        <w:t>Summary statement of cash flows</w:t>
      </w:r>
    </w:p>
    <w:p>
      <w:pPr>
        <w:ind w:right="22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each of the periods presented below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34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8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(16,946 )</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(41,593 )</w:t>
            </w: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(99,311 )</w:t>
            </w:r>
          </w:p>
        </w:tc>
        <w:tc>
          <w:tcPr>
            <w:tcW w:w="12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(22,129 )</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123,319</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FF0FC"/>
          </w:tcPr>
          <w:p>
            <w:pPr>
              <w:ind w:left="200"/>
              <w:spacing w:after="0" w:line="197" w:lineRule="exact"/>
              <w:rPr>
                <w:sz w:val="20"/>
                <w:szCs w:val="20"/>
                <w:color w:val="auto"/>
              </w:rPr>
            </w:pPr>
            <w:r>
              <w:rPr>
                <w:rFonts w:ascii="Times New Roman" w:cs="Times New Roman" w:eastAsia="Times New Roman" w:hAnsi="Times New Roman"/>
                <w:sz w:val="18"/>
                <w:szCs w:val="18"/>
                <w:color w:val="auto"/>
              </w:rPr>
              <w:t>Effect of foreign exchange rate on cash, cash equivalents</w:t>
            </w:r>
          </w:p>
        </w:tc>
        <w:tc>
          <w:tcPr>
            <w:tcW w:w="1200" w:type="dxa"/>
            <w:vAlign w:val="bottom"/>
            <w:shd w:val="clear" w:color="auto" w:fill="CFF0FC"/>
          </w:tcPr>
          <w:p>
            <w:pPr>
              <w:spacing w:after="0"/>
              <w:rPr>
                <w:sz w:val="17"/>
                <w:szCs w:val="17"/>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(9 )</w:t>
            </w:r>
          </w:p>
        </w:tc>
        <w:tc>
          <w:tcPr>
            <w:tcW w:w="1240" w:type="dxa"/>
            <w:vAlign w:val="bottom"/>
            <w:shd w:val="clear" w:color="auto" w:fill="CFF0FC"/>
          </w:tcPr>
          <w:p>
            <w:pPr>
              <w:spacing w:after="0"/>
              <w:rPr>
                <w:sz w:val="17"/>
                <w:szCs w:val="17"/>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restricted cash</w:t>
            </w:r>
          </w:p>
        </w:tc>
        <w:tc>
          <w:tcPr>
            <w:tcW w:w="1200" w:type="dxa"/>
            <w:vAlign w:val="bottom"/>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320" w:type="dxa"/>
            <w:vAlign w:val="bottom"/>
          </w:tcPr>
          <w:p>
            <w:pPr>
              <w:spacing w:after="0"/>
              <w:rPr>
                <w:sz w:val="18"/>
                <w:szCs w:val="18"/>
                <w:color w:val="auto"/>
              </w:rPr>
            </w:pP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(2,192 )</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used in operating activities</w:t>
      </w:r>
    </w:p>
    <w:p>
      <w:pPr>
        <w:spacing w:after="0" w:line="121" w:lineRule="exact"/>
        <w:rPr>
          <w:sz w:val="20"/>
          <w:szCs w:val="20"/>
          <w:color w:val="auto"/>
        </w:rPr>
      </w:pPr>
    </w:p>
    <w:p>
      <w:pPr>
        <w:jc w:val="both"/>
        <w:ind w:right="340" w:firstLine="374"/>
        <w:spacing w:after="0" w:line="265"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$17.0 million consisting primarily of a net loss of $27.5 million, a change in operating assets and liabilities of $9.2 million, partially offset by non-cash stock-based compensation of $24.6 million, and depreciation and amortization of $3.6 million.</w:t>
      </w:r>
    </w:p>
    <w:p>
      <w:pPr>
        <w:spacing w:after="0" w:line="69" w:lineRule="exact"/>
        <w:rPr>
          <w:sz w:val="20"/>
          <w:szCs w:val="20"/>
          <w:color w:val="auto"/>
        </w:rPr>
      </w:pPr>
    </w:p>
    <w:p>
      <w:pPr>
        <w:jc w:val="both"/>
        <w:ind w:right="340" w:firstLine="374"/>
        <w:spacing w:after="0" w:line="265"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$41.6 million consisting primarily of a net loss of $48.6 million, a change in operating assets and liabilities of $9.1 million, partially offset by non-cash stock-based compensation of $15.7 million, and depreciation and amortization of $4.1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p>
      <w:pPr>
        <w:spacing w:after="0" w:line="161"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$99.3 million, consisting of net purchases of short-term investments of $93.9 million and purchases of property and equipment of $5.4 million.</w:t>
      </w:r>
    </w:p>
    <w:p>
      <w:pPr>
        <w:spacing w:after="0" w:line="82"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$22.1 million, consisting of net purchases of short-term investments of $17.3 million and purchases of property and equipment of $4.8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p>
      <w:pPr>
        <w:spacing w:after="0" w:line="161" w:lineRule="exact"/>
        <w:rPr>
          <w:sz w:val="20"/>
          <w:szCs w:val="20"/>
          <w:color w:val="auto"/>
        </w:rPr>
      </w:pPr>
    </w:p>
    <w:p>
      <w:pPr>
        <w:jc w:val="both"/>
        <w:ind w:right="140" w:firstLine="374"/>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$123.3 million, consisting primarily of proceeds from issuances of common stock from our public offering of $108.1. million, and proceeds from issuance of common stock pursuant to equity compensation programs of $20.8 million, partially offset by tax payments for employee stock compensation of $4.8 million.</w:t>
      </w:r>
    </w:p>
    <w:p>
      <w:pPr>
        <w:spacing w:after="0" w:line="96"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$61.5 million, consisting primarily of proceeds from issuances of common stock from our public offering of $54.1 million, proceeds from issuance of common stock for at-the-market offerings of $42.4 million and proceeds from issuance of common stock of $9.5 million pursuant to equity compensation programs, partially offset by a net paydown of the June 2023 LSA Oxford term debt of $40.0 million.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w:t>
      </w:r>
    </w:p>
    <w:p>
      <w:pPr>
        <w:spacing w:after="0" w:line="81"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We believe that the accounting policies we use are critical to the process of making significant judgments and estimates in the preparation of our financial statements and understanding and evaluating our reported financial results. Our significant accounting policies are described in more detail in the “Summary of Accounting Polices” in Note 2 in the Notes to Consolidated Financial Statements included in Part II – Item 8 in this report. 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of all our significant accounting policies, the following accounting policies we have identified as critical involve a greater degree of judgment and complexity than our other accounting policies. Accordingly, the policies below are what we believe are the most critical to aid in fully understanding and evaluating our consolidated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Our revenue is generated from the sale of LALs used in cataract surgery along with a specifically designed machine for delivering light to the eye, the LDD, to adjust the lens post-surgery. Revenue is recognized from sales of products in the U.S. Canada, Europe and Asia to ambulatory surgery centers, hospitals, and physician private practices.</w:t>
      </w:r>
    </w:p>
    <w:p>
      <w:pPr>
        <w:spacing w:after="0" w:line="6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We recognize LDD revenue primarily at the point in time at installation and customer acceptance of the LDD is satisfied. LALs are generally held at customer sites on consignment. In limited instances distributors may purchase small quantities of our products primarily to support clinical studies outside the U.S. Revenue is recognized for LALs upon customer notification that the LALs have been implanted in a patient or when title transfers to the distributor in a limited number. The timing of revenue recognition for LDD transactions and LAL transactions requires management judgment. Revenue recognition is reasonably likely to have a material impact on our financial condition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320" w:firstLine="374"/>
        <w:spacing w:after="0" w:line="283"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Summary of Accounting Policies—Recent Accounting Pronouncements</w:t>
      </w:r>
      <w:r>
        <w:rPr>
          <w:rFonts w:ascii="Times New Roman" w:cs="Times New Roman" w:eastAsia="Times New Roman" w:hAnsi="Times New Roman"/>
          <w:sz w:val="18"/>
          <w:szCs w:val="18"/>
          <w:color w:val="auto"/>
        </w:rPr>
        <w:t>” in Note 2 to our Consolidated Financial Statements included in Part II - Item 8 in this Annual Report on Form 10-K for additional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constraints and inflation</w:t>
      </w:r>
    </w:p>
    <w:p>
      <w:pPr>
        <w:spacing w:after="0" w:line="121"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83" w:lineRule="exact"/>
        <w:rPr>
          <w:sz w:val="20"/>
          <w:szCs w:val="20"/>
          <w:color w:val="auto"/>
        </w:rPr>
      </w:pPr>
    </w:p>
    <w:p>
      <w:pPr>
        <w:ind w:right="100" w:firstLine="374"/>
        <w:spacing w:after="0" w:line="312" w:lineRule="auto"/>
        <w:rPr>
          <w:sz w:val="20"/>
          <w:szCs w:val="20"/>
          <w:color w:val="auto"/>
        </w:rPr>
      </w:pPr>
      <w:r>
        <w:rPr>
          <w:rFonts w:ascii="Times New Roman" w:cs="Times New Roman" w:eastAsia="Times New Roman" w:hAnsi="Times New Roman"/>
          <w:sz w:val="17"/>
          <w:szCs w:val="17"/>
          <w:color w:val="auto"/>
        </w:rPr>
        <w:t>Uncertain macroeconomic conditions including recent inflationary pressures and the rise in interest rates have created significant uncertainty in the U.S. economy and capital markets, which is expected to continue through 2025 and beyond and could negatively impact our financial results and liquidity.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360" w:firstLine="374"/>
        <w:spacing w:after="0" w:line="28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is the potential loss arising from the adverse changes in market rates and prices.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Fluctuation Rate Risk</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had cash and cash equivalents and short-term investments of $237.2 million as of December 31, 2024, which consisted of $220.5 million in highly liquid money market and U.S. Treasury securities with maturities of twelve months or less.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and short-term investments. Declines in interest rates, however, would reduce future investment income. We considered the historical volatility of short-term interest rates and determined that it was reasonably possible that an adverse change of 100 basis points could be experienced in the near term. A hypothetical 1.00% (100 basis points) increase in interest rates would not have materially impacted the fair value of our marketable securities as of December 31, 2024 and December 31, 2023. If overall interest rates had increased or decreased by 1.00% (100 basis points), our interest income would not have been materially affected during the years ended December 31, 2024 or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2024, we have de minimis amounts of revenue and expenses that are denominated in currencies other than U.S. dollars.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76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2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76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42)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196"/>
        </w:trPr>
        <w:tc>
          <w:tcPr>
            <w:tcW w:w="20" w:type="dxa"/>
            <w:vAlign w:val="bottom"/>
          </w:tcPr>
          <w:p>
            <w:pPr>
              <w:spacing w:after="0"/>
              <w:rPr>
                <w:sz w:val="17"/>
                <w:szCs w:val="17"/>
                <w:color w:val="auto"/>
              </w:rPr>
            </w:pPr>
          </w:p>
        </w:tc>
        <w:tc>
          <w:tcPr>
            <w:tcW w:w="4260" w:type="dxa"/>
            <w:vAlign w:val="bottom"/>
            <w:tcBorders>
              <w:top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220" w:type="dxa"/>
            <w:vAlign w:val="bottom"/>
            <w:tcBorders>
              <w:top w:val="single" w:sz="8" w:color="0000FF"/>
            </w:tcBorders>
            <w:gridSpan w:val="2"/>
          </w:tcPr>
          <w:p>
            <w:pPr>
              <w:spacing w:after="0"/>
              <w:rPr>
                <w:sz w:val="17"/>
                <w:szCs w:val="17"/>
                <w:color w:val="auto"/>
              </w:rPr>
            </w:pPr>
          </w:p>
        </w:tc>
        <w:tc>
          <w:tcPr>
            <w:tcW w:w="3980" w:type="dxa"/>
            <w:vAlign w:val="bottom"/>
          </w:tcPr>
          <w:p>
            <w:pPr>
              <w:spacing w:after="0"/>
              <w:rPr>
                <w:sz w:val="17"/>
                <w:szCs w:val="17"/>
                <w:color w:val="auto"/>
              </w:rPr>
            </w:pPr>
          </w:p>
        </w:tc>
        <w:tc>
          <w:tcPr>
            <w:tcW w:w="1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bottom w:val="single" w:sz="8" w:color="0000FF"/>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4780" w:type="dxa"/>
            <w:vAlign w:val="bottom"/>
            <w:gridSpan w:val="2"/>
          </w:tcPr>
          <w:p>
            <w:pPr>
              <w:spacing w:after="0"/>
              <w:rPr>
                <w:sz w:val="17"/>
                <w:szCs w:val="17"/>
                <w:color w:val="auto"/>
              </w:rPr>
            </w:pPr>
          </w:p>
        </w:tc>
        <w:tc>
          <w:tcPr>
            <w:tcW w:w="1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20" w:type="dxa"/>
            <w:vAlign w:val="bottom"/>
          </w:tcPr>
          <w:p>
            <w:pPr>
              <w:spacing w:after="0"/>
              <w:rPr>
                <w:sz w:val="17"/>
                <w:szCs w:val="17"/>
                <w:color w:val="auto"/>
              </w:rPr>
            </w:pPr>
          </w:p>
        </w:tc>
        <w:tc>
          <w:tcPr>
            <w:tcW w:w="94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1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252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101</w:t>
            </w:r>
          </w:p>
        </w:tc>
      </w:tr>
      <w:tr>
        <w:trPr>
          <w:trHeight w:val="883"/>
        </w:trPr>
        <w:tc>
          <w:tcPr>
            <w:tcW w:w="20" w:type="dxa"/>
            <w:vAlign w:val="bottom"/>
          </w:tcPr>
          <w:p>
            <w:pPr>
              <w:spacing w:after="0"/>
              <w:rPr>
                <w:sz w:val="24"/>
                <w:szCs w:val="24"/>
                <w:color w:val="auto"/>
              </w:rPr>
            </w:pPr>
          </w:p>
        </w:tc>
        <w:tc>
          <w:tcPr>
            <w:tcW w:w="3140" w:type="dxa"/>
            <w:vAlign w:val="bottom"/>
            <w:tcBorders>
              <w:top w:val="single" w:sz="8" w:color="0000FF"/>
            </w:tcBorders>
            <w:gridSpan w:val="4"/>
          </w:tcPr>
          <w:p>
            <w:pPr>
              <w:spacing w:after="0"/>
              <w:rPr>
                <w:sz w:val="24"/>
                <w:szCs w:val="24"/>
                <w:color w:val="auto"/>
              </w:rPr>
            </w:pPr>
          </w:p>
        </w:tc>
        <w:tc>
          <w:tcPr>
            <w:tcW w:w="6320" w:type="dxa"/>
            <w:vAlign w:val="bottom"/>
            <w:gridSpan w:val="4"/>
          </w:tcPr>
          <w:p>
            <w:pPr>
              <w:jc w:val="right"/>
              <w:ind w:right="3760"/>
              <w:spacing w:after="0"/>
              <w:rPr>
                <w:sz w:val="20"/>
                <w:szCs w:val="20"/>
                <w:color w:val="auto"/>
              </w:rPr>
            </w:pPr>
            <w:r>
              <w:rPr>
                <w:rFonts w:ascii="Times New Roman" w:cs="Times New Roman" w:eastAsia="Times New Roman" w:hAnsi="Times New Roman"/>
                <w:sz w:val="18"/>
                <w:szCs w:val="18"/>
                <w:color w:val="auto"/>
              </w:rPr>
              <w:t>95</w:t>
            </w:r>
          </w:p>
        </w:tc>
        <w:tc>
          <w:tcPr>
            <w:tcW w:w="176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RxSight, Inc.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2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RxSight, Inc. (the Company) as of December 31, 2024 and 2023, the related consolidated statements of operations and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7"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25, 2025 expressed an unqualified opinion thereon.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8" w:lineRule="exact"/>
        <w:rPr>
          <w:sz w:val="20"/>
          <w:szCs w:val="20"/>
          <w:color w:val="auto"/>
        </w:rPr>
      </w:pPr>
    </w:p>
    <w:p>
      <w:pPr>
        <w:jc w:val="both"/>
        <w:ind w:right="60"/>
        <w:spacing w:after="0" w:line="280"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2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Description of</w:t>
            </w:r>
          </w:p>
        </w:tc>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 for LDD Capital Asset Sales</w:t>
            </w:r>
          </w:p>
        </w:tc>
        <w:tc>
          <w:tcPr>
            <w:tcW w:w="0" w:type="dxa"/>
            <w:vAlign w:val="bottom"/>
          </w:tcPr>
          <w:p>
            <w:pPr>
              <w:spacing w:after="0"/>
              <w:rPr>
                <w:sz w:val="1"/>
                <w:szCs w:val="1"/>
                <w:color w:val="auto"/>
              </w:rPr>
            </w:pPr>
          </w:p>
        </w:tc>
      </w:tr>
      <w:tr>
        <w:trPr>
          <w:trHeight w:val="175"/>
        </w:trPr>
        <w:tc>
          <w:tcPr>
            <w:tcW w:w="2720" w:type="dxa"/>
            <w:vAlign w:val="bottom"/>
            <w:vMerge w:val="continue"/>
          </w:tcPr>
          <w:p>
            <w:pPr>
              <w:spacing w:after="0"/>
              <w:rPr>
                <w:sz w:val="15"/>
                <w:szCs w:val="15"/>
                <w:color w:val="auto"/>
              </w:rPr>
            </w:pPr>
          </w:p>
        </w:tc>
        <w:tc>
          <w:tcPr>
            <w:tcW w:w="84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As discussed in Note 2 of the consolidated financial statements, the Company derives revenue from the sale of Light Delivery</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the Matter</w:t>
            </w:r>
          </w:p>
        </w:tc>
        <w:tc>
          <w:tcPr>
            <w:tcW w:w="8480" w:type="dxa"/>
            <w:vAlign w:val="bottom"/>
          </w:tcPr>
          <w:p>
            <w:pPr>
              <w:ind w:left="220"/>
              <w:spacing w:after="0" w:line="230" w:lineRule="exact"/>
              <w:rPr>
                <w:sz w:val="20"/>
                <w:szCs w:val="20"/>
                <w:color w:val="auto"/>
              </w:rPr>
            </w:pPr>
            <w:r>
              <w:rPr>
                <w:rFonts w:ascii="Times New Roman" w:cs="Times New Roman" w:eastAsia="Times New Roman" w:hAnsi="Times New Roman"/>
                <w:sz w:val="16"/>
                <w:szCs w:val="16"/>
                <w:color w:val="auto"/>
              </w:rPr>
              <w:t>Devices (LDD</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and Light Adjustable Lenses. Customers are primarily comprised of ambulatory surgery centers, hospitals</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17"/>
                <w:szCs w:val="17"/>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and physician private practices. The Company recognizes LDD revenue as performance obligations are satisfied primarily at</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17"/>
                <w:szCs w:val="17"/>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 point in time when the installation and customer acceptance of the LDD occurs. Additional audit effort was required to</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17"/>
                <w:szCs w:val="17"/>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evaluate the timing of revenue recognition for LDD transactions and whether the performance obligation related to the</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installation and customer acceptance of the LDD was satisfied.</w:t>
            </w:r>
          </w:p>
        </w:tc>
        <w:tc>
          <w:tcPr>
            <w:tcW w:w="0" w:type="dxa"/>
            <w:vAlign w:val="bottom"/>
          </w:tcPr>
          <w:p>
            <w:pPr>
              <w:spacing w:after="0"/>
              <w:rPr>
                <w:sz w:val="1"/>
                <w:szCs w:val="1"/>
                <w:color w:val="auto"/>
              </w:rPr>
            </w:pPr>
          </w:p>
        </w:tc>
      </w:tr>
      <w:tr>
        <w:trPr>
          <w:trHeight w:val="395"/>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How We Addressed the Matter in Our</w:t>
            </w:r>
          </w:p>
        </w:tc>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 obtained an understanding, evaluated the design and tested the operating effectiveness of controls over the Company’s</w:t>
            </w:r>
          </w:p>
        </w:tc>
        <w:tc>
          <w:tcPr>
            <w:tcW w:w="0" w:type="dxa"/>
            <w:vAlign w:val="bottom"/>
          </w:tcPr>
          <w:p>
            <w:pPr>
              <w:spacing w:after="0"/>
              <w:rPr>
                <w:sz w:val="1"/>
                <w:szCs w:val="1"/>
                <w:color w:val="auto"/>
              </w:rPr>
            </w:pPr>
          </w:p>
        </w:tc>
      </w:tr>
      <w:tr>
        <w:trPr>
          <w:trHeight w:val="204"/>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Audit</w:t>
            </w:r>
          </w:p>
        </w:tc>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revenue recognition process. For example, we tested controls over management’s review of the contract and evidence of</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17"/>
                <w:szCs w:val="17"/>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installation and customer acceptance.</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17"/>
                <w:szCs w:val="17"/>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 test the timing of revenue recognized from the sale of LDD assets during the year, our audit procedures, among others,</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17"/>
                <w:szCs w:val="17"/>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included inspecting contracts, as well as documentation for a sample of transactions to evidence LDD installation and customer</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acceptance.</w:t>
            </w:r>
          </w:p>
        </w:tc>
        <w:tc>
          <w:tcPr>
            <w:tcW w:w="0" w:type="dxa"/>
            <w:vAlign w:val="bottom"/>
          </w:tcPr>
          <w:p>
            <w:pPr>
              <w:spacing w:after="0"/>
              <w:rPr>
                <w:sz w:val="1"/>
                <w:szCs w:val="1"/>
                <w:color w:val="auto"/>
              </w:rPr>
            </w:pPr>
          </w:p>
        </w:tc>
      </w:tr>
      <w:tr>
        <w:trPr>
          <w:trHeight w:val="31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/s/ Ernst &amp; Young LLP</w:t>
            </w:r>
          </w:p>
        </w:tc>
        <w:tc>
          <w:tcPr>
            <w:tcW w:w="8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Irvine, California</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25, 2025</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4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420" w:type="dxa"/>
            <w:vAlign w:val="bottom"/>
            <w:shd w:val="clear" w:color="auto" w:fill="CFF0FC"/>
          </w:tcPr>
          <w:p>
            <w:pPr>
              <w:jc w:val="right"/>
              <w:ind w:right="1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16,706</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9,692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4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220,517</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4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14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14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4,541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3,523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4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293,823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168,407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4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12,413</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leases right-of-use assets</w:t>
            </w:r>
          </w:p>
        </w:tc>
        <w:tc>
          <w:tcPr>
            <w:tcW w:w="14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11,217</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0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20" w:type="dxa"/>
            <w:vAlign w:val="bottom"/>
            <w:tcBorders>
              <w:bottom w:val="single" w:sz="8" w:color="auto"/>
            </w:tcBorders>
            <w:shd w:val="clear" w:color="auto" w:fill="CFF0FC"/>
          </w:tcPr>
          <w:p>
            <w:pPr>
              <w:jc w:val="right"/>
              <w:ind w:right="1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318,563</w:t>
            </w: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182,550</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7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4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20" w:type="dxa"/>
            <w:vAlign w:val="bottom"/>
          </w:tcPr>
          <w:p>
            <w:pPr>
              <w:jc w:val="right"/>
              <w:ind w:right="1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4,544</w:t>
            </w:r>
          </w:p>
        </w:tc>
        <w:tc>
          <w:tcPr>
            <w:tcW w:w="3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20,358</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974</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4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25,876</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20,903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Long-term lease liabilities</w:t>
            </w:r>
          </w:p>
        </w:tc>
        <w:tc>
          <w:tcPr>
            <w:tcW w:w="14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4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37,325</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22,188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14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7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$0.001 par value, 900,000,000 shares authorized,</w:t>
            </w:r>
          </w:p>
        </w:tc>
        <w:tc>
          <w:tcPr>
            <w:tcW w:w="14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40,428,220 shares issued and outstanding as of December 31, 2024 and</w:t>
            </w:r>
          </w:p>
        </w:tc>
        <w:tc>
          <w:tcPr>
            <w:tcW w:w="142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36,139,513 shares issued and outstanding as of December 31, 2023</w:t>
            </w:r>
          </w:p>
        </w:tc>
        <w:tc>
          <w:tcPr>
            <w:tcW w:w="142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0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Preferred stock, $0.001 par value, 100,000,000 shares authorized, no shares issued</w:t>
            </w:r>
          </w:p>
        </w:tc>
        <w:tc>
          <w:tcPr>
            <w:tcW w:w="1420" w:type="dxa"/>
            <w:vAlign w:val="bottom"/>
          </w:tcPr>
          <w:p>
            <w:pPr>
              <w:spacing w:after="0"/>
              <w:rPr>
                <w:sz w:val="10"/>
                <w:szCs w:val="10"/>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and outstanding</w:t>
            </w:r>
          </w:p>
        </w:tc>
        <w:tc>
          <w:tcPr>
            <w:tcW w:w="14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903,127</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754,971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4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4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(622,095 )</w:t>
            </w:r>
          </w:p>
        </w:tc>
        <w:tc>
          <w:tcPr>
            <w:tcW w:w="1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(594,640 )</w:t>
            </w:r>
          </w:p>
        </w:tc>
        <w:tc>
          <w:tcPr>
            <w:tcW w:w="0" w:type="dxa"/>
            <w:vAlign w:val="bottom"/>
          </w:tcPr>
          <w:p>
            <w:pPr>
              <w:spacing w:after="0"/>
              <w:rPr>
                <w:sz w:val="1"/>
                <w:szCs w:val="1"/>
                <w:color w:val="auto"/>
              </w:rPr>
            </w:pPr>
          </w:p>
        </w:tc>
      </w:tr>
      <w:tr>
        <w:trPr>
          <w:trHeight w:val="142"/>
        </w:trPr>
        <w:tc>
          <w:tcPr>
            <w:tcW w:w="7700" w:type="dxa"/>
            <w:vAlign w:val="bottom"/>
            <w:tcBorders>
              <w:top w:val="single" w:sz="8" w:color="CFF0FC"/>
            </w:tcBorders>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4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281,238</w:t>
            </w:r>
          </w:p>
        </w:tc>
        <w:tc>
          <w:tcPr>
            <w:tcW w:w="30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160,362</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0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20" w:type="dxa"/>
            <w:vAlign w:val="bottom"/>
            <w:tcBorders>
              <w:bottom w:val="single" w:sz="8" w:color="auto"/>
            </w:tcBorders>
            <w:shd w:val="clear" w:color="auto" w:fill="CFF0FC"/>
          </w:tcPr>
          <w:p>
            <w:pPr>
              <w:jc w:val="right"/>
              <w:ind w:right="1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318,563</w:t>
            </w: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182,550</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6144260</wp:posOffset>
            </wp:positionH>
            <wp:positionV relativeFrom="paragraph">
              <wp:posOffset>-2653665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-2653665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-2071370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-2054225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-2071370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-2054225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-1283970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-1283970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-230505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-230505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-24765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-7620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2" w:name="page103"/>
    <w:bookmarkEnd w:id="10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446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25"/>
        </w:trPr>
        <w:tc>
          <w:tcPr>
            <w:tcW w:w="44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4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48"/>
        </w:trPr>
        <w:tc>
          <w:tcPr>
            <w:tcW w:w="4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1260" w:type="dxa"/>
            <w:vAlign w:val="bottom"/>
            <w:shd w:val="clear" w:color="auto" w:fill="CFF0FC"/>
          </w:tcPr>
          <w:p>
            <w:pPr>
              <w:jc w:val="right"/>
              <w:ind w:right="1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139,927</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89,077</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49,005</w:t>
            </w:r>
          </w:p>
        </w:tc>
        <w:tc>
          <w:tcPr>
            <w:tcW w:w="100" w:type="dxa"/>
            <w:vAlign w:val="bottom"/>
            <w:shd w:val="clear" w:color="auto" w:fill="CFF0FC"/>
          </w:tcPr>
          <w:p>
            <w:pPr>
              <w:spacing w:after="0"/>
              <w:rPr>
                <w:sz w:val="12"/>
                <w:szCs w:val="12"/>
                <w:color w:val="auto"/>
              </w:rPr>
            </w:pPr>
          </w:p>
        </w:tc>
      </w:tr>
      <w:tr>
        <w:trPr>
          <w:trHeight w:val="148"/>
        </w:trPr>
        <w:tc>
          <w:tcPr>
            <w:tcW w:w="44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1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40,984</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35,312</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27,677</w:t>
            </w:r>
          </w:p>
        </w:tc>
        <w:tc>
          <w:tcPr>
            <w:tcW w:w="100" w:type="dxa"/>
            <w:vAlign w:val="bottom"/>
          </w:tcPr>
          <w:p>
            <w:pPr>
              <w:spacing w:after="0"/>
              <w:rPr>
                <w:sz w:val="12"/>
                <w:szCs w:val="12"/>
                <w:color w:val="auto"/>
              </w:rPr>
            </w:pPr>
          </w:p>
        </w:tc>
      </w:tr>
      <w:tr>
        <w:trPr>
          <w:trHeight w:val="142"/>
        </w:trPr>
        <w:tc>
          <w:tcPr>
            <w:tcW w:w="4460" w:type="dxa"/>
            <w:vAlign w:val="bottom"/>
            <w:tcBorders>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2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98,943</w:t>
            </w:r>
          </w:p>
        </w:tc>
        <w:tc>
          <w:tcPr>
            <w:tcW w:w="2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53,765</w:t>
            </w:r>
          </w:p>
        </w:tc>
        <w:tc>
          <w:tcPr>
            <w:tcW w:w="2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21,328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4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46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101,434</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74,799</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58,665</w:t>
            </w:r>
          </w:p>
        </w:tc>
        <w:tc>
          <w:tcPr>
            <w:tcW w:w="100" w:type="dxa"/>
            <w:vAlign w:val="bottom"/>
            <w:shd w:val="clear" w:color="auto" w:fill="CFF0FC"/>
          </w:tcPr>
          <w:p>
            <w:pPr>
              <w:spacing w:after="0"/>
              <w:rPr>
                <w:sz w:val="12"/>
                <w:szCs w:val="12"/>
                <w:color w:val="auto"/>
              </w:rPr>
            </w:pPr>
          </w:p>
        </w:tc>
      </w:tr>
      <w:tr>
        <w:trPr>
          <w:trHeight w:val="148"/>
        </w:trPr>
        <w:tc>
          <w:tcPr>
            <w:tcW w:w="44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34,367</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29,051</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25,981</w:t>
            </w:r>
          </w:p>
        </w:tc>
        <w:tc>
          <w:tcPr>
            <w:tcW w:w="100" w:type="dxa"/>
            <w:vAlign w:val="bottom"/>
          </w:tcPr>
          <w:p>
            <w:pPr>
              <w:spacing w:after="0"/>
              <w:rPr>
                <w:sz w:val="12"/>
                <w:szCs w:val="12"/>
                <w:color w:val="auto"/>
              </w:rPr>
            </w:pPr>
          </w:p>
        </w:tc>
      </w:tr>
      <w:tr>
        <w:trPr>
          <w:trHeight w:val="142"/>
        </w:trPr>
        <w:tc>
          <w:tcPr>
            <w:tcW w:w="4460" w:type="dxa"/>
            <w:vAlign w:val="bottom"/>
            <w:tcBorders>
              <w:bottom w:val="single" w:sz="8" w:color="CFF0FC"/>
            </w:tcBorders>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2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135,801</w:t>
            </w:r>
          </w:p>
        </w:tc>
        <w:tc>
          <w:tcPr>
            <w:tcW w:w="2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103,850</w:t>
            </w:r>
          </w:p>
        </w:tc>
        <w:tc>
          <w:tcPr>
            <w:tcW w:w="2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84,646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46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1260" w:type="dxa"/>
            <w:vAlign w:val="bottom"/>
          </w:tcPr>
          <w:p>
            <w:pPr>
              <w:spacing w:after="0"/>
              <w:rPr>
                <w:sz w:val="12"/>
                <w:szCs w:val="12"/>
                <w:color w:val="auto"/>
              </w:rPr>
            </w:pPr>
          </w:p>
        </w:tc>
        <w:tc>
          <w:tcPr>
            <w:tcW w:w="106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(36,858 )</w:t>
            </w:r>
          </w:p>
        </w:tc>
        <w:tc>
          <w:tcPr>
            <w:tcW w:w="140" w:type="dxa"/>
            <w:vAlign w:val="bottom"/>
          </w:tcPr>
          <w:p>
            <w:pPr>
              <w:spacing w:after="0"/>
              <w:rPr>
                <w:sz w:val="12"/>
                <w:szCs w:val="12"/>
                <w:color w:val="auto"/>
              </w:rPr>
            </w:pPr>
          </w:p>
        </w:tc>
        <w:tc>
          <w:tcPr>
            <w:tcW w:w="218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(50,085 )</w:t>
            </w:r>
          </w:p>
        </w:tc>
        <w:tc>
          <w:tcPr>
            <w:tcW w:w="480" w:type="dxa"/>
            <w:vAlign w:val="bottom"/>
          </w:tcPr>
          <w:p>
            <w:pPr>
              <w:spacing w:after="0"/>
              <w:rPr>
                <w:sz w:val="12"/>
                <w:szCs w:val="12"/>
                <w:color w:val="auto"/>
              </w:rPr>
            </w:pPr>
          </w:p>
        </w:tc>
        <w:tc>
          <w:tcPr>
            <w:tcW w:w="1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(63,318 )</w:t>
            </w:r>
          </w:p>
        </w:tc>
      </w:tr>
      <w:tr>
        <w:trPr>
          <w:trHeight w:val="148"/>
        </w:trPr>
        <w:tc>
          <w:tcPr>
            <w:tcW w:w="4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1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4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60" w:type="dxa"/>
            <w:vAlign w:val="bottom"/>
          </w:tcPr>
          <w:p>
            <w:pPr>
              <w:spacing w:after="0"/>
              <w:rPr>
                <w:sz w:val="12"/>
                <w:szCs w:val="12"/>
                <w:color w:val="auto"/>
              </w:rPr>
            </w:pPr>
          </w:p>
        </w:tc>
        <w:tc>
          <w:tcPr>
            <w:tcW w:w="10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(21 )</w:t>
            </w:r>
          </w:p>
        </w:tc>
        <w:tc>
          <w:tcPr>
            <w:tcW w:w="140" w:type="dxa"/>
            <w:vAlign w:val="bottom"/>
          </w:tcPr>
          <w:p>
            <w:pPr>
              <w:spacing w:after="0"/>
              <w:rPr>
                <w:sz w:val="12"/>
                <w:szCs w:val="12"/>
                <w:color w:val="auto"/>
              </w:rPr>
            </w:pPr>
          </w:p>
        </w:tc>
        <w:tc>
          <w:tcPr>
            <w:tcW w:w="21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(3,308 )</w:t>
            </w:r>
          </w:p>
        </w:tc>
        <w:tc>
          <w:tcPr>
            <w:tcW w:w="48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(4,946 )</w:t>
            </w:r>
          </w:p>
        </w:tc>
      </w:tr>
      <w:tr>
        <w:trPr>
          <w:trHeight w:val="148"/>
        </w:trPr>
        <w:tc>
          <w:tcPr>
            <w:tcW w:w="446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1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9,474</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6,574</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w:t>
            </w:r>
          </w:p>
        </w:tc>
        <w:tc>
          <w:tcPr>
            <w:tcW w:w="100" w:type="dxa"/>
            <w:vAlign w:val="bottom"/>
            <w:shd w:val="clear" w:color="auto" w:fill="CFF0FC"/>
          </w:tcPr>
          <w:p>
            <w:pPr>
              <w:spacing w:after="0"/>
              <w:rPr>
                <w:sz w:val="12"/>
                <w:szCs w:val="12"/>
                <w:color w:val="auto"/>
              </w:rPr>
            </w:pPr>
          </w:p>
        </w:tc>
      </w:tr>
      <w:tr>
        <w:trPr>
          <w:trHeight w:val="148"/>
        </w:trPr>
        <w:tc>
          <w:tcPr>
            <w:tcW w:w="44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Loss on extinguishment of term loan</w:t>
            </w:r>
          </w:p>
        </w:tc>
        <w:tc>
          <w:tcPr>
            <w:tcW w:w="1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(1,769 )</w:t>
            </w:r>
          </w:p>
        </w:tc>
        <w:tc>
          <w:tcPr>
            <w:tcW w:w="480" w:type="dxa"/>
            <w:vAlign w:val="bottom"/>
          </w:tcPr>
          <w:p>
            <w:pPr>
              <w:spacing w:after="0"/>
              <w:rPr>
                <w:sz w:val="12"/>
                <w:szCs w:val="12"/>
                <w:color w:val="auto"/>
              </w:rPr>
            </w:pPr>
          </w:p>
        </w:tc>
        <w:tc>
          <w:tcPr>
            <w:tcW w:w="16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44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46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1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(27,405 )</w:t>
            </w:r>
          </w:p>
        </w:tc>
        <w:tc>
          <w:tcPr>
            <w:tcW w:w="140" w:type="dxa"/>
            <w:vAlign w:val="bottom"/>
            <w:shd w:val="clear" w:color="auto" w:fill="CFF0FC"/>
          </w:tcPr>
          <w:p>
            <w:pPr>
              <w:spacing w:after="0"/>
              <w:rPr>
                <w:sz w:val="12"/>
                <w:szCs w:val="12"/>
                <w:color w:val="auto"/>
              </w:rPr>
            </w:pPr>
          </w:p>
        </w:tc>
        <w:tc>
          <w:tcPr>
            <w:tcW w:w="2180" w:type="dxa"/>
            <w:vAlign w:val="bottom"/>
            <w:gridSpan w:val="2"/>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(48,588 )</w:t>
            </w:r>
          </w:p>
        </w:tc>
        <w:tc>
          <w:tcPr>
            <w:tcW w:w="48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(66,747 )</w:t>
            </w:r>
          </w:p>
        </w:tc>
      </w:tr>
      <w:tr>
        <w:trPr>
          <w:trHeight w:val="148"/>
        </w:trPr>
        <w:tc>
          <w:tcPr>
            <w:tcW w:w="44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r>
      <w:tr>
        <w:trPr>
          <w:trHeight w:val="182"/>
        </w:trPr>
        <w:tc>
          <w:tcPr>
            <w:tcW w:w="4460" w:type="dxa"/>
            <w:vAlign w:val="bottom"/>
            <w:tcBorders>
              <w:bottom w:val="single" w:sz="8" w:color="CFF0FC"/>
            </w:tcBorders>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Borders>
              <w:bottom w:val="single" w:sz="8" w:color="auto"/>
            </w:tcBorders>
            <w:shd w:val="clear" w:color="auto" w:fill="CFF0FC"/>
          </w:tcPr>
          <w:p>
            <w:pPr>
              <w:jc w:val="right"/>
              <w:ind w:right="1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(27,455</w:t>
            </w:r>
          </w:p>
        </w:tc>
        <w:tc>
          <w:tcPr>
            <w:tcW w:w="280" w:type="dxa"/>
            <w:vAlign w:val="bottom"/>
            <w:tcBorders>
              <w:bottom w:val="single" w:sz="8" w:color="CFF0FC"/>
            </w:tcBorders>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(48,608</w:t>
            </w:r>
          </w:p>
        </w:tc>
        <w:tc>
          <w:tcPr>
            <w:tcW w:w="280" w:type="dxa"/>
            <w:vAlign w:val="bottom"/>
            <w:tcBorders>
              <w:bottom w:val="single" w:sz="8" w:color="CFF0FC"/>
            </w:tcBorders>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bottom w:val="single" w:sz="8" w:color="auto"/>
            </w:tcBorders>
            <w:shd w:val="clear" w:color="auto" w:fill="CFF0FC"/>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(66,756</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r>
      <w:tr>
        <w:trPr>
          <w:trHeight w:val="129"/>
        </w:trPr>
        <w:tc>
          <w:tcPr>
            <w:tcW w:w="4460" w:type="dxa"/>
            <w:vAlign w:val="bottom"/>
          </w:tcPr>
          <w:p>
            <w:pPr>
              <w:ind w:left="200"/>
              <w:spacing w:after="0" w:line="129" w:lineRule="exact"/>
              <w:rPr>
                <w:sz w:val="20"/>
                <w:szCs w:val="20"/>
                <w:color w:val="auto"/>
              </w:rPr>
            </w:pPr>
            <w:r>
              <w:rPr>
                <w:rFonts w:ascii="Times New Roman" w:cs="Times New Roman" w:eastAsia="Times New Roman" w:hAnsi="Times New Roman"/>
                <w:sz w:val="14"/>
                <w:szCs w:val="14"/>
                <w:color w:val="auto"/>
              </w:rPr>
              <w:t>Other comprehensive (loss) income</w:t>
            </w: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446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Unrealized gain (loss) on short-term investments</w:t>
            </w:r>
          </w:p>
        </w:tc>
        <w:tc>
          <w:tcPr>
            <w:tcW w:w="1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(66 )</w:t>
            </w:r>
          </w:p>
        </w:tc>
      </w:tr>
      <w:tr>
        <w:trPr>
          <w:trHeight w:val="148"/>
        </w:trPr>
        <w:tc>
          <w:tcPr>
            <w:tcW w:w="44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Foreign currency translation (loss) gain</w:t>
            </w:r>
          </w:p>
        </w:tc>
        <w:tc>
          <w:tcPr>
            <w:tcW w:w="1260" w:type="dxa"/>
            <w:vAlign w:val="bottom"/>
          </w:tcPr>
          <w:p>
            <w:pPr>
              <w:spacing w:after="0"/>
              <w:rPr>
                <w:sz w:val="12"/>
                <w:szCs w:val="12"/>
                <w:color w:val="auto"/>
              </w:rPr>
            </w:pPr>
          </w:p>
        </w:tc>
        <w:tc>
          <w:tcPr>
            <w:tcW w:w="10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(9 )</w:t>
            </w:r>
          </w:p>
        </w:tc>
        <w:tc>
          <w:tcPr>
            <w:tcW w:w="140" w:type="dxa"/>
            <w:vAlign w:val="bottom"/>
          </w:tcPr>
          <w:p>
            <w:pPr>
              <w:spacing w:after="0"/>
              <w:rPr>
                <w:sz w:val="12"/>
                <w:szCs w:val="12"/>
                <w:color w:val="auto"/>
              </w:rPr>
            </w:pPr>
          </w:p>
        </w:tc>
        <w:tc>
          <w:tcPr>
            <w:tcW w:w="1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(9 )</w:t>
            </w:r>
          </w:p>
        </w:tc>
      </w:tr>
      <w:tr>
        <w:trPr>
          <w:trHeight w:val="20"/>
        </w:trPr>
        <w:tc>
          <w:tcPr>
            <w:tcW w:w="44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46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other comprehensive income (loss)</w:t>
            </w:r>
          </w:p>
        </w:tc>
        <w:tc>
          <w:tcPr>
            <w:tcW w:w="1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171</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(75 )</w:t>
            </w:r>
          </w:p>
        </w:tc>
      </w:tr>
      <w:tr>
        <w:trPr>
          <w:trHeight w:val="142"/>
        </w:trPr>
        <w:tc>
          <w:tcPr>
            <w:tcW w:w="4460" w:type="dxa"/>
            <w:vAlign w:val="bottom"/>
            <w:tcBorders>
              <w:top w:val="single" w:sz="8" w:color="CFF0FC"/>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88"/>
        </w:trPr>
        <w:tc>
          <w:tcPr>
            <w:tcW w:w="4460" w:type="dxa"/>
            <w:vAlign w:val="bottom"/>
            <w:tcBorders>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Comprehensive loss</w:t>
            </w:r>
          </w:p>
        </w:tc>
        <w:tc>
          <w:tcPr>
            <w:tcW w:w="1260" w:type="dxa"/>
            <w:vAlign w:val="bottom"/>
            <w:tcBorders>
              <w:bottom w:val="single" w:sz="8" w:color="auto"/>
            </w:tcBorders>
            <w:shd w:val="clear" w:color="auto" w:fill="CFF0FC"/>
          </w:tcPr>
          <w:p>
            <w:pPr>
              <w:jc w:val="right"/>
              <w:ind w:right="1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(27,284</w:t>
            </w:r>
          </w:p>
        </w:tc>
        <w:tc>
          <w:tcPr>
            <w:tcW w:w="280" w:type="dxa"/>
            <w:vAlign w:val="bottom"/>
            <w:tcBorders>
              <w:bottom w:val="single" w:sz="8" w:color="CFF0FC"/>
            </w:tcBorders>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(48,518</w:t>
            </w:r>
          </w:p>
        </w:tc>
        <w:tc>
          <w:tcPr>
            <w:tcW w:w="280" w:type="dxa"/>
            <w:vAlign w:val="bottom"/>
            <w:tcBorders>
              <w:bottom w:val="single" w:sz="8" w:color="CFF0FC"/>
            </w:tcBorders>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bottom w:val="single" w:sz="8" w:color="auto"/>
            </w:tcBorders>
            <w:shd w:val="clear" w:color="auto" w:fill="CFF0FC"/>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(66,831</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r>
      <w:tr>
        <w:trPr>
          <w:trHeight w:val="129"/>
        </w:trPr>
        <w:tc>
          <w:tcPr>
            <w:tcW w:w="4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4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 per share:</w:t>
            </w:r>
          </w:p>
        </w:tc>
        <w:tc>
          <w:tcPr>
            <w:tcW w:w="1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4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Basic and diluted</w:t>
            </w:r>
          </w:p>
        </w:tc>
        <w:tc>
          <w:tcPr>
            <w:tcW w:w="1260" w:type="dxa"/>
            <w:vAlign w:val="bottom"/>
          </w:tcPr>
          <w:p>
            <w:pPr>
              <w:jc w:val="right"/>
              <w:ind w:right="1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(0.71 )</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(1.41 )</w:t>
            </w:r>
          </w:p>
        </w:tc>
        <w:tc>
          <w:tcPr>
            <w:tcW w:w="4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(2.41 )</w:t>
            </w:r>
          </w:p>
        </w:tc>
      </w:tr>
      <w:tr>
        <w:trPr>
          <w:trHeight w:val="148"/>
        </w:trPr>
        <w:tc>
          <w:tcPr>
            <w:tcW w:w="4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Weighted-average shares used in computing net loss per share:</w:t>
            </w:r>
          </w:p>
        </w:tc>
        <w:tc>
          <w:tcPr>
            <w:tcW w:w="1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6"/>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Attributable to common stock, basic and diluted</w:t>
            </w:r>
          </w:p>
        </w:tc>
        <w:tc>
          <w:tcPr>
            <w:tcW w:w="1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38,867,726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34,455,111</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27,661,982</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-2301240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-2301240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-2301240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-1906905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-1906905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-1906905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-1127760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-1110615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-1127760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-1110615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-1127760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-1110615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-716915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-716915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-716915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-520065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-502920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-520065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-502920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-520065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-502920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6"/>
          <w:szCs w:val="16"/>
          <w:b w:val="1"/>
          <w:bCs w:val="1"/>
          <w:color w:val="auto"/>
        </w:rPr>
        <w:t>RxSIGHT,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20" w:type="dxa"/>
            <w:vAlign w:val="bottom"/>
          </w:tcPr>
          <w:p>
            <w:pPr>
              <w:spacing w:after="0"/>
              <w:rPr>
                <w:sz w:val="17"/>
                <w:szCs w:val="17"/>
                <w:color w:val="auto"/>
              </w:rPr>
            </w:pPr>
          </w:p>
        </w:tc>
        <w:tc>
          <w:tcPr>
            <w:tcW w:w="228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400" w:type="dxa"/>
            <w:vAlign w:val="bottom"/>
            <w:gridSpan w:val="2"/>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7"/>
                <w:szCs w:val="17"/>
                <w:color w:val="auto"/>
              </w:rPr>
            </w:pPr>
          </w:p>
        </w:tc>
        <w:tc>
          <w:tcPr>
            <w:tcW w:w="2280" w:type="dxa"/>
            <w:vAlign w:val="bottom"/>
            <w:tcBorders>
              <w:bottom w:val="single" w:sz="8" w:color="auto"/>
            </w:tcBorders>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400" w:type="dxa"/>
            <w:vAlign w:val="bottom"/>
            <w:gridSpan w:val="2"/>
          </w:tcPr>
          <w:p>
            <w:pPr>
              <w:jc w:val="right"/>
              <w:ind w:right="58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34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288"/>
              <w:spacing w:after="0" w:line="18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20" w:type="dxa"/>
            <w:vAlign w:val="bottom"/>
          </w:tcPr>
          <w:p>
            <w:pPr>
              <w:spacing w:after="0"/>
              <w:rPr>
                <w:sz w:val="18"/>
                <w:szCs w:val="18"/>
                <w:color w:val="auto"/>
              </w:rPr>
            </w:pPr>
          </w:p>
        </w:tc>
        <w:tc>
          <w:tcPr>
            <w:tcW w:w="114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2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4"/>
                <w:szCs w:val="14"/>
                <w:color w:val="auto"/>
              </w:rPr>
              <w:t>Balance at December 31, 2021</w:t>
            </w:r>
          </w:p>
        </w:tc>
        <w:tc>
          <w:tcPr>
            <w:tcW w:w="114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rPr>
              <w:t>27,366,746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rPr>
              <w:t>27</w:t>
            </w:r>
          </w:p>
        </w:tc>
        <w:tc>
          <w:tcPr>
            <w:tcW w:w="360" w:type="dxa"/>
            <w:vAlign w:val="bottom"/>
            <w:gridSpan w:val="2"/>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rPr>
              <w:t>617,511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FF0FC"/>
          </w:tcPr>
          <w:p>
            <w:pPr>
              <w:jc w:val="right"/>
              <w:ind w:right="88"/>
              <w:spacing w:after="0" w:line="145" w:lineRule="exact"/>
              <w:rPr>
                <w:sz w:val="20"/>
                <w:szCs w:val="20"/>
                <w:color w:val="auto"/>
              </w:rPr>
            </w:pPr>
            <w:r>
              <w:rPr>
                <w:rFonts w:ascii="Times New Roman" w:cs="Times New Roman" w:eastAsia="Times New Roman" w:hAnsi="Times New Roman"/>
                <w:sz w:val="14"/>
                <w:szCs w:val="14"/>
                <w:color w:val="auto"/>
              </w:rPr>
              <w:t>(20 )</w:t>
            </w:r>
          </w:p>
        </w:tc>
        <w:tc>
          <w:tcPr>
            <w:tcW w:w="12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88"/>
              <w:spacing w:after="0" w:line="145" w:lineRule="exact"/>
              <w:rPr>
                <w:sz w:val="20"/>
                <w:szCs w:val="20"/>
                <w:color w:val="auto"/>
              </w:rPr>
            </w:pPr>
            <w:r>
              <w:rPr>
                <w:rFonts w:ascii="Times New Roman" w:cs="Times New Roman" w:eastAsia="Times New Roman" w:hAnsi="Times New Roman"/>
                <w:sz w:val="14"/>
                <w:szCs w:val="14"/>
                <w:color w:val="auto"/>
              </w:rPr>
              <w:t>(479,276 )</w:t>
            </w:r>
          </w:p>
        </w:tc>
        <w:tc>
          <w:tcPr>
            <w:tcW w:w="8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4"/>
                <w:szCs w:val="14"/>
                <w:color w:val="auto"/>
              </w:rPr>
              <w:t>138,242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for the exercise of stock options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382,506</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and vesting of restricted stock units</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redeemed for employee tax withholdings</w:t>
            </w:r>
          </w:p>
        </w:tc>
        <w:tc>
          <w:tcPr>
            <w:tcW w:w="13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(49,456 )</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(643 )</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(643 )</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3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for the employee stock purchase plan</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92,718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for at-the-market</w:t>
            </w: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offerings,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475,875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of issuance costs</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3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(75 )</w:t>
            </w: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(66,756 )</w:t>
            </w:r>
          </w:p>
        </w:tc>
        <w:tc>
          <w:tcPr>
            <w:tcW w:w="80" w:type="dxa"/>
            <w:vAlign w:val="bottom"/>
          </w:tcPr>
          <w:p>
            <w:pPr>
              <w:spacing w:after="0"/>
              <w:rPr>
                <w:sz w:val="12"/>
                <w:szCs w:val="12"/>
                <w:color w:val="auto"/>
              </w:rPr>
            </w:pPr>
          </w:p>
        </w:tc>
        <w:tc>
          <w:tcPr>
            <w:tcW w:w="1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(66,756 )</w:t>
            </w:r>
          </w:p>
        </w:tc>
        <w:tc>
          <w:tcPr>
            <w:tcW w:w="0" w:type="dxa"/>
            <w:vAlign w:val="bottom"/>
          </w:tcPr>
          <w:p>
            <w:pPr>
              <w:spacing w:after="0"/>
              <w:rPr>
                <w:sz w:val="1"/>
                <w:szCs w:val="1"/>
                <w:color w:val="auto"/>
              </w:rPr>
            </w:pPr>
          </w:p>
        </w:tc>
      </w:tr>
      <w:tr>
        <w:trPr>
          <w:trHeight w:val="142"/>
        </w:trPr>
        <w:tc>
          <w:tcPr>
            <w:tcW w:w="3220" w:type="dxa"/>
            <w:vAlign w:val="bottom"/>
            <w:tcBorders>
              <w:top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11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28,268,389</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636,001</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220" w:type="dxa"/>
            <w:vAlign w:val="bottom"/>
            <w:tcBorders>
              <w:top w:val="single" w:sz="8" w:color="CFF0FC"/>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(546,032</w:t>
            </w:r>
          </w:p>
        </w:tc>
        <w:tc>
          <w:tcPr>
            <w:tcW w:w="220" w:type="dxa"/>
            <w:vAlign w:val="bottom"/>
            <w:tcBorders>
              <w:top w:val="single" w:sz="8" w:color="CFF0FC"/>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89,902</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for the exercise of stock options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1,103,974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8,351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and vesting of restricted stock units</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redeemed for employee tax withholdings</w:t>
            </w:r>
          </w:p>
        </w:tc>
        <w:tc>
          <w:tcPr>
            <w:tcW w:w="13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(62,068 )</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(1,423 )</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(1,423 )</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3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for the employee stock purchase plan</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87,129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for public offering, net of</w:t>
            </w: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underwriting discounts, commissions and offering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4,600,000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53,595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for at-the-market</w:t>
            </w:r>
          </w:p>
        </w:tc>
        <w:tc>
          <w:tcPr>
            <w:tcW w:w="1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offerings,</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2,142,089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41,580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of issuance costs</w:t>
            </w:r>
          </w:p>
        </w:tc>
        <w:tc>
          <w:tcPr>
            <w:tcW w:w="11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3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(48,608 )</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(48,608 )</w:t>
            </w: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36,139,513</w:t>
            </w:r>
          </w:p>
        </w:tc>
        <w:tc>
          <w:tcPr>
            <w:tcW w:w="2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754,971</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(5 )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(594,640 )</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160,362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for the exercise of stock options</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2,262,698</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19,243</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3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19,245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and vesting of restricted stock units</w:t>
            </w:r>
          </w:p>
        </w:tc>
        <w:tc>
          <w:tcPr>
            <w:tcW w:w="11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redeemed for employee tax withholdings</w:t>
            </w:r>
          </w:p>
        </w:tc>
        <w:tc>
          <w:tcPr>
            <w:tcW w:w="13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(85,814 )</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(4,768 )</w:t>
            </w:r>
          </w:p>
        </w:tc>
        <w:tc>
          <w:tcPr>
            <w:tcW w:w="80" w:type="dxa"/>
            <w:vAlign w:val="bottom"/>
          </w:tcPr>
          <w:p>
            <w:pPr>
              <w:spacing w:after="0"/>
              <w:rPr>
                <w:sz w:val="12"/>
                <w:szCs w:val="12"/>
                <w:color w:val="auto"/>
              </w:rPr>
            </w:pPr>
          </w:p>
        </w:tc>
        <w:tc>
          <w:tcPr>
            <w:tcW w:w="14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(4,768 )</w:t>
            </w: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3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24,635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24,635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for the employee stock purchase plan</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58,252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for public offering, net of</w:t>
            </w:r>
          </w:p>
        </w:tc>
        <w:tc>
          <w:tcPr>
            <w:tcW w:w="1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underwriting discounts, commissions and offering</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2,053,571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107,475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107,477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11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3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(27,455 )</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(27,455 )</w:t>
            </w:r>
          </w:p>
        </w:tc>
        <w:tc>
          <w:tcPr>
            <w:tcW w:w="0" w:type="dxa"/>
            <w:vAlign w:val="bottom"/>
          </w:tcPr>
          <w:p>
            <w:pPr>
              <w:spacing w:after="0"/>
              <w:rPr>
                <w:sz w:val="1"/>
                <w:szCs w:val="1"/>
                <w:color w:val="auto"/>
              </w:rPr>
            </w:pPr>
          </w:p>
        </w:tc>
      </w:tr>
      <w:tr>
        <w:trPr>
          <w:trHeight w:val="142"/>
        </w:trPr>
        <w:tc>
          <w:tcPr>
            <w:tcW w:w="32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1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40,428,220</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903,127</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166</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(622,095</w:t>
            </w:r>
          </w:p>
        </w:tc>
        <w:tc>
          <w:tcPr>
            <w:tcW w:w="220" w:type="dxa"/>
            <w:vAlign w:val="bottom"/>
          </w:tcPr>
          <w:p>
            <w:pPr>
              <w:jc w:val="right"/>
              <w:ind w:right="88"/>
              <w:spacing w:after="0" w:line="13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281,238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-2499360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-2499360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-2499360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-2499360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-2499360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-1172210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-1172210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-1172210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-1172210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-1172210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3"/>
                <w:szCs w:val="13"/>
                <w:color w:val="auto"/>
              </w:rPr>
            </w:pPr>
          </w:p>
        </w:tc>
        <w:tc>
          <w:tcPr>
            <w:tcW w:w="104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color w:val="auto"/>
              </w:rPr>
              <w:t>Net loss</w:t>
            </w:r>
          </w:p>
        </w:tc>
        <w:tc>
          <w:tcPr>
            <w:tcW w:w="840" w:type="dxa"/>
            <w:vAlign w:val="bottom"/>
            <w:shd w:val="clear" w:color="auto" w:fill="CFF0FC"/>
          </w:tcPr>
          <w:p>
            <w:pPr>
              <w:jc w:val="right"/>
              <w:ind w:right="691"/>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(27,455 )</w:t>
            </w:r>
          </w:p>
        </w:tc>
        <w:tc>
          <w:tcPr>
            <w:tcW w:w="480" w:type="dxa"/>
            <w:vAlign w:val="bottom"/>
            <w:gridSpan w:val="2"/>
            <w:shd w:val="clear" w:color="auto" w:fill="CFF0FC"/>
          </w:tcPr>
          <w:p>
            <w:pPr>
              <w:jc w:val="right"/>
              <w:ind w:right="153"/>
              <w:spacing w:after="0" w:line="149"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(48,608 )</w:t>
            </w:r>
          </w:p>
        </w:tc>
        <w:tc>
          <w:tcPr>
            <w:tcW w:w="300" w:type="dxa"/>
            <w:vAlign w:val="bottom"/>
            <w:shd w:val="clear" w:color="auto" w:fill="CFF0FC"/>
          </w:tcPr>
          <w:p>
            <w:pPr>
              <w:jc w:val="right"/>
              <w:ind w:right="153"/>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(66,756 )</w:t>
            </w:r>
          </w:p>
        </w:tc>
        <w:tc>
          <w:tcPr>
            <w:tcW w:w="0" w:type="dxa"/>
            <w:vAlign w:val="bottom"/>
          </w:tcPr>
          <w:p>
            <w:pPr>
              <w:spacing w:after="0"/>
              <w:rPr>
                <w:sz w:val="1"/>
                <w:szCs w:val="1"/>
                <w:color w:val="auto"/>
              </w:rPr>
            </w:pPr>
          </w:p>
        </w:tc>
      </w:tr>
      <w:tr>
        <w:trPr>
          <w:trHeight w:val="148"/>
        </w:trPr>
        <w:tc>
          <w:tcPr>
            <w:tcW w:w="660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3,575</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4,078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3,884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Provision for bad debts</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Amortization of right-of-use lease assets</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165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Amortization of debt issuance costs and premium</w:t>
            </w:r>
          </w:p>
        </w:tc>
        <w:tc>
          <w:tcPr>
            <w:tcW w:w="8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287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Loss on extinguishment of debt</w:t>
            </w:r>
          </w:p>
        </w:tc>
        <w:tc>
          <w:tcPr>
            <w:tcW w:w="8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1,769</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Amortization of discount on short-term investments</w:t>
            </w:r>
          </w:p>
        </w:tc>
        <w:tc>
          <w:tcPr>
            <w:tcW w:w="8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(8,977 )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(6,122 )</w:t>
            </w:r>
          </w:p>
        </w:tc>
        <w:tc>
          <w:tcPr>
            <w:tcW w:w="30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(1,405 )</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24,635</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15,746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11,397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Provision for excess and obsolete inventory</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164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752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Change in operating assets and liabilities:</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3"/>
                <w:szCs w:val="13"/>
                <w:color w:val="auto"/>
              </w:rPr>
              <w:t>Accounts receivable</w:t>
            </w:r>
          </w:p>
        </w:tc>
        <w:tc>
          <w:tcPr>
            <w:tcW w:w="8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(9,803 )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(9,325 )</w:t>
            </w:r>
          </w:p>
        </w:tc>
        <w:tc>
          <w:tcPr>
            <w:tcW w:w="30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(6,094 )</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3"/>
                <w:szCs w:val="13"/>
                <w:color w:val="auto"/>
              </w:rPr>
              <w:t>Inventories</w:t>
            </w:r>
          </w:p>
        </w:tc>
        <w:tc>
          <w:tcPr>
            <w:tcW w:w="8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(4,993 )</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(2,749 )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(7,555 )</w:t>
            </w:r>
          </w:p>
        </w:tc>
        <w:tc>
          <w:tcPr>
            <w:tcW w:w="0" w:type="dxa"/>
            <w:vAlign w:val="bottom"/>
          </w:tcPr>
          <w:p>
            <w:pPr>
              <w:spacing w:after="0"/>
              <w:rPr>
                <w:sz w:val="1"/>
                <w:szCs w:val="1"/>
                <w:color w:val="auto"/>
              </w:rPr>
            </w:pP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3"/>
                <w:szCs w:val="13"/>
                <w:color w:val="auto"/>
              </w:rPr>
              <w:t>Prepaid and other assets</w:t>
            </w:r>
          </w:p>
        </w:tc>
        <w:tc>
          <w:tcPr>
            <w:tcW w:w="8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(1,230 )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(562 )</w:t>
            </w: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789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3"/>
                <w:szCs w:val="13"/>
                <w:color w:val="auto"/>
              </w:rPr>
              <w:t>Accounts payable</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946</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1,250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3"/>
                <w:szCs w:val="13"/>
                <w:color w:val="auto"/>
              </w:rPr>
              <w:t>Accrued expenses and other liabilities</w:t>
            </w: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5,869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2,314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4,813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shd w:val="clear" w:color="auto" w:fill="CFF0FC"/>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8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(16,946 )</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(41,593 )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(58,850 )</w:t>
            </w:r>
          </w:p>
        </w:tc>
        <w:tc>
          <w:tcPr>
            <w:tcW w:w="0" w:type="dxa"/>
            <w:vAlign w:val="bottom"/>
          </w:tcPr>
          <w:p>
            <w:pPr>
              <w:spacing w:after="0"/>
              <w:rPr>
                <w:sz w:val="1"/>
                <w:szCs w:val="1"/>
                <w:color w:val="auto"/>
              </w:rPr>
            </w:pPr>
          </w:p>
        </w:tc>
      </w:tr>
      <w:tr>
        <w:trPr>
          <w:trHeight w:val="142"/>
        </w:trPr>
        <w:tc>
          <w:tcPr>
            <w:tcW w:w="660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color w:val="auto"/>
              </w:rPr>
              <w:t>Purchase of property and equipment</w:t>
            </w:r>
          </w:p>
        </w:tc>
        <w:tc>
          <w:tcPr>
            <w:tcW w:w="8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(5,440 )</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(4,814 )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(2,393 )</w:t>
            </w:r>
          </w:p>
        </w:tc>
        <w:tc>
          <w:tcPr>
            <w:tcW w:w="0" w:type="dxa"/>
            <w:vAlign w:val="bottom"/>
          </w:tcPr>
          <w:p>
            <w:pPr>
              <w:spacing w:after="0"/>
              <w:rPr>
                <w:sz w:val="1"/>
                <w:szCs w:val="1"/>
                <w:color w:val="auto"/>
              </w:rPr>
            </w:pPr>
          </w:p>
        </w:tc>
      </w:tr>
      <w:tr>
        <w:trPr>
          <w:trHeight w:val="148"/>
        </w:trPr>
        <w:tc>
          <w:tcPr>
            <w:tcW w:w="660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Maturity of short-term investments</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255,000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255,000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color w:val="auto"/>
              </w:rPr>
              <w:t>Purchases of short-term investments</w:t>
            </w:r>
          </w:p>
        </w:tc>
        <w:tc>
          <w:tcPr>
            <w:tcW w:w="8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(336,871 )</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(272,315 )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(212,657 )</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0" w:type="dxa"/>
            <w:vAlign w:val="bottom"/>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(used in) provided by investing activities</w:t>
            </w:r>
          </w:p>
        </w:tc>
        <w:tc>
          <w:tcPr>
            <w:tcW w:w="840" w:type="dxa"/>
            <w:vAlign w:val="bottom"/>
          </w:tcPr>
          <w:p>
            <w:pPr>
              <w:spacing w:after="0"/>
              <w:rPr>
                <w:sz w:val="12"/>
                <w:szCs w:val="12"/>
                <w:color w:val="auto"/>
              </w:rPr>
            </w:pPr>
          </w:p>
        </w:tc>
        <w:tc>
          <w:tcPr>
            <w:tcW w:w="6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(99,311 )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(22,129 )</w:t>
            </w: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84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Proceeds from term loan</w:t>
            </w:r>
          </w:p>
        </w:tc>
        <w:tc>
          <w:tcPr>
            <w:tcW w:w="8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20,000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color w:val="auto"/>
              </w:rPr>
              <w:t>Repayment of term loan</w:t>
            </w:r>
          </w:p>
        </w:tc>
        <w:tc>
          <w:tcPr>
            <w:tcW w:w="8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(60,000 )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60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Proceeds from issuance of common stock from public offering</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108,100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54,050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color w:val="auto"/>
              </w:rPr>
              <w:t>Proceeds from issuance of common stock from at-the-market offerings</w:t>
            </w:r>
          </w:p>
        </w:tc>
        <w:tc>
          <w:tcPr>
            <w:tcW w:w="8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42,434</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6,050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Proceeds from issuance of common stock</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20,816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9,473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1,778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color w:val="auto"/>
              </w:rPr>
              <w:t>Payments for employee taxes related to stock compensation</w:t>
            </w:r>
          </w:p>
        </w:tc>
        <w:tc>
          <w:tcPr>
            <w:tcW w:w="8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(4,768 )</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(1,423 )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(643 )</w:t>
            </w:r>
          </w:p>
        </w:tc>
        <w:tc>
          <w:tcPr>
            <w:tcW w:w="0" w:type="dxa"/>
            <w:vAlign w:val="bottom"/>
          </w:tcPr>
          <w:p>
            <w:pPr>
              <w:spacing w:after="0"/>
              <w:rPr>
                <w:sz w:val="1"/>
                <w:szCs w:val="1"/>
                <w:color w:val="auto"/>
              </w:rPr>
            </w:pPr>
          </w:p>
        </w:tc>
      </w:tr>
      <w:tr>
        <w:trPr>
          <w:trHeight w:val="148"/>
        </w:trPr>
        <w:tc>
          <w:tcPr>
            <w:tcW w:w="660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Principal payments on finance lease liabilities</w:t>
            </w:r>
          </w:p>
        </w:tc>
        <w:tc>
          <w:tcPr>
            <w:tcW w:w="8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(61 )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(153 )</w:t>
            </w:r>
          </w:p>
        </w:tc>
        <w:tc>
          <w:tcPr>
            <w:tcW w:w="30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(121 )</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color w:val="auto"/>
              </w:rPr>
              <w:t>Payments of deferred offering costs</w:t>
            </w:r>
          </w:p>
        </w:tc>
        <w:tc>
          <w:tcPr>
            <w:tcW w:w="8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3"/>
                <w:szCs w:val="13"/>
                <w:color w:val="auto"/>
              </w:rPr>
              <w:t>(768 )</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(622 )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(587 )</w:t>
            </w:r>
          </w:p>
        </w:tc>
        <w:tc>
          <w:tcPr>
            <w:tcW w:w="0" w:type="dxa"/>
            <w:vAlign w:val="bottom"/>
          </w:tcPr>
          <w:p>
            <w:pPr>
              <w:spacing w:after="0"/>
              <w:rPr>
                <w:sz w:val="1"/>
                <w:szCs w:val="1"/>
                <w:color w:val="auto"/>
              </w:rPr>
            </w:pPr>
          </w:p>
        </w:tc>
      </w:tr>
      <w:tr>
        <w:trPr>
          <w:trHeight w:val="148"/>
        </w:trPr>
        <w:tc>
          <w:tcPr>
            <w:tcW w:w="660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Payments of debt issuance costs</w:t>
            </w:r>
          </w:p>
        </w:tc>
        <w:tc>
          <w:tcPr>
            <w:tcW w:w="8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(2,235 )</w:t>
            </w:r>
          </w:p>
        </w:tc>
        <w:tc>
          <w:tcPr>
            <w:tcW w:w="30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(145 )</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FF0FC"/>
            </w:tcBorders>
            <w:shd w:val="clear" w:color="auto" w:fill="CFF0FC"/>
          </w:tcPr>
          <w:p>
            <w:pPr>
              <w:ind w:left="560"/>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123,319</w:t>
            </w: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61,524</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6,332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Effect of foreign exchange rate on cash, cash equivalents and restricted cash</w:t>
            </w:r>
          </w:p>
        </w:tc>
        <w:tc>
          <w:tcPr>
            <w:tcW w:w="840" w:type="dxa"/>
            <w:vAlign w:val="bottom"/>
          </w:tcPr>
          <w:p>
            <w:pPr>
              <w:spacing w:after="0"/>
              <w:rPr>
                <w:sz w:val="12"/>
                <w:szCs w:val="12"/>
                <w:color w:val="auto"/>
              </w:rPr>
            </w:pPr>
          </w:p>
        </w:tc>
        <w:tc>
          <w:tcPr>
            <w:tcW w:w="6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(9 )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(9 )</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7,053</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(2,192 )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3"/>
                <w:szCs w:val="13"/>
                <w:color w:val="auto"/>
              </w:rPr>
              <w:t>(12,577 )</w:t>
            </w:r>
          </w:p>
        </w:tc>
        <w:tc>
          <w:tcPr>
            <w:tcW w:w="0" w:type="dxa"/>
            <w:vAlign w:val="bottom"/>
          </w:tcPr>
          <w:p>
            <w:pPr>
              <w:spacing w:after="0"/>
              <w:rPr>
                <w:sz w:val="1"/>
                <w:szCs w:val="1"/>
                <w:color w:val="auto"/>
              </w:rPr>
            </w:pPr>
          </w:p>
        </w:tc>
      </w:tr>
      <w:tr>
        <w:trPr>
          <w:trHeight w:val="148"/>
        </w:trPr>
        <w:tc>
          <w:tcPr>
            <w:tcW w:w="660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 beginning of period</w:t>
            </w: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10,403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12,595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3"/>
                <w:szCs w:val="13"/>
                <w:color w:val="auto"/>
              </w:rPr>
              <w:t>25,172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 end of period</w:t>
            </w:r>
          </w:p>
        </w:tc>
        <w:tc>
          <w:tcPr>
            <w:tcW w:w="840" w:type="dxa"/>
            <w:vAlign w:val="bottom"/>
            <w:tcBorders>
              <w:bottom w:val="single" w:sz="8" w:color="auto"/>
            </w:tcBorders>
            <w:shd w:val="clear" w:color="auto" w:fill="CFF0FC"/>
          </w:tcPr>
          <w:p>
            <w:pPr>
              <w:jc w:val="right"/>
              <w:ind w:right="691"/>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17,456</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5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10,403</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5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12,595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6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Operating cash flows from operating leases</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2,154</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2,216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2,187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Cash paid for income taxes</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Cash paid for interest on financing leases</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Cash paid for interest on term loan</w:t>
            </w:r>
          </w:p>
        </w:tc>
        <w:tc>
          <w:tcPr>
            <w:tcW w:w="8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3,464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4,239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Right-of-use assets obtained in exchange for lease obligations: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3"/>
                <w:szCs w:val="13"/>
                <w:color w:val="auto"/>
              </w:rPr>
              <w:t>Operating lease</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10,016</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46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3"/>
                <w:szCs w:val="13"/>
                <w:color w:val="auto"/>
              </w:rPr>
              <w:t>Finance lease</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Lease obligations recorded for right-of-use assets:</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380"/>
              <w:spacing w:after="0" w:line="149" w:lineRule="exact"/>
              <w:rPr>
                <w:sz w:val="20"/>
                <w:szCs w:val="20"/>
                <w:color w:val="auto"/>
              </w:rPr>
            </w:pPr>
            <w:r>
              <w:rPr>
                <w:rFonts w:ascii="Times New Roman" w:cs="Times New Roman" w:eastAsia="Times New Roman" w:hAnsi="Times New Roman"/>
                <w:sz w:val="13"/>
                <w:szCs w:val="13"/>
                <w:color w:val="auto"/>
              </w:rPr>
              <w:t>Operating lease</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10,016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3"/>
                <w:szCs w:val="13"/>
                <w:color w:val="auto"/>
              </w:rPr>
              <w:t>Finance lease</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102</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311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0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Acquisition of property and equipment included in accounts payable and accrued expenses</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and other current liabilities</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3"/>
                <w:szCs w:val="13"/>
                <w:color w:val="auto"/>
              </w:rPr>
              <w:t>Deferred offering and financing costs included in accounts payable and accrued liabilities</w:t>
            </w:r>
          </w:p>
        </w:tc>
        <w:tc>
          <w:tcPr>
            <w:tcW w:w="8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145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6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Reclassification of deferred financing costs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-3483610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-3483610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-3483610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-3098165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-3098165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-3098165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-1942465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-1942465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-1942465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-1548130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-1531620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-1548130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-1531620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-1548130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-1531620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26" w:lineRule="exact"/>
        <w:rPr>
          <w:sz w:val="20"/>
          <w:szCs w:val="20"/>
          <w:color w:val="auto"/>
        </w:rPr>
      </w:pPr>
    </w:p>
    <w:p>
      <w:pPr>
        <w:ind w:right="180" w:firstLine="374"/>
        <w:spacing w:after="0" w:line="237" w:lineRule="auto"/>
        <w:rPr>
          <w:sz w:val="20"/>
          <w:szCs w:val="20"/>
          <w:color w:val="auto"/>
        </w:rPr>
      </w:pPr>
      <w:r>
        <w:rPr>
          <w:rFonts w:ascii="Times New Roman" w:cs="Times New Roman" w:eastAsia="Times New Roman" w:hAnsi="Times New Roman"/>
          <w:sz w:val="18"/>
          <w:szCs w:val="18"/>
          <w:color w:val="auto"/>
        </w:rPr>
        <w:t>RxSight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 (the “Company”) is a Delaware corporation headquartered in Aliso Viejo, California with one wholly owned subsidiary located in Amsterdam, Netherlands (“RxSight, B.V.”). RxSight, B.V. has a registered branch in the United Kingdom and a wholly owned subsidiary located in Germany (“RxSight GmbH”). The Company is engaged in the research and development, manufacture and sale of light adjustable intraocular lenses used in cataract surgery along with capital equipment used with the lenses.</w:t>
      </w:r>
    </w:p>
    <w:p>
      <w:pPr>
        <w:spacing w:after="0" w:line="132" w:lineRule="exact"/>
        <w:rPr>
          <w:sz w:val="20"/>
          <w:szCs w:val="20"/>
          <w:color w:val="auto"/>
        </w:rPr>
      </w:pPr>
    </w:p>
    <w:p>
      <w:pPr>
        <w:ind w:firstLine="374"/>
        <w:spacing w:after="0" w:line="239" w:lineRule="auto"/>
        <w:rPr>
          <w:sz w:val="20"/>
          <w:szCs w:val="20"/>
          <w:color w:val="auto"/>
        </w:rPr>
      </w:pPr>
      <w:r>
        <w:rPr>
          <w:rFonts w:ascii="Times New Roman" w:cs="Times New Roman" w:eastAsia="Times New Roman" w:hAnsi="Times New Roman"/>
          <w:sz w:val="18"/>
          <w:szCs w:val="18"/>
          <w:color w:val="auto"/>
        </w:rPr>
        <w:t>The Company’s products, which include the light adjustable lens (“LAL™”) and a specially designed machine for delivering light to the eye, the Light Delivery Device (“LDD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are approved by the United States (“U.S.”) Food and Drug Administration (“FDA”) primarily for sale in the U.S. and have regulatory approval in the U.S., Europe, Canada, Mexico and Korea. The Company began marketing its products in 2019. The LAL is a premium intraocular lens (“IOL”) which is partially reimbursable under Medicare. The Company competes with other IOLs in the premium market.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46" w:lineRule="exact"/>
        <w:rPr>
          <w:sz w:val="20"/>
          <w:szCs w:val="20"/>
          <w:color w:val="auto"/>
        </w:rPr>
      </w:pPr>
    </w:p>
    <w:p>
      <w:pPr>
        <w:ind w:right="140" w:firstLine="374"/>
        <w:spacing w:after="0" w:line="280"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accounting principles generally accepted in the United States of America (“GAAP”) and include the accounts of RxSight, Inc. and its wholly-owned subsidiaries, RxSight, B.V., and RxSight GmbH. The Company translates the financial statements of its foreign subsidiaries using end-of-period exchange rates for assets and liabilities and average exchange rates during each reporting period for results of operations. All significant inter-company balances and transactions have been eliminated in consolidation.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t>Operating Segments</w:t>
      </w:r>
    </w:p>
    <w:p>
      <w:pPr>
        <w:spacing w:after="0" w:line="11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The Company determined that it operates and manages its business (including its non-U.S. subsidiaries) in one reportable segment: the research and development, manufacture and sale of light adjustable lenses and related capital equipment. 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 Asset information provided to the CODM is consistent with those reported on the Consolidated Balance Sheets and are primarily attributable to the United States. The key measure of segment profit and loss that the CODM uses to allocate resources and assess performance is the Company’s consolidated net loss. The table below shows a reconciliation of the Company’s net loss, including the significant expense categories regularly provided to and reviewed by the CODM, as computed under U.S. GAAP to the Company’s total consolidated net loss in the Consolidated Statements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020" w:type="dxa"/>
            <w:vAlign w:val="bottom"/>
          </w:tcPr>
          <w:p>
            <w:pPr>
              <w:spacing w:after="0"/>
              <w:rPr>
                <w:sz w:val="16"/>
                <w:szCs w:val="16"/>
                <w:color w:val="auto"/>
              </w:rPr>
            </w:pPr>
          </w:p>
        </w:tc>
        <w:tc>
          <w:tcPr>
            <w:tcW w:w="14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5"/>
        </w:trPr>
        <w:tc>
          <w:tcPr>
            <w:tcW w:w="40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4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48"/>
        </w:trPr>
        <w:tc>
          <w:tcPr>
            <w:tcW w:w="40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1460" w:type="dxa"/>
            <w:vAlign w:val="bottom"/>
            <w:shd w:val="clear" w:color="auto" w:fill="CFF0FC"/>
          </w:tcPr>
          <w:p>
            <w:pPr>
              <w:jc w:val="right"/>
              <w:ind w:right="1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139,927</w:t>
            </w: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89,077</w:t>
            </w:r>
          </w:p>
        </w:tc>
        <w:tc>
          <w:tcPr>
            <w:tcW w:w="32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49,005</w:t>
            </w:r>
          </w:p>
        </w:tc>
        <w:tc>
          <w:tcPr>
            <w:tcW w:w="100" w:type="dxa"/>
            <w:vAlign w:val="bottom"/>
            <w:shd w:val="clear" w:color="auto" w:fill="CFF0FC"/>
          </w:tcPr>
          <w:p>
            <w:pPr>
              <w:spacing w:after="0"/>
              <w:rPr>
                <w:sz w:val="12"/>
                <w:szCs w:val="12"/>
                <w:color w:val="auto"/>
              </w:rPr>
            </w:pPr>
          </w:p>
        </w:tc>
      </w:tr>
      <w:tr>
        <w:trPr>
          <w:trHeight w:val="148"/>
        </w:trPr>
        <w:tc>
          <w:tcPr>
            <w:tcW w:w="40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1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40,984</w:t>
            </w:r>
          </w:p>
        </w:tc>
        <w:tc>
          <w:tcPr>
            <w:tcW w:w="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35,312</w:t>
            </w:r>
          </w:p>
        </w:tc>
        <w:tc>
          <w:tcPr>
            <w:tcW w:w="3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27,677</w:t>
            </w:r>
          </w:p>
        </w:tc>
        <w:tc>
          <w:tcPr>
            <w:tcW w:w="100" w:type="dxa"/>
            <w:vAlign w:val="bottom"/>
          </w:tcPr>
          <w:p>
            <w:pPr>
              <w:spacing w:after="0"/>
              <w:rPr>
                <w:sz w:val="12"/>
                <w:szCs w:val="12"/>
                <w:color w:val="auto"/>
              </w:rPr>
            </w:pPr>
          </w:p>
        </w:tc>
      </w:tr>
      <w:tr>
        <w:trPr>
          <w:trHeight w:val="142"/>
        </w:trPr>
        <w:tc>
          <w:tcPr>
            <w:tcW w:w="4020" w:type="dxa"/>
            <w:vAlign w:val="bottom"/>
            <w:tcBorders>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4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98,943</w:t>
            </w:r>
          </w:p>
        </w:tc>
        <w:tc>
          <w:tcPr>
            <w:tcW w:w="3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53,765</w:t>
            </w:r>
          </w:p>
        </w:tc>
        <w:tc>
          <w:tcPr>
            <w:tcW w:w="3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21,328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0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02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Commercial</w:t>
            </w:r>
          </w:p>
        </w:tc>
        <w:tc>
          <w:tcPr>
            <w:tcW w:w="14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72,818</w:t>
            </w: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53,428</w:t>
            </w:r>
          </w:p>
        </w:tc>
        <w:tc>
          <w:tcPr>
            <w:tcW w:w="3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40,953</w:t>
            </w:r>
          </w:p>
        </w:tc>
        <w:tc>
          <w:tcPr>
            <w:tcW w:w="100" w:type="dxa"/>
            <w:vAlign w:val="bottom"/>
            <w:shd w:val="clear" w:color="auto" w:fill="CFF0FC"/>
          </w:tcPr>
          <w:p>
            <w:pPr>
              <w:spacing w:after="0"/>
              <w:rPr>
                <w:sz w:val="12"/>
                <w:szCs w:val="12"/>
                <w:color w:val="auto"/>
              </w:rPr>
            </w:pPr>
          </w:p>
        </w:tc>
      </w:tr>
      <w:tr>
        <w:trPr>
          <w:trHeight w:val="148"/>
        </w:trPr>
        <w:tc>
          <w:tcPr>
            <w:tcW w:w="40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4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28,616</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21,371</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17,712</w:t>
            </w:r>
          </w:p>
        </w:tc>
        <w:tc>
          <w:tcPr>
            <w:tcW w:w="100" w:type="dxa"/>
            <w:vAlign w:val="bottom"/>
          </w:tcPr>
          <w:p>
            <w:pPr>
              <w:spacing w:after="0"/>
              <w:rPr>
                <w:sz w:val="12"/>
                <w:szCs w:val="12"/>
                <w:color w:val="auto"/>
              </w:rPr>
            </w:pPr>
          </w:p>
        </w:tc>
      </w:tr>
      <w:tr>
        <w:trPr>
          <w:trHeight w:val="148"/>
        </w:trPr>
        <w:tc>
          <w:tcPr>
            <w:tcW w:w="402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4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27,340</w:t>
            </w: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21,502</w:t>
            </w:r>
          </w:p>
        </w:tc>
        <w:tc>
          <w:tcPr>
            <w:tcW w:w="3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19,428</w:t>
            </w:r>
          </w:p>
        </w:tc>
        <w:tc>
          <w:tcPr>
            <w:tcW w:w="100" w:type="dxa"/>
            <w:vAlign w:val="bottom"/>
            <w:shd w:val="clear" w:color="auto" w:fill="CFF0FC"/>
          </w:tcPr>
          <w:p>
            <w:pPr>
              <w:spacing w:after="0"/>
              <w:rPr>
                <w:sz w:val="12"/>
                <w:szCs w:val="12"/>
                <w:color w:val="auto"/>
              </w:rPr>
            </w:pPr>
          </w:p>
        </w:tc>
      </w:tr>
      <w:tr>
        <w:trPr>
          <w:trHeight w:val="148"/>
        </w:trPr>
        <w:tc>
          <w:tcPr>
            <w:tcW w:w="40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Clinical and regulatory</w:t>
            </w:r>
          </w:p>
        </w:tc>
        <w:tc>
          <w:tcPr>
            <w:tcW w:w="1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7,027</w:t>
            </w:r>
          </w:p>
        </w:tc>
        <w:tc>
          <w:tcPr>
            <w:tcW w:w="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7,549</w:t>
            </w:r>
          </w:p>
        </w:tc>
        <w:tc>
          <w:tcPr>
            <w:tcW w:w="3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6,553</w:t>
            </w:r>
          </w:p>
        </w:tc>
        <w:tc>
          <w:tcPr>
            <w:tcW w:w="100" w:type="dxa"/>
            <w:vAlign w:val="bottom"/>
          </w:tcPr>
          <w:p>
            <w:pPr>
              <w:spacing w:after="0"/>
              <w:rPr>
                <w:sz w:val="12"/>
                <w:szCs w:val="12"/>
                <w:color w:val="auto"/>
              </w:rPr>
            </w:pPr>
          </w:p>
        </w:tc>
      </w:tr>
      <w:tr>
        <w:trPr>
          <w:trHeight w:val="142"/>
        </w:trPr>
        <w:tc>
          <w:tcPr>
            <w:tcW w:w="4020" w:type="dxa"/>
            <w:vAlign w:val="bottom"/>
            <w:tcBorders>
              <w:bottom w:val="single" w:sz="8" w:color="CFF0FC"/>
            </w:tcBorders>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135,801</w:t>
            </w:r>
          </w:p>
        </w:tc>
        <w:tc>
          <w:tcPr>
            <w:tcW w:w="3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9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103,850</w:t>
            </w:r>
          </w:p>
        </w:tc>
        <w:tc>
          <w:tcPr>
            <w:tcW w:w="3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84,646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02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1460" w:type="dxa"/>
            <w:vAlign w:val="bottom"/>
          </w:tcPr>
          <w:p>
            <w:pPr>
              <w:spacing w:after="0"/>
              <w:rPr>
                <w:sz w:val="12"/>
                <w:szCs w:val="12"/>
                <w:color w:val="auto"/>
              </w:rPr>
            </w:pPr>
          </w:p>
        </w:tc>
        <w:tc>
          <w:tcPr>
            <w:tcW w:w="1060" w:type="dxa"/>
            <w:vAlign w:val="bottom"/>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(36,858 )</w:t>
            </w:r>
          </w:p>
        </w:tc>
        <w:tc>
          <w:tcPr>
            <w:tcW w:w="160" w:type="dxa"/>
            <w:vAlign w:val="bottom"/>
          </w:tcPr>
          <w:p>
            <w:pPr>
              <w:spacing w:after="0"/>
              <w:rPr>
                <w:sz w:val="12"/>
                <w:szCs w:val="12"/>
                <w:color w:val="auto"/>
              </w:rPr>
            </w:pPr>
          </w:p>
        </w:tc>
        <w:tc>
          <w:tcPr>
            <w:tcW w:w="230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(50,085 )</w:t>
            </w:r>
          </w:p>
        </w:tc>
        <w:tc>
          <w:tcPr>
            <w:tcW w:w="500" w:type="dxa"/>
            <w:vAlign w:val="bottom"/>
          </w:tcPr>
          <w:p>
            <w:pPr>
              <w:spacing w:after="0"/>
              <w:rPr>
                <w:sz w:val="12"/>
                <w:szCs w:val="12"/>
                <w:color w:val="auto"/>
              </w:rPr>
            </w:pPr>
          </w:p>
        </w:tc>
        <w:tc>
          <w:tcPr>
            <w:tcW w:w="1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(63,318 )</w:t>
            </w:r>
          </w:p>
        </w:tc>
      </w:tr>
      <w:tr>
        <w:trPr>
          <w:trHeight w:val="148"/>
        </w:trPr>
        <w:tc>
          <w:tcPr>
            <w:tcW w:w="40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1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0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60" w:type="dxa"/>
            <w:vAlign w:val="bottom"/>
          </w:tcPr>
          <w:p>
            <w:pPr>
              <w:spacing w:after="0"/>
              <w:rPr>
                <w:sz w:val="12"/>
                <w:szCs w:val="12"/>
                <w:color w:val="auto"/>
              </w:rPr>
            </w:pPr>
          </w:p>
        </w:tc>
        <w:tc>
          <w:tcPr>
            <w:tcW w:w="106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(21 )</w:t>
            </w:r>
          </w:p>
        </w:tc>
        <w:tc>
          <w:tcPr>
            <w:tcW w:w="160" w:type="dxa"/>
            <w:vAlign w:val="bottom"/>
          </w:tcPr>
          <w:p>
            <w:pPr>
              <w:spacing w:after="0"/>
              <w:rPr>
                <w:sz w:val="12"/>
                <w:szCs w:val="12"/>
                <w:color w:val="auto"/>
              </w:rPr>
            </w:pPr>
          </w:p>
        </w:tc>
        <w:tc>
          <w:tcPr>
            <w:tcW w:w="23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(3,308 )</w:t>
            </w:r>
          </w:p>
        </w:tc>
        <w:tc>
          <w:tcPr>
            <w:tcW w:w="50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(4,946 )</w:t>
            </w:r>
          </w:p>
        </w:tc>
      </w:tr>
      <w:tr>
        <w:trPr>
          <w:trHeight w:val="148"/>
        </w:trPr>
        <w:tc>
          <w:tcPr>
            <w:tcW w:w="4020" w:type="dxa"/>
            <w:vAlign w:val="bottom"/>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14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9,474</w:t>
            </w: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6,574</w:t>
            </w:r>
          </w:p>
        </w:tc>
        <w:tc>
          <w:tcPr>
            <w:tcW w:w="3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w:t>
            </w:r>
          </w:p>
        </w:tc>
        <w:tc>
          <w:tcPr>
            <w:tcW w:w="100" w:type="dxa"/>
            <w:vAlign w:val="bottom"/>
            <w:shd w:val="clear" w:color="auto" w:fill="CFF0FC"/>
          </w:tcPr>
          <w:p>
            <w:pPr>
              <w:spacing w:after="0"/>
              <w:rPr>
                <w:sz w:val="12"/>
                <w:szCs w:val="12"/>
                <w:color w:val="auto"/>
              </w:rPr>
            </w:pPr>
          </w:p>
        </w:tc>
      </w:tr>
      <w:tr>
        <w:trPr>
          <w:trHeight w:val="148"/>
        </w:trPr>
        <w:tc>
          <w:tcPr>
            <w:tcW w:w="40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Loss on extinguishment of term loan</w:t>
            </w:r>
          </w:p>
        </w:tc>
        <w:tc>
          <w:tcPr>
            <w:tcW w:w="14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(1,769 )</w:t>
            </w:r>
          </w:p>
        </w:tc>
        <w:tc>
          <w:tcPr>
            <w:tcW w:w="500" w:type="dxa"/>
            <w:vAlign w:val="bottom"/>
          </w:tcPr>
          <w:p>
            <w:pPr>
              <w:spacing w:after="0"/>
              <w:rPr>
                <w:sz w:val="12"/>
                <w:szCs w:val="12"/>
                <w:color w:val="auto"/>
              </w:rPr>
            </w:pPr>
          </w:p>
        </w:tc>
        <w:tc>
          <w:tcPr>
            <w:tcW w:w="17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40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02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14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(27,405 )</w:t>
            </w:r>
          </w:p>
        </w:tc>
        <w:tc>
          <w:tcPr>
            <w:tcW w:w="160" w:type="dxa"/>
            <w:vAlign w:val="bottom"/>
            <w:shd w:val="clear" w:color="auto" w:fill="CFF0FC"/>
          </w:tcPr>
          <w:p>
            <w:pPr>
              <w:spacing w:after="0"/>
              <w:rPr>
                <w:sz w:val="12"/>
                <w:szCs w:val="12"/>
                <w:color w:val="auto"/>
              </w:rPr>
            </w:pPr>
          </w:p>
        </w:tc>
        <w:tc>
          <w:tcPr>
            <w:tcW w:w="2300" w:type="dxa"/>
            <w:vAlign w:val="bottom"/>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(48,588 )</w:t>
            </w:r>
          </w:p>
        </w:tc>
        <w:tc>
          <w:tcPr>
            <w:tcW w:w="50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(66,747 )</w:t>
            </w:r>
          </w:p>
        </w:tc>
      </w:tr>
      <w:tr>
        <w:trPr>
          <w:trHeight w:val="142"/>
        </w:trPr>
        <w:tc>
          <w:tcPr>
            <w:tcW w:w="4020" w:type="dxa"/>
            <w:vAlign w:val="bottom"/>
            <w:tcBorders>
              <w:top w:val="single" w:sz="8" w:color="CFF0FC"/>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Income tax expense</w:t>
            </w:r>
          </w:p>
        </w:tc>
        <w:tc>
          <w:tcPr>
            <w:tcW w:w="14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36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320" w:type="dxa"/>
            <w:vAlign w:val="bottom"/>
            <w:tcBorders>
              <w:top w:val="single" w:sz="8" w:color="CFF0FC"/>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FF0FC"/>
            </w:tcBorders>
          </w:tcPr>
          <w:p>
            <w:pPr>
              <w:spacing w:after="0"/>
              <w:rPr>
                <w:sz w:val="12"/>
                <w:szCs w:val="12"/>
                <w:color w:val="auto"/>
              </w:rPr>
            </w:pPr>
          </w:p>
        </w:tc>
      </w:tr>
      <w:tr>
        <w:trPr>
          <w:trHeight w:val="182"/>
        </w:trPr>
        <w:tc>
          <w:tcPr>
            <w:tcW w:w="4020" w:type="dxa"/>
            <w:vAlign w:val="bottom"/>
            <w:tcBorders>
              <w:bottom w:val="single" w:sz="8" w:color="CFF0FC"/>
            </w:tcBorders>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460" w:type="dxa"/>
            <w:vAlign w:val="bottom"/>
            <w:tcBorders>
              <w:bottom w:val="single" w:sz="8" w:color="auto"/>
            </w:tcBorders>
            <w:shd w:val="clear" w:color="auto" w:fill="CFF0FC"/>
          </w:tcPr>
          <w:p>
            <w:pPr>
              <w:jc w:val="right"/>
              <w:ind w:right="12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(27,455</w:t>
            </w:r>
          </w:p>
        </w:tc>
        <w:tc>
          <w:tcPr>
            <w:tcW w:w="360" w:type="dxa"/>
            <w:vAlign w:val="bottom"/>
            <w:tcBorders>
              <w:bottom w:val="single" w:sz="8" w:color="CFF0FC"/>
            </w:tcBorders>
            <w:shd w:val="clear" w:color="auto" w:fill="CFF0FC"/>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(48,608</w:t>
            </w:r>
          </w:p>
        </w:tc>
        <w:tc>
          <w:tcPr>
            <w:tcW w:w="320" w:type="dxa"/>
            <w:vAlign w:val="bottom"/>
            <w:tcBorders>
              <w:bottom w:val="single" w:sz="8" w:color="CFF0FC"/>
            </w:tcBorders>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500" w:type="dxa"/>
            <w:vAlign w:val="bottom"/>
            <w:tcBorders>
              <w:bottom w:val="single" w:sz="8" w:color="auto"/>
            </w:tcBorders>
            <w:shd w:val="clear" w:color="auto" w:fill="CFF0FC"/>
          </w:tcPr>
          <w:p>
            <w:pPr>
              <w:jc w:val="right"/>
              <w:ind w:right="3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(66,756</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-1395095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-1395095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-812800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-812800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-230505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-230505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-24765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Offerings</w:t>
      </w:r>
    </w:p>
    <w:p>
      <w:pPr>
        <w:spacing w:after="0" w:line="146"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On May 8, 2024, the Company entered into an underwriting agreement with BofA Securities, Inc., in which the Company agreed to issue and sell 1,785,714 shares of the Company's common stock in a public offering, pursuant to the 2024 Shelf Registration Statement (as defined below). The shares of common stock were sold at a price to the public of $56.00 per share. Under the terms of the underwriting agreement, the Company also granted the underwriters an option exercisable for 30 days from the date of the underwriting agreement to purchase up to an additional 267,857 shares of common stock on the same terms and conditions. The underwriters' option was exercised in full on May 10, 2024 and the public offering (inclusive of the underwriters' option shares) closed on May 13, 2024. The Company received net proceeds of $107.5 million from the public offering, after deducting underwriters' discounts and commissions of $6.9 million and other offering expenses of $0.6 million.</w:t>
      </w:r>
    </w:p>
    <w:p>
      <w:pPr>
        <w:spacing w:after="0" w:line="119"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On February 7, 2023, the Company entered into an underwriting agreement with BofA Securities, Inc., in which the Company agreed to issue and sell 4,000,000 shares of the Company's common stock in a public offering, pursuant to the 2022 Shelf Registration Statement (as defined below). The shares of common stock were sold at a price to the public of $12.50 per share. Under the terms of the underwriting agreement, the Company also granted the underwriters an option exercisable for 30 days from the date of the underwriting agreement to purchase up to an additional 600,000 shares of common stock on the same terms and conditions. The underwriters' option was exercised in full on February 10, 2023 and closed on February 14, 2023. The Company received net proceeds of approximately $53.6 million from the public offering, after deducting underwriters' discounts and commissions of $3.5 million and offering expenses of $0.5 million.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7" w:name="page108"/>
    <w:bookmarkEnd w:id="10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Shelf Registration Statement</w:t>
      </w:r>
    </w:p>
    <w:p>
      <w:pPr>
        <w:spacing w:after="0" w:line="119"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On May 8, 2024, the Company filed with the U.S. Securities and Exchange Commission (“SEC”) an automatic shelf registration statement on Form S-3 (the “2024 Shelf Registration Statement”), which became effective upon filing. The 2024 Shelf Registration Statement is effective for three years and permits the Company to sell, from time to time, an unspecified number of common stock, preferred stock, debt securities, warrants, and/or units.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Shelf Registration Statement</w:t>
      </w:r>
    </w:p>
    <w:p>
      <w:pPr>
        <w:spacing w:after="0" w:line="119"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On August 8, 2022, the Company filed with the SEC a $200.0 million shelf registration statement on Form S-3 (the “2022 Shelf Registration Statement”), which became effective on August 12, 2022. The 2022 Shelf Registration Statement is effective for three years and permits the Company to sell, from time to time, up to $200.0 million in aggregate value of common stock, preferred stock, debt securities, warrants, and/or units. At the time of filing the 2022 Shelf Registration Statement, the Company also filed a prospectus supplement to sell up to an aggregate value of $50.0 million dollars of common stock through an “at-the-market” (“ATM”) offering.</w:t>
      </w:r>
    </w:p>
    <w:p>
      <w:pPr>
        <w:spacing w:after="0" w:line="101"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Through the ATM offering, a total of 2,617,964 shares of the Company's common stock, for total net proceeds of $47.5 million, were issued and sold, which completed the entire $50.0 million authorized under the ATM offering.</w:t>
      </w:r>
    </w:p>
    <w:p>
      <w:pPr>
        <w:spacing w:after="0" w:line="95" w:lineRule="exact"/>
        <w:rPr>
          <w:sz w:val="20"/>
          <w:szCs w:val="20"/>
          <w:color w:val="auto"/>
        </w:rPr>
      </w:pPr>
    </w:p>
    <w:p>
      <w:pPr>
        <w:ind w:right="600" w:firstLine="374"/>
        <w:spacing w:after="0" w:line="281" w:lineRule="auto"/>
        <w:rPr>
          <w:sz w:val="20"/>
          <w:szCs w:val="20"/>
          <w:color w:val="auto"/>
        </w:rPr>
      </w:pPr>
      <w:r>
        <w:rPr>
          <w:rFonts w:ascii="Times New Roman" w:cs="Times New Roman" w:eastAsia="Times New Roman" w:hAnsi="Times New Roman"/>
          <w:sz w:val="18"/>
          <w:szCs w:val="18"/>
          <w:color w:val="auto"/>
        </w:rPr>
        <w:t>As of December 31, 2024 and 2023 the Company has cash, cash equivalents and short-term investments of $237.2 million and $127.2 million, respectively.</w:t>
      </w:r>
    </w:p>
    <w:p>
      <w:pPr>
        <w:spacing w:after="0" w:line="95"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years ended December 31, 2024, 2023 and 2022, the Company incurred losses from operations of $36.9 million, $50.1 million and $63.3 million, respectively. Based on the Company’s anticipated sales growth in relation to the anticipated costs associated with, among other things, its continuing research and development activities and the expansion of its sales and marketing activities, the Company expects to continue to incur net operating losses into the near future. Successful transition to attaining profitable operations is dependent upon gaining market acceptance of the Company’s products and achieving a level of revenues adequate to support the Company’s cost structure.</w:t>
      </w:r>
    </w:p>
    <w:p>
      <w:pPr>
        <w:spacing w:after="0" w:line="106"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consolidated financial statements. The Company plans to continue to fund its losses from operations using its cash, cash equivalents and short-term investments as of December 31, 2024 and meet its future capital funding needs, as needed, through equity or debt financings, other third-party funding, collaborations, strategic alliances and licensing arrangements or a combination of these.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59" w:lineRule="exact"/>
        <w:rPr>
          <w:sz w:val="20"/>
          <w:szCs w:val="20"/>
          <w:color w:val="auto"/>
        </w:rPr>
      </w:pPr>
    </w:p>
    <w:p>
      <w:pPr>
        <w:ind w:right="80" w:firstLine="374"/>
        <w:spacing w:after="0" w:line="276"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informed estimates, judgments and assumptions that affect the reported amounts in the consolidated financial statements and disclosures in the accompanying notes as of the date of the accompanying consolidated financial statements. On an on-going basis, management evaluates the most critical estimates and assumptions for continued reasonableness. These estimates and assumptions involve judgments with respect to numerous factors that are difficult to predict. Actual results may differ materially from the estimates used in the preparation of the accompanying consolidated financial statements under different assumptions or conditions.</w:t>
      </w:r>
    </w:p>
    <w:p>
      <w:pPr>
        <w:spacing w:after="0" w:line="90" w:lineRule="exact"/>
        <w:rPr>
          <w:sz w:val="20"/>
          <w:szCs w:val="20"/>
          <w:color w:val="auto"/>
        </w:rPr>
      </w:pPr>
    </w:p>
    <w:p>
      <w:pPr>
        <w:ind w:firstLine="374"/>
        <w:spacing w:after="0" w:line="280" w:lineRule="auto"/>
        <w:rPr>
          <w:sz w:val="20"/>
          <w:szCs w:val="20"/>
          <w:color w:val="auto"/>
        </w:rPr>
      </w:pPr>
      <w:r>
        <w:rPr>
          <w:rFonts w:ascii="Times New Roman" w:cs="Times New Roman" w:eastAsia="Times New Roman" w:hAnsi="Times New Roman"/>
          <w:sz w:val="17"/>
          <w:szCs w:val="17"/>
          <w:color w:val="auto"/>
        </w:rPr>
        <w:t>The Company’s consolidated financial statements as of and for the year ended December 31, 2024, 2023 and 2022, reflect the Company’s estimates of the impact of the macroeconomic environment, including the impact of inflation, higher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25" w:lineRule="exact"/>
        <w:rPr>
          <w:sz w:val="20"/>
          <w:szCs w:val="20"/>
          <w:color w:val="auto"/>
        </w:rPr>
      </w:pPr>
    </w:p>
    <w:p>
      <w:pPr>
        <w:ind w:right="400"/>
        <w:spacing w:after="0" w:line="390" w:lineRule="auto"/>
        <w:rPr>
          <w:sz w:val="20"/>
          <w:szCs w:val="20"/>
          <w:color w:val="auto"/>
        </w:rPr>
      </w:pPr>
      <w:r>
        <w:rPr>
          <w:rFonts w:ascii="Times New Roman" w:cs="Times New Roman" w:eastAsia="Times New Roman" w:hAnsi="Times New Roman"/>
          <w:sz w:val="18"/>
          <w:szCs w:val="18"/>
          <w:color w:val="auto"/>
        </w:rPr>
        <w:t xml:space="preserve">update to its estimates, judgments and assumptions or a revision of the carrying value of the Company’s assets or liabilities as of the date of this filing. </w:t>
      </w:r>
      <w:r>
        <w:rPr>
          <w:rFonts w:ascii="Times New Roman" w:cs="Times New Roman" w:eastAsia="Times New Roman" w:hAnsi="Times New Roman"/>
          <w:sz w:val="18"/>
          <w:szCs w:val="18"/>
          <w:i w:val="1"/>
          <w:iCs w:val="1"/>
          <w:color w:val="auto"/>
        </w:rPr>
        <w:t>Cash Equivalents</w:t>
      </w:r>
    </w:p>
    <w:p>
      <w:pPr>
        <w:spacing w:after="0" w:line="2" w:lineRule="exact"/>
        <w:rPr>
          <w:sz w:val="20"/>
          <w:szCs w:val="20"/>
          <w:color w:val="auto"/>
        </w:rPr>
      </w:pPr>
    </w:p>
    <w:p>
      <w:pPr>
        <w:jc w:val="both"/>
        <w:ind w:right="200" w:firstLine="374"/>
        <w:spacing w:after="0" w:line="265" w:lineRule="auto"/>
        <w:rPr>
          <w:sz w:val="20"/>
          <w:szCs w:val="20"/>
          <w:color w:val="auto"/>
        </w:rPr>
      </w:pPr>
      <w:r>
        <w:rPr>
          <w:rFonts w:ascii="Times New Roman" w:cs="Times New Roman" w:eastAsia="Times New Roman" w:hAnsi="Times New Roman"/>
          <w:sz w:val="18"/>
          <w:szCs w:val="18"/>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 Cash equivalents are recorded at face value or cost, which approximates fair market value.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59" w:lineRule="exact"/>
        <w:rPr>
          <w:sz w:val="20"/>
          <w:szCs w:val="20"/>
          <w:color w:val="auto"/>
        </w:rPr>
      </w:pPr>
    </w:p>
    <w:p>
      <w:pPr>
        <w:ind w:right="60" w:firstLine="374"/>
        <w:spacing w:after="0" w:line="270" w:lineRule="auto"/>
        <w:rPr>
          <w:sz w:val="20"/>
          <w:szCs w:val="20"/>
          <w:color w:val="auto"/>
        </w:rPr>
      </w:pPr>
      <w:r>
        <w:rPr>
          <w:rFonts w:ascii="Times New Roman" w:cs="Times New Roman" w:eastAsia="Times New Roman" w:hAnsi="Times New Roman"/>
          <w:sz w:val="17"/>
          <w:szCs w:val="17"/>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consolidated balance sheets. Realized gains and losses are included as other income (expense) in the accompanying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111" w:lineRule="exact"/>
        <w:rPr>
          <w:sz w:val="20"/>
          <w:szCs w:val="20"/>
          <w:color w:val="auto"/>
        </w:rPr>
      </w:pPr>
    </w:p>
    <w:p>
      <w:pPr>
        <w:ind w:left="900" w:hanging="518"/>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investment has been in a continuous loss position for over 12 months;</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to maturity of investments;</w:t>
      </w:r>
    </w:p>
    <w:p>
      <w:pPr>
        <w:spacing w:after="0" w:line="157" w:lineRule="exact"/>
        <w:rPr>
          <w:rFonts w:ascii="Times New Roman" w:cs="Times New Roman" w:eastAsia="Times New Roman" w:hAnsi="Times New Roman"/>
          <w:sz w:val="18"/>
          <w:szCs w:val="18"/>
          <w:color w:val="auto"/>
        </w:rPr>
      </w:pPr>
    </w:p>
    <w:p>
      <w:pPr>
        <w:ind w:left="900" w:right="620" w:hanging="518"/>
        <w:spacing w:after="0" w:line="281"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 and ability to hold the investment to maturity and if it is not more likely than not that the Company will be required to sell the investment before recovery of the amortized cost basis;</w:t>
      </w:r>
    </w:p>
    <w:p>
      <w:pPr>
        <w:spacing w:after="0" w:line="95"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rating, financial condition and near-term prospects of the issuer and</w:t>
      </w:r>
    </w:p>
    <w:p>
      <w:pPr>
        <w:spacing w:after="0" w:line="14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investments made.</w:t>
      </w:r>
    </w:p>
    <w:p>
      <w:pPr>
        <w:spacing w:after="0" w:line="157"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The Company had unrealized gains of $190,000 and $10,000, respectively related to short-term investments as of December 31, 2024 and 2023, respectively.</w:t>
      </w:r>
    </w:p>
    <w:p>
      <w:pPr>
        <w:spacing w:after="0" w:line="95" w:lineRule="exact"/>
        <w:rPr>
          <w:sz w:val="20"/>
          <w:szCs w:val="20"/>
          <w:color w:val="auto"/>
        </w:rPr>
      </w:pPr>
    </w:p>
    <w:p>
      <w:pPr>
        <w:ind w:right="300" w:firstLine="374"/>
        <w:spacing w:after="0" w:line="265" w:lineRule="auto"/>
        <w:rPr>
          <w:sz w:val="20"/>
          <w:szCs w:val="20"/>
          <w:color w:val="auto"/>
        </w:rPr>
      </w:pPr>
      <w:r>
        <w:rPr>
          <w:rFonts w:ascii="Times New Roman" w:cs="Times New Roman" w:eastAsia="Times New Roman" w:hAnsi="Times New Roman"/>
          <w:sz w:val="18"/>
          <w:szCs w:val="18"/>
          <w:color w:val="auto"/>
        </w:rPr>
        <w:t>At each reporting date, the Company performs an evaluation of impairment to determine if any unrealized losses are the result of credit losses. The Company did not record an allowance for credit losses for these investments as of December 31, 2024, 2023 and 2022, respectively. For additional information see Note 3 – Short-Term Investments.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59" w:lineRule="exact"/>
        <w:rPr>
          <w:sz w:val="20"/>
          <w:szCs w:val="20"/>
          <w:color w:val="auto"/>
        </w:rPr>
      </w:pPr>
    </w:p>
    <w:p>
      <w:pPr>
        <w:ind w:right="200" w:firstLine="374"/>
        <w:spacing w:after="0" w:line="281" w:lineRule="auto"/>
        <w:rPr>
          <w:sz w:val="20"/>
          <w:szCs w:val="20"/>
          <w:color w:val="auto"/>
        </w:rPr>
      </w:pPr>
      <w:r>
        <w:rPr>
          <w:rFonts w:ascii="Times New Roman" w:cs="Times New Roman" w:eastAsia="Times New Roman" w:hAnsi="Times New Roman"/>
          <w:sz w:val="18"/>
          <w:szCs w:val="18"/>
          <w:color w:val="auto"/>
        </w:rPr>
        <w:t>Restricted cash consists of cash held as security for corporate credit cards at the Company’s bank. Restricted cash increased $39,000 during the year ended December 31, 2024 to $750,000 as required for these operating activities.</w:t>
      </w:r>
    </w:p>
    <w:p>
      <w:pPr>
        <w:spacing w:after="0" w:line="95" w:lineRule="exact"/>
        <w:rPr>
          <w:sz w:val="20"/>
          <w:szCs w:val="20"/>
          <w:color w:val="auto"/>
        </w:rPr>
      </w:pPr>
    </w:p>
    <w:p>
      <w:pPr>
        <w:ind w:right="26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to the amount reported in the Consolidated Statement of Cash Flows for the years ended December 31, 2024, and 2023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0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20" w:type="dxa"/>
            <w:vAlign w:val="bottom"/>
            <w:gridSpan w:val="2"/>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10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Cash, cash equivalents and restricted cash in the consolidated statements of</w:t>
            </w:r>
          </w:p>
        </w:tc>
        <w:tc>
          <w:tcPr>
            <w:tcW w:w="260" w:type="dxa"/>
            <w:vAlign w:val="bottom"/>
            <w:vMerge w:val="restart"/>
            <w:shd w:val="clear" w:color="auto" w:fill="CFF0FC"/>
          </w:tcPr>
          <w:p>
            <w:pPr>
              <w:spacing w:after="0"/>
              <w:rPr>
                <w:sz w:val="16"/>
                <w:szCs w:val="16"/>
                <w:color w:val="auto"/>
              </w:rPr>
            </w:pPr>
          </w:p>
        </w:tc>
        <w:tc>
          <w:tcPr>
            <w:tcW w:w="1660" w:type="dxa"/>
            <w:vAlign w:val="bottom"/>
            <w:vMerge w:val="restart"/>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17,456</w:t>
            </w:r>
          </w:p>
        </w:tc>
        <w:tc>
          <w:tcPr>
            <w:tcW w:w="320" w:type="dxa"/>
            <w:vAlign w:val="bottom"/>
            <w:vMerge w:val="restart"/>
            <w:shd w:val="clear" w:color="auto" w:fill="CFF0FC"/>
          </w:tcPr>
          <w:p>
            <w:pPr>
              <w:spacing w:after="0"/>
              <w:rPr>
                <w:sz w:val="16"/>
                <w:szCs w:val="16"/>
                <w:color w:val="auto"/>
              </w:rPr>
            </w:pPr>
          </w:p>
        </w:tc>
        <w:tc>
          <w:tcPr>
            <w:tcW w:w="700" w:type="dxa"/>
            <w:vAlign w:val="bottom"/>
            <w:vMerge w:val="restart"/>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60" w:type="dxa"/>
            <w:vAlign w:val="bottom"/>
            <w:tcBorders>
              <w:bottom w:val="single" w:sz="8" w:color="CFF0FC"/>
            </w:tcBorders>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cash flows</w:t>
            </w:r>
          </w:p>
        </w:tc>
        <w:tc>
          <w:tcPr>
            <w:tcW w:w="260" w:type="dxa"/>
            <w:vAlign w:val="bottom"/>
            <w:tcBorders>
              <w:bottom w:val="single" w:sz="8" w:color="CFF0FC"/>
            </w:tcBorders>
            <w:vMerge w:val="continue"/>
            <w:shd w:val="clear" w:color="auto" w:fill="CFF0FC"/>
          </w:tcPr>
          <w:p>
            <w:pPr>
              <w:spacing w:after="0"/>
              <w:rPr>
                <w:sz w:val="20"/>
                <w:szCs w:val="20"/>
                <w:color w:val="auto"/>
              </w:rPr>
            </w:pPr>
          </w:p>
        </w:tc>
        <w:tc>
          <w:tcPr>
            <w:tcW w:w="1660" w:type="dxa"/>
            <w:vAlign w:val="bottom"/>
            <w:tcBorders>
              <w:bottom w:val="single" w:sz="8" w:color="auto"/>
            </w:tcBorders>
            <w:vMerge w:val="continue"/>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vMerge w:val="continue"/>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843"/>
        </w:trPr>
        <w:tc>
          <w:tcPr>
            <w:tcW w:w="5460" w:type="dxa"/>
            <w:vAlign w:val="bottom"/>
          </w:tcPr>
          <w:p>
            <w:pPr>
              <w:spacing w:after="0"/>
              <w:rPr>
                <w:sz w:val="24"/>
                <w:szCs w:val="24"/>
                <w:color w:val="auto"/>
              </w:rPr>
            </w:pPr>
          </w:p>
        </w:tc>
        <w:tc>
          <w:tcPr>
            <w:tcW w:w="1920" w:type="dxa"/>
            <w:vAlign w:val="bottom"/>
            <w:gridSpan w:val="2"/>
          </w:tcPr>
          <w:p>
            <w:pPr>
              <w:jc w:val="right"/>
              <w:ind w:right="153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-1069975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-1052830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 and Other Risks and Uncertainties</w:t>
      </w:r>
    </w:p>
    <w:p>
      <w:pPr>
        <w:spacing w:after="0" w:line="159" w:lineRule="exact"/>
        <w:rPr>
          <w:sz w:val="20"/>
          <w:szCs w:val="20"/>
          <w:color w:val="auto"/>
        </w:rPr>
      </w:pPr>
    </w:p>
    <w:p>
      <w:pPr>
        <w:ind w:right="20" w:firstLine="374"/>
        <w:spacing w:after="0" w:line="274"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90"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p>
    <w:p>
      <w:pPr>
        <w:spacing w:after="0" w:line="114" w:lineRule="exact"/>
        <w:rPr>
          <w:sz w:val="20"/>
          <w:szCs w:val="20"/>
          <w:color w:val="auto"/>
        </w:rPr>
      </w:pPr>
    </w:p>
    <w:p>
      <w:pPr>
        <w:jc w:val="both"/>
        <w:ind w:right="180" w:firstLine="374"/>
        <w:spacing w:after="0" w:line="288" w:lineRule="auto"/>
        <w:rPr>
          <w:sz w:val="20"/>
          <w:szCs w:val="20"/>
          <w:color w:val="auto"/>
        </w:rPr>
      </w:pPr>
      <w:r>
        <w:rPr>
          <w:rFonts w:ascii="Times New Roman" w:cs="Times New Roman" w:eastAsia="Times New Roman" w:hAnsi="Times New Roman"/>
          <w:sz w:val="17"/>
          <w:szCs w:val="17"/>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5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Accounts receivable pertain to contracts with customers who are granted credit by the Company in the ordinary course of business and are presented net of allowances for credit losses. The Company has a diverse customer base and as of December 31, 2024 and 2023, the Company did not have any customers who individually accounted for greater than 10% of accounts receivable. The Company maintains an allowance for credit losses resulting from the inability of its customers, including ambulatory surgery centers, to make required payments. The allowance for credit losses is calculated quarterly and is developed using an aging of receivables where receivables are segregated into various categories based upon due date, and a historical loss percentage is applied to each category that is adjusted for current receivable composition, counterparty and specific risk and prevailing economic condition and supportable forecasted economic conditions. If a receivable is deemed uncollectible after collection efforts have been exhausted, it is written off against the allowance for credit losses. The Company closely monitors the credit quality of its customers and has yet to experience a write-off of a receivable or uncollected receivable. After evaluation of the collectability of accounts receivable, the Company did not record any significant allowance for credit losses as of December 31, 2024, 2023 and 2022, respectively. The Company does not generally require collateral or other security on receivables.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46" w:lineRule="exact"/>
        <w:rPr>
          <w:sz w:val="20"/>
          <w:szCs w:val="20"/>
          <w:color w:val="auto"/>
        </w:rPr>
      </w:pPr>
    </w:p>
    <w:p>
      <w:pPr>
        <w:ind w:right="220" w:firstLine="374"/>
        <w:spacing w:after="0" w:line="258"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74" w:lineRule="exact"/>
        <w:rPr>
          <w:sz w:val="20"/>
          <w:szCs w:val="20"/>
          <w:color w:val="auto"/>
        </w:rPr>
      </w:pPr>
    </w:p>
    <w:p>
      <w:pPr>
        <w:ind w:left="760" w:right="660"/>
        <w:spacing w:after="0" w:line="281" w:lineRule="auto"/>
        <w:rPr>
          <w:sz w:val="20"/>
          <w:szCs w:val="20"/>
          <w:color w:val="auto"/>
        </w:rPr>
      </w:pPr>
      <w:r>
        <w:rPr>
          <w:rFonts w:ascii="Times New Roman" w:cs="Times New Roman" w:eastAsia="Times New Roman" w:hAnsi="Times New Roman"/>
          <w:sz w:val="18"/>
          <w:szCs w:val="18"/>
          <w:color w:val="auto"/>
        </w:rPr>
        <w:t>Level 1—Observable inputs such as unadjusted quoted prices in active markets that are accessible at the measurement date for identical unrestricted assets or liabilities.</w:t>
      </w:r>
    </w:p>
    <w:p>
      <w:pPr>
        <w:spacing w:after="0" w:line="95"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8"/>
          <w:szCs w:val="18"/>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115" w:lineRule="exact"/>
        <w:rPr>
          <w:sz w:val="20"/>
          <w:szCs w:val="20"/>
          <w:color w:val="auto"/>
        </w:rPr>
      </w:pPr>
    </w:p>
    <w:p>
      <w:pPr>
        <w:ind w:left="760" w:right="360"/>
        <w:spacing w:after="0" w:line="281" w:lineRule="auto"/>
        <w:rPr>
          <w:sz w:val="20"/>
          <w:szCs w:val="20"/>
          <w:color w:val="auto"/>
        </w:rPr>
      </w:pPr>
      <w:r>
        <w:rPr>
          <w:rFonts w:ascii="Times New Roman" w:cs="Times New Roman" w:eastAsia="Times New Roman" w:hAnsi="Times New Roman"/>
          <w:sz w:val="18"/>
          <w:szCs w:val="18"/>
          <w:color w:val="auto"/>
        </w:rPr>
        <w:t>Level 3—One or more significant inputs that are unobservable and supported by little or no market activity and reflect the use of significant management judgment and assumptions. Level 3 assets and liabilities include those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0" w:name="page111"/>
    <w:bookmarkEnd w:id="110"/>
    <w:p>
      <w:pPr>
        <w:spacing w:after="0" w:line="84" w:lineRule="exact"/>
        <w:rPr>
          <w:sz w:val="20"/>
          <w:szCs w:val="20"/>
          <w:color w:val="auto"/>
        </w:rPr>
      </w:pPr>
    </w:p>
    <w:p>
      <w:pPr>
        <w:ind w:left="760" w:right="260"/>
        <w:spacing w:after="0" w:line="265" w:lineRule="auto"/>
        <w:rPr>
          <w:sz w:val="20"/>
          <w:szCs w:val="20"/>
          <w:color w:val="auto"/>
        </w:rPr>
      </w:pPr>
      <w:r>
        <w:rPr>
          <w:rFonts w:ascii="Times New Roman" w:cs="Times New Roman" w:eastAsia="Times New Roman" w:hAnsi="Times New Roman"/>
          <w:sz w:val="18"/>
          <w:szCs w:val="18"/>
          <w:color w:val="auto"/>
        </w:rPr>
        <w:t>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110"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101"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cash equivalents, short-term investments, accounts receivable, accounts payable and operating lease liabilities. 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at December 31, 2024 and 2023 approximated their carrying values, based on the borrowing rates that were available for loans with similar terms as of such date.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5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59"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Property and equipment and leasehold improvements are recorded at cost, net of accumulated depreciation and amortization. Property and equipment are depreciated over the estimated useful lives of the related assets, generally three to five years, using a straight-line method. Leasehold improvements are amortized on the straight-line method over the shorter of the lease term or their estimated economic lives. Repairs and maintenance costs are charged directly to operations as incurred, while renewals and betterments are capitalized.</w:t>
      </w:r>
    </w:p>
    <w:p>
      <w:pPr>
        <w:spacing w:after="0" w:line="101"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All long-lived assets are reviewed for impairment whenever circumstances such as events or changes in the business indicate that an asset or asset group’s carrying value may not be recoverable based on undiscounted future operating cash flows to be derived from their use. Factors that are considered important that could trigger an impairment review include a current period operating or cash flow loss or a history of operating or cash flow losses and a projection or forecast that demonstrates continuing losses or insufficient income associated with the use of a long-lived asset or asset group. Other factors include a significant change in the manner of the use of the asset or a significant negative industry or economic trend. This evaluation is performed based on estimated undiscounted future cash flows from operating activities compared with the carrying value of the related assets. If the undiscounted future cash flows are less than the carrying value, an impairment loss is recognized, measured by the difference between the carrying value and the estimated fair value of the assets. Fair value is determined primarily using the discounted cash flows expected to be generated from the use of assets. Significant management judgment is required in the forecast of future operating results that are used in the preparation of expected cash flows.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59" w:lineRule="exact"/>
        <w:rPr>
          <w:sz w:val="20"/>
          <w:szCs w:val="20"/>
          <w:color w:val="auto"/>
        </w:rPr>
      </w:pPr>
    </w:p>
    <w:p>
      <w:pPr>
        <w:ind w:right="320" w:firstLine="374"/>
        <w:spacing w:after="0" w:line="265" w:lineRule="auto"/>
        <w:rPr>
          <w:sz w:val="20"/>
          <w:szCs w:val="20"/>
          <w:color w:val="auto"/>
        </w:rPr>
      </w:pPr>
      <w:r>
        <w:rPr>
          <w:rFonts w:ascii="Times New Roman" w:cs="Times New Roman" w:eastAsia="Times New Roman" w:hAnsi="Times New Roman"/>
          <w:sz w:val="18"/>
          <w:szCs w:val="18"/>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based on the present value of lease</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lease commencement date. The difference between rent expense and rent paid is accounted for as a component of operating lease right-of-use assets on the accompanying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consolidated balance sheets.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146"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w:t>
      </w:r>
    </w:p>
    <w:p>
      <w:pPr>
        <w:spacing w:after="0" w:line="115"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calculation of diluted net loss per share attributable to common stockholders because their impact under the treasury stock method was anti-dilutive for the periods presented: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640" w:type="dxa"/>
            <w:vAlign w:val="bottom"/>
          </w:tcPr>
          <w:p>
            <w:pPr>
              <w:spacing w:after="0"/>
              <w:rPr>
                <w:sz w:val="20"/>
                <w:szCs w:val="20"/>
                <w:color w:val="auto"/>
              </w:rPr>
            </w:pPr>
          </w:p>
        </w:tc>
        <w:tc>
          <w:tcPr>
            <w:tcW w:w="18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191"/>
        </w:trPr>
        <w:tc>
          <w:tcPr>
            <w:tcW w:w="5640" w:type="dxa"/>
            <w:vAlign w:val="bottom"/>
            <w:tcBorders>
              <w:top w:val="single" w:sz="8" w:color="auto"/>
            </w:tcBorders>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Stock options issued and outstanding under the Calhoun Vision, Inc. 2006</w:t>
            </w:r>
          </w:p>
        </w:tc>
        <w:tc>
          <w:tcPr>
            <w:tcW w:w="120" w:type="dxa"/>
            <w:vAlign w:val="bottom"/>
            <w:shd w:val="clear" w:color="auto" w:fill="CFF0FC"/>
          </w:tcPr>
          <w:p>
            <w:pPr>
              <w:spacing w:after="0"/>
              <w:rPr>
                <w:sz w:val="16"/>
                <w:szCs w:val="16"/>
                <w:color w:val="auto"/>
              </w:rPr>
            </w:pPr>
          </w:p>
        </w:tc>
        <w:tc>
          <w:tcPr>
            <w:tcW w:w="17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Plan, Calhoun Vision, Inc. 2015 Equity Incentive Plan and the 2021</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Incentive Plan</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5,437,829</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6,860,328</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1,926,226</w:t>
            </w:r>
          </w:p>
        </w:tc>
        <w:tc>
          <w:tcPr>
            <w:tcW w:w="100" w:type="dxa"/>
            <w:vAlign w:val="bottom"/>
            <w:shd w:val="clear" w:color="auto" w:fill="CFF0FC"/>
          </w:tcPr>
          <w:p>
            <w:pPr>
              <w:spacing w:after="0"/>
              <w:rPr>
                <w:sz w:val="20"/>
                <w:szCs w:val="20"/>
                <w:color w:val="auto"/>
              </w:rPr>
            </w:pPr>
          </w:p>
        </w:tc>
      </w:tr>
      <w:tr>
        <w:trPr>
          <w:trHeight w:val="216"/>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 issued under the 2021 Equity Incentive Plan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633,228</w:t>
            </w: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685,029</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543,538</w:t>
            </w:r>
          </w:p>
        </w:tc>
        <w:tc>
          <w:tcPr>
            <w:tcW w:w="100" w:type="dxa"/>
            <w:vAlign w:val="bottom"/>
          </w:tcPr>
          <w:p>
            <w:pPr>
              <w:spacing w:after="0"/>
              <w:rPr>
                <w:sz w:val="18"/>
                <w:szCs w:val="18"/>
                <w:color w:val="auto"/>
              </w:rPr>
            </w:pPr>
          </w:p>
        </w:tc>
      </w:tr>
      <w:tr>
        <w:trPr>
          <w:trHeight w:val="197"/>
        </w:trPr>
        <w:tc>
          <w:tcPr>
            <w:tcW w:w="5640" w:type="dxa"/>
            <w:vAlign w:val="bottom"/>
            <w:shd w:val="clear" w:color="auto" w:fill="CFF0FC"/>
          </w:tcPr>
          <w:p>
            <w:pPr>
              <w:ind w:left="200"/>
              <w:spacing w:after="0" w:line="197" w:lineRule="exact"/>
              <w:rPr>
                <w:sz w:val="20"/>
                <w:szCs w:val="20"/>
                <w:color w:val="auto"/>
              </w:rPr>
            </w:pPr>
            <w:r>
              <w:rPr>
                <w:rFonts w:ascii="Times New Roman" w:cs="Times New Roman" w:eastAsia="Times New Roman" w:hAnsi="Times New Roman"/>
                <w:sz w:val="18"/>
                <w:szCs w:val="18"/>
                <w:color w:val="auto"/>
              </w:rPr>
              <w:t>Stock issuable in offering period under the 2021 Employee Stock Purchase</w:t>
            </w:r>
          </w:p>
        </w:tc>
        <w:tc>
          <w:tcPr>
            <w:tcW w:w="1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97,958</w:t>
            </w:r>
          </w:p>
        </w:tc>
        <w:tc>
          <w:tcPr>
            <w:tcW w:w="2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98,189</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48,594</w:t>
            </w:r>
          </w:p>
        </w:tc>
        <w:tc>
          <w:tcPr>
            <w:tcW w:w="100" w:type="dxa"/>
            <w:vAlign w:val="bottom"/>
            <w:shd w:val="clear" w:color="auto" w:fill="CFF0FC"/>
          </w:tcPr>
          <w:p>
            <w:pPr>
              <w:spacing w:after="0"/>
              <w:rPr>
                <w:sz w:val="20"/>
                <w:szCs w:val="20"/>
                <w:color w:val="auto"/>
              </w:rPr>
            </w:pPr>
          </w:p>
        </w:tc>
      </w:tr>
    </w:tbl>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46" w:lineRule="exact"/>
        <w:rPr>
          <w:sz w:val="20"/>
          <w:szCs w:val="20"/>
          <w:color w:val="auto"/>
        </w:rPr>
      </w:pPr>
    </w:p>
    <w:p>
      <w:pPr>
        <w:jc w:val="both"/>
        <w:ind w:right="40" w:firstLine="374"/>
        <w:spacing w:after="0" w:line="265" w:lineRule="auto"/>
        <w:rPr>
          <w:sz w:val="20"/>
          <w:szCs w:val="20"/>
          <w:color w:val="auto"/>
        </w:rPr>
      </w:pPr>
      <w:r>
        <w:rPr>
          <w:rFonts w:ascii="Times New Roman" w:cs="Times New Roman" w:eastAsia="Times New Roman" w:hAnsi="Times New Roman"/>
          <w:sz w:val="18"/>
          <w:szCs w:val="18"/>
          <w:color w:val="auto"/>
        </w:rPr>
        <w:t>The Company’s revenue is generated from the sale of LALs used in cataract surgery along with a specifically designed machine for delivering light to the eye, the LDD, to adjust the lens post-surgery, as needed. Revenue is recognized from sales of products in the U.S., Canada Europe and Asia. Customers are primarily comprised of ambulatory surgery centers, hospitals, and physician private practices.</w:t>
      </w:r>
    </w:p>
    <w:p>
      <w:pPr>
        <w:spacing w:after="0" w:line="110"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7"/>
          <w:szCs w:val="17"/>
          <w:color w:val="auto"/>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w:t>
      </w:r>
    </w:p>
    <w:p>
      <w:pPr>
        <w:spacing w:after="0" w:line="1" w:lineRule="exact"/>
        <w:rPr>
          <w:sz w:val="20"/>
          <w:szCs w:val="20"/>
          <w:color w:val="auto"/>
        </w:rPr>
      </w:pPr>
    </w:p>
    <w:p>
      <w:pPr>
        <w:ind w:firstLine="8"/>
        <w:spacing w:after="0" w:line="251" w:lineRule="auto"/>
        <w:tabs>
          <w:tab w:leader="none" w:pos="30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25"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108"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LALs are generally held at customer sites on consignment. The single performance obligation is satisfied, and revenue from sales is recognized for LALs upon customer notification that the LALs have been implanted in a patient. For the years ended December 31, 2024, 2023 and 2022 credits related to returns and rebates on list prices were not significant.</w:t>
      </w:r>
    </w:p>
    <w:p>
      <w:pPr>
        <w:spacing w:after="0" w:line="110"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 from contracts with customers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580" w:type="dxa"/>
            <w:vAlign w:val="bottom"/>
          </w:tcPr>
          <w:p>
            <w:pPr>
              <w:spacing w:after="0"/>
              <w:rPr>
                <w:sz w:val="20"/>
                <w:szCs w:val="20"/>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r>
      <w:tr>
        <w:trPr>
          <w:trHeight w:val="209"/>
        </w:trPr>
        <w:tc>
          <w:tcPr>
            <w:tcW w:w="4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LDD (including training)</w:t>
            </w:r>
          </w:p>
        </w:tc>
        <w:tc>
          <w:tcPr>
            <w:tcW w:w="1540" w:type="dxa"/>
            <w:vAlign w:val="bottom"/>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39,704</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w:t>
            </w:r>
          </w:p>
        </w:tc>
        <w:tc>
          <w:tcPr>
            <w:tcW w:w="7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22,515</w:t>
            </w:r>
          </w:p>
        </w:tc>
        <w:tc>
          <w:tcPr>
            <w:tcW w:w="120" w:type="dxa"/>
            <w:vAlign w:val="bottom"/>
            <w:shd w:val="clear" w:color="auto" w:fill="CFF0FC"/>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LAL</w:t>
            </w:r>
          </w:p>
        </w:tc>
        <w:tc>
          <w:tcPr>
            <w:tcW w:w="1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24,965</w:t>
            </w:r>
          </w:p>
        </w:tc>
        <w:tc>
          <w:tcPr>
            <w:tcW w:w="120" w:type="dxa"/>
            <w:vAlign w:val="bottom"/>
          </w:tcPr>
          <w:p>
            <w:pPr>
              <w:spacing w:after="0"/>
              <w:rPr>
                <w:sz w:val="18"/>
                <w:szCs w:val="18"/>
                <w:color w:val="auto"/>
              </w:rPr>
            </w:pPr>
          </w:p>
        </w:tc>
      </w:tr>
      <w:tr>
        <w:trPr>
          <w:trHeight w:val="216"/>
        </w:trPr>
        <w:tc>
          <w:tcPr>
            <w:tcW w:w="4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warranty, service contracts, and accessories</w:t>
            </w:r>
          </w:p>
        </w:tc>
        <w:tc>
          <w:tcPr>
            <w:tcW w:w="15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580" w:type="dxa"/>
            <w:vAlign w:val="bottom"/>
          </w:tcPr>
          <w:p>
            <w:pPr>
              <w:spacing w:after="0"/>
              <w:rPr>
                <w:sz w:val="18"/>
                <w:szCs w:val="18"/>
                <w:color w:val="auto"/>
              </w:rPr>
            </w:pPr>
          </w:p>
        </w:tc>
        <w:tc>
          <w:tcPr>
            <w:tcW w:w="15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139,927</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89,077</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49,005</w:t>
            </w:r>
          </w:p>
        </w:tc>
        <w:tc>
          <w:tcPr>
            <w:tcW w:w="12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-170815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96"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did not have any customers who individually accounted for greater than 10% of revenue.</w:t>
      </w:r>
    </w:p>
    <w:p>
      <w:pPr>
        <w:spacing w:after="0" w:line="95" w:lineRule="exact"/>
        <w:rPr>
          <w:sz w:val="20"/>
          <w:szCs w:val="20"/>
          <w:color w:val="auto"/>
        </w:rPr>
      </w:pPr>
    </w:p>
    <w:p>
      <w:pPr>
        <w:ind w:right="200" w:firstLine="37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2024, 2023 and 2022, contract liabilities from sales activity recorded as liabilities on the Company's consolidated balance sheets consisted of the following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580" w:type="dxa"/>
            <w:vAlign w:val="bottom"/>
          </w:tcPr>
          <w:p>
            <w:pPr>
              <w:spacing w:after="0"/>
              <w:rPr>
                <w:sz w:val="20"/>
                <w:szCs w:val="20"/>
                <w:color w:val="auto"/>
              </w:rPr>
            </w:pPr>
          </w:p>
        </w:tc>
        <w:tc>
          <w:tcPr>
            <w:tcW w:w="1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r>
      <w:tr>
        <w:trPr>
          <w:trHeight w:val="209"/>
        </w:trPr>
        <w:tc>
          <w:tcPr>
            <w:tcW w:w="4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580" w:type="dxa"/>
            <w:vAlign w:val="bottom"/>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FF0FC"/>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1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Pr>
          <w:p>
            <w:pPr>
              <w:spacing w:after="0"/>
              <w:rPr>
                <w:sz w:val="18"/>
                <w:szCs w:val="18"/>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15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(3,636 )</w:t>
            </w: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(2,721 )</w:t>
            </w:r>
          </w:p>
        </w:tc>
        <w:tc>
          <w:tcPr>
            <w:tcW w:w="4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(1,405 )</w:t>
            </w:r>
          </w:p>
        </w:tc>
      </w:tr>
      <w:tr>
        <w:trPr>
          <w:trHeight w:val="209"/>
        </w:trPr>
        <w:tc>
          <w:tcPr>
            <w:tcW w:w="4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80" w:type="dxa"/>
            <w:vAlign w:val="bottom"/>
            <w:tcBorders>
              <w:top w:val="single" w:sz="8" w:color="auto"/>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6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8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Borders>
              <w:top w:val="single" w:sz="8" w:color="CFF0FC"/>
            </w:tcBorders>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43"/>
        </w:trPr>
        <w:tc>
          <w:tcPr>
            <w:tcW w:w="4580" w:type="dxa"/>
            <w:vAlign w:val="bottom"/>
          </w:tcPr>
          <w:p>
            <w:pPr>
              <w:spacing w:after="0"/>
              <w:rPr>
                <w:sz w:val="24"/>
                <w:szCs w:val="24"/>
                <w:color w:val="auto"/>
              </w:rPr>
            </w:pP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108</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2"/>
        </w:trPr>
        <w:tc>
          <w:tcPr>
            <w:tcW w:w="45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-1215390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-1215390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-1215390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46"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Cost of sales consists of materials, labor and manufacturing overhead incurred to produce the Company’s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 and certain direct costs such as royalty and license fee expenses.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9"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directors’ expenses, insurance costs, general corporate expenses and facilities-related expenses.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5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Research and development expenses consist of upfront fees and milestones paid to collaborators and expenses incurred in performing research and development activities for new products and technology. The expenses include personnel-related costs, including compensation and benefits and stock-based compensation, consultants hired to perform research projects, costs incurred at clinical trial sites, regulatory and manufacturing engineering costs related to FDA premarket approval submission preparation, various laboratory and research supplies, write-off of pre-approved inventory utilized for clinical trial and research purposes, costs incurred in the development of manufacturing processes in excess of capitalizable value, fees paid to contract research organizations and direct FDA related costs. The Company also accrued the costs of ongoing clinical trials associated with programs that have been terminated or discontinued for which there is no future economic benefit at the time the decision is made to terminate or discontinue the program.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ind w:right="40" w:firstLine="374"/>
        <w:spacing w:after="0" w:line="265" w:lineRule="auto"/>
        <w:rPr>
          <w:sz w:val="20"/>
          <w:szCs w:val="20"/>
          <w:color w:val="auto"/>
        </w:rPr>
      </w:pPr>
      <w:r>
        <w:rPr>
          <w:rFonts w:ascii="Times New Roman" w:cs="Times New Roman" w:eastAsia="Times New Roman" w:hAnsi="Times New Roman"/>
          <w:sz w:val="18"/>
          <w:szCs w:val="18"/>
          <w:color w:val="auto"/>
        </w:rPr>
        <w:t>The Company has three equity incentive compensation plans: the Calhoun Vision, Inc. 2006 Stock Plan (“2006 Plan”); the Calhoun Vision, Inc. 2015 Equity Incentive Plan (“2015 Plan”); and the 2021 Equity Incentive Plan (“2021 Plan”), which are collectively referred to as the “Equity Plans.” The Company also has an employee stock purchase plan, the 2021 Employee Stock Purchase Plan (“2021 ESPP”).</w:t>
      </w:r>
    </w:p>
    <w:p>
      <w:pPr>
        <w:spacing w:after="0" w:line="110"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The Company recognizes compensation expense for equity-based awards on the date of grant to employees, board of directors and consultants based on the estimated grant date fair value of the award's equity-based payments including stock options, restricted stock units and employee stock plan purchases. The fair value of the option awards are estimated using the Black-Scholes option-pricing model and recognized as an expense in the consolidated statements of operations and comprehensive loss over the requisite service period, which is generally four years. The Company amortizes the stock-based compensation for equity awards with service conditions on a straight-line basis over the vesting period of the awards. Forfeitures of unvested stock option awards are recognized as reductions of expense as they occur.</w:t>
      </w:r>
    </w:p>
    <w:p>
      <w:pPr>
        <w:spacing w:after="0" w:line="118"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The Black-Scholes option-pricing model requires the use of assumptions about a number of variables, such as the fair market value of the Company’s common stock, expected volatility, expected term, risk-free interest rate, and dividend yield as discussed below:</w:t>
      </w:r>
    </w:p>
    <w:p>
      <w:pPr>
        <w:spacing w:after="0" w:line="53" w:lineRule="exact"/>
        <w:rPr>
          <w:sz w:val="20"/>
          <w:szCs w:val="20"/>
          <w:color w:val="auto"/>
        </w:rPr>
      </w:pPr>
    </w:p>
    <w:p>
      <w:pPr>
        <w:ind w:left="760" w:right="420"/>
        <w:spacing w:after="0" w:line="283" w:lineRule="auto"/>
        <w:rPr>
          <w:sz w:val="20"/>
          <w:szCs w:val="20"/>
          <w:color w:val="auto"/>
        </w:rPr>
      </w:pP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—The fair value of common stock is determined by using the closing price per share of common stock as reported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Global Market.</w:t>
      </w:r>
    </w:p>
    <w:p>
      <w:pPr>
        <w:spacing w:after="0" w:line="51" w:lineRule="exact"/>
        <w:rPr>
          <w:sz w:val="20"/>
          <w:szCs w:val="20"/>
          <w:color w:val="auto"/>
        </w:rPr>
      </w:pPr>
    </w:p>
    <w:p>
      <w:pPr>
        <w:ind w:left="760" w:right="4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—Effective January 1, 2024, the Company based the expected volatility on the historic volatility of its common stock.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years ended December 31, 2023 and 2022, the expected volatility was estimated based on the average historical volatilities for comparable publicly traded medical device companies over a period equal to the expected term of the stock option grants. Comparable companies were chosen based on their similar size, stage in the life cycle and area of specialty.</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4" w:name="page115"/>
    <w:bookmarkEnd w:id="114"/>
    <w:p>
      <w:pPr>
        <w:spacing w:after="0" w:line="82" w:lineRule="exact"/>
        <w:rPr>
          <w:sz w:val="20"/>
          <w:szCs w:val="20"/>
          <w:color w:val="auto"/>
        </w:rPr>
      </w:pPr>
    </w:p>
    <w:p>
      <w:pPr>
        <w:ind w:left="76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Company’s expected term represents the period that the Company’s stock-based awards are expected to be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used the simplified method (based on the mid-point between the vesting date and the end of the contractual term) to determine the expected term.</w:t>
      </w:r>
    </w:p>
    <w:p>
      <w:pPr>
        <w:spacing w:after="0" w:line="64" w:lineRule="exact"/>
        <w:rPr>
          <w:sz w:val="20"/>
          <w:szCs w:val="20"/>
          <w:color w:val="auto"/>
        </w:rPr>
      </w:pPr>
    </w:p>
    <w:p>
      <w:pPr>
        <w:ind w:left="760" w:right="140"/>
        <w:spacing w:after="0" w:line="283"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used is based on the published U.S. Department of Treasury interest rates in effect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 option grant for zero coupon U.S. Treasury notes with maturities approximating each grant’s expected term.</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Dividend yield—The Company has never paid dividends on its common stock and has no plans to pay dividends on its common stock.</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Therefore, the Company used an expected dividend yield of zero.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likelihood of realizing the tax benefits related to a potential deferred tax asset is evaluated, and a valuation allowance is recognized to reduce that deferred tax asset if it is more likely than not that all or some portion of the deferred tax asset will not be realized. Deferred tax assets and liabilities are calculated at the beginning and end of the year; the change in the sum of the deferred tax asset, valuation allowance and deferred tax liability during the year generally is recognized as a deferred tax expense or benefit. The effect on deferred tax assets and liabilities of a change in tax rates is recognized in the Consolidated Statements of Operations and Comprehensive Loss in the period that includes the enactment date.</w:t>
      </w:r>
    </w:p>
    <w:p>
      <w:pPr>
        <w:spacing w:after="0" w:line="119"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in determining the Company’s provision for income taxes, deferred tax assets and liabilities and the valuation allowance recorded against net deferred tax assets. The Company assesses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recognized a valuation allowance on deferred tax assets as of December 31, 2024 and 2023 after evaluating that it is more likely than not that deferred tax assets will not be realized as of those dates.</w:t>
      </w:r>
    </w:p>
    <w:p>
      <w:pPr>
        <w:spacing w:after="0" w:line="119"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The Company evaluates the accounting for uncertainty in income tax recognized in the consolidated financial statements and determines whether it is more likely than not that a tax position will be sustained upon examination by the appropriate taxing authorities before any part of the benefit is recorded in its consolidated financial statements. For those tax positions where it is “not more likely than not” that a tax benefit will be sustained, no tax benefit is recognized. Where applicable, associated interest and penalties are also recorded. The Company has not accrued any liabilities for any such uncertain tax positions as of December 31, 2024, 2023 and 2022, respectively. The Company is subject to U.S. federal and state tax authority examinations for all the years since inception due to net operating loss and tax credit carryforwards. The net operating losses and tax credits are subject to adjustment until the statute closes on the year the attributes are ultimately utilized.</w:t>
      </w:r>
    </w:p>
    <w:p>
      <w:pPr>
        <w:spacing w:after="0" w:line="106"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19" w:lineRule="exact"/>
        <w:rPr>
          <w:sz w:val="20"/>
          <w:szCs w:val="20"/>
          <w:color w:val="auto"/>
        </w:rPr>
      </w:pPr>
    </w:p>
    <w:p>
      <w:pPr>
        <w:ind w:right="400" w:firstLine="374"/>
        <w:spacing w:after="0" w:line="265" w:lineRule="auto"/>
        <w:rPr>
          <w:sz w:val="20"/>
          <w:szCs w:val="20"/>
          <w:color w:val="auto"/>
        </w:rPr>
      </w:pPr>
      <w:r>
        <w:rPr>
          <w:rFonts w:ascii="Times New Roman" w:cs="Times New Roman" w:eastAsia="Times New Roman" w:hAnsi="Times New Roman"/>
          <w:sz w:val="18"/>
          <w:szCs w:val="18"/>
          <w:color w:val="auto"/>
        </w:rPr>
        <w:t>The Company is required to file federal and state income tax returns in the United States, United Kingdom, Germany and Netherlands. The preparation of these income tax returns requires the Company to interpret the applicable tax laws and regulations in effect on such jurisdictions, which could impact the amount of tax paid. An amount is accrued for the estimate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2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of additional tax liabilities, including interest and penalties, for any uncertain tax positions taken or expected to be taken in an income tax return. The accrual for uncertain tax positions is updated when more definitive information becomes available.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159" w:lineRule="exact"/>
        <w:rPr>
          <w:sz w:val="20"/>
          <w:szCs w:val="20"/>
          <w:color w:val="auto"/>
        </w:rPr>
      </w:pPr>
    </w:p>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marketable securities and foreign currency translation adjustments.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 Recently Adopted</w:t>
      </w:r>
    </w:p>
    <w:p>
      <w:pPr>
        <w:spacing w:after="0" w:line="157"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Improvements to Reportable Segment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ASU 2023-07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ASU enhances segment reporting under Topic 280 by expanding the breadth and frequency of segment disclosures, and aims to improve reportable segment disclosure requirements, primarily through enhanced disclosures about significant segment expenses regularly provided to the chief operating decision maker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CODM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 description of other segment items by reportable segment, and any additional measures of a segment's profit or loss used by the CODM when deciding how to allocate resources. In addition, the ASU also requires all annual disclosures currently required by Topic 280 to be included in interim periods, clarifies circumstances in which an entity can disclose multiple segment measures of profit or loss, provide new segment disclosure requirements for entities with a single reportable segment, and contain other disclosure requirements. This ASU was effective for fiscal years beginning after December 15, 2023, and interim periods within fiscal years beginning after December 15, 2024, with early adoption permitted. Adoption of this ASU requires the Company to expand its current disclosures around significant expenses and disclose an aggregate amount and composition of other segment items related to its single operating segment. The Company retrospectively adopted this ASU in the fiscal period ending December 31, 2024 as required by ASU No. 2023-07. The adoption of this ASU did not have a material impact on the Company's consolidated financial statements. See Note 1 – Operating Segments in the Notes to the consolidated financial statements included in this report.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44"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ASU 2024-03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ASU is intended to improve financial reporting by requiring disaggregated disclosure of certain costs and expenses. The ASU is effective for fiscal years beginning after December 15, 2026 and for interim periods within fiscal years beginning after December 15, 2027, with early adoption permitted. The ASU may be applied on either a prospective or retrospective basis. The Company is currently evaluating the disclosure impact of ASU-2024-03.</w:t>
      </w:r>
    </w:p>
    <w:p>
      <w:pPr>
        <w:spacing w:after="0" w:line="111" w:lineRule="exact"/>
        <w:rPr>
          <w:sz w:val="20"/>
          <w:szCs w:val="20"/>
          <w:color w:val="auto"/>
        </w:rPr>
      </w:pPr>
    </w:p>
    <w:p>
      <w:pPr>
        <w:ind w:right="220"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new standard requires a company to expand its existing income tax disclosures, specifically related to the rate reconciliation and income taxes paid. The standard is effective for the Company beginning in fiscal year 2026, with early adoption permitted. The Company does not expect to early adopt the new standard. The new standard is expected to be applied prospectively, but retrospective application is permitted. The Company is currently evaluating the impact of ASU 2023-09 on the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Short-Term Investments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Short-term investments, principally U.S. Treasury bills, are available-for-sale and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Unrealized Gain, Net</w:t>
            </w:r>
          </w:p>
        </w:tc>
        <w:tc>
          <w:tcPr>
            <w:tcW w:w="360" w:type="dxa"/>
            <w:vAlign w:val="bottom"/>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Pr>
          <w:p>
            <w:pPr>
              <w:spacing w:after="0"/>
              <w:rPr>
                <w:sz w:val="18"/>
                <w:szCs w:val="18"/>
                <w:color w:val="auto"/>
              </w:rPr>
            </w:pPr>
          </w:p>
        </w:tc>
      </w:tr>
      <w:tr>
        <w:trPr>
          <w:trHeight w:val="249"/>
        </w:trPr>
        <w:tc>
          <w:tcPr>
            <w:tcW w:w="32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220,327</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60"/>
        </w:trPr>
        <w:tc>
          <w:tcPr>
            <w:tcW w:w="3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Unrealized Gain, Net</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Pr>
          <w:p>
            <w:pPr>
              <w:spacing w:after="0"/>
              <w:rPr>
                <w:sz w:val="18"/>
                <w:szCs w:val="18"/>
                <w:color w:val="auto"/>
              </w:rPr>
            </w:pPr>
          </w:p>
        </w:tc>
      </w:tr>
      <w:tr>
        <w:trPr>
          <w:trHeight w:val="249"/>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117,480</w:t>
            </w:r>
          </w:p>
        </w:tc>
        <w:tc>
          <w:tcPr>
            <w:tcW w:w="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gridSpan w:val="2"/>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117,490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-709930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-692785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-709930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-692785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-709930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All available-for-sale securities held as of December 31, 2024 and 2023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spacing w:after="0" w:line="96"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118"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credit-related portion of unrealized losses, and any subsequent improvements, are recorded in interest expense in the consolidated statements of operations through an allowance for credit losses. Unrealized gains and losses that are not credit-related are included in accumulated other comprehensive loss. Unrealized losses on available-for-sale debt securities as of December 31, 2024 and December 31, 2023 were not significant and were primarily due to changes in interest rates, including market credit spreads, and not due to increased credit risks associated with specific securities. Further, the Company does not intend to sell these investments and it is not more likely than not that the Company will be required to sell these investments before recovery of their amortized cost basis. Accordingly, the Company did not record an allowance for credit losses with these investments as of December 31, 2024, 2023 and 2022,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1"/>
        </w:trPr>
        <w:tc>
          <w:tcPr>
            <w:tcW w:w="6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18"/>
                <w:szCs w:val="18"/>
                <w:color w:val="auto"/>
              </w:rPr>
            </w:pPr>
          </w:p>
        </w:tc>
      </w:tr>
      <w:tr>
        <w:trPr>
          <w:trHeight w:val="216"/>
        </w:trPr>
        <w:tc>
          <w:tcPr>
            <w:tcW w:w="6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00" w:type="dxa"/>
            <w:vAlign w:val="bottom"/>
          </w:tcPr>
          <w:p>
            <w:pPr>
              <w:spacing w:after="0"/>
              <w:rPr>
                <w:sz w:val="18"/>
                <w:szCs w:val="18"/>
                <w:color w:val="auto"/>
              </w:rPr>
            </w:pP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reserve for excess and obsolete inventory</w:t>
            </w:r>
          </w:p>
        </w:tc>
        <w:tc>
          <w:tcPr>
            <w:tcW w:w="28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(613 )</w:t>
            </w: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(496 )</w:t>
            </w:r>
          </w:p>
        </w:tc>
      </w:tr>
      <w:tr>
        <w:trPr>
          <w:trHeight w:val="209"/>
        </w:trPr>
        <w:tc>
          <w:tcPr>
            <w:tcW w:w="6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9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100" w:type="dxa"/>
            <w:vAlign w:val="bottom"/>
            <w:tcBorders>
              <w:top w:val="single" w:sz="8" w:color="CFF0FC"/>
            </w:tcBorders>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-453390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right="800" w:firstLine="374"/>
        <w:spacing w:after="0" w:line="281" w:lineRule="auto"/>
        <w:rPr>
          <w:sz w:val="20"/>
          <w:szCs w:val="20"/>
          <w:color w:val="auto"/>
        </w:rPr>
      </w:pPr>
      <w:r>
        <w:rPr>
          <w:rFonts w:ascii="Times New Roman" w:cs="Times New Roman" w:eastAsia="Times New Roman" w:hAnsi="Times New Roman"/>
          <w:sz w:val="18"/>
          <w:szCs w:val="18"/>
          <w:color w:val="auto"/>
        </w:rPr>
        <w:t>At December 31, 2024 and 2023, finished goods included $5.7 million and $4.4 million of inventory held on consignment at customer sites,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Production molds</w:t>
            </w:r>
          </w:p>
        </w:tc>
        <w:tc>
          <w:tcPr>
            <w:tcW w:w="1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equipment</w:t>
            </w:r>
          </w:p>
        </w:tc>
        <w:tc>
          <w:tcPr>
            <w:tcW w:w="1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37,841</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(25,428 )</w:t>
            </w:r>
          </w:p>
        </w:tc>
        <w:tc>
          <w:tcPr>
            <w:tcW w:w="5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(22,698 )</w:t>
            </w:r>
          </w:p>
        </w:tc>
        <w:tc>
          <w:tcPr>
            <w:tcW w:w="0" w:type="dxa"/>
            <w:vAlign w:val="bottom"/>
          </w:tcPr>
          <w:p>
            <w:pPr>
              <w:spacing w:after="0"/>
              <w:rPr>
                <w:sz w:val="1"/>
                <w:szCs w:val="1"/>
                <w:color w:val="auto"/>
              </w:rPr>
            </w:pPr>
          </w:p>
        </w:tc>
      </w:tr>
      <w:tr>
        <w:trPr>
          <w:trHeight w:val="209"/>
        </w:trPr>
        <w:tc>
          <w:tcPr>
            <w:tcW w:w="6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54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-453390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-170815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The Company recorded $3.6 million $4.1 million and $3.9 million in depreciation and amortization expense for the years ended December 31, 2024, 2023 and 2022, respectively.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148"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The table below (in thousands) present information about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p>
      <w:pPr>
        <w:spacing w:after="0" w:line="110"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Money market funds are liquid investments and are actively traded. The pricing information on these investment instruments is readily available and can be independently validated as of the measurement date. This approach results in the classification of these securities as Level 1 of the fair value hierarchy. U.S. Treasury are measured at fair value using Level 2 inputs. The Company reviews trading activity and pricing for these investments as of each measurement date. When sufficient quoted pricing for identical securities is not available, the Company uses market pricing and other observable market inputs for similar securities obtained from various third-party data providers. These inputs represent quoted prices for similar assets in active markets or these inputs have been derived from observable market data. This approach results in the classification of these securities as Level 2 of the fair value hierarchy.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Level II</w:t>
            </w:r>
          </w:p>
        </w:tc>
        <w:tc>
          <w:tcPr>
            <w:tcW w:w="320" w:type="dxa"/>
            <w:vAlign w:val="bottom"/>
          </w:tcPr>
          <w:p>
            <w:pPr>
              <w:spacing w:after="0"/>
              <w:rPr>
                <w:sz w:val="18"/>
                <w:szCs w:val="18"/>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securities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100" w:type="dxa"/>
            <w:vAlign w:val="bottom"/>
          </w:tcPr>
          <w:p>
            <w:pPr>
              <w:spacing w:after="0"/>
              <w:rPr>
                <w:sz w:val="18"/>
                <w:szCs w:val="18"/>
                <w:color w:val="auto"/>
              </w:rPr>
            </w:pPr>
          </w:p>
        </w:tc>
      </w:tr>
      <w:tr>
        <w:trPr>
          <w:trHeight w:val="216"/>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220,517</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220,517</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229,745</w:t>
            </w:r>
          </w:p>
        </w:tc>
        <w:tc>
          <w:tcPr>
            <w:tcW w:w="10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-170815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-170815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Level II</w:t>
            </w:r>
          </w:p>
        </w:tc>
        <w:tc>
          <w:tcPr>
            <w:tcW w:w="320" w:type="dxa"/>
            <w:vAlign w:val="bottom"/>
          </w:tcPr>
          <w:p>
            <w:pPr>
              <w:spacing w:after="0"/>
              <w:rPr>
                <w:sz w:val="18"/>
                <w:szCs w:val="18"/>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securities</w:t>
            </w:r>
          </w:p>
        </w:tc>
        <w:tc>
          <w:tcPr>
            <w:tcW w:w="338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3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117,490</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38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117,490</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113</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37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7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-1172210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-1172210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Accrued Expenses and Other Current Liabilities</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8"/>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-170815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 Expense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three equity incentive compensation plans: the 2006 Plan, the 2015 Plan and the 2021 Plan.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2006 Plan</w:t>
      </w:r>
    </w:p>
    <w:p>
      <w:pPr>
        <w:spacing w:after="0" w:line="121" w:lineRule="exact"/>
        <w:rPr>
          <w:sz w:val="20"/>
          <w:szCs w:val="20"/>
          <w:color w:val="auto"/>
        </w:rPr>
      </w:pPr>
    </w:p>
    <w:p>
      <w:pPr>
        <w:jc w:val="both"/>
        <w:ind w:right="180" w:firstLine="374"/>
        <w:spacing w:after="0" w:line="265" w:lineRule="auto"/>
        <w:rPr>
          <w:sz w:val="20"/>
          <w:szCs w:val="20"/>
          <w:color w:val="auto"/>
        </w:rPr>
      </w:pPr>
      <w:r>
        <w:rPr>
          <w:rFonts w:ascii="Times New Roman" w:cs="Times New Roman" w:eastAsia="Times New Roman" w:hAnsi="Times New Roman"/>
          <w:sz w:val="18"/>
          <w:szCs w:val="18"/>
          <w:color w:val="auto"/>
        </w:rPr>
        <w:t>The 2006 Plan was originally adopted by the Board and approved by the Company’s stockholders in 2006. The 2006 Plan was terminated in 2015 in connection with the adoption of the 2015 Plan and as a result no new awards may be issued under the 2006 Plan. However, the 2006 Plan will continue to govern the terms and conditions of the outstanding awards previously granted under the 2006 Plan.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Plan</w:t>
      </w:r>
    </w:p>
    <w:p>
      <w:pPr>
        <w:spacing w:after="0" w:line="121"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The 2015 Plan was originally adopted by the Board and approved by the Company’s stockholders in 2015. In July 2021 upon completion of the IPO, the 2015 Plan terminated immediately prior to effectiveness of the 2021 Plan with respect to the grant of future awards. However, the 2015 Plan will continue to govern the terms and conditions of the outstanding awards previously granted under the 2015 Plan.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On July 28, 2021, the 2021 Plan was adopted and approved by the Board and stockholders and became effective in connection with the Company’s IPO. The 2021 Plan provides for the grant of incentive stock options to employees and any subsidiary corporations’ employees, and for the grant of nonstatutory stock options, stock appreciation rights, restricted stock, restricted stock units (“RSUs”), and performance awards to employees, directors, and consultants and subsidiary corporations’ employees and consultants. The number of shares of the Company’s common stock originally available for issuance under the 2021 Plan was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equal to 4,569,530 shares of common stock.</w:t>
      </w:r>
    </w:p>
    <w:p>
      <w:pPr>
        <w:spacing w:after="0" w:line="122"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7"/>
          <w:szCs w:val="17"/>
          <w:color w:val="auto"/>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 shares of our common stock; (ii) 4% of the outstanding shares of our common stock on the last day of the immediately preceding fiscal year; or</w:t>
      </w:r>
    </w:p>
    <w:p>
      <w:pPr>
        <w:spacing w:after="0" w:line="1" w:lineRule="exact"/>
        <w:rPr>
          <w:sz w:val="20"/>
          <w:szCs w:val="20"/>
          <w:color w:val="auto"/>
        </w:rPr>
      </w:pPr>
    </w:p>
    <w:p>
      <w:pPr>
        <w:ind w:right="60" w:firstLine="8"/>
        <w:spacing w:after="0" w:line="253" w:lineRule="auto"/>
        <w:tabs>
          <w:tab w:leader="none" w:pos="3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lesser number of shares of our common stock as the administrator may determine. The 2021 Plan is administered by the Board. On January 1, 2024 and 2023, the number of shares available under the 2021 Plan increased by 1,445,580 and 1,130,735 shares of common stock respectively pursuant to this feature. As of December 31, 2024, the number of shares of the Company’s common stock available for future issuance and not subject to outstanding awards under the 2021 Plan was equal to 563,311 shares of common stock.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ESPP</w:t>
      </w:r>
    </w:p>
    <w:p>
      <w:pPr>
        <w:spacing w:after="0" w:line="161" w:lineRule="exact"/>
        <w:rPr>
          <w:sz w:val="20"/>
          <w:szCs w:val="20"/>
          <w:color w:val="auto"/>
        </w:rPr>
      </w:pPr>
    </w:p>
    <w:p>
      <w:pPr>
        <w:ind w:right="120" w:firstLine="374"/>
        <w:spacing w:after="0" w:line="281" w:lineRule="auto"/>
        <w:rPr>
          <w:sz w:val="20"/>
          <w:szCs w:val="20"/>
          <w:color w:val="auto"/>
        </w:rPr>
      </w:pPr>
      <w:r>
        <w:rPr>
          <w:rFonts w:ascii="Times New Roman" w:cs="Times New Roman" w:eastAsia="Times New Roman" w:hAnsi="Times New Roman"/>
          <w:sz w:val="18"/>
          <w:szCs w:val="18"/>
          <w:color w:val="auto"/>
        </w:rPr>
        <w:t>On July 28, 2021, the Board and stockholders adopted and approved the 2021 ESPP, which became effective in connection with the Company’s IPO. As of December 31, 2024, the number of shares of the Company’s common stock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issuance under the 2021 ESPP was equal to 519,595 shares of common stock. The initial purchase period began on November 1, 2021.</w:t>
      </w:r>
    </w:p>
    <w:p>
      <w:pPr>
        <w:spacing w:after="0" w:line="144"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w:t>
      </w:r>
    </w:p>
    <w:p>
      <w:pPr>
        <w:spacing w:after="0" w:line="114" w:lineRule="exact"/>
        <w:rPr>
          <w:sz w:val="20"/>
          <w:szCs w:val="20"/>
          <w:color w:val="auto"/>
        </w:rPr>
      </w:pPr>
    </w:p>
    <w:p>
      <w:pPr>
        <w:ind w:right="160" w:firstLine="374"/>
        <w:spacing w:after="0" w:line="280" w:lineRule="auto"/>
        <w:rPr>
          <w:sz w:val="20"/>
          <w:szCs w:val="20"/>
          <w:color w:val="auto"/>
        </w:rPr>
      </w:pPr>
      <w:r>
        <w:rPr>
          <w:rFonts w:ascii="Times New Roman" w:cs="Times New Roman" w:eastAsia="Times New Roman" w:hAnsi="Times New Roman"/>
          <w:sz w:val="17"/>
          <w:szCs w:val="17"/>
          <w:color w:val="auto"/>
        </w:rPr>
        <w:t>The number of common shares reserved for issuance under the 2021 ESPP plan will be increased automatically on the first day of each fiscal year beginning with our 2022 fiscal year, by a number equal to the least of: (i) 1,452,081 shares; (ii) 1% of the outstanding shares of our common stock on the last day of our immediately preceding fiscal year; or (iii) such other amount as the administrator may determine. The 2021 ESPP is administered by the Board. The Board determined that no additional shares would be reserved for issuance on January 1, 2024 and 2023, respectively, pursuant to this feature.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48"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spacing w:after="0" w:line="110"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Stock option awards are granted with an exercise price of no less than 100% of estimated fair market value on the date of grant. Time based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stock option activities related to the Plans, as of and for the year ended December 31, 2024 and 2023 is presented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Avg</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2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31, 2023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6,777,404</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1,199,652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(1,964,604 )</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(95,812 )</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Expired</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(10,342 )</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31, 2024</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5,906,298</w:t>
            </w:r>
          </w:p>
        </w:tc>
        <w:tc>
          <w:tcPr>
            <w:tcW w:w="3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16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as of December 31, 2024</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3,563,283</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-299085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2023 and 2022 the intrinsic value of options vested was $69.3 million, $121.3 million and $15.9 million, respectively, and of all options outstanding was $94.4 million, $185.0 million and $16.4 million, respectively. During the years ended December 31, 2024, 2023 and 2022 the total cash received from the exercise of stock options was $19.2 million, $8.4 million and $0.8 million, respectively. As of the years ended December 31, 2024, 2023 and 2022, the total fair value less strike price of these options was $80.1 million, $13.7 million and $1.8 million, respectively.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restricted stock unit activities for the year ended December 31, 2024 and 2023 is presented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16"/>
        </w:trPr>
        <w:tc>
          <w:tcPr>
            <w:tcW w:w="7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16"/>
        </w:trPr>
        <w:tc>
          <w:tcPr>
            <w:tcW w:w="7160" w:type="dxa"/>
            <w:vAlign w:val="bottom"/>
          </w:tcPr>
          <w:p>
            <w:pPr>
              <w:spacing w:after="0"/>
              <w:rPr>
                <w:sz w:val="18"/>
                <w:szCs w:val="18"/>
                <w:color w:val="auto"/>
              </w:rPr>
            </w:pPr>
          </w:p>
        </w:tc>
        <w:tc>
          <w:tcPr>
            <w:tcW w:w="220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7"/>
        </w:trPr>
        <w:tc>
          <w:tcPr>
            <w:tcW w:w="7160" w:type="dxa"/>
            <w:vAlign w:val="bottom"/>
          </w:tcPr>
          <w:p>
            <w:pPr>
              <w:spacing w:after="0"/>
              <w:rPr>
                <w:sz w:val="16"/>
                <w:szCs w:val="16"/>
                <w:color w:val="auto"/>
              </w:rPr>
            </w:pPr>
          </w:p>
        </w:tc>
        <w:tc>
          <w:tcPr>
            <w:tcW w:w="220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650,357</w:t>
            </w:r>
          </w:p>
        </w:tc>
        <w:tc>
          <w:tcPr>
            <w:tcW w:w="4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shd w:val="clear" w:color="auto" w:fill="CFF0FC"/>
          </w:tcPr>
          <w:p>
            <w:pPr>
              <w:spacing w:after="0"/>
              <w:rPr>
                <w:sz w:val="17"/>
                <w:szCs w:val="17"/>
                <w:color w:val="auto"/>
              </w:rPr>
            </w:pPr>
          </w:p>
        </w:tc>
      </w:tr>
      <w:tr>
        <w:trPr>
          <w:trHeight w:val="202"/>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263,481</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w:t>
            </w:r>
          </w:p>
        </w:tc>
        <w:tc>
          <w:tcPr>
            <w:tcW w:w="100" w:type="dxa"/>
            <w:vAlign w:val="bottom"/>
          </w:tcPr>
          <w:p>
            <w:pPr>
              <w:spacing w:after="0"/>
              <w:rPr>
                <w:sz w:val="17"/>
                <w:szCs w:val="17"/>
                <w:color w:val="auto"/>
              </w:rPr>
            </w:pPr>
          </w:p>
        </w:tc>
      </w:tr>
      <w:tr>
        <w:trPr>
          <w:trHeight w:val="202"/>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2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(298,094 )</w:t>
            </w:r>
          </w:p>
        </w:tc>
        <w:tc>
          <w:tcPr>
            <w:tcW w:w="3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00" w:type="dxa"/>
            <w:vAlign w:val="bottom"/>
            <w:shd w:val="clear" w:color="auto" w:fill="CFF0FC"/>
          </w:tcPr>
          <w:p>
            <w:pPr>
              <w:spacing w:after="0"/>
              <w:rPr>
                <w:sz w:val="17"/>
                <w:szCs w:val="17"/>
                <w:color w:val="auto"/>
              </w:rPr>
            </w:pPr>
          </w:p>
        </w:tc>
      </w:tr>
      <w:tr>
        <w:trPr>
          <w:trHeight w:val="202"/>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2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(30,286 )</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00" w:type="dxa"/>
            <w:vAlign w:val="bottom"/>
          </w:tcPr>
          <w:p>
            <w:pPr>
              <w:spacing w:after="0"/>
              <w:rPr>
                <w:sz w:val="17"/>
                <w:szCs w:val="17"/>
                <w:color w:val="auto"/>
              </w:rPr>
            </w:pPr>
          </w:p>
        </w:tc>
      </w:tr>
      <w:tr>
        <w:trPr>
          <w:trHeight w:val="236"/>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585,458</w:t>
            </w:r>
          </w:p>
        </w:tc>
        <w:tc>
          <w:tcPr>
            <w:tcW w:w="4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20" w:firstLine="374"/>
        <w:spacing w:after="0" w:line="281" w:lineRule="auto"/>
        <w:rPr>
          <w:sz w:val="20"/>
          <w:szCs w:val="20"/>
          <w:color w:val="auto"/>
        </w:rPr>
      </w:pPr>
      <w:r>
        <w:rPr>
          <w:rFonts w:ascii="Times New Roman" w:cs="Times New Roman" w:eastAsia="Times New Roman" w:hAnsi="Times New Roman"/>
          <w:sz w:val="18"/>
          <w:szCs w:val="18"/>
          <w:color w:val="auto"/>
        </w:rPr>
        <w:t>Stock-based compensation expense was classified in the accompanying consolidated statements of operations and comprehensive income (loss)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7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24,635</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-170815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-170815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1" w:lineRule="exact"/>
        <w:rPr>
          <w:sz w:val="20"/>
          <w:szCs w:val="20"/>
          <w:color w:val="auto"/>
        </w:rPr>
      </w:pPr>
    </w:p>
    <w:p>
      <w:pPr>
        <w:ind w:right="120" w:firstLine="419"/>
        <w:spacing w:after="0" w:line="260" w:lineRule="auto"/>
        <w:rPr>
          <w:sz w:val="20"/>
          <w:szCs w:val="20"/>
          <w:color w:val="auto"/>
        </w:rPr>
      </w:pPr>
      <w:r>
        <w:rPr>
          <w:rFonts w:ascii="Times New Roman" w:cs="Times New Roman" w:eastAsia="Times New Roman" w:hAnsi="Times New Roman"/>
          <w:sz w:val="18"/>
          <w:szCs w:val="18"/>
          <w:color w:val="auto"/>
        </w:rPr>
        <w:t>As of December 31, 2024 and 2023, there were 2,343,015 and 2,539,445 unvested options, respectively. Total unrecognized expense related to unvested stock options was approximately $45.8 million, $22.7 million and $19.1 million as of December 31, 2024, 2023, and 2022 respectively. As of December 31, 2024 unrecognized future compensation costs of approximately $45.8 million are expected to be recognized over a weighted average period of approximately 2.4 years.</w:t>
      </w:r>
    </w:p>
    <w:p>
      <w:pPr>
        <w:spacing w:after="0" w:line="114" w:lineRule="exact"/>
        <w:rPr>
          <w:sz w:val="20"/>
          <w:szCs w:val="20"/>
          <w:color w:val="auto"/>
        </w:rPr>
      </w:pPr>
    </w:p>
    <w:p>
      <w:pPr>
        <w:jc w:val="both"/>
        <w:ind w:right="20" w:firstLine="374"/>
        <w:spacing w:after="0" w:line="265" w:lineRule="auto"/>
        <w:rPr>
          <w:sz w:val="20"/>
          <w:szCs w:val="20"/>
          <w:color w:val="auto"/>
        </w:rPr>
      </w:pPr>
      <w:r>
        <w:rPr>
          <w:rFonts w:ascii="Times New Roman" w:cs="Times New Roman" w:eastAsia="Times New Roman" w:hAnsi="Times New Roman"/>
          <w:sz w:val="18"/>
          <w:szCs w:val="18"/>
          <w:color w:val="auto"/>
        </w:rPr>
        <w:t>As of December 31, 2024, 2023 and 2022 total unrecognized expense related to unvested restricted stock units was approximately $15.0 million, $8.3 million and $6.1 million, respectively. As of December 31, 2024 unrecognized future compensation costs of approximately $15.0 million are expected to be recognized over a weighted average period of approximately 2.2 years.</w:t>
      </w:r>
    </w:p>
    <w:p>
      <w:pPr>
        <w:spacing w:after="0" w:line="110" w:lineRule="exact"/>
        <w:rPr>
          <w:sz w:val="20"/>
          <w:szCs w:val="20"/>
          <w:color w:val="auto"/>
        </w:rPr>
      </w:pPr>
    </w:p>
    <w:p>
      <w:pPr>
        <w:ind w:right="40" w:firstLine="419"/>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range and weighted-average assumptions, used in the Black-Scholes option pricing model to determine the fair value of stock options: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4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142"/>
        </w:trPr>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380" w:type="dxa"/>
            <w:vAlign w:val="bottom"/>
          </w:tcPr>
          <w:p>
            <w:pPr>
              <w:spacing w:after="0"/>
              <w:rPr>
                <w:sz w:val="12"/>
                <w:szCs w:val="12"/>
                <w:color w:val="auto"/>
              </w:rPr>
            </w:pPr>
          </w:p>
        </w:tc>
        <w:tc>
          <w:tcPr>
            <w:tcW w:w="192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80" w:type="dxa"/>
            <w:vAlign w:val="bottom"/>
            <w:gridSpan w:val="2"/>
          </w:tcPr>
          <w:p>
            <w:pPr>
              <w:jc w:val="right"/>
              <w:ind w:right="1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174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center"/>
              <w:ind w:left="1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Range</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2"/>
                <w:szCs w:val="12"/>
                <w:color w:val="auto"/>
              </w:rPr>
            </w:pPr>
          </w:p>
        </w:tc>
        <w:tc>
          <w:tcPr>
            <w:tcW w:w="16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Range</w:t>
            </w: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Range</w:t>
            </w: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09"/>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shd w:val="clear" w:color="auto" w:fill="CFF0FC"/>
          </w:tcPr>
          <w:p>
            <w:pPr>
              <w:jc w:val="center"/>
              <w:ind w:left="113"/>
              <w:spacing w:after="0"/>
              <w:rPr>
                <w:sz w:val="20"/>
                <w:szCs w:val="20"/>
                <w:color w:val="auto"/>
              </w:rPr>
            </w:pPr>
            <w:r>
              <w:rPr>
                <w:rFonts w:ascii="Times New Roman" w:cs="Times New Roman" w:eastAsia="Times New Roman" w:hAnsi="Times New Roman"/>
                <w:sz w:val="18"/>
                <w:szCs w:val="18"/>
                <w:color w:val="auto"/>
              </w:rPr>
              <w:t>66.0% to 72.00%</w:t>
            </w:r>
          </w:p>
        </w:tc>
        <w:tc>
          <w:tcPr>
            <w:tcW w:w="1740" w:type="dxa"/>
            <w:vAlign w:val="bottom"/>
            <w:gridSpan w:val="3"/>
            <w:shd w:val="clear" w:color="auto" w:fill="CFF0FC"/>
          </w:tcPr>
          <w:p>
            <w:pPr>
              <w:jc w:val="center"/>
              <w:ind w:left="274"/>
              <w:spacing w:after="0"/>
              <w:rPr>
                <w:sz w:val="20"/>
                <w:szCs w:val="20"/>
                <w:color w:val="auto"/>
              </w:rPr>
            </w:pPr>
            <w:r>
              <w:rPr>
                <w:rFonts w:ascii="Times New Roman" w:cs="Times New Roman" w:eastAsia="Times New Roman" w:hAnsi="Times New Roman"/>
                <w:sz w:val="18"/>
                <w:szCs w:val="18"/>
                <w:color w:val="auto"/>
                <w:w w:val="98"/>
              </w:rPr>
              <w:t>70.3%</w:t>
            </w:r>
          </w:p>
        </w:tc>
        <w:tc>
          <w:tcPr>
            <w:tcW w:w="1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64.9% to 68.6%</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64.9%</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62.4% to 64.9%</w:t>
            </w:r>
          </w:p>
        </w:tc>
        <w:tc>
          <w:tcPr>
            <w:tcW w:w="168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8"/>
                <w:szCs w:val="18"/>
                <w:color w:val="auto"/>
                <w:w w:val="98"/>
              </w:rPr>
              <w:t>63.1%</w:t>
            </w:r>
          </w:p>
        </w:tc>
      </w:tr>
      <w:tr>
        <w:trPr>
          <w:trHeight w:val="197"/>
        </w:trPr>
        <w:tc>
          <w:tcPr>
            <w:tcW w:w="17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Risk-free interest</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w:t>
            </w:r>
          </w:p>
        </w:tc>
        <w:tc>
          <w:tcPr>
            <w:tcW w:w="14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3.5% to 4.7%</w:t>
            </w:r>
          </w:p>
        </w:tc>
        <w:tc>
          <w:tcPr>
            <w:tcW w:w="1740" w:type="dxa"/>
            <w:vAlign w:val="bottom"/>
            <w:gridSpan w:val="3"/>
          </w:tcPr>
          <w:p>
            <w:pPr>
              <w:jc w:val="center"/>
              <w:ind w:left="274"/>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0"/>
                <w:szCs w:val="20"/>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3.4% to 4.8%</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 to 3.8%</w:t>
            </w:r>
          </w:p>
        </w:tc>
        <w:tc>
          <w:tcPr>
            <w:tcW w:w="168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rPr>
              <w:t>2.7%</w:t>
            </w:r>
          </w:p>
        </w:tc>
      </w:tr>
      <w:tr>
        <w:trPr>
          <w:trHeight w:val="197"/>
        </w:trPr>
        <w:tc>
          <w:tcPr>
            <w:tcW w:w="174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8"/>
                <w:szCs w:val="18"/>
                <w:color w:val="auto"/>
              </w:rPr>
              <w:t>Expected life (in</w:t>
            </w: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34"/>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460" w:type="dxa"/>
            <w:vAlign w:val="bottom"/>
            <w:shd w:val="clear" w:color="auto" w:fill="CFF0FC"/>
          </w:tcPr>
          <w:p>
            <w:pPr>
              <w:jc w:val="center"/>
              <w:ind w:left="113"/>
              <w:spacing w:after="0"/>
              <w:rPr>
                <w:sz w:val="20"/>
                <w:szCs w:val="20"/>
                <w:color w:val="auto"/>
              </w:rPr>
            </w:pPr>
            <w:r>
              <w:rPr>
                <w:rFonts w:ascii="Times New Roman" w:cs="Times New Roman" w:eastAsia="Times New Roman" w:hAnsi="Times New Roman"/>
                <w:sz w:val="18"/>
                <w:szCs w:val="18"/>
                <w:color w:val="auto"/>
                <w:w w:val="99"/>
              </w:rPr>
              <w:t>5.5 to 6.1 years</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 years</w:t>
            </w:r>
          </w:p>
        </w:tc>
        <w:tc>
          <w:tcPr>
            <w:tcW w:w="1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5.5 to 6.1 years</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6.0 years</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 to 10.0 years</w:t>
            </w:r>
          </w:p>
        </w:tc>
        <w:tc>
          <w:tcPr>
            <w:tcW w:w="120" w:type="dxa"/>
            <w:vAlign w:val="bottom"/>
            <w:shd w:val="clear" w:color="auto" w:fill="CFF0FC"/>
          </w:tcPr>
          <w:p>
            <w:pPr>
              <w:spacing w:after="0"/>
              <w:rPr>
                <w:sz w:val="20"/>
                <w:szCs w:val="20"/>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6.1 years</w:t>
            </w:r>
          </w:p>
        </w:tc>
      </w:tr>
      <w:tr>
        <w:trPr>
          <w:trHeight w:val="197"/>
        </w:trPr>
        <w:tc>
          <w:tcPr>
            <w:tcW w:w="17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Expected dividend</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14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0.0%</w:t>
            </w:r>
          </w:p>
        </w:tc>
        <w:tc>
          <w:tcPr>
            <w:tcW w:w="1740" w:type="dxa"/>
            <w:vAlign w:val="bottom"/>
            <w:gridSpan w:val="3"/>
          </w:tcPr>
          <w:p>
            <w:pPr>
              <w:jc w:val="center"/>
              <w:ind w:left="274"/>
              <w:spacing w:after="0"/>
              <w:rPr>
                <w:sz w:val="20"/>
                <w:szCs w:val="20"/>
                <w:color w:val="auto"/>
              </w:rPr>
            </w:pPr>
            <w:r>
              <w:rPr>
                <w:rFonts w:ascii="Times New Roman" w:cs="Times New Roman" w:eastAsia="Times New Roman" w:hAnsi="Times New Roman"/>
                <w:sz w:val="18"/>
                <w:szCs w:val="18"/>
                <w:color w:val="auto"/>
              </w:rPr>
              <w:t>0.0%</w:t>
            </w:r>
          </w:p>
        </w:tc>
        <w:tc>
          <w:tcPr>
            <w:tcW w:w="1780" w:type="dxa"/>
            <w:vAlign w:val="bottom"/>
            <w:gridSpan w:val="2"/>
          </w:tcPr>
          <w:p>
            <w:pPr>
              <w:jc w:val="center"/>
              <w:ind w:left="79"/>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0.0%</w:t>
            </w:r>
          </w:p>
        </w:tc>
        <w:tc>
          <w:tcPr>
            <w:tcW w:w="168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1460" w:type="dxa"/>
            <w:vAlign w:val="bottom"/>
            <w:shd w:val="clear" w:color="auto" w:fill="CFF0FC"/>
          </w:tcPr>
          <w:p>
            <w:pPr>
              <w:jc w:val="center"/>
              <w:ind w:left="113"/>
              <w:spacing w:after="0"/>
              <w:rPr>
                <w:sz w:val="20"/>
                <w:szCs w:val="20"/>
                <w:color w:val="auto"/>
              </w:rPr>
            </w:pPr>
            <w:r>
              <w:rPr>
                <w:rFonts w:ascii="Times New Roman" w:cs="Times New Roman" w:eastAsia="Times New Roman" w:hAnsi="Times New Roman"/>
                <w:sz w:val="18"/>
                <w:szCs w:val="18"/>
                <w:color w:val="auto"/>
                <w:w w:val="99"/>
              </w:rPr>
              <w:t>$36.89 to $60.65</w:t>
            </w:r>
          </w:p>
        </w:tc>
        <w:tc>
          <w:tcPr>
            <w:tcW w:w="1740" w:type="dxa"/>
            <w:vAlign w:val="bottom"/>
            <w:gridSpan w:val="3"/>
            <w:shd w:val="clear" w:color="auto" w:fill="CFF0FC"/>
          </w:tcPr>
          <w:p>
            <w:pPr>
              <w:jc w:val="center"/>
              <w:ind w:left="274"/>
              <w:spacing w:after="0"/>
              <w:rPr>
                <w:sz w:val="20"/>
                <w:szCs w:val="20"/>
                <w:color w:val="auto"/>
              </w:rPr>
            </w:pPr>
            <w:r>
              <w:rPr>
                <w:rFonts w:ascii="Times New Roman" w:cs="Times New Roman" w:eastAsia="Times New Roman" w:hAnsi="Times New Roman"/>
                <w:sz w:val="18"/>
                <w:szCs w:val="18"/>
                <w:color w:val="auto"/>
              </w:rPr>
              <w:t>$53.12</w:t>
            </w:r>
          </w:p>
        </w:tc>
        <w:tc>
          <w:tcPr>
            <w:tcW w:w="1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$12.91 to $39.71</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$10.74 to $15.52</w:t>
            </w:r>
          </w:p>
        </w:tc>
        <w:tc>
          <w:tcPr>
            <w:tcW w:w="168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8"/>
                <w:szCs w:val="18"/>
                <w:color w:val="auto"/>
              </w:rPr>
              <w:t>$12.73</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Shelf Registration Statement</w:t>
      </w:r>
    </w:p>
    <w:p>
      <w:pPr>
        <w:spacing w:after="0" w:line="159" w:lineRule="exact"/>
        <w:rPr>
          <w:sz w:val="20"/>
          <w:szCs w:val="20"/>
          <w:color w:val="auto"/>
        </w:rPr>
      </w:pPr>
    </w:p>
    <w:p>
      <w:pPr>
        <w:ind w:right="160" w:firstLine="374"/>
        <w:spacing w:after="0" w:line="265" w:lineRule="auto"/>
        <w:rPr>
          <w:sz w:val="20"/>
          <w:szCs w:val="20"/>
          <w:color w:val="auto"/>
        </w:rPr>
      </w:pPr>
      <w:r>
        <w:rPr>
          <w:rFonts w:ascii="Times New Roman" w:cs="Times New Roman" w:eastAsia="Times New Roman" w:hAnsi="Times New Roman"/>
          <w:sz w:val="18"/>
          <w:szCs w:val="18"/>
          <w:color w:val="auto"/>
        </w:rPr>
        <w:t>On May 8, 2024, the Company filed the 2024 Shelf Registration Statement. The 2024 Shelf Registration Statement is effective for three years and permits the Company to sell, from time to time an unspecified number of shares of common stock, preferred stock, debt securities, warrants, and/or units. The shelf registration statement is intended to provide the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2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Company with flexibility to access additional capital. At the time of filing the shelf registration statement, the Company also filed a prospectus supplement to sell up to an aggregate value of $115.0 million dollars of common stock through a public offering.</w:t>
      </w:r>
    </w:p>
    <w:p>
      <w:pPr>
        <w:spacing w:after="0" w:line="82"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On May 8, 2024, the Company entered into an underwriting agreement with BofA Securities, Inc., in which the Company agreed to issue and sell 1,785,714 shares of the Company's common stock in a public offering, pursuant to the 2024 Shelf Registration Statement. The shares of common stock were sold at a price to the public of $56.00 per share. Under the terms of the underwriting agreement, the Company also granted the underwriters an option exercisable for 30 days from the date of the underwriting agreement to purchase up to an additional 267,857 shares of common stock on the same terms and conditions. The underwriters' option was exercised in full on May 10, 2024 and the public offering (inclusive of the underwriters' option shares) closed on May 13, 2024. The Company received net proceeds of $107.5 million from the public offering, after deducting underwriters' discounts and commissions of $6.9 million and other offering expenses of $0.6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share of common stock is entitled to one vote. Common stock reserved for future issuance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 under the Equity Plans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5,906,298</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6,777,404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the 2021 Plan</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563,311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under the 2021 Plan</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585,458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2021 ESPP</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519,595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7,574,662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8,364,218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components of loss before income taxes are as follows (in thousands):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loss before taxes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(27,406 )</w:t>
            </w:r>
          </w:p>
        </w:tc>
        <w:tc>
          <w:tcPr>
            <w:tcW w:w="4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(48,590 )</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(66,750 )</w:t>
            </w: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income before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(27,405 )</w:t>
            </w:r>
          </w:p>
        </w:tc>
        <w:tc>
          <w:tcPr>
            <w:tcW w:w="4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(48,588 )</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(66,747 )</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520" w:type="dxa"/>
            <w:vAlign w:val="bottom"/>
            <w:gridSpan w:val="9"/>
          </w:tcPr>
          <w:p>
            <w:pPr>
              <w:ind w:left="380"/>
              <w:spacing w:after="0"/>
              <w:rPr>
                <w:sz w:val="20"/>
                <w:szCs w:val="20"/>
                <w:color w:val="auto"/>
              </w:rPr>
            </w:pPr>
            <w:r>
              <w:rPr>
                <w:rFonts w:ascii="Times New Roman" w:cs="Times New Roman" w:eastAsia="Times New Roman" w:hAnsi="Times New Roman"/>
                <w:sz w:val="18"/>
                <w:szCs w:val="18"/>
                <w:color w:val="auto"/>
              </w:rPr>
              <w:t>Income tax expense for the years ended December 31, 2024, 2023 and 2022 consists of the following (in thousands):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(14,588 )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(9,527 )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(11,366 )</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(4,513 )</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(3,266 )</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(3,542 )</w:t>
            </w:r>
          </w:p>
        </w:tc>
        <w:tc>
          <w:tcPr>
            <w:tcW w:w="0" w:type="dxa"/>
            <w:vAlign w:val="bottom"/>
          </w:tcPr>
          <w:p>
            <w:pPr>
              <w:spacing w:after="0"/>
              <w:rPr>
                <w:sz w:val="1"/>
                <w:szCs w:val="1"/>
                <w:color w:val="auto"/>
              </w:rPr>
            </w:pPr>
          </w:p>
        </w:tc>
      </w:tr>
      <w:tr>
        <w:trPr>
          <w:trHeight w:val="216"/>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(19,101 )</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(12,793 )</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(14,908 )</w:t>
            </w: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19,101</w:t>
            </w: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41"/>
        </w:trPr>
        <w:tc>
          <w:tcPr>
            <w:tcW w:w="58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-4768850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-4751705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-4768850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-4751705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-3244215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-3227705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-3244215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-3227705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-3244215</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-3227705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-2080260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-2080260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-2080260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-1232535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-1232535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-1232535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-941070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-923925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-941070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-923925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-941070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-923925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significant components that comprised the Company’s net deferred taxes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82,860</w:t>
            </w:r>
          </w:p>
        </w:tc>
        <w:tc>
          <w:tcPr>
            <w:tcW w:w="12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R&amp;D expenditures capitalization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liability</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125,156</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103,888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(122,299 )</w:t>
            </w:r>
          </w:p>
        </w:tc>
        <w:tc>
          <w:tcPr>
            <w:tcW w:w="6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(103,242 )</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(90,471 )</w:t>
            </w: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(2,857 )</w:t>
            </w:r>
          </w:p>
        </w:tc>
        <w:tc>
          <w:tcPr>
            <w:tcW w:w="6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(646 )</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(1,163 )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(2,857 )</w:t>
            </w:r>
          </w:p>
        </w:tc>
        <w:tc>
          <w:tcPr>
            <w:tcW w:w="6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(646 )</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(1,163 )</w:t>
            </w: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-1026795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-1026795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-1026795</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-735965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-735965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-735965</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-170815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-170815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-170815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ind w:right="320" w:firstLine="374"/>
        <w:spacing w:after="0" w:line="281" w:lineRule="auto"/>
        <w:rPr>
          <w:sz w:val="20"/>
          <w:szCs w:val="20"/>
          <w:color w:val="auto"/>
        </w:rPr>
      </w:pPr>
      <w:r>
        <w:rPr>
          <w:rFonts w:ascii="Times New Roman" w:cs="Times New Roman" w:eastAsia="Times New Roman" w:hAnsi="Times New Roman"/>
          <w:sz w:val="18"/>
          <w:szCs w:val="18"/>
          <w:color w:val="auto"/>
        </w:rPr>
        <w:t>A reconciliation of the provision for income taxes with the expected income tax computed by applying the federal statutory income tax rate to loss before provision for income taxes was calculated as follows (amounts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46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3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3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 provision at the federal statutory</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91"/>
        </w:trPr>
        <w:tc>
          <w:tcPr>
            <w:tcW w:w="3800" w:type="dxa"/>
            <w:vAlign w:val="bottom"/>
            <w:vMerge w:val="continue"/>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(5,755 )</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(10,203 )</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(14,017 )</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9.4 %</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(2,579 )</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4.1 %</w:t>
            </w:r>
          </w:p>
        </w:tc>
        <w:tc>
          <w:tcPr>
            <w:tcW w:w="4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(1,992 )</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3.5 %</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(2,358 )</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13.2 %</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(3,627 )</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3.7 %</w:t>
            </w: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(1,805 )</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(1,269 )</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40.2 %</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(11,016 )</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on officer compensation</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(11.6 )%</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non-deductible permanent items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 tax attributes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(464 )</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0.5 %</w:t>
            </w:r>
          </w:p>
        </w:tc>
        <w:tc>
          <w:tcPr>
            <w:tcW w:w="4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(239 )</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(69.7 )%</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(26.3 )%</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1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3027680</wp:posOffset>
            </wp:positionH>
            <wp:positionV relativeFrom="paragraph">
              <wp:posOffset>-24765</wp:posOffset>
            </wp:positionV>
            <wp:extent cx="1543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-7620</wp:posOffset>
            </wp:positionV>
            <wp:extent cx="1543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15430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1543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-24765</wp:posOffset>
            </wp:positionV>
            <wp:extent cx="1543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-7620</wp:posOffset>
            </wp:positionV>
            <wp:extent cx="15430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tax effects of items that give rise to significant portions of deferred tax assets are primarily net operating loss carryforwards. The Company evaluates the recoverability of deferred tax assets and assesses all available positive and negative evidence to estimate if sufficient future taxable income will be generated to use the existing deferred tax assets. Based on the weight of all the evidence, including a history of operating losses and the Company’s ability to generate future taxable income to realize these assets, a full valuation allowance has been recorded to offset the net deferred tax asset as realization of such asset is uncertain. The Company’s valuation allowance increased by $19.1 million and $12.8 million in 2024 and 2023, respectively.</w:t>
      </w:r>
    </w:p>
    <w:p>
      <w:pPr>
        <w:spacing w:after="0" w:line="115" w:lineRule="exact"/>
        <w:rPr>
          <w:sz w:val="20"/>
          <w:szCs w:val="20"/>
          <w:color w:val="auto"/>
        </w:rPr>
      </w:pPr>
    </w:p>
    <w:p>
      <w:pPr>
        <w:ind w:right="160" w:firstLine="374"/>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carryforwards of $345.2 million and state net operating loss carryforwards of $183.2 million which will not expire and will be able to offset 80% of taxable income in future years. Of the $345.2 million in federal NOLs, $245.0 million will not expire and will be able to offset 80% of taxable income in future years. Of the $183.2 million in state NOLs, $35.2 million will not expire and will be able to offset 80% of taxable income in future years. The remaining federal NOL carryforwards will expire between 2025 and 2037, and the remaining state NOL carryforwards will expire between 2025 and 2044. In addition, the Company also had federal credit carry forwards of $12.8 million and state credit carry forwards of $11.4 million as of December 31, 2024, which may be available to offset future tax liabilities. The federal credits will expire between 2037 and 2044, and the state credits do not expire.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84"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Utilization of the net operating loss carryforwards may be subject to substantial annual limitation due to ownership change limitations that may have occurred or that could occur in the future, as required by Section 382 of the Internal Revenue Code of 1986, as amended (the “Code”), as well as similar state provisions. These ownership changes may limit the amount of net operating loss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spacing w:after="0" w:line="118"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Pursuant to Internal Revenue Code (“IRC”) Sections 382 and 383, annual use of the Company’s net operating loss and R&amp;D credit carryforwards may be limited in the event a cumulative change in ownership of more than 50% occurs within a three-year period. The Company has not completed an IRC Sections 382 and 383 analysis regarding the limitation of net operating loss and R&amp;D credit carryforwards as of December 31, 2024. The Company has not completed a formal R&amp;D study but has estimated the federal and California credit for purposes of the tax footnote as of December 31, 2024. However, the Company has not reflected a benefit in the consolidated financial statements due to the recorded valuation allowance.</w:t>
      </w:r>
    </w:p>
    <w:p>
      <w:pPr>
        <w:spacing w:after="0" w:line="101"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The following reconciliation of the beginning and ending amount of gross unrecognized tax benefits, excluding interest and penalties, is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58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r>
      <w:tr>
        <w:trPr>
          <w:trHeight w:val="20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of unrecognized tax benefits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7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8"/>
                <w:szCs w:val="18"/>
                <w:color w:val="auto"/>
              </w:rPr>
            </w:pPr>
          </w:p>
        </w:tc>
      </w:tr>
      <w:tr>
        <w:trPr>
          <w:trHeight w:val="216"/>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9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-170815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-170815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7060565</wp:posOffset>
            </wp:positionH>
            <wp:positionV relativeFrom="paragraph">
              <wp:posOffset>-170815</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right="380" w:firstLine="374"/>
        <w:spacing w:after="0" w:line="258" w:lineRule="auto"/>
        <w:rPr>
          <w:sz w:val="20"/>
          <w:szCs w:val="20"/>
          <w:color w:val="auto"/>
        </w:rPr>
      </w:pPr>
      <w:r>
        <w:rPr>
          <w:rFonts w:ascii="Times New Roman" w:cs="Times New Roman" w:eastAsia="Times New Roman" w:hAnsi="Times New Roman"/>
          <w:sz w:val="18"/>
          <w:szCs w:val="18"/>
          <w:color w:val="auto"/>
        </w:rPr>
        <w:t>None of the unrecognized tax benefits, if recognized, would impact the annual effective rate, due to the valuation allowance. The Company’s unrecognized tax benefits are recorded as a reduction in deferred tax assets. The Company does not expect any significant increases or decreases to the Company’s unrecognized tax benefits within the next 12 months. Due to the existence of the valuation allowance, future changes in the Company's unrecognized tax benefits will not impact the Company's effective tax rate. The Company has not incurred any material interest or penalties as of the current reporting date with respect to income tax matters.</w:t>
      </w:r>
    </w:p>
    <w:p>
      <w:pPr>
        <w:spacing w:after="0" w:line="115" w:lineRule="exact"/>
        <w:rPr>
          <w:sz w:val="20"/>
          <w:szCs w:val="20"/>
          <w:color w:val="auto"/>
        </w:rPr>
      </w:pPr>
    </w:p>
    <w:p>
      <w:pPr>
        <w:ind w:right="140" w:firstLine="374"/>
        <w:spacing w:after="0" w:line="276" w:lineRule="auto"/>
        <w:rPr>
          <w:sz w:val="20"/>
          <w:szCs w:val="20"/>
          <w:color w:val="auto"/>
        </w:rPr>
      </w:pPr>
      <w:r>
        <w:rPr>
          <w:rFonts w:ascii="Times New Roman" w:cs="Times New Roman" w:eastAsia="Times New Roman" w:hAnsi="Times New Roman"/>
          <w:sz w:val="17"/>
          <w:szCs w:val="17"/>
          <w:color w:val="auto"/>
        </w:rPr>
        <w:t>The Company is subject to U.S. federal and various states' income taxes. The federal returns for tax years 2021 through 2024 remain open to examination and the state returns remain subject to examination for tax years 2020 through 2024. Carryforward attributes that were generated in years where the statute of limitations is closed may still be adjusted upon examination by the Internal Revenue Service or other respective tax authorities. All other state jurisdictions remain open to examination. There are no cumulative earnings in our foreign subsidiaries as of December 31, 2024 and 2023 that would be subject to U.S. income tax or foreign withholding tax. The Company plans to indefinitely reinvest any future earnings of its foreign subsidiaries.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21" w:lineRule="exact"/>
        <w:rPr>
          <w:sz w:val="20"/>
          <w:szCs w:val="20"/>
          <w:color w:val="auto"/>
        </w:rPr>
      </w:pPr>
    </w:p>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The Company has operating and finance leases for facilities and certain equipment. Leases with an initial term of 12 months or less are not recorded on the consolidated balance sheets. Lease expense for operating leases is recognized on a straight-line basis over the lease term. The Company does not combine lease and non-lease components in the recognition of lease expense.</w:t>
      </w:r>
    </w:p>
    <w:p>
      <w:pPr>
        <w:spacing w:after="0" w:line="96" w:lineRule="exact"/>
        <w:rPr>
          <w:sz w:val="20"/>
          <w:szCs w:val="20"/>
          <w:color w:val="auto"/>
        </w:rPr>
      </w:pPr>
    </w:p>
    <w:p>
      <w:pPr>
        <w:ind w:right="140" w:firstLine="374"/>
        <w:spacing w:after="0" w:line="260" w:lineRule="auto"/>
        <w:rPr>
          <w:sz w:val="20"/>
          <w:szCs w:val="20"/>
          <w:color w:val="auto"/>
        </w:rPr>
      </w:pPr>
      <w:r>
        <w:rPr>
          <w:rFonts w:ascii="Times New Roman" w:cs="Times New Roman" w:eastAsia="Times New Roman" w:hAnsi="Times New Roman"/>
          <w:sz w:val="18"/>
          <w:szCs w:val="18"/>
          <w:color w:val="auto"/>
        </w:rPr>
        <w:t>The Company’s leases have remaining non-cancelable lease terms of up to 7 years, some of which include options to extend the leases for up to 10 years. The exercise of lease renewal options is at the Company’s sole discretion. The Company recognizes rent expense for minimum lease payments on a straight-line basis over the expected lease term, including rent holidays, rent escalation clause and/or cancelable option periods where failure to exercise such options would result in an economic penalty.</w:t>
      </w:r>
    </w:p>
    <w:p>
      <w:pPr>
        <w:spacing w:after="0" w:line="114" w:lineRule="exact"/>
        <w:rPr>
          <w:sz w:val="20"/>
          <w:szCs w:val="20"/>
          <w:color w:val="auto"/>
        </w:rPr>
      </w:pPr>
    </w:p>
    <w:p>
      <w:pPr>
        <w:jc w:val="both"/>
        <w:ind w:right="80" w:firstLine="374"/>
        <w:spacing w:after="0" w:line="265" w:lineRule="auto"/>
        <w:rPr>
          <w:sz w:val="20"/>
          <w:szCs w:val="20"/>
          <w:color w:val="auto"/>
        </w:rPr>
      </w:pPr>
      <w:r>
        <w:rPr>
          <w:rFonts w:ascii="Times New Roman" w:cs="Times New Roman" w:eastAsia="Times New Roman" w:hAnsi="Times New Roman"/>
          <w:sz w:val="18"/>
          <w:szCs w:val="18"/>
          <w:color w:val="auto"/>
        </w:rPr>
        <w:t>As of December 31, 2024, the Company held four leases for office, manufacturing and warehouse facilities in Aliso Viejo, California. The four leases are for approximately 150,000 square feet in the aggregate and expire January 31, 2031. For two of the facilities operating leases, the lessors provided $1.1 million in tenant allowances.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84"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On April 4, 2022, the Company entered into a thirty-four-month sublease agreement for a portion of the 5 Columbia Building, in Aliso Viejo, CA. The sublease commencement date was June 13, 2022 and will expire on March 31, 2025. The base rent receivable is $11,410 per month. On January 4, 2023, the Company amended the base rent of sublease agreement to $5,319 per month beginning on March 1, 2023. On August 1, 2024 the sublease was cancelled.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lease and lease amendments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100 Columbia lease to include 120 Columbia Suites 300, 400 and 500</w:t>
      </w:r>
    </w:p>
    <w:p>
      <w:pPr>
        <w:spacing w:after="0" w:line="11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On November 6, 2024, the Company entered into a Seventh Amendment (Extension to the Lease) to that certain Commercial Lease Agreement, dated August 31, 2015, as amended June 3, 2024, as amended April 18, 2024, as amended November 23, 2015, December 22, 2015, January 18, 2016, and November 12, 2016, with Accuride International Inc., to expand the 100 Columbia lease to include the property located at 120 Columbia Suites 300, 400 and 500 for a total of approximately 13,183 additional leasable square feet in Aliso Viejo, California (the “November 2024 120 Columbia Amendment”). Pursuant to the November 2024 120 Columbia Amendment, the term of the lease is 74 months, beginning on December 1, 2024 and ending on January 31, 2031. The parties agreed to the base rent rate payable over the 74 month term as set forth in the November 2024 120 Columbia Amendment. The base rent is initially $22,016 per month and includes fixed rent escalations beginning on December 1, 2025. The Company has two options to extend the term of the lease at the end of the current term, with each option to extend being for a 5 year term. The lessor provided $150,000 in tenant allowances.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100 Columbia</w:t>
      </w:r>
    </w:p>
    <w:p>
      <w:pPr>
        <w:spacing w:after="0" w:line="11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On April 18, 2024, the Company entered into a Fifth Amendment to that certain Commercial Lease Agreement, dated August 31, 2015, as amended November 23, 2015, December 22, 2015, January 18, 2016, and November 12, 2016, with Accuride International Inc., for an approximately 42,106 square foot industrial facility located at 100 Columbia in Aliso Viejo, California (the “April 2024 100 Columbia Amendment”). Pursuant to the April 2024 100 Columbia Amendment, the term of the lease was extended 76 months, beginning on October 1, 2024 and ending on January 31, 2031. The parties agreed to the base rent rate payable over the 76 month term as set forth in the April 2024 100 Columbia Amendment. The base rent is initially $64,843 per month and includes fixed rent escalations beginning on October 1, 2025. The Company has two options to extend the term of the lease at the end of the current term, with each option to extend being for a 5 year term. The lessor provided $50,000 in tenant allowances.</w:t>
      </w:r>
    </w:p>
    <w:p>
      <w:pPr>
        <w:spacing w:after="0" w:line="79"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On June 3, 2024, the Company entered into a Sixth Amendment to that certain Commercial Lease Agreement, dated August 31, 2015, as amended April 18, 2024 as amended November 23, 2015, December 22, 2015, January 18, 2016, and November 12, 2016, with Accuride International Inc., for the property located at 100 Columbia in Aliso Viejo, California (the “June 2024 100 Columbia Amendment”). The June 2024 100 Columbia Amendment updated certain notification requirements.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125 Columbia</w:t>
      </w:r>
    </w:p>
    <w:p>
      <w:pPr>
        <w:spacing w:after="0" w:line="11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On April 18, 2024, the Company entered into a Standard Industrial/Commercial Single-Tenant Lease – Net (the “125 Columbia Lease”) with BML Management, LLC, for an approximately 26,825 square foot industrial and research and development facility in Aliso Viejo, California. The 125 Columbia Lease commences on June 1, 2024 and will end on January 31, 2031. The Company has two options to extend the term of the 125 Columbia Lease, with each option to extend being for a term of 60 months, commencing when the prior term expires. The base rent is initially $41,579 per month, payable on the first day of each month commencing on June 1, 2024, subject to adjustment as set forth in the 125 Columbia Lease.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Columbia</w:t>
      </w:r>
    </w:p>
    <w:p>
      <w:pPr>
        <w:spacing w:after="0" w:line="119"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On April 18, 2024 and June 3, 2024, the Company entered into Lease Amendment #2 and Lease Amendment #3, respectively to that certain Lease Agreement dated January 10, 2018, as amended on April 5, 2022, with Clifford D. Downs, for an approximately 19,680 square foot industrial facility located at 5 Columbia in Aliso Viejo, California (collectively the “5 Columbia Amendments”). Pursuant to the 5 Columbia Amendments, the term of the lease was extended 70 months, beginning on April 1, 2025 and ending on January 31, 2031. The parties agreed to the base rent rate payable over the 70 month term as set forth in the 5 Columbia Amendments. The base rent is initially $30,701 per month and includes fixed rent escalations beginning on April 1, 2027. The Company has two options to extend the term of the lease, with each option to extend being for a term of 60 months, commencing when the prior term expires.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lease balances within the consolidated balance sheets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18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shd w:val="clear" w:color="auto" w:fill="CFF0FC"/>
          </w:tcPr>
          <w:p>
            <w:pPr>
              <w:spacing w:after="0"/>
              <w:rPr>
                <w:sz w:val="18"/>
                <w:szCs w:val="18"/>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2480" w:type="dxa"/>
            <w:vAlign w:val="bottom"/>
            <w:gridSpan w:val="2"/>
            <w:shd w:val="clear" w:color="auto" w:fill="CFF0FC"/>
          </w:tcPr>
          <w:p>
            <w:pPr>
              <w:jc w:val="right"/>
              <w:ind w:right="1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shd w:val="clear" w:color="auto" w:fill="CFF0FC"/>
          </w:tcPr>
          <w:p>
            <w:pPr>
              <w:spacing w:after="0"/>
              <w:rPr>
                <w:sz w:val="18"/>
                <w:szCs w:val="18"/>
                <w:color w:val="auto"/>
              </w:rPr>
            </w:pPr>
          </w:p>
        </w:tc>
      </w:tr>
      <w:tr>
        <w:trPr>
          <w:trHeight w:val="21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1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r>
      <w:tr>
        <w:trPr>
          <w:trHeight w:val="249"/>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180" w:type="dxa"/>
            <w:vAlign w:val="bottom"/>
            <w:tcBorders>
              <w:bottom w:val="single" w:sz="8" w:color="CFF0FC"/>
            </w:tcBorders>
            <w:shd w:val="clear" w:color="auto" w:fill="CFF0FC"/>
          </w:tcPr>
          <w:p>
            <w:pPr>
              <w:spacing w:after="0"/>
              <w:rPr>
                <w:sz w:val="21"/>
                <w:szCs w:val="21"/>
                <w:color w:val="auto"/>
              </w:rPr>
            </w:pPr>
          </w:p>
        </w:tc>
        <w:tc>
          <w:tcPr>
            <w:tcW w:w="34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1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FF0FC"/>
          </w:tcPr>
          <w:p>
            <w:pPr>
              <w:spacing w:after="0"/>
              <w:rPr>
                <w:sz w:val="18"/>
                <w:szCs w:val="18"/>
                <w:color w:val="auto"/>
              </w:rPr>
            </w:pPr>
          </w:p>
        </w:tc>
        <w:tc>
          <w:tcPr>
            <w:tcW w:w="3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8"/>
                <w:szCs w:val="18"/>
                <w:color w:val="auto"/>
              </w:rPr>
            </w:pPr>
          </w:p>
        </w:tc>
      </w:tr>
      <w:tr>
        <w:trPr>
          <w:trHeight w:val="216"/>
        </w:trPr>
        <w:tc>
          <w:tcPr>
            <w:tcW w:w="1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180" w:type="dxa"/>
            <w:vAlign w:val="bottom"/>
            <w:shd w:val="clear" w:color="auto" w:fill="CFF0FC"/>
          </w:tcPr>
          <w:p>
            <w:pPr>
              <w:spacing w:after="0"/>
              <w:rPr>
                <w:sz w:val="18"/>
                <w:szCs w:val="18"/>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r>
      <w:tr>
        <w:trPr>
          <w:trHeight w:val="21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80" w:type="dxa"/>
            <w:vAlign w:val="bottom"/>
            <w:shd w:val="clear" w:color="auto" w:fill="CFF0FC"/>
          </w:tcPr>
          <w:p>
            <w:pPr>
              <w:spacing w:after="0"/>
              <w:rPr>
                <w:sz w:val="18"/>
                <w:szCs w:val="18"/>
                <w:color w:val="auto"/>
              </w:rPr>
            </w:pPr>
          </w:p>
        </w:tc>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FF0FC"/>
          </w:tcPr>
          <w:p>
            <w:pPr>
              <w:spacing w:after="0"/>
              <w:rPr>
                <w:sz w:val="18"/>
                <w:szCs w:val="18"/>
                <w:color w:val="auto"/>
              </w:rPr>
            </w:pPr>
          </w:p>
        </w:tc>
      </w:tr>
      <w:tr>
        <w:trPr>
          <w:trHeight w:val="216"/>
        </w:trPr>
        <w:tc>
          <w:tcPr>
            <w:tcW w:w="1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1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4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r>
      <w:tr>
        <w:trPr>
          <w:trHeight w:val="249"/>
        </w:trPr>
        <w:tc>
          <w:tcPr>
            <w:tcW w:w="1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34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auto"/>
            </w:tcBorders>
            <w:shd w:val="clear" w:color="auto" w:fill="CFF0FC"/>
          </w:tcPr>
          <w:p>
            <w:pPr>
              <w:jc w:val="right"/>
              <w:ind w:right="19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-1155065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-1137920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60" w:firstLine="374"/>
        <w:spacing w:after="0" w:line="281" w:lineRule="auto"/>
        <w:rPr>
          <w:sz w:val="20"/>
          <w:szCs w:val="20"/>
          <w:color w:val="auto"/>
        </w:rPr>
      </w:pPr>
      <w:r>
        <w:rPr>
          <w:rFonts w:ascii="Times New Roman" w:cs="Times New Roman" w:eastAsia="Times New Roman" w:hAnsi="Times New Roman"/>
          <w:sz w:val="18"/>
          <w:szCs w:val="18"/>
          <w:color w:val="auto"/>
        </w:rPr>
        <w:t>As the implicit rates in the Company’s leases were not readily available, the incremental borrowing rate was determined based upon information available at the lease commencement date in determining the present value of future lease payments.</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years ended December 31, 2024, 2023 and 2022 the components of operating and finance lease expenses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9"/>
          </w:tcPr>
          <w:p>
            <w:pPr>
              <w:ind w:left="76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00" w:type="dxa"/>
            <w:vAlign w:val="bottom"/>
          </w:tcPr>
          <w:p>
            <w:pPr>
              <w:spacing w:after="0"/>
              <w:rPr>
                <w:sz w:val="20"/>
                <w:szCs w:val="20"/>
                <w:color w:val="auto"/>
              </w:rPr>
            </w:pPr>
          </w:p>
        </w:tc>
        <w:tc>
          <w:tcPr>
            <w:tcW w:w="2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FF0FC"/>
          </w:tcPr>
          <w:p>
            <w:pPr>
              <w:spacing w:after="0"/>
              <w:rPr>
                <w:sz w:val="18"/>
                <w:szCs w:val="18"/>
                <w:color w:val="auto"/>
              </w:rPr>
            </w:pPr>
          </w:p>
        </w:tc>
        <w:tc>
          <w:tcPr>
            <w:tcW w:w="2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Selling, general and administrative</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1,688</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Selling, general and administrative</w:t>
            </w: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tcPr>
          <w:p>
            <w:pPr>
              <w:spacing w:after="0"/>
              <w:rPr>
                <w:sz w:val="20"/>
                <w:szCs w:val="20"/>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1"/>
        </w:trPr>
        <w:tc>
          <w:tcPr>
            <w:tcW w:w="9660" w:type="dxa"/>
            <w:vAlign w:val="bottom"/>
            <w:gridSpan w:val="15"/>
          </w:tcPr>
          <w:p>
            <w:pPr>
              <w:ind w:left="380"/>
              <w:spacing w:after="0"/>
              <w:rPr>
                <w:sz w:val="20"/>
                <w:szCs w:val="20"/>
                <w:color w:val="auto"/>
              </w:rPr>
            </w:pPr>
            <w:r>
              <w:rPr>
                <w:rFonts w:ascii="Times New Roman" w:cs="Times New Roman" w:eastAsia="Times New Roman" w:hAnsi="Times New Roman"/>
                <w:sz w:val="18"/>
                <w:szCs w:val="18"/>
                <w:color w:val="auto"/>
              </w:rPr>
              <w:t>Maturities of the Company’s operating and finance lease liabilities as of December 31, 2024, were as follows (in thousands):</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r>
      <w:tr>
        <w:trPr>
          <w:trHeight w:val="216"/>
        </w:trPr>
        <w:tc>
          <w:tcPr>
            <w:tcW w:w="2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3,066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r>
      <w:tr>
        <w:trPr>
          <w:trHeight w:val="216"/>
        </w:trPr>
        <w:tc>
          <w:tcPr>
            <w:tcW w:w="2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3,258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18,682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(6,521 )</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r>
      <w:tr>
        <w:trPr>
          <w:trHeight w:val="249"/>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12,161</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843"/>
        </w:trPr>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2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-1069975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-1052830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84" w:lineRule="exact"/>
        <w:rPr>
          <w:sz w:val="20"/>
          <w:szCs w:val="20"/>
          <w:color w:val="auto"/>
        </w:rPr>
      </w:pPr>
    </w:p>
    <w:p>
      <w:pPr>
        <w:ind w:right="120" w:firstLine="374"/>
        <w:spacing w:after="0" w:line="281" w:lineRule="auto"/>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used to determine lease liabilities related to the Company’s operating and finance leases as of December 31, 2024, 2023 and 2022 were: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60" w:type="dxa"/>
            <w:vAlign w:val="bottom"/>
            <w:gridSpan w:val="5"/>
          </w:tcPr>
          <w:p>
            <w:pPr>
              <w:ind w:left="180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26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r>
      <w:tr>
        <w:trPr>
          <w:trHeight w:val="209"/>
        </w:trPr>
        <w:tc>
          <w:tcPr>
            <w:tcW w:w="39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700" w:type="dxa"/>
            <w:vAlign w:val="bottom"/>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6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w w:val="95"/>
              </w:rPr>
              <w:t>6.08</w:t>
            </w:r>
          </w:p>
        </w:tc>
        <w:tc>
          <w:tcPr>
            <w:tcW w:w="380" w:type="dxa"/>
            <w:vAlign w:val="bottom"/>
          </w:tcPr>
          <w:p>
            <w:pPr>
              <w:spacing w:after="0"/>
              <w:rPr>
                <w:sz w:val="18"/>
                <w:szCs w:val="18"/>
                <w:color w:val="auto"/>
              </w:rPr>
            </w:pP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1.69</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8"/>
                <w:szCs w:val="18"/>
                <w:color w:val="auto"/>
              </w:rPr>
            </w:pPr>
          </w:p>
        </w:tc>
      </w:tr>
      <w:tr>
        <w:trPr>
          <w:trHeight w:val="216"/>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2660" w:type="dxa"/>
            <w:vAlign w:val="bottom"/>
            <w:gridSpan w:val="2"/>
            <w:shd w:val="clear" w:color="auto" w:fill="CFF0FC"/>
          </w:tcPr>
          <w:p>
            <w:pPr>
              <w:ind w:left="2340"/>
              <w:spacing w:after="0"/>
              <w:rPr>
                <w:sz w:val="20"/>
                <w:szCs w:val="20"/>
                <w:color w:val="auto"/>
              </w:rPr>
            </w:pPr>
            <w:r>
              <w:rPr>
                <w:rFonts w:ascii="Times New Roman" w:cs="Times New Roman" w:eastAsia="Times New Roman" w:hAnsi="Times New Roman"/>
                <w:sz w:val="18"/>
                <w:szCs w:val="18"/>
                <w:color w:val="auto"/>
                <w:w w:val="95"/>
              </w:rPr>
              <w:t>3.85</w:t>
            </w:r>
          </w:p>
        </w:tc>
        <w:tc>
          <w:tcPr>
            <w:tcW w:w="380" w:type="dxa"/>
            <w:vAlign w:val="bottom"/>
            <w:shd w:val="clear" w:color="auto" w:fill="CFF0FC"/>
          </w:tcPr>
          <w:p>
            <w:pPr>
              <w:spacing w:after="0"/>
              <w:rPr>
                <w:sz w:val="18"/>
                <w:szCs w:val="18"/>
                <w:color w:val="auto"/>
              </w:rPr>
            </w:pPr>
          </w:p>
        </w:tc>
        <w:tc>
          <w:tcPr>
            <w:tcW w:w="180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4.37</w:t>
            </w: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FF0FC"/>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3040" w:type="dxa"/>
            <w:vAlign w:val="bottom"/>
            <w:gridSpan w:val="3"/>
            <w:shd w:val="clear" w:color="auto" w:fill="CFF0FC"/>
          </w:tcPr>
          <w:p>
            <w:pPr>
              <w:ind w:left="2340"/>
              <w:spacing w:after="0"/>
              <w:rPr>
                <w:sz w:val="20"/>
                <w:szCs w:val="20"/>
                <w:color w:val="auto"/>
              </w:rPr>
            </w:pPr>
            <w:r>
              <w:rPr>
                <w:rFonts w:ascii="Times New Roman" w:cs="Times New Roman" w:eastAsia="Times New Roman" w:hAnsi="Times New Roman"/>
                <w:sz w:val="18"/>
                <w:szCs w:val="18"/>
                <w:color w:val="auto"/>
              </w:rPr>
              <w:t>14.4 %</w:t>
            </w:r>
          </w:p>
        </w:tc>
        <w:tc>
          <w:tcPr>
            <w:tcW w:w="218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10.4 %</w:t>
            </w:r>
          </w:p>
        </w:tc>
        <w:tc>
          <w:tcPr>
            <w:tcW w:w="4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10.3 %</w:t>
            </w: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304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14.4 %</w:t>
            </w:r>
          </w:p>
        </w:tc>
        <w:tc>
          <w:tcPr>
            <w:tcW w:w="21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14.0 %</w:t>
            </w:r>
          </w:p>
        </w:tc>
        <w:tc>
          <w:tcPr>
            <w:tcW w:w="44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9.5 %</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of credit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standby letter of credit was not required to be renewed and expired on September 30, 2024.</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9"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December 31, 2024 and 2023,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Employee benefit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retirement savings plan</w:t>
      </w:r>
    </w:p>
    <w:p>
      <w:pPr>
        <w:spacing w:after="0" w:line="11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The Company maintains a defined contribution 401(k) retirement savings plan for the benefit of its employees, including its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The Company makes matching contributions of up to 2% of eligible compensation, as contributed by eligible participating employees. Employer matching contributions vest 25% per year over four years. The Company contributed $1,059,000, $900,000 and $688,000, net of forfeitures, to the 401(k) plan for the year ended December 31, 2024, 2023 and 2022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As of December 31, 2024,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119" w:lineRule="exact"/>
        <w:rPr>
          <w:sz w:val="20"/>
          <w:szCs w:val="20"/>
          <w:color w:val="auto"/>
        </w:rPr>
      </w:pPr>
    </w:p>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 and Attestation Report of the Registered Public Accounting Firm</w:t>
      </w:r>
    </w:p>
    <w:p>
      <w:pPr>
        <w:spacing w:after="0" w:line="146"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122"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conducted an evaluation of the effectiveness of our internal control over financial reporting as of the end of the period covered by this report based on the framework in Internal Control – Integrated Framework (2013) issued by the Committee of Sponsoring Organizations of the Treadway Commission. Based on this evaluation, management concluded that the Company’s internal control over financial reporting was effective as of December 31, 2024.</w:t>
      </w:r>
    </w:p>
    <w:p>
      <w:pPr>
        <w:spacing w:after="0" w:line="114" w:lineRule="exact"/>
        <w:rPr>
          <w:sz w:val="20"/>
          <w:szCs w:val="20"/>
          <w:color w:val="auto"/>
        </w:rPr>
      </w:pPr>
    </w:p>
    <w:p>
      <w:pPr>
        <w:ind w:right="200" w:firstLine="374"/>
        <w:spacing w:after="0" w:line="281" w:lineRule="auto"/>
        <w:rPr>
          <w:sz w:val="20"/>
          <w:szCs w:val="20"/>
          <w:color w:val="auto"/>
        </w:rPr>
      </w:pPr>
      <w:r>
        <w:rPr>
          <w:rFonts w:ascii="Times New Roman" w:cs="Times New Roman" w:eastAsia="Times New Roman" w:hAnsi="Times New Roman"/>
          <w:sz w:val="18"/>
          <w:szCs w:val="18"/>
          <w:color w:val="auto"/>
        </w:rPr>
        <w:t>Ernst &amp; Young LLP, our independent registered public accounting firm, which audited the consolidated financial statements included in this report, has issued an attestation report on our internal control over financial reporting, which is set forth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15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28" w:name="page129"/>
    <w:bookmarkEnd w:id="128"/>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RxSight,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have audited RxSight, Inc.’s internal control over financial reporting as of December 31, 2024, based on criteria established in Internal Control— Integrated Framework issued by the Committee of Sponsoring Organizations of the Treadway Commission (2013 framework) (the COSO criteria). In our opinion, RxSight, Inc. (the Company) maintained, in all material respects, effective internal control over financial reporting as of December 31, 2024, based on the COSO criteria.</w:t>
      </w:r>
    </w:p>
    <w:p>
      <w:pPr>
        <w:spacing w:after="0" w:line="11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stockholder’s equity and cash flows for each of the three years in the period ended December 31, 2024, and the related notes and our report dated February 25, 2025 expressed an unqualified opinion thereon.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and Attestation Report of the Registered Public Accounting Firm.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5"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9" w:name="page130"/>
    <w:bookmarkEnd w:id="129"/>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On November 20, 2024, Ron Kurtz M.D., our President and Chief Executive Officer and a member of our Board of Directors, terminated his Rule 10b5-1 trading arrangement intended to satisfy the affirmative defense conditions of Exchange Act Rule 10b5-1(c) (a “Rule 10b5-1 Trading Plan”) dated September 1, 2023.</w:t>
      </w:r>
    </w:p>
    <w:p>
      <w:pPr>
        <w:spacing w:after="0" w:line="110"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On December 6, 2024, Ron Kurtz M.D., our President and Chief Executive Officer and a member of our Board of Directors, entered into a Rule 10b5-1 Trading Plan for the sale of shares of our common stock. Dr. Kurtz's Rule 10b5-1 Trading Plan, which has a term from December 6, 2024 to March 6, 2026, provides for the sale of up to 448,635 shares of common stock.</w:t>
      </w:r>
    </w:p>
    <w:p>
      <w:pPr>
        <w:spacing w:after="0" w:line="96" w:lineRule="exact"/>
        <w:rPr>
          <w:sz w:val="20"/>
          <w:szCs w:val="20"/>
          <w:color w:val="auto"/>
        </w:rPr>
      </w:pPr>
    </w:p>
    <w:p>
      <w:pPr>
        <w:ind w:right="40" w:firstLine="374"/>
        <w:spacing w:after="0" w:line="265" w:lineRule="auto"/>
        <w:rPr>
          <w:sz w:val="20"/>
          <w:szCs w:val="20"/>
          <w:color w:val="auto"/>
        </w:rPr>
      </w:pPr>
      <w:r>
        <w:rPr>
          <w:rFonts w:ascii="Times New Roman" w:cs="Times New Roman" w:eastAsia="Times New Roman" w:hAnsi="Times New Roman"/>
          <w:sz w:val="18"/>
          <w:szCs w:val="18"/>
          <w:color w:val="auto"/>
        </w:rPr>
        <w:t>On December 11, 2024, Dr. Tamara Fountain, a member of our Board of Directors, entered into a Rule 10b5-1 Trading Plan for the sale of shares of our common stock. Dr. Fountain's Rule 10b5-1 Trading Plan, which has a term from December 11, 2024 to December 11, 2025, provides for the sale of up to 7,000 shares of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0" w:name="page131"/>
    <w:bookmarkEnd w:id="13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information called for by this item will be set forth in our Proxy Statement for the Annual Meeting of Stockholders to be filed with the SEC within 120 days of the fiscal year ended December 31, 2024 (the “Proxy Statement”) and is incorporated herein by reference.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Business Conduct and Ethics</w:t>
      </w:r>
    </w:p>
    <w:p>
      <w:pPr>
        <w:spacing w:after="0" w:line="159"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information called for by this item will be set forth in our Proxy Statement for the Annual Meeting of Stockholders to be filed with the SEC within 120 days of the fiscal year ended December 31, 2024 (the “Proxy Statement”) and is incorporated herein by reference.</w:t>
      </w:r>
    </w:p>
    <w:p>
      <w:pPr>
        <w:spacing w:after="0" w:line="55"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all employees, officers and directors of the Company. The full text of our Code of Business Conduct and Ethics is posted on our investor relations website at https://investors.rxsight.com/corporate-governance/governance-overview. We will post any amendments to our code of business conduct and ethics or waivers of its requirements, on its website.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applicable information set forth in “Board of Directors and Corporate Governance”, and “Executive Compensation” which will be included in our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applicable information set forth in “Security Ownership of Certain Beneficial Owners and Management” which will be included in our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applicable information set forth in “Certain Relationships and Related Party Transactions” and “Board of Directors and Corporate Governance” which will be included in our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620"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applicable information set forth in “Ratification of Independent Registered Public Accounting Firm” which will be included in our Proxy Statement.</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2" w:right="4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the following documents filed as a part of this Annual Report on Form 10-K:</w:t>
      </w:r>
    </w:p>
    <w:p>
      <w:pPr>
        <w:spacing w:after="0" w:line="22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financial statements included in Part II, Item 8 of this document are filed as part of this Annual Report on Form 10-K.</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 information either has been shown in the financial statements or notes thereto.</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following Exhibit Index are filed or incorporated by reference as part of this Annual Report on Form 10-K.</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0" w:type="dxa"/>
            <w:vAlign w:val="bottom"/>
          </w:tcPr>
          <w:p>
            <w:pPr>
              <w:spacing w:after="0"/>
              <w:rPr>
                <w:sz w:val="20"/>
                <w:szCs w:val="20"/>
                <w:color w:val="auto"/>
              </w:rPr>
            </w:pPr>
          </w:p>
        </w:tc>
        <w:tc>
          <w:tcPr>
            <w:tcW w:w="380" w:type="dxa"/>
            <w:vAlign w:val="bottom"/>
            <w:vMerge w:val="restart"/>
          </w:tcPr>
          <w:p>
            <w:pPr>
              <w:spacing w:after="0"/>
              <w:rPr>
                <w:sz w:val="20"/>
                <w:szCs w:val="20"/>
                <w:color w:val="auto"/>
              </w:rPr>
            </w:pPr>
          </w:p>
        </w:tc>
        <w:tc>
          <w:tcPr>
            <w:tcW w:w="21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40" w:type="dxa"/>
            <w:vAlign w:val="bottom"/>
            <w:gridSpan w:val="13"/>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4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100" w:type="dxa"/>
            <w:vAlign w:val="bottom"/>
            <w:gridSpan w:val="6"/>
            <w:vMerge w:val="continue"/>
          </w:tcPr>
          <w:p>
            <w:pPr>
              <w:spacing w:after="0"/>
              <w:rPr>
                <w:sz w:val="15"/>
                <w:szCs w:val="15"/>
                <w:color w:val="auto"/>
              </w:rPr>
            </w:pPr>
          </w:p>
        </w:tc>
        <w:tc>
          <w:tcPr>
            <w:tcW w:w="17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gridSpan w:val="13"/>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jc w:val="center"/>
              <w:ind w:right="20"/>
              <w:spacing w:after="0" w:line="195"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13"/>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File No.</w:t>
            </w:r>
          </w:p>
        </w:tc>
        <w:tc>
          <w:tcPr>
            <w:tcW w:w="1460" w:type="dxa"/>
            <w:vAlign w:val="bottom"/>
            <w:gridSpan w:val="4"/>
          </w:tcPr>
          <w:p>
            <w:pPr>
              <w:ind w:left="280"/>
              <w:spacing w:after="0" w:line="195"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7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3.1</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15"/>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Amended and Restated Certificate of Incorporation of the</w:t>
              </w:r>
            </w:hyperlink>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Registrant.</w:t>
              </w:r>
            </w:hyperlink>
          </w:p>
        </w:tc>
        <w:tc>
          <w:tcPr>
            <w:tcW w:w="700" w:type="dxa"/>
            <w:vAlign w:val="bottom"/>
            <w:gridSpan w:val="2"/>
          </w:tcPr>
          <w:p>
            <w:pPr>
              <w:jc w:val="center"/>
              <w:ind w:right="280"/>
              <w:spacing w:after="0" w:line="195" w:lineRule="exact"/>
              <w:rPr>
                <w:sz w:val="20"/>
                <w:szCs w:val="20"/>
                <w:color w:val="auto"/>
              </w:rPr>
            </w:pPr>
            <w:r>
              <w:rPr>
                <w:rFonts w:ascii="Times New Roman" w:cs="Times New Roman" w:eastAsia="Times New Roman" w:hAnsi="Times New Roman"/>
                <w:sz w:val="18"/>
                <w:szCs w:val="18"/>
                <w:color w:val="auto"/>
              </w:rPr>
              <w:t>10-Q</w:t>
            </w:r>
          </w:p>
        </w:tc>
        <w:tc>
          <w:tcPr>
            <w:tcW w:w="1420" w:type="dxa"/>
            <w:vAlign w:val="bottom"/>
            <w:gridSpan w:val="4"/>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001-40690</w:t>
            </w:r>
          </w:p>
        </w:tc>
        <w:tc>
          <w:tcPr>
            <w:tcW w:w="860" w:type="dxa"/>
            <w:vAlign w:val="bottom"/>
            <w:gridSpan w:val="2"/>
          </w:tcPr>
          <w:p>
            <w:pPr>
              <w:jc w:val="center"/>
              <w:ind w:left="190"/>
              <w:spacing w:after="0" w:line="195" w:lineRule="exact"/>
              <w:rPr>
                <w:sz w:val="20"/>
                <w:szCs w:val="20"/>
                <w:color w:val="auto"/>
              </w:rPr>
            </w:pPr>
            <w:r>
              <w:rPr>
                <w:rFonts w:ascii="Times New Roman" w:cs="Times New Roman" w:eastAsia="Times New Roman" w:hAnsi="Times New Roman"/>
                <w:sz w:val="18"/>
                <w:szCs w:val="18"/>
                <w:color w:val="auto"/>
                <w:w w:val="97"/>
              </w:rPr>
              <w:t>3.1</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3"/>
          </w:tcPr>
          <w:p>
            <w:pPr>
              <w:jc w:val="center"/>
              <w:ind w:right="260"/>
              <w:spacing w:after="0" w:line="195" w:lineRule="exact"/>
              <w:rPr>
                <w:sz w:val="20"/>
                <w:szCs w:val="20"/>
                <w:color w:val="auto"/>
              </w:rPr>
            </w:pPr>
            <w:r>
              <w:rPr>
                <w:rFonts w:ascii="Times New Roman" w:cs="Times New Roman" w:eastAsia="Times New Roman" w:hAnsi="Times New Roman"/>
                <w:sz w:val="18"/>
                <w:szCs w:val="18"/>
                <w:color w:val="auto"/>
                <w:w w:val="99"/>
              </w:rPr>
              <w:t>August 7, 2023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w w:val="97"/>
              </w:rPr>
              <w:t>3.2</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Amended and Restated Bylaws of the Registrant.</w:t>
              </w:r>
            </w:hyperlink>
          </w:p>
        </w:tc>
        <w:tc>
          <w:tcPr>
            <w:tcW w:w="700" w:type="dxa"/>
            <w:vAlign w:val="bottom"/>
            <w:gridSpan w:val="2"/>
          </w:tcPr>
          <w:p>
            <w:pPr>
              <w:jc w:val="center"/>
              <w:ind w:right="280"/>
              <w:spacing w:after="0" w:line="195" w:lineRule="exact"/>
              <w:rPr>
                <w:sz w:val="20"/>
                <w:szCs w:val="20"/>
                <w:color w:val="auto"/>
              </w:rPr>
            </w:pPr>
            <w:r>
              <w:rPr>
                <w:rFonts w:ascii="Times New Roman" w:cs="Times New Roman" w:eastAsia="Times New Roman" w:hAnsi="Times New Roman"/>
                <w:sz w:val="18"/>
                <w:szCs w:val="18"/>
                <w:color w:val="auto"/>
                <w:w w:val="92"/>
              </w:rPr>
              <w:t>8-K</w:t>
            </w:r>
          </w:p>
        </w:tc>
        <w:tc>
          <w:tcPr>
            <w:tcW w:w="1420" w:type="dxa"/>
            <w:vAlign w:val="bottom"/>
            <w:gridSpan w:val="4"/>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001-40690</w:t>
            </w:r>
          </w:p>
        </w:tc>
        <w:tc>
          <w:tcPr>
            <w:tcW w:w="860" w:type="dxa"/>
            <w:vAlign w:val="bottom"/>
            <w:gridSpan w:val="2"/>
          </w:tcPr>
          <w:p>
            <w:pPr>
              <w:jc w:val="center"/>
              <w:ind w:left="190"/>
              <w:spacing w:after="0" w:line="195" w:lineRule="exact"/>
              <w:rPr>
                <w:sz w:val="20"/>
                <w:szCs w:val="20"/>
                <w:color w:val="auto"/>
              </w:rPr>
            </w:pPr>
            <w:r>
              <w:rPr>
                <w:rFonts w:ascii="Times New Roman" w:cs="Times New Roman" w:eastAsia="Times New Roman" w:hAnsi="Times New Roman"/>
                <w:sz w:val="18"/>
                <w:szCs w:val="18"/>
                <w:color w:val="auto"/>
                <w:w w:val="97"/>
              </w:rPr>
              <w:t>3.1</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3"/>
          </w:tcPr>
          <w:p>
            <w:pPr>
              <w:jc w:val="center"/>
              <w:ind w:right="280"/>
              <w:spacing w:after="0" w:line="195" w:lineRule="exact"/>
              <w:rPr>
                <w:sz w:val="20"/>
                <w:szCs w:val="20"/>
                <w:color w:val="auto"/>
              </w:rPr>
            </w:pPr>
            <w:r>
              <w:rPr>
                <w:rFonts w:ascii="Times New Roman" w:cs="Times New Roman" w:eastAsia="Times New Roman" w:hAnsi="Times New Roman"/>
                <w:sz w:val="18"/>
                <w:szCs w:val="18"/>
                <w:color w:val="auto"/>
                <w:w w:val="98"/>
              </w:rPr>
              <w:t>December 12, 2022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w w:val="97"/>
              </w:rPr>
              <w:t>4.1</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Specimen stock certificate of the Registrant.</w:t>
              </w:r>
            </w:hyperlink>
          </w:p>
        </w:tc>
        <w:tc>
          <w:tcPr>
            <w:tcW w:w="700" w:type="dxa"/>
            <w:vAlign w:val="bottom"/>
            <w:gridSpan w:val="2"/>
          </w:tcPr>
          <w:p>
            <w:pPr>
              <w:jc w:val="center"/>
              <w:ind w:right="280"/>
              <w:spacing w:after="0" w:line="195" w:lineRule="exact"/>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gridSpan w:val="4"/>
          </w:tcPr>
          <w:p>
            <w:pPr>
              <w:jc w:val="center"/>
              <w:ind w:right="20"/>
              <w:spacing w:after="0" w:line="195" w:lineRule="exact"/>
              <w:rPr>
                <w:sz w:val="20"/>
                <w:szCs w:val="20"/>
                <w:color w:val="auto"/>
              </w:rPr>
            </w:pPr>
            <w:r>
              <w:rPr>
                <w:rFonts w:ascii="Times New Roman" w:cs="Times New Roman" w:eastAsia="Times New Roman" w:hAnsi="Times New Roman"/>
                <w:sz w:val="18"/>
                <w:szCs w:val="18"/>
                <w:color w:val="auto"/>
              </w:rPr>
              <w:t>333-257790</w:t>
            </w:r>
          </w:p>
        </w:tc>
        <w:tc>
          <w:tcPr>
            <w:tcW w:w="860" w:type="dxa"/>
            <w:vAlign w:val="bottom"/>
            <w:gridSpan w:val="2"/>
          </w:tcPr>
          <w:p>
            <w:pPr>
              <w:jc w:val="center"/>
              <w:ind w:left="190"/>
              <w:spacing w:after="0" w:line="195" w:lineRule="exact"/>
              <w:rPr>
                <w:sz w:val="20"/>
                <w:szCs w:val="20"/>
                <w:color w:val="auto"/>
              </w:rPr>
            </w:pPr>
            <w:r>
              <w:rPr>
                <w:rFonts w:ascii="Times New Roman" w:cs="Times New Roman" w:eastAsia="Times New Roman" w:hAnsi="Times New Roman"/>
                <w:sz w:val="18"/>
                <w:szCs w:val="18"/>
                <w:color w:val="auto"/>
                <w:w w:val="97"/>
              </w:rPr>
              <w:t>4.2</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3"/>
          </w:tcPr>
          <w:p>
            <w:pPr>
              <w:jc w:val="center"/>
              <w:ind w:right="280"/>
              <w:spacing w:after="0" w:line="195" w:lineRule="exact"/>
              <w:rPr>
                <w:sz w:val="20"/>
                <w:szCs w:val="20"/>
                <w:color w:val="auto"/>
              </w:rPr>
            </w:pPr>
            <w:r>
              <w:rPr>
                <w:rFonts w:ascii="Times New Roman" w:cs="Times New Roman" w:eastAsia="Times New Roman" w:hAnsi="Times New Roman"/>
                <w:sz w:val="18"/>
                <w:szCs w:val="18"/>
                <w:color w:val="auto"/>
                <w:w w:val="98"/>
              </w:rPr>
              <w:t>July 26, 2021</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7"/>
                <w:szCs w:val="17"/>
                <w:color w:val="auto"/>
              </w:rPr>
            </w:pPr>
          </w:p>
        </w:tc>
        <w:tc>
          <w:tcPr>
            <w:tcW w:w="472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FF"/>
              </w:rPr>
              <w:t>Description of common stock.</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Form of Indemnification Agreement between the Registrant</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and each of its directors and executive officers.</w:t>
              </w:r>
            </w:hyperlink>
          </w:p>
        </w:tc>
        <w:tc>
          <w:tcPr>
            <w:tcW w:w="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333-257790</w:t>
            </w:r>
          </w:p>
        </w:tc>
        <w:tc>
          <w:tcPr>
            <w:tcW w:w="86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5"/>
              </w:rPr>
              <w:t>10.1</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July 9, 2021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420" w:type="dxa"/>
            <w:vAlign w:val="bottom"/>
            <w:gridSpan w:val="4"/>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0"/>
                <w:szCs w:val="20"/>
                <w:color w:val="auto"/>
              </w:rPr>
            </w:pPr>
          </w:p>
        </w:tc>
        <w:tc>
          <w:tcPr>
            <w:tcW w:w="4720" w:type="dxa"/>
            <w:vAlign w:val="bottom"/>
            <w:gridSpan w:val="15"/>
            <w:vMerge w:val="restart"/>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2015 Equity Incentive Plan of the registrant, as amended,</w:t>
              </w:r>
            </w:hyperlink>
          </w:p>
        </w:tc>
        <w:tc>
          <w:tcPr>
            <w:tcW w:w="700" w:type="dxa"/>
            <w:vAlign w:val="bottom"/>
            <w:gridSpan w:val="2"/>
            <w:vMerge w:val="continue"/>
          </w:tcPr>
          <w:p>
            <w:pPr>
              <w:spacing w:after="0"/>
              <w:rPr>
                <w:sz w:val="20"/>
                <w:szCs w:val="20"/>
                <w:color w:val="auto"/>
              </w:rPr>
            </w:pPr>
          </w:p>
        </w:tc>
        <w:tc>
          <w:tcPr>
            <w:tcW w:w="1420" w:type="dxa"/>
            <w:vAlign w:val="bottom"/>
            <w:gridSpan w:val="4"/>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4720" w:type="dxa"/>
            <w:vAlign w:val="bottom"/>
            <w:gridSpan w:val="15"/>
            <w:vMerge w:val="continue"/>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1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and forms of agreement thereunder.</w:t>
              </w:r>
            </w:hyperlink>
          </w:p>
        </w:tc>
        <w:tc>
          <w:tcPr>
            <w:tcW w:w="700" w:type="dxa"/>
            <w:vAlign w:val="bottom"/>
            <w:gridSpan w:val="2"/>
          </w:tcPr>
          <w:p>
            <w:pPr>
              <w:jc w:val="center"/>
              <w:ind w:right="280"/>
              <w:spacing w:after="0" w:line="195" w:lineRule="exact"/>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gridSpan w:val="4"/>
          </w:tcPr>
          <w:p>
            <w:pPr>
              <w:jc w:val="center"/>
              <w:ind w:right="20"/>
              <w:spacing w:after="0" w:line="195" w:lineRule="exact"/>
              <w:rPr>
                <w:sz w:val="20"/>
                <w:szCs w:val="20"/>
                <w:color w:val="auto"/>
              </w:rPr>
            </w:pPr>
            <w:r>
              <w:rPr>
                <w:rFonts w:ascii="Times New Roman" w:cs="Times New Roman" w:eastAsia="Times New Roman" w:hAnsi="Times New Roman"/>
                <w:sz w:val="18"/>
                <w:szCs w:val="18"/>
                <w:color w:val="auto"/>
              </w:rPr>
              <w:t>333-257790</w:t>
            </w:r>
          </w:p>
        </w:tc>
        <w:tc>
          <w:tcPr>
            <w:tcW w:w="860" w:type="dxa"/>
            <w:vAlign w:val="bottom"/>
            <w:gridSpan w:val="2"/>
          </w:tcPr>
          <w:p>
            <w:pPr>
              <w:jc w:val="center"/>
              <w:ind w:left="190"/>
              <w:spacing w:after="0" w:line="195" w:lineRule="exact"/>
              <w:rPr>
                <w:sz w:val="20"/>
                <w:szCs w:val="20"/>
                <w:color w:val="auto"/>
              </w:rPr>
            </w:pPr>
            <w:r>
              <w:rPr>
                <w:rFonts w:ascii="Times New Roman" w:cs="Times New Roman" w:eastAsia="Times New Roman" w:hAnsi="Times New Roman"/>
                <w:sz w:val="18"/>
                <w:szCs w:val="18"/>
                <w:color w:val="auto"/>
                <w:w w:val="95"/>
              </w:rPr>
              <w:t>10.2</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3"/>
          </w:tcPr>
          <w:p>
            <w:pPr>
              <w:jc w:val="center"/>
              <w:ind w:right="280"/>
              <w:spacing w:after="0" w:line="195" w:lineRule="exact"/>
              <w:rPr>
                <w:sz w:val="20"/>
                <w:szCs w:val="20"/>
                <w:color w:val="auto"/>
              </w:rPr>
            </w:pPr>
            <w:r>
              <w:rPr>
                <w:rFonts w:ascii="Times New Roman" w:cs="Times New Roman" w:eastAsia="Times New Roman" w:hAnsi="Times New Roman"/>
                <w:sz w:val="18"/>
                <w:szCs w:val="18"/>
                <w:color w:val="auto"/>
                <w:w w:val="98"/>
              </w:rPr>
              <w:t>July 26, 2021</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EE"/>
            </w:tcBorders>
            <w:gridSpan w:val="4"/>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7"/>
                <w:szCs w:val="17"/>
                <w:color w:val="auto"/>
              </w:rPr>
            </w:pPr>
          </w:p>
        </w:tc>
        <w:tc>
          <w:tcPr>
            <w:tcW w:w="472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FF"/>
              </w:rPr>
              <w:t>2021 Equity Incentive Plan of the registrant, as amended,</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FF"/>
              </w:rPr>
              <w:t>and forms of agreement thereunder.</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EE"/>
            </w:tcBorders>
            <w:gridSpan w:val="4"/>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2021 Employee Stock Purchase Plan of the registrant.</w:t>
              </w:r>
            </w:hyperlink>
          </w:p>
        </w:tc>
        <w:tc>
          <w:tcPr>
            <w:tcW w:w="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86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5"/>
              </w:rPr>
              <w:t>10.3</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rPr>
              <w:t>November 10, 2021</w:t>
            </w: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420" w:type="dxa"/>
            <w:vAlign w:val="bottom"/>
            <w:gridSpan w:val="4"/>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4"/>
                <w:szCs w:val="24"/>
                <w:color w:val="auto"/>
              </w:rPr>
            </w:pPr>
          </w:p>
        </w:tc>
        <w:tc>
          <w:tcPr>
            <w:tcW w:w="4720" w:type="dxa"/>
            <w:vAlign w:val="bottom"/>
            <w:gridSpan w:val="15"/>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License Agreement by and between the Registrant and the</w:t>
              </w:r>
            </w:hyperlink>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gridSpan w:val="9"/>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California Institute of Technology, dated as of July 28, 2015.</w:t>
              </w:r>
            </w:hyperlink>
          </w:p>
        </w:tc>
        <w:tc>
          <w:tcPr>
            <w:tcW w:w="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333-257790</w:t>
            </w:r>
          </w:p>
        </w:tc>
        <w:tc>
          <w:tcPr>
            <w:tcW w:w="86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5"/>
              </w:rPr>
              <w:t>10.6</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July 9, 2021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420" w:type="dxa"/>
            <w:vAlign w:val="bottom"/>
            <w:gridSpan w:val="4"/>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0"/>
                <w:szCs w:val="20"/>
                <w:color w:val="auto"/>
              </w:rPr>
            </w:pPr>
          </w:p>
        </w:tc>
        <w:tc>
          <w:tcPr>
            <w:tcW w:w="4720" w:type="dxa"/>
            <w:vAlign w:val="bottom"/>
            <w:gridSpan w:val="15"/>
            <w:vMerge w:val="restart"/>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License and Maintenance Agreement between QAD, Inc.</w:t>
              </w:r>
            </w:hyperlink>
          </w:p>
        </w:tc>
        <w:tc>
          <w:tcPr>
            <w:tcW w:w="700" w:type="dxa"/>
            <w:vAlign w:val="bottom"/>
            <w:gridSpan w:val="2"/>
            <w:vMerge w:val="continue"/>
          </w:tcPr>
          <w:p>
            <w:pPr>
              <w:spacing w:after="0"/>
              <w:rPr>
                <w:sz w:val="20"/>
                <w:szCs w:val="20"/>
                <w:color w:val="auto"/>
              </w:rPr>
            </w:pPr>
          </w:p>
        </w:tc>
        <w:tc>
          <w:tcPr>
            <w:tcW w:w="1420" w:type="dxa"/>
            <w:vAlign w:val="bottom"/>
            <w:gridSpan w:val="4"/>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4720" w:type="dxa"/>
            <w:vAlign w:val="bottom"/>
            <w:gridSpan w:val="15"/>
            <w:vMerge w:val="continue"/>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gridSpan w:val="9"/>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and its subsidiaries and the Registrant, dated as of October</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line="195" w:lineRule="exact"/>
              <w:rPr>
                <w:rFonts w:ascii="Times New Roman" w:cs="Times New Roman" w:eastAsia="Times New Roman" w:hAnsi="Times New Roman"/>
                <w:sz w:val="18"/>
                <w:szCs w:val="18"/>
                <w:color w:val="0000FF"/>
                <w:w w:val="91"/>
              </w:rPr>
            </w:pPr>
            <w:hyperlink r:id="rId382">
              <w:r>
                <w:rPr>
                  <w:rFonts w:ascii="Times New Roman" w:cs="Times New Roman" w:eastAsia="Times New Roman" w:hAnsi="Times New Roman"/>
                  <w:sz w:val="18"/>
                  <w:szCs w:val="18"/>
                  <w:color w:val="0000FF"/>
                  <w:w w:val="91"/>
                </w:rPr>
                <w:t>29, 2015.</w:t>
              </w:r>
            </w:hyperlink>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center"/>
              <w:ind w:right="280"/>
              <w:spacing w:after="0" w:line="195"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4"/>
          </w:tcPr>
          <w:p>
            <w:pPr>
              <w:jc w:val="center"/>
              <w:ind w:right="20"/>
              <w:spacing w:after="0" w:line="195" w:lineRule="exact"/>
              <w:rPr>
                <w:sz w:val="20"/>
                <w:szCs w:val="20"/>
                <w:color w:val="auto"/>
              </w:rPr>
            </w:pPr>
            <w:r>
              <w:rPr>
                <w:rFonts w:ascii="Times New Roman" w:cs="Times New Roman" w:eastAsia="Times New Roman" w:hAnsi="Times New Roman"/>
                <w:sz w:val="18"/>
                <w:szCs w:val="18"/>
                <w:color w:val="auto"/>
              </w:rPr>
              <w:t>333-257790</w:t>
            </w:r>
          </w:p>
        </w:tc>
        <w:tc>
          <w:tcPr>
            <w:tcW w:w="860" w:type="dxa"/>
            <w:vAlign w:val="bottom"/>
            <w:gridSpan w:val="2"/>
          </w:tcPr>
          <w:p>
            <w:pPr>
              <w:jc w:val="center"/>
              <w:ind w:left="190"/>
              <w:spacing w:after="0" w:line="195" w:lineRule="exact"/>
              <w:rPr>
                <w:sz w:val="20"/>
                <w:szCs w:val="20"/>
                <w:color w:val="auto"/>
              </w:rPr>
            </w:pPr>
            <w:r>
              <w:rPr>
                <w:rFonts w:ascii="Times New Roman" w:cs="Times New Roman" w:eastAsia="Times New Roman" w:hAnsi="Times New Roman"/>
                <w:sz w:val="18"/>
                <w:szCs w:val="18"/>
                <w:color w:val="auto"/>
                <w:w w:val="95"/>
              </w:rPr>
              <w:t>10.8</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3"/>
          </w:tcPr>
          <w:p>
            <w:pPr>
              <w:jc w:val="center"/>
              <w:ind w:right="280"/>
              <w:spacing w:after="0" w:line="195" w:lineRule="exact"/>
              <w:rPr>
                <w:sz w:val="20"/>
                <w:szCs w:val="20"/>
                <w:color w:val="auto"/>
              </w:rPr>
            </w:pPr>
            <w:r>
              <w:rPr>
                <w:rFonts w:ascii="Times New Roman" w:cs="Times New Roman" w:eastAsia="Times New Roman" w:hAnsi="Times New Roman"/>
                <w:sz w:val="18"/>
                <w:szCs w:val="18"/>
                <w:color w:val="auto"/>
                <w:w w:val="99"/>
              </w:rPr>
              <w:t>July 9, 2021</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QAD Hosted On Premise Project Proposal between Strategic</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20" w:type="dxa"/>
            <w:vAlign w:val="bottom"/>
            <w:gridSpan w:val="10"/>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Information Group and the Registrant, dated as of October</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line="195" w:lineRule="exact"/>
              <w:rPr>
                <w:rFonts w:ascii="Times New Roman" w:cs="Times New Roman" w:eastAsia="Times New Roman" w:hAnsi="Times New Roman"/>
                <w:sz w:val="18"/>
                <w:szCs w:val="18"/>
                <w:color w:val="0000FF"/>
                <w:w w:val="91"/>
              </w:rPr>
            </w:pPr>
            <w:hyperlink r:id="rId383">
              <w:r>
                <w:rPr>
                  <w:rFonts w:ascii="Times New Roman" w:cs="Times New Roman" w:eastAsia="Times New Roman" w:hAnsi="Times New Roman"/>
                  <w:sz w:val="18"/>
                  <w:szCs w:val="18"/>
                  <w:color w:val="0000FF"/>
                  <w:w w:val="91"/>
                </w:rPr>
                <w:t>29, 2015.</w:t>
              </w:r>
            </w:hyperlink>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center"/>
              <w:ind w:right="280"/>
              <w:spacing w:after="0" w:line="195" w:lineRule="exact"/>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4"/>
          </w:tcPr>
          <w:p>
            <w:pPr>
              <w:jc w:val="center"/>
              <w:ind w:right="20"/>
              <w:spacing w:after="0" w:line="195" w:lineRule="exact"/>
              <w:rPr>
                <w:sz w:val="20"/>
                <w:szCs w:val="20"/>
                <w:color w:val="auto"/>
              </w:rPr>
            </w:pPr>
            <w:r>
              <w:rPr>
                <w:rFonts w:ascii="Times New Roman" w:cs="Times New Roman" w:eastAsia="Times New Roman" w:hAnsi="Times New Roman"/>
                <w:sz w:val="18"/>
                <w:szCs w:val="18"/>
                <w:color w:val="auto"/>
              </w:rPr>
              <w:t>333-257790</w:t>
            </w:r>
          </w:p>
        </w:tc>
        <w:tc>
          <w:tcPr>
            <w:tcW w:w="860" w:type="dxa"/>
            <w:vAlign w:val="bottom"/>
            <w:gridSpan w:val="2"/>
          </w:tcPr>
          <w:p>
            <w:pPr>
              <w:jc w:val="center"/>
              <w:ind w:left="190"/>
              <w:spacing w:after="0" w:line="195" w:lineRule="exact"/>
              <w:rPr>
                <w:sz w:val="20"/>
                <w:szCs w:val="20"/>
                <w:color w:val="auto"/>
              </w:rPr>
            </w:pPr>
            <w:r>
              <w:rPr>
                <w:rFonts w:ascii="Times New Roman" w:cs="Times New Roman" w:eastAsia="Times New Roman" w:hAnsi="Times New Roman"/>
                <w:sz w:val="18"/>
                <w:szCs w:val="18"/>
                <w:color w:val="auto"/>
                <w:w w:val="95"/>
              </w:rPr>
              <w:t>10.9</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3"/>
          </w:tcPr>
          <w:p>
            <w:pPr>
              <w:jc w:val="center"/>
              <w:ind w:right="280"/>
              <w:spacing w:after="0" w:line="195" w:lineRule="exact"/>
              <w:rPr>
                <w:sz w:val="20"/>
                <w:szCs w:val="20"/>
                <w:color w:val="auto"/>
              </w:rPr>
            </w:pPr>
            <w:r>
              <w:rPr>
                <w:rFonts w:ascii="Times New Roman" w:cs="Times New Roman" w:eastAsia="Times New Roman" w:hAnsi="Times New Roman"/>
                <w:sz w:val="18"/>
                <w:szCs w:val="18"/>
                <w:color w:val="auto"/>
                <w:w w:val="99"/>
              </w:rPr>
              <w:t>July 9, 2021</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Cloud Services Agreement between QAD, Inc. and its</w:t>
              </w:r>
            </w:hyperlink>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20" w:type="dxa"/>
            <w:vAlign w:val="bottom"/>
            <w:gridSpan w:val="10"/>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20" w:type="dxa"/>
            <w:vAlign w:val="bottom"/>
            <w:gridSpan w:val="15"/>
          </w:tcPr>
          <w:p>
            <w:pPr>
              <w:spacing w:after="0" w:line="195"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subsidiaries and the Registrant, dated as of May 28, 2021.</w:t>
              </w:r>
            </w:hyperlink>
          </w:p>
        </w:tc>
        <w:tc>
          <w:tcPr>
            <w:tcW w:w="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333-257790</w:t>
            </w:r>
          </w:p>
        </w:tc>
        <w:tc>
          <w:tcPr>
            <w:tcW w:w="86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rPr>
              <w:t>10.10</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July 9, 2021</w:t>
            </w: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420" w:type="dxa"/>
            <w:vAlign w:val="bottom"/>
            <w:gridSpan w:val="4"/>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15"/>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5400" w:type="dxa"/>
            <w:vAlign w:val="bottom"/>
            <w:gridSpan w:val="16"/>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Lease, dated as of April 18, 2024, by and between BML</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Management, LLC, and the Registrant, for premises located</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at 125 Columbia, Aliso Viejo, California 92656.</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8"/>
        </w:trPr>
        <w:tc>
          <w:tcPr>
            <w:tcW w:w="1180" w:type="dxa"/>
            <w:vAlign w:val="bottom"/>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10.1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5, 2024</w:t>
            </w: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5400" w:type="dxa"/>
            <w:vAlign w:val="bottom"/>
            <w:gridSpan w:val="16"/>
          </w:tcPr>
          <w:p>
            <w:pPr>
              <w:spacing w:after="0" w:line="194"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Lease, dated as of October 27, 2015, by and between the</w:t>
              </w:r>
            </w:hyperlink>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Registrant and Accuride International Inc., as amended by</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that certain First Amendment to Lease, dated November 23,</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2015, that certain Second Amendment to Lease, dated</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December 22, 2015, that certain Third Amendment to Lease,</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dated January 18, 2016, and that certain Fourth Amendment</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to Lease, dated November 12, 2016, for premises located at</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100-150 Columbia, Suites 100 and 200, Aliso Viejo,</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California 92656.</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649"/>
        </w:trPr>
        <w:tc>
          <w:tcPr>
            <w:tcW w:w="1180" w:type="dxa"/>
            <w:vAlign w:val="bottom"/>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333-257790</w:t>
            </w: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9, 2021</w:t>
            </w: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5400" w:type="dxa"/>
            <w:vAlign w:val="bottom"/>
            <w:gridSpan w:val="16"/>
          </w:tcPr>
          <w:p>
            <w:pPr>
              <w:spacing w:after="0" w:line="194"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Fifth Amendment (extension to the lease), dated as of April</w:t>
              </w:r>
            </w:hyperlink>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18, 2024, by and between the Registrant and Accuride</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International Inc., for premises located at 100 Columbia,</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Suite 100, Aliso Viejo, California 92656.</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8"/>
        </w:trPr>
        <w:tc>
          <w:tcPr>
            <w:tcW w:w="1180" w:type="dxa"/>
            <w:vAlign w:val="bottom"/>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10.4</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5, 2024</w:t>
            </w: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5400" w:type="dxa"/>
            <w:vAlign w:val="bottom"/>
            <w:gridSpan w:val="16"/>
          </w:tcPr>
          <w:p>
            <w:pPr>
              <w:spacing w:after="0" w:line="194"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Sixth Amendment (extension to the lease), dated as of June</w:t>
              </w:r>
            </w:hyperlink>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3, 2024, by and between the Registrant and Accuride</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International Inc., for premises located at 100 Columbia,</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Suite 100, Aliso Viejo, California 92656.</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8"/>
        </w:trPr>
        <w:tc>
          <w:tcPr>
            <w:tcW w:w="1180" w:type="dxa"/>
            <w:vAlign w:val="bottom"/>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10.5</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5, 2024</w:t>
            </w: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10.13*</w:t>
            </w:r>
          </w:p>
        </w:tc>
        <w:tc>
          <w:tcPr>
            <w:tcW w:w="5400" w:type="dxa"/>
            <w:vAlign w:val="bottom"/>
            <w:gridSpan w:val="16"/>
          </w:tcPr>
          <w:p>
            <w:pPr>
              <w:spacing w:after="0" w:line="194"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Seventh Amendment </w:t>
            </w:r>
            <w:hyperlink r:id="rId390">
              <w:r>
                <w:rPr>
                  <w:rFonts w:ascii="Times New Roman" w:cs="Times New Roman" w:eastAsia="Times New Roman" w:hAnsi="Times New Roman"/>
                  <w:sz w:val="18"/>
                  <w:szCs w:val="18"/>
                  <w:color w:val="0000FF"/>
                </w:rPr>
                <w:t xml:space="preserve">(extension to the lease), </w:t>
              </w:r>
            </w:hyperlink>
            <w:r>
              <w:rPr>
                <w:rFonts w:ascii="Times New Roman" w:cs="Times New Roman" w:eastAsia="Times New Roman" w:hAnsi="Times New Roman"/>
                <w:sz w:val="18"/>
                <w:szCs w:val="18"/>
                <w:color w:val="0000FF"/>
              </w:rPr>
              <w:t>dated as of</w:t>
            </w:r>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November 6, 2024, by and between the Registrant and</w:t>
            </w: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Accuride International Inc., for premises located at 120</w:t>
            </w: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Columbia, Suites 300-500, Aliso Viejo, California 92656.</w:t>
            </w: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10.14</w:t>
            </w: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Lease, dated as of March 27, 2020, by and between Pacific</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Park Investments, Inc. and the Registrant, for premises</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located at 75 Columbia, Aliso Viejo, California 92656.</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8"/>
        </w:trPr>
        <w:tc>
          <w:tcPr>
            <w:tcW w:w="1180" w:type="dxa"/>
            <w:vAlign w:val="bottom"/>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333-257790</w:t>
            </w: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9, 2021</w:t>
            </w: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10.15</w:t>
            </w:r>
          </w:p>
        </w:tc>
        <w:tc>
          <w:tcPr>
            <w:tcW w:w="5400" w:type="dxa"/>
            <w:vAlign w:val="bottom"/>
            <w:gridSpan w:val="16"/>
          </w:tcPr>
          <w:p>
            <w:pPr>
              <w:spacing w:after="0" w:line="194"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Lease, dated as of January 10, 2018, by and between the</w:t>
              </w:r>
            </w:hyperlink>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Registrant and Clifford D. Downs, as amended by that</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certain Commencement Date Memorandum dated as of</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February 22, 2018, for premises located at 5 Columbia, Aliso</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Viejo, California 92656.</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8"/>
        </w:trPr>
        <w:tc>
          <w:tcPr>
            <w:tcW w:w="1180" w:type="dxa"/>
            <w:vAlign w:val="bottom"/>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333-257790</w:t>
            </w: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10.13</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9, 2021</w:t>
            </w: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10.16</w:t>
            </w:r>
          </w:p>
        </w:tc>
        <w:tc>
          <w:tcPr>
            <w:tcW w:w="5400" w:type="dxa"/>
            <w:vAlign w:val="bottom"/>
            <w:gridSpan w:val="16"/>
          </w:tcPr>
          <w:p>
            <w:pPr>
              <w:spacing w:after="0" w:line="194"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Lease Addendum, dated as of April 5, 2022, by and between</w:t>
              </w:r>
            </w:hyperlink>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the Registrant and Clifford D. Downs for premises located at</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5 Columbia, Aliso Viejo, California 92656.</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8"/>
        </w:trPr>
        <w:tc>
          <w:tcPr>
            <w:tcW w:w="1180" w:type="dxa"/>
            <w:vAlign w:val="bottom"/>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10.2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5, 2022</w:t>
            </w: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10.17</w:t>
            </w:r>
          </w:p>
        </w:tc>
        <w:tc>
          <w:tcPr>
            <w:tcW w:w="5400" w:type="dxa"/>
            <w:vAlign w:val="bottom"/>
            <w:gridSpan w:val="16"/>
          </w:tcPr>
          <w:p>
            <w:pPr>
              <w:spacing w:after="0" w:line="194"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Lease Amendment #2, dated as of April 18, 2024, by and</w:t>
              </w:r>
            </w:hyperlink>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3840" w:type="dxa"/>
            <w:vAlign w:val="bottom"/>
            <w:gridSpan w:val="7"/>
            <w:shd w:val="clear" w:color="auto" w:fill="0000FF"/>
          </w:tcPr>
          <w:p>
            <w:pPr>
              <w:spacing w:after="0" w:line="20" w:lineRule="exact"/>
              <w:rPr>
                <w:sz w:val="1"/>
                <w:szCs w:val="1"/>
                <w:color w:val="auto"/>
              </w:rPr>
            </w:pPr>
          </w:p>
        </w:tc>
        <w:tc>
          <w:tcPr>
            <w:tcW w:w="30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between the Registrant and Clifford D. Downs for premises</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840" w:type="dxa"/>
            <w:vAlign w:val="bottom"/>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6"/>
            <w:shd w:val="clear" w:color="auto" w:fill="0000FF"/>
          </w:tcPr>
          <w:p>
            <w:pPr>
              <w:spacing w:after="0" w:line="20" w:lineRule="exact"/>
              <w:rPr>
                <w:sz w:val="1"/>
                <w:szCs w:val="1"/>
                <w:color w:val="auto"/>
              </w:rPr>
            </w:pPr>
          </w:p>
        </w:tc>
        <w:tc>
          <w:tcPr>
            <w:tcW w:w="1140" w:type="dxa"/>
            <w:vAlign w:val="bottom"/>
            <w:tcBorders>
              <w:left w:val="single" w:sz="8" w:color="0000FF"/>
            </w:tcBorders>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400" w:type="dxa"/>
            <w:vAlign w:val="bottom"/>
            <w:gridSpan w:val="16"/>
          </w:tcPr>
          <w:p>
            <w:pPr>
              <w:spacing w:after="0" w:line="195"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located at 5 Columbia, Aliso Viejo, California 92656.</w:t>
              </w:r>
            </w:hyperlink>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36"/>
        </w:trPr>
        <w:tc>
          <w:tcPr>
            <w:tcW w:w="1180" w:type="dxa"/>
            <w:vAlign w:val="bottom"/>
          </w:tcPr>
          <w:p>
            <w:pPr>
              <w:spacing w:after="0"/>
              <w:rPr>
                <w:sz w:val="20"/>
                <w:szCs w:val="20"/>
                <w:color w:val="auto"/>
              </w:rPr>
            </w:pPr>
          </w:p>
        </w:tc>
        <w:tc>
          <w:tcPr>
            <w:tcW w:w="124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1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10.2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5, 2024</w:t>
            </w:r>
          </w:p>
        </w:tc>
      </w:tr>
      <w:tr>
        <w:trPr>
          <w:trHeight w:val="647"/>
        </w:trPr>
        <w:tc>
          <w:tcPr>
            <w:tcW w:w="1180" w:type="dxa"/>
            <w:vAlign w:val="bottom"/>
          </w:tcPr>
          <w:p>
            <w:pPr>
              <w:spacing w:after="0"/>
              <w:rPr>
                <w:sz w:val="24"/>
                <w:szCs w:val="24"/>
                <w:color w:val="auto"/>
              </w:rPr>
            </w:pPr>
          </w:p>
        </w:tc>
        <w:tc>
          <w:tcPr>
            <w:tcW w:w="5400" w:type="dxa"/>
            <w:vAlign w:val="bottom"/>
            <w:gridSpan w:val="16"/>
          </w:tcPr>
          <w:p>
            <w:pPr>
              <w:jc w:val="right"/>
              <w:ind w:right="730"/>
              <w:spacing w:after="0"/>
              <w:rPr>
                <w:sz w:val="20"/>
                <w:szCs w:val="20"/>
                <w:color w:val="auto"/>
              </w:rPr>
            </w:pPr>
            <w:r>
              <w:rPr>
                <w:rFonts w:ascii="Times New Roman" w:cs="Times New Roman" w:eastAsia="Times New Roman" w:hAnsi="Times New Roman"/>
                <w:sz w:val="18"/>
                <w:szCs w:val="18"/>
                <w:color w:val="auto"/>
              </w:rPr>
              <w:t>128</w:t>
            </w: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762"/>
        </w:trPr>
        <w:tc>
          <w:tcPr>
            <w:tcW w:w="1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400" w:type="dxa"/>
            <w:vAlign w:val="bottom"/>
            <w:gridSpan w:val="19"/>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Lease Amendment #3, dated as of June 3, 2024, by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between the Registrant and Clifford D. Downs for premises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located at 5 Columbia, Aliso Viejo, California 92656.</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400" w:type="dxa"/>
            <w:vAlign w:val="bottom"/>
            <w:gridSpan w:val="19"/>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Sublease, dated as of April 4, 2022, by and between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Registrant and Compass Bible Church for premises located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at 5 Columbia, Aliso Viejo, California 92656.</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400" w:type="dxa"/>
            <w:vAlign w:val="bottom"/>
            <w:gridSpan w:val="19"/>
          </w:tcPr>
          <w:p>
            <w:pPr>
              <w:spacing w:after="0"/>
              <w:rPr>
                <w:rFonts w:ascii="Times New Roman" w:cs="Times New Roman" w:eastAsia="Times New Roman" w:hAnsi="Times New Roman"/>
                <w:sz w:val="18"/>
                <w:szCs w:val="18"/>
                <w:color w:val="0000FF"/>
                <w:w w:val="99"/>
              </w:rPr>
            </w:pPr>
            <w:hyperlink r:id="rId399">
              <w:r>
                <w:rPr>
                  <w:rFonts w:ascii="Times New Roman" w:cs="Times New Roman" w:eastAsia="Times New Roman" w:hAnsi="Times New Roman"/>
                  <w:sz w:val="18"/>
                  <w:szCs w:val="18"/>
                  <w:color w:val="0000FF"/>
                  <w:w w:val="99"/>
                </w:rPr>
                <w:t>Amendment #1 to Sublease, dated as of June 8, 2022, by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between the Registrant and Compass Bible Church for</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premises located at 5 Columbia, Aliso Viejo, California</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80" w:type="dxa"/>
            <w:vAlign w:val="bottom"/>
            <w:gridSpan w:val="2"/>
          </w:tcPr>
          <w:p>
            <w:pPr>
              <w:spacing w:after="0" w:line="195" w:lineRule="exact"/>
              <w:rPr>
                <w:rFonts w:ascii="Times New Roman" w:cs="Times New Roman" w:eastAsia="Times New Roman" w:hAnsi="Times New Roman"/>
                <w:sz w:val="18"/>
                <w:szCs w:val="18"/>
                <w:color w:val="0000FF"/>
                <w:w w:val="92"/>
              </w:rPr>
            </w:pPr>
            <w:hyperlink r:id="rId399">
              <w:r>
                <w:rPr>
                  <w:rFonts w:ascii="Times New Roman" w:cs="Times New Roman" w:eastAsia="Times New Roman" w:hAnsi="Times New Roman"/>
                  <w:sz w:val="18"/>
                  <w:szCs w:val="18"/>
                  <w:color w:val="0000FF"/>
                  <w:w w:val="92"/>
                </w:rPr>
                <w:t>92656.</w:t>
              </w:r>
            </w:hyperlink>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10.21</w:t>
            </w:r>
          </w:p>
        </w:tc>
        <w:tc>
          <w:tcPr>
            <w:tcW w:w="4400" w:type="dxa"/>
            <w:vAlign w:val="bottom"/>
            <w:gridSpan w:val="19"/>
          </w:tcPr>
          <w:p>
            <w:pPr>
              <w:spacing w:after="0" w:line="195" w:lineRule="exact"/>
              <w:rPr>
                <w:rFonts w:ascii="Times New Roman" w:cs="Times New Roman" w:eastAsia="Times New Roman" w:hAnsi="Times New Roman"/>
                <w:sz w:val="18"/>
                <w:szCs w:val="18"/>
                <w:color w:val="0000FF"/>
                <w:w w:val="99"/>
              </w:rPr>
            </w:pPr>
            <w:hyperlink r:id="rId400">
              <w:r>
                <w:rPr>
                  <w:rFonts w:ascii="Times New Roman" w:cs="Times New Roman" w:eastAsia="Times New Roman" w:hAnsi="Times New Roman"/>
                  <w:sz w:val="18"/>
                  <w:szCs w:val="18"/>
                  <w:color w:val="0000FF"/>
                  <w:w w:val="99"/>
                </w:rPr>
                <w:t>Amendment #2 to Sublease, dated as of January 16, 2023, by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and between the Registrant and Compass Bible Church for</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premises located at 5 Columbia, Aliso Viejo, California</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80" w:type="dxa"/>
            <w:vAlign w:val="bottom"/>
            <w:gridSpan w:val="2"/>
          </w:tcPr>
          <w:p>
            <w:pPr>
              <w:spacing w:after="0" w:line="195" w:lineRule="exact"/>
              <w:rPr>
                <w:rFonts w:ascii="Times New Roman" w:cs="Times New Roman" w:eastAsia="Times New Roman" w:hAnsi="Times New Roman"/>
                <w:sz w:val="18"/>
                <w:szCs w:val="18"/>
                <w:color w:val="0000FF"/>
                <w:w w:val="92"/>
              </w:rPr>
            </w:pPr>
            <w:hyperlink r:id="rId400">
              <w:r>
                <w:rPr>
                  <w:rFonts w:ascii="Times New Roman" w:cs="Times New Roman" w:eastAsia="Times New Roman" w:hAnsi="Times New Roman"/>
                  <w:sz w:val="18"/>
                  <w:szCs w:val="18"/>
                  <w:color w:val="0000FF"/>
                  <w:w w:val="92"/>
                </w:rPr>
                <w:t>92656.</w:t>
              </w:r>
            </w:hyperlink>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10.22</w:t>
            </w: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Amendment #3 to Sublease, dated as of August 1, 2024, by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and between the Registrant and Compass Bible Church for</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premises located at 5 Columbia, Aliso Viejo, California</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80" w:type="dxa"/>
            <w:vAlign w:val="bottom"/>
            <w:gridSpan w:val="2"/>
          </w:tcPr>
          <w:p>
            <w:pPr>
              <w:spacing w:after="0" w:line="195" w:lineRule="exact"/>
              <w:rPr>
                <w:rFonts w:ascii="Times New Roman" w:cs="Times New Roman" w:eastAsia="Times New Roman" w:hAnsi="Times New Roman"/>
                <w:sz w:val="18"/>
                <w:szCs w:val="18"/>
                <w:color w:val="0000FF"/>
                <w:w w:val="92"/>
              </w:rPr>
            </w:pPr>
            <w:hyperlink r:id="rId401">
              <w:r>
                <w:rPr>
                  <w:rFonts w:ascii="Times New Roman" w:cs="Times New Roman" w:eastAsia="Times New Roman" w:hAnsi="Times New Roman"/>
                  <w:sz w:val="18"/>
                  <w:szCs w:val="18"/>
                  <w:color w:val="0000FF"/>
                  <w:w w:val="92"/>
                </w:rPr>
                <w:t>92656.</w:t>
              </w:r>
            </w:hyperlink>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10.23+</w:t>
            </w: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Confirmatory Employment Letter, by and between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Registrant and Ron Kurtz, dated as of July 8, 2021.</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400" w:type="dxa"/>
            <w:vAlign w:val="bottom"/>
            <w:gridSpan w:val="19"/>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Confirmatory Employment Letter, by and between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Registrant and Shelley Thunen, dated as of July 8, 2021.</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400" w:type="dxa"/>
            <w:vAlign w:val="bottom"/>
            <w:gridSpan w:val="19"/>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Confirmatory Employment Letter, by and between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Registrant and Eric Weinberg, dated as of July 8, 2021.</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4400" w:type="dxa"/>
            <w:vAlign w:val="bottom"/>
            <w:gridSpan w:val="19"/>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Confirmatory Employment Letter, by and between the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Registrant and Ilya Goldshleger, dated as of July 8, 2021.</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4400" w:type="dxa"/>
            <w:vAlign w:val="bottom"/>
            <w:gridSpan w:val="19"/>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Change in Control and Severance Agreement, by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between the Registrant and Ron Kurtz, dated as of July 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00" w:type="dxa"/>
            <w:vAlign w:val="bottom"/>
          </w:tcPr>
          <w:p>
            <w:pPr>
              <w:spacing w:after="0" w:line="195" w:lineRule="exact"/>
              <w:rPr>
                <w:rFonts w:ascii="Times New Roman" w:cs="Times New Roman" w:eastAsia="Times New Roman" w:hAnsi="Times New Roman"/>
                <w:sz w:val="18"/>
                <w:szCs w:val="18"/>
                <w:color w:val="0000FF"/>
                <w:w w:val="88"/>
              </w:rPr>
            </w:pPr>
            <w:hyperlink r:id="rId406">
              <w:r>
                <w:rPr>
                  <w:rFonts w:ascii="Times New Roman" w:cs="Times New Roman" w:eastAsia="Times New Roman" w:hAnsi="Times New Roman"/>
                  <w:sz w:val="18"/>
                  <w:szCs w:val="18"/>
                  <w:color w:val="0000FF"/>
                  <w:w w:val="88"/>
                </w:rPr>
                <w:t>2021.</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10.28+</w:t>
            </w: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Change in Control and Severance Agreement, by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between the Registrant and Shelley Thunen, dated as of July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gridSpan w:val="3"/>
          </w:tcPr>
          <w:p>
            <w:pPr>
              <w:spacing w:after="0" w:line="195" w:lineRule="exact"/>
              <w:rPr>
                <w:rFonts w:ascii="Times New Roman" w:cs="Times New Roman" w:eastAsia="Times New Roman" w:hAnsi="Times New Roman"/>
                <w:sz w:val="18"/>
                <w:szCs w:val="18"/>
                <w:color w:val="0000FF"/>
                <w:w w:val="88"/>
              </w:rPr>
            </w:pPr>
            <w:hyperlink r:id="rId407">
              <w:r>
                <w:rPr>
                  <w:rFonts w:ascii="Times New Roman" w:cs="Times New Roman" w:eastAsia="Times New Roman" w:hAnsi="Times New Roman"/>
                  <w:sz w:val="18"/>
                  <w:szCs w:val="18"/>
                  <w:color w:val="0000FF"/>
                  <w:w w:val="88"/>
                </w:rPr>
                <w:t>8, 2021.</w:t>
              </w:r>
            </w:hyperlink>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10.29+</w:t>
            </w: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Change in Control and Severance Agreement, by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between the Registrant and Eric Weinberg, dated as of July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gridSpan w:val="3"/>
          </w:tcPr>
          <w:p>
            <w:pPr>
              <w:spacing w:after="0" w:line="195" w:lineRule="exact"/>
              <w:rPr>
                <w:rFonts w:ascii="Times New Roman" w:cs="Times New Roman" w:eastAsia="Times New Roman" w:hAnsi="Times New Roman"/>
                <w:sz w:val="18"/>
                <w:szCs w:val="18"/>
                <w:color w:val="0000FF"/>
                <w:w w:val="88"/>
              </w:rPr>
            </w:pPr>
            <w:hyperlink r:id="rId408">
              <w:r>
                <w:rPr>
                  <w:rFonts w:ascii="Times New Roman" w:cs="Times New Roman" w:eastAsia="Times New Roman" w:hAnsi="Times New Roman"/>
                  <w:sz w:val="18"/>
                  <w:szCs w:val="18"/>
                  <w:color w:val="0000FF"/>
                  <w:w w:val="88"/>
                </w:rPr>
                <w:t>8, 2021.</w:t>
              </w:r>
            </w:hyperlink>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10.30+</w:t>
            </w: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Change in Control and Severance Agreement, by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w w:val="99"/>
              </w:rPr>
            </w:pPr>
            <w:hyperlink r:id="rId409">
              <w:r>
                <w:rPr>
                  <w:rFonts w:ascii="Times New Roman" w:cs="Times New Roman" w:eastAsia="Times New Roman" w:hAnsi="Times New Roman"/>
                  <w:sz w:val="18"/>
                  <w:szCs w:val="18"/>
                  <w:color w:val="0000FF"/>
                  <w:w w:val="99"/>
                </w:rPr>
                <w:t>between the Registrant and Ilya Goldshleger, dated as of July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gridSpan w:val="3"/>
          </w:tcPr>
          <w:p>
            <w:pPr>
              <w:spacing w:after="0" w:line="195" w:lineRule="exact"/>
              <w:rPr>
                <w:rFonts w:ascii="Times New Roman" w:cs="Times New Roman" w:eastAsia="Times New Roman" w:hAnsi="Times New Roman"/>
                <w:sz w:val="18"/>
                <w:szCs w:val="18"/>
                <w:color w:val="0000FF"/>
                <w:w w:val="88"/>
              </w:rPr>
            </w:pPr>
            <w:hyperlink r:id="rId409">
              <w:r>
                <w:rPr>
                  <w:rFonts w:ascii="Times New Roman" w:cs="Times New Roman" w:eastAsia="Times New Roman" w:hAnsi="Times New Roman"/>
                  <w:sz w:val="18"/>
                  <w:szCs w:val="18"/>
                  <w:color w:val="0000FF"/>
                  <w:w w:val="88"/>
                </w:rPr>
                <w:t>8, 2021.</w:t>
              </w:r>
            </w:hyperlink>
          </w:p>
        </w:tc>
        <w:tc>
          <w:tcPr>
            <w:tcW w:w="1020" w:type="dxa"/>
            <w:vAlign w:val="bottom"/>
          </w:tcPr>
          <w:p>
            <w:pPr>
              <w:spacing w:after="0"/>
              <w:rPr>
                <w:sz w:val="17"/>
                <w:szCs w:val="17"/>
                <w:color w:val="auto"/>
              </w:rPr>
            </w:pPr>
          </w:p>
        </w:tc>
        <w:tc>
          <w:tcPr>
            <w:tcW w:w="160" w:type="dxa"/>
            <w:vAlign w:val="bottom"/>
            <w:vMerge w:val="restart"/>
          </w:tcPr>
          <w:p>
            <w:pPr>
              <w:spacing w:after="0"/>
              <w:rPr>
                <w:rFonts w:ascii="Times New Roman" w:cs="Times New Roman" w:eastAsia="Times New Roman" w:hAnsi="Times New Roman"/>
                <w:sz w:val="12"/>
                <w:szCs w:val="12"/>
                <w:color w:val="0000FF"/>
                <w:w w:val="80"/>
              </w:rPr>
            </w:pPr>
            <w:hyperlink r:id="rId410">
              <w:r>
                <w:rPr>
                  <w:rFonts w:ascii="Times New Roman" w:cs="Times New Roman" w:eastAsia="Times New Roman" w:hAnsi="Times New Roman"/>
                  <w:sz w:val="12"/>
                  <w:szCs w:val="12"/>
                  <w:color w:val="0000FF"/>
                  <w:w w:val="80"/>
                </w:rPr>
                <w:t>SM</w:t>
              </w:r>
            </w:hyperlink>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10.31</w:t>
            </w:r>
          </w:p>
        </w:tc>
        <w:tc>
          <w:tcPr>
            <w:tcW w:w="1580" w:type="dxa"/>
            <w:vAlign w:val="bottom"/>
            <w:gridSpan w:val="4"/>
            <w:vMerge w:val="restart"/>
          </w:tcPr>
          <w:p>
            <w:pPr>
              <w:spacing w:after="0"/>
              <w:rPr>
                <w:rFonts w:ascii="Times New Roman" w:cs="Times New Roman" w:eastAsia="Times New Roman" w:hAnsi="Times New Roman"/>
                <w:sz w:val="18"/>
                <w:szCs w:val="18"/>
                <w:color w:val="0000FF"/>
                <w:w w:val="96"/>
              </w:rPr>
            </w:pPr>
            <w:hyperlink r:id="rId410">
              <w:r>
                <w:rPr>
                  <w:rFonts w:ascii="Times New Roman" w:cs="Times New Roman" w:eastAsia="Times New Roman" w:hAnsi="Times New Roman"/>
                  <w:sz w:val="18"/>
                  <w:szCs w:val="18"/>
                  <w:color w:val="0000FF"/>
                  <w:w w:val="96"/>
                </w:rPr>
                <w:t>ATM Equity Offering</w:t>
              </w:r>
            </w:hyperlink>
          </w:p>
        </w:tc>
        <w:tc>
          <w:tcPr>
            <w:tcW w:w="160" w:type="dxa"/>
            <w:vAlign w:val="bottom"/>
            <w:tcBorders>
              <w:bottom w:val="single" w:sz="8" w:color="0000FF"/>
            </w:tcBorders>
            <w:vMerge w:val="continue"/>
          </w:tcPr>
          <w:p>
            <w:pPr>
              <w:spacing w:after="0"/>
              <w:rPr>
                <w:sz w:val="11"/>
                <w:szCs w:val="11"/>
                <w:color w:val="auto"/>
              </w:rPr>
            </w:pPr>
          </w:p>
        </w:tc>
        <w:tc>
          <w:tcPr>
            <w:tcW w:w="2660" w:type="dxa"/>
            <w:vAlign w:val="bottom"/>
            <w:gridSpan w:val="14"/>
            <w:vMerge w:val="restart"/>
          </w:tcPr>
          <w:p>
            <w:pPr>
              <w:ind w:left="40"/>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Sales Agreement, dated August 8,</w:t>
              </w:r>
            </w:hyperlink>
          </w:p>
        </w:tc>
        <w:tc>
          <w:tcPr>
            <w:tcW w:w="0" w:type="dxa"/>
            <w:vAlign w:val="bottom"/>
          </w:tcPr>
          <w:p>
            <w:pPr>
              <w:spacing w:after="0"/>
              <w:rPr>
                <w:sz w:val="1"/>
                <w:szCs w:val="1"/>
                <w:color w:val="auto"/>
              </w:rPr>
            </w:pPr>
          </w:p>
        </w:tc>
      </w:tr>
      <w:tr>
        <w:trPr>
          <w:trHeight w:val="61"/>
        </w:trPr>
        <w:tc>
          <w:tcPr>
            <w:tcW w:w="1160" w:type="dxa"/>
            <w:vAlign w:val="bottom"/>
            <w:vMerge w:val="continue"/>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66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gridSpan w:val="19"/>
          </w:tcPr>
          <w:p>
            <w:pPr>
              <w:spacing w:after="0" w:line="195"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2022, between the Company and BofA Securities, Inc.</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4400" w:type="dxa"/>
            <w:vAlign w:val="bottom"/>
            <w:gridSpan w:val="19"/>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Executive Incentive Compensation Plan</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10.33+*</w:t>
            </w:r>
          </w:p>
        </w:tc>
        <w:tc>
          <w:tcPr>
            <w:tcW w:w="440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Outside Director Compensation Policy</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7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August 5, 2024</w:t>
            </w:r>
          </w:p>
        </w:tc>
      </w:tr>
      <w:tr>
        <w:trPr>
          <w:trHeight w:val="863"/>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May 5, 2022</w:t>
            </w:r>
          </w:p>
        </w:tc>
      </w:tr>
      <w:tr>
        <w:trPr>
          <w:trHeight w:val="876"/>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August 8, 2022</w:t>
            </w:r>
          </w:p>
        </w:tc>
      </w:tr>
      <w:tr>
        <w:trPr>
          <w:trHeight w:val="863"/>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March 6, 2023</w:t>
            </w:r>
          </w:p>
        </w:tc>
      </w:tr>
      <w:tr>
        <w:trPr>
          <w:trHeight w:val="863"/>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647"/>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333-257790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July 9, 2021</w:t>
            </w:r>
          </w:p>
        </w:tc>
      </w:tr>
      <w:tr>
        <w:trPr>
          <w:trHeight w:val="647"/>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333-257790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July 9, 2021</w:t>
            </w:r>
          </w:p>
        </w:tc>
      </w:tr>
      <w:tr>
        <w:trPr>
          <w:trHeight w:val="647"/>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333-257790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July 9, 2021</w:t>
            </w:r>
          </w:p>
        </w:tc>
      </w:tr>
      <w:tr>
        <w:trPr>
          <w:trHeight w:val="647"/>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333-257790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July 9, 2021</w:t>
            </w:r>
          </w:p>
        </w:tc>
      </w:tr>
      <w:tr>
        <w:trPr>
          <w:trHeight w:val="647"/>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333-257790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July 9, 2021</w:t>
            </w:r>
          </w:p>
        </w:tc>
      </w:tr>
      <w:tr>
        <w:trPr>
          <w:trHeight w:val="647"/>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333-257790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July 9, 2021</w:t>
            </w:r>
          </w:p>
        </w:tc>
      </w:tr>
      <w:tr>
        <w:trPr>
          <w:trHeight w:val="647"/>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333-257790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July 9, 2021</w:t>
            </w:r>
          </w:p>
        </w:tc>
      </w:tr>
      <w:tr>
        <w:trPr>
          <w:trHeight w:val="647"/>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333-257790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July 9, 2021</w:t>
            </w:r>
          </w:p>
        </w:tc>
      </w:tr>
      <w:tr>
        <w:trPr>
          <w:trHeight w:val="642"/>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333-266651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7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August 8, 2022</w:t>
            </w:r>
          </w:p>
        </w:tc>
      </w:tr>
      <w:tr>
        <w:trPr>
          <w:trHeight w:val="23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10.35</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March 6, 2023</w:t>
            </w:r>
          </w:p>
        </w:tc>
      </w:tr>
    </w:tbl>
    <w:p>
      <w:pPr>
        <w:sectPr>
          <w:pgSz w:w="11900" w:h="16838" w:orient="portrait"/>
          <w:cols w:equalWidth="0" w:num="2">
            <w:col w:w="5740" w:space="160"/>
            <w:col w:w="4980"/>
          </w:cols>
          <w:pgMar w:left="340" w:top="1402" w:right="67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21.1</w:t>
            </w:r>
          </w:p>
        </w:tc>
        <w:tc>
          <w:tcPr>
            <w:tcW w:w="4400" w:type="dxa"/>
            <w:vAlign w:val="bottom"/>
            <w:gridSpan w:val="11"/>
          </w:tcPr>
          <w:p>
            <w:pPr>
              <w:spacing w:after="0" w:line="195"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Subsidiaries of the Registrant.</w:t>
              </w:r>
            </w:hyperlink>
          </w:p>
        </w:tc>
        <w:tc>
          <w:tcPr>
            <w:tcW w:w="12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right"/>
              <w:ind w:right="270"/>
              <w:spacing w:after="0" w:line="195" w:lineRule="exact"/>
              <w:rPr>
                <w:sz w:val="20"/>
                <w:szCs w:val="20"/>
                <w:color w:val="auto"/>
              </w:rPr>
            </w:pPr>
            <w:r>
              <w:rPr>
                <w:rFonts w:ascii="Times New Roman" w:cs="Times New Roman" w:eastAsia="Times New Roman" w:hAnsi="Times New Roman"/>
                <w:sz w:val="18"/>
                <w:szCs w:val="18"/>
                <w:color w:val="auto"/>
              </w:rPr>
              <w:t>001-40690</w:t>
            </w:r>
          </w:p>
        </w:tc>
        <w:tc>
          <w:tcPr>
            <w:tcW w:w="1100" w:type="dxa"/>
            <w:vAlign w:val="bottom"/>
          </w:tcPr>
          <w:p>
            <w:pPr>
              <w:jc w:val="right"/>
              <w:ind w:right="330"/>
              <w:spacing w:after="0" w:line="195" w:lineRule="exact"/>
              <w:rPr>
                <w:sz w:val="20"/>
                <w:szCs w:val="20"/>
                <w:color w:val="auto"/>
              </w:rPr>
            </w:pPr>
            <w:r>
              <w:rPr>
                <w:rFonts w:ascii="Times New Roman" w:cs="Times New Roman" w:eastAsia="Times New Roman" w:hAnsi="Times New Roman"/>
                <w:sz w:val="18"/>
                <w:szCs w:val="18"/>
                <w:color w:val="auto"/>
              </w:rPr>
              <w:t>21.1</w:t>
            </w:r>
          </w:p>
        </w:tc>
        <w:tc>
          <w:tcPr>
            <w:tcW w:w="1820" w:type="dxa"/>
            <w:vAlign w:val="bottom"/>
          </w:tcPr>
          <w:p>
            <w:pPr>
              <w:jc w:val="center"/>
              <w:ind w:left="210"/>
              <w:spacing w:after="0" w:line="195" w:lineRule="exact"/>
              <w:rPr>
                <w:sz w:val="20"/>
                <w:szCs w:val="20"/>
                <w:color w:val="auto"/>
              </w:rPr>
            </w:pPr>
            <w:r>
              <w:rPr>
                <w:rFonts w:ascii="Times New Roman" w:cs="Times New Roman" w:eastAsia="Times New Roman" w:hAnsi="Times New Roman"/>
                <w:sz w:val="18"/>
                <w:szCs w:val="18"/>
                <w:color w:val="auto"/>
                <w:w w:val="98"/>
              </w:rPr>
              <w:t>March 8, 2022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23.1*</w:t>
            </w: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31.1*</w:t>
            </w: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62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13a-14(a) and 15d-14(a) under the Securities Exchange Act</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of 1934, as Adopted Pursuant to Section 302 of the</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62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tcBorders>
              <w:left w:val="single" w:sz="8" w:color="0000EE"/>
            </w:tcBorders>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4400" w:type="dxa"/>
            <w:vAlign w:val="bottom"/>
            <w:gridSpan w:val="11"/>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Compensation Recovery Policy</w:t>
              </w:r>
            </w:hyperlink>
          </w:p>
        </w:tc>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001-40690</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97.1</w:t>
            </w:r>
          </w:p>
        </w:tc>
        <w:tc>
          <w:tcPr>
            <w:tcW w:w="18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February 28, 2024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EE"/>
            </w:tcBorders>
            <w:gridSpan w:val="4"/>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r>
      <w:tr>
        <w:trPr>
          <w:trHeight w:val="43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1180" w:type="dxa"/>
            <w:vAlign w:val="bottom"/>
          </w:tcPr>
          <w:p>
            <w:pPr>
              <w:spacing w:after="0"/>
              <w:rPr>
                <w:sz w:val="18"/>
                <w:szCs w:val="18"/>
                <w:color w:val="auto"/>
              </w:rPr>
            </w:pPr>
          </w:p>
        </w:tc>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1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 the Inline XBRL document).</w:t>
            </w: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35"/>
        </w:trPr>
        <w:tc>
          <w:tcPr>
            <w:tcW w:w="1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20" w:type="dxa"/>
            <w:vAlign w:val="bottom"/>
          </w:tcPr>
          <w:p>
            <w:pPr>
              <w:spacing w:after="0"/>
              <w:rPr>
                <w:sz w:val="11"/>
                <w:szCs w:val="11"/>
                <w:color w:val="auto"/>
              </w:rPr>
            </w:pPr>
          </w:p>
        </w:tc>
      </w:tr>
    </w:tbl>
    <w:p>
      <w:pPr>
        <w:spacing w:after="0" w:line="305" w:lineRule="exact"/>
        <w:rPr>
          <w:sz w:val="20"/>
          <w:szCs w:val="20"/>
          <w:color w:val="auto"/>
        </w:rPr>
      </w:pPr>
    </w:p>
    <w:p>
      <w:pPr>
        <w:ind w:left="1160" w:hanging="1139"/>
        <w:spacing w:after="0"/>
        <w:tabs>
          <w:tab w:leader="none" w:pos="11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98" w:lineRule="exact"/>
        <w:rPr>
          <w:sz w:val="20"/>
          <w:szCs w:val="20"/>
          <w:color w:val="auto"/>
        </w:rPr>
      </w:pPr>
    </w:p>
    <w:p>
      <w:pPr>
        <w:ind w:left="1160" w:hanging="1139"/>
        <w:spacing w:after="0" w:line="265" w:lineRule="auto"/>
        <w:tabs>
          <w:tab w:leader="none" w:pos="11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Annual Report on Form 10-K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w:t>
      </w:r>
    </w:p>
    <w:p>
      <w:pPr>
        <w:spacing w:after="0" w:line="177" w:lineRule="exact"/>
        <w:rPr>
          <w:sz w:val="20"/>
          <w:szCs w:val="20"/>
          <w:color w:val="auto"/>
        </w:rPr>
      </w:pPr>
    </w:p>
    <w:p>
      <w:pPr>
        <w:ind w:left="1160" w:hanging="1139"/>
        <w:spacing w:after="0"/>
        <w:tabs>
          <w:tab w:leader="none" w:pos="11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7" w:lineRule="exact"/>
        <w:rPr>
          <w:sz w:val="20"/>
          <w:szCs w:val="20"/>
          <w:color w:val="auto"/>
        </w:rPr>
      </w:pPr>
    </w:p>
    <w:p>
      <w:pPr>
        <w:ind w:left="1160" w:right="40" w:hanging="1139"/>
        <w:spacing w:after="0" w:line="260" w:lineRule="auto"/>
        <w:tabs>
          <w:tab w:leader="none" w:pos="11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were omitted pursuant to Item 601(b)(10) of Regulation S-K. The Company agrees to furnish to the Securities and Exchange Commission a copy of any omitted portions of the exhibit upon request.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2" w:right="51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7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RxSight, Inc.</w:t>
            </w:r>
          </w:p>
        </w:tc>
        <w:tc>
          <w:tcPr>
            <w:tcW w:w="4160" w:type="dxa"/>
            <w:vAlign w:val="bottom"/>
          </w:tcPr>
          <w:p>
            <w:pPr>
              <w:spacing w:after="0"/>
              <w:rPr>
                <w:sz w:val="20"/>
                <w:szCs w:val="20"/>
                <w:color w:val="auto"/>
              </w:rPr>
            </w:pPr>
          </w:p>
        </w:tc>
      </w:tr>
      <w:tr>
        <w:trPr>
          <w:trHeight w:val="43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37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Ron Kurtz, M.D.</w:t>
            </w:r>
          </w:p>
        </w:tc>
      </w:tr>
      <w:tr>
        <w:trPr>
          <w:trHeight w:val="191"/>
        </w:trPr>
        <w:tc>
          <w:tcPr>
            <w:tcW w:w="33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tcPr>
          <w:p>
            <w:pPr>
              <w:jc w:val="center"/>
              <w:ind w:right="970"/>
              <w:spacing w:after="0" w:line="191" w:lineRule="exact"/>
              <w:rPr>
                <w:sz w:val="20"/>
                <w:szCs w:val="20"/>
                <w:color w:val="auto"/>
              </w:rPr>
            </w:pPr>
            <w:r>
              <w:rPr>
                <w:rFonts w:ascii="Times New Roman" w:cs="Times New Roman" w:eastAsia="Times New Roman" w:hAnsi="Times New Roman"/>
                <w:sz w:val="18"/>
                <w:szCs w:val="18"/>
                <w:color w:val="auto"/>
                <w:w w:val="99"/>
              </w:rPr>
              <w:t>Ron Kurtz, M.D.</w:t>
            </w:r>
          </w:p>
        </w:tc>
      </w:tr>
      <w:tr>
        <w:trPr>
          <w:trHeight w:val="216"/>
        </w:trPr>
        <w:tc>
          <w:tcPr>
            <w:tcW w:w="3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3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647"/>
        </w:trPr>
        <w:tc>
          <w:tcPr>
            <w:tcW w:w="3320" w:type="dxa"/>
            <w:vAlign w:val="bottom"/>
          </w:tcPr>
          <w:p>
            <w:pPr>
              <w:spacing w:after="0"/>
              <w:rPr>
                <w:sz w:val="24"/>
                <w:szCs w:val="24"/>
                <w:color w:val="auto"/>
              </w:rPr>
            </w:pPr>
          </w:p>
        </w:tc>
        <w:tc>
          <w:tcPr>
            <w:tcW w:w="374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4160" w:type="dxa"/>
            <w:vAlign w:val="bottom"/>
          </w:tcPr>
          <w:p>
            <w:pPr>
              <w:spacing w:after="0"/>
              <w:rPr>
                <w:sz w:val="24"/>
                <w:szCs w:val="24"/>
                <w:color w:val="auto"/>
              </w:rPr>
            </w:pPr>
          </w:p>
        </w:tc>
      </w:tr>
    </w:tbl>
    <w:p>
      <w:pPr>
        <w:spacing w:after="0" w:line="200" w:lineRule="exact"/>
        <w:rPr>
          <w:sz w:val="20"/>
          <w:szCs w:val="20"/>
          <w:color w:val="auto"/>
        </w:rPr>
      </w:pPr>
    </w:p>
    <w:p>
      <w:pPr>
        <w:spacing w:after="0" w:line="3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Ron Kurtz, M.D. and Shelley Thunen as such individual’s true and lawful attorney in fact and agent with full power of substitution, for such individual in any and all capacities, to sign any and all amendments to this Annual Report on Form 10-K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w:t>
      </w:r>
    </w:p>
    <w:p>
      <w:pPr>
        <w:spacing w:after="0" w:line="79"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6" w:name="page137"/>
    <w:bookmarkEnd w:id="136"/>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371"/>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Ron Kurtz, M.D.</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 and Director</w:t>
            </w:r>
          </w:p>
        </w:tc>
      </w:tr>
      <w:tr>
        <w:trPr>
          <w:trHeight w:val="228"/>
        </w:trPr>
        <w:tc>
          <w:tcPr>
            <w:tcW w:w="20" w:type="dxa"/>
            <w:vAlign w:val="bottom"/>
          </w:tcPr>
          <w:p>
            <w:pPr>
              <w:spacing w:after="0"/>
              <w:rPr>
                <w:sz w:val="19"/>
                <w:szCs w:val="19"/>
                <w:color w:val="auto"/>
              </w:rPr>
            </w:pPr>
          </w:p>
        </w:tc>
        <w:tc>
          <w:tcPr>
            <w:tcW w:w="3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Ron Kurtz, M.D.</w:t>
            </w:r>
          </w:p>
        </w:tc>
        <w:tc>
          <w:tcPr>
            <w:tcW w:w="1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27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Shelley Thunen</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 President and Chief Financial Officer</w:t>
            </w:r>
          </w:p>
        </w:tc>
      </w:tr>
      <w:tr>
        <w:trPr>
          <w:trHeight w:val="228"/>
        </w:trPr>
        <w:tc>
          <w:tcPr>
            <w:tcW w:w="20" w:type="dxa"/>
            <w:vAlign w:val="bottom"/>
          </w:tcPr>
          <w:p>
            <w:pPr>
              <w:spacing w:after="0"/>
              <w:rPr>
                <w:sz w:val="19"/>
                <w:szCs w:val="19"/>
                <w:color w:val="auto"/>
              </w:rPr>
            </w:pPr>
          </w:p>
        </w:tc>
        <w:tc>
          <w:tcPr>
            <w:tcW w:w="3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Shelley Thunen</w:t>
            </w:r>
          </w:p>
        </w:tc>
        <w:tc>
          <w:tcPr>
            <w:tcW w:w="1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7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J. Andy Corley</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w:t>
            </w:r>
          </w:p>
        </w:tc>
      </w:tr>
      <w:tr>
        <w:trPr>
          <w:trHeight w:val="228"/>
        </w:trPr>
        <w:tc>
          <w:tcPr>
            <w:tcW w:w="20" w:type="dxa"/>
            <w:vAlign w:val="bottom"/>
          </w:tcPr>
          <w:p>
            <w:pPr>
              <w:spacing w:after="0"/>
              <w:rPr>
                <w:sz w:val="19"/>
                <w:szCs w:val="19"/>
                <w:color w:val="auto"/>
              </w:rPr>
            </w:pPr>
          </w:p>
        </w:tc>
        <w:tc>
          <w:tcPr>
            <w:tcW w:w="3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 Andy Corley</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27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William Link, Ph.D.</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3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William Link, Ph.D.</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27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Juliet Tammenoms Bakker</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33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Juliet Tammenoms Bakker</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27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/s/ Julie Andrews</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33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Julie Andrews</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278"/>
        </w:trPr>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Robert Palmisano</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3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Robert Palmisano</w:t>
            </w: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Robert Warner</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Robert Warner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Shweta Singh Maniar</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Shweta Singh Maniar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Tamara R. Fountain, M.D.</w:t>
            </w:r>
          </w:p>
        </w:tc>
        <w:tc>
          <w:tcPr>
            <w:tcW w:w="12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Tamara R. Fountain, M.D.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92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2"/>
          </w:tcPr>
          <w:p>
            <w:pPr>
              <w:jc w:val="right"/>
              <w:ind w:right="2852"/>
              <w:spacing w:after="0"/>
              <w:rPr>
                <w:sz w:val="20"/>
                <w:szCs w:val="20"/>
                <w:color w:val="auto"/>
              </w:rPr>
            </w:pPr>
            <w:r>
              <w:rPr>
                <w:rFonts w:ascii="Times New Roman" w:cs="Times New Roman" w:eastAsia="Times New Roman" w:hAnsi="Times New Roman"/>
                <w:sz w:val="18"/>
                <w:szCs w:val="18"/>
                <w:color w:val="auto"/>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7620</wp:posOffset>
            </wp:positionV>
            <wp:extent cx="154114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8">
                      <a:extLst>
                        <a:ext uri="{28A0092B-C50C-407E-A947-70E740481C1C}"/>
                      </a:extLst>
                    </a:blip>
                    <a:srcRect/>
                    <a:stretch>
                      <a:fillRect/>
                    </a:stretch>
                  </pic:blipFill>
                  <pic:spPr bwMode="auto">
                    <a:xfrm>
                      <a:off x="0" y="0"/>
                      <a:ext cx="154114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ectPr>
          <w:pgSz w:w="11900" w:h="16838" w:orient="portrait"/>
          <w:cols w:equalWidth="0" w:num="2">
            <w:col w:w="8700" w:space="660"/>
            <w:col w:w="1320"/>
          </w:cols>
          <w:pgMar w:left="320" w:top="1440" w:right="899" w:bottom="1440" w:gutter="0" w:footer="0" w:header="0"/>
        </w:sectPr>
      </w:pPr>
    </w:p>
    <w:bookmarkStart w:id="137" w:name="page138"/>
    <w:bookmarkEnd w:id="137"/>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DESCRIPTION OF THE REGISTRANT’S SECURITIES REGISTERED PURSUANT TO SECTION 12 OF THE SECURITIES EXCHANGE ACT OF 1934</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RxSight, Inc. (the “Company,” “we,” “our,” or “us”) has one class of securities registered under Section 12 of the Securities Exchange Act of 1934, as amended (the “Exchange Act”) – our common stock, par value $0.001 per share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Description of Common Stock</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following description of our common stock is a summary and is qualified by reference to our amended and restated certificate of incorporation and amended and restated bylaws, copies of which are filed with the SEC as exhibits to the Annual Report on Form 10-K of which this exhibit is a part, as well as by the applicable provisions of the Delaware General Corporation Law (“DGCL”).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Authorized Capital Shares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Pursuant to our amended and restated certificate of incorporation, our authorized capital stock consists of 1,000,000,000 shares of common stock, par value $0.001 per share, and 100,000,000 shares of preferred stock, par value $0.001 per share.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Rights</w:t>
      </w: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our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Rights</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Liquidation Rights</w:t>
      </w:r>
    </w:p>
    <w:p>
      <w:pPr>
        <w:spacing w:after="0" w:line="20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Preemptive or Similar Rights</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2"/>
          <w:szCs w:val="22"/>
          <w:b w:val="1"/>
          <w:bCs w:val="1"/>
          <w:color w:val="auto"/>
        </w:rPr>
        <w:t>Anti-takeover effects of certain provisions of Delaware law, our amended and restated certificate of incorporation and our amended and restated bylaws</w:t>
      </w:r>
    </w:p>
    <w:p>
      <w:pPr>
        <w:spacing w:after="0" w:line="15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provisions of the DGCL and certain provisions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Preferred stock</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Our amended and restated certificate of incorporation contains provisions that permit our board of directors to issue, without any further vote or action by the stockholders, 100,000,000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Classified board</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amended and restated certificate of incorporation provides that our board of directors is divided into three classes as nearly equal in size as is practicable, designated Class I, Class II and Class III. At each annual meeting of stockholders, directors shall be elected for a full term of three years to succeed the directors of the class whose terms expire at such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Removal of directors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Our amended and restated certificate of incorporation provides that stockholders may only remove a director for cause by a vote of no less than a majority of the shares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Director vacancies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amended and restated certificate of incorporation authorizes only our board of directors to fill vacant directorships.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 cumulative voting</w:t>
      </w:r>
    </w:p>
    <w:p>
      <w:pPr>
        <w:spacing w:after="0" w:line="21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Our amended and restated certificate of incorporation provides that stockholders do not have the right to cumulate votes in the election of directors.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Special meetings of stockholders</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by our President or by our 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 notice procedures for director nominations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Our bylaws provide that stockholders seeking to nominate candidates for election as directors at an annual or special meeting of stockholders must provide timely notice thereof in writing.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Action by written consent</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Amending our certificate of incorporation and bylaws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Authorized but unissued shares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Our authorized but unissued shares of common stock and preferred stock will be available for future issuances without stockholder approval, except as required by the listing standards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Exclusive jurisdiction</w:t>
      </w:r>
    </w:p>
    <w:p>
      <w:pPr>
        <w:spacing w:after="0" w:line="2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Our amended and restated bylaws provide that, unless we consent in writing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our amended and restated bylaws, or any action asserting a claim against us that is governed by the internal affairs doctrine. This Delaware forum provision does not apply to actions arising under the Exchange Act in which the federal courts have exclusive jurisdiction. Our amended and restated bylaws provide further, unless we consent to the selection of an alternative forum, that the federal district courts of the United States of America shall be the exclusive forum for resolving any complaint asserting a cause of action arising under the Securities Act of 1933 against any person in connection with any offering of the Company’s securities, including but not limited to any auditor, underwriter, selling shareholder, expert, control person, or other defendant.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Business combinations with interested stockholders</w:t>
      </w:r>
    </w:p>
    <w:p>
      <w:pPr>
        <w:spacing w:after="0" w:line="21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9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coverage for our directors, officers and certain employees for some liabilities. We believe that these indemnification provisions and insurance are useful to attract and retain qualified directors and executive directors.</w:t>
      </w:r>
    </w:p>
    <w:p>
      <w:pPr>
        <w:spacing w:after="0" w:line="1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common stock is listed on the Nasdaq Global Market under the trading symbol “RXST”.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transfer agent and registrar for our common stock is Equiniti Trust Company, LLC. The transfer agent and registrar’s address is 6201 15th Avenue, Brooklyn, New York 11219, and its telephone number is 718-921-8300. Our shares of common stock will be issued in uncertificated form only, subject to limited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RxSIGHT,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9" w:lineRule="exact"/>
        <w:rPr>
          <w:sz w:val="20"/>
          <w:szCs w:val="20"/>
          <w:color w:val="auto"/>
        </w:rPr>
      </w:pPr>
    </w:p>
    <w:p>
      <w:pPr>
        <w:ind w:left="1020" w:hanging="263"/>
        <w:spacing w:after="0"/>
        <w:tabs>
          <w:tab w:leader="none" w:pos="10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Purposes of the Plan; Award Types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 The purposes of this Plan are to attract and retain personnel for positions with the Company Group, to provide additional incentive to Employees, Directors, and Consultants (collectively, “</w:t>
      </w:r>
      <w:r>
        <w:rPr>
          <w:rFonts w:ascii="Times New Roman" w:cs="Times New Roman" w:eastAsia="Times New Roman" w:hAnsi="Times New Roman"/>
          <w:sz w:val="22"/>
          <w:szCs w:val="22"/>
          <w:u w:val="single" w:color="auto"/>
          <w:color w:val="auto"/>
        </w:rPr>
        <w:t>Service Providers</w:t>
      </w:r>
      <w:r>
        <w:rPr>
          <w:rFonts w:ascii="Times New Roman" w:cs="Times New Roman" w:eastAsia="Times New Roman" w:hAnsi="Times New Roman"/>
          <w:sz w:val="22"/>
          <w:szCs w:val="22"/>
          <w:color w:val="auto"/>
        </w:rPr>
        <w:t>”), and to promote the success of the Company’s business.</w:t>
      </w:r>
    </w:p>
    <w:p>
      <w:pPr>
        <w:spacing w:after="0" w:line="172"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Types</w:t>
      </w:r>
      <w:r>
        <w:rPr>
          <w:rFonts w:ascii="Times New Roman" w:cs="Times New Roman" w:eastAsia="Times New Roman" w:hAnsi="Times New Roman"/>
          <w:sz w:val="22"/>
          <w:szCs w:val="22"/>
          <w:color w:val="auto"/>
        </w:rPr>
        <w:t>. The Plan permits the grant of Incentive Stock Options to any ISO Employee and the grant of Nonstatutory Stock Options, Stock Appreciation Rights, Restricted Stock, Restricted Stock Units, and Performance Awards to any Service Provider.</w:t>
      </w:r>
    </w:p>
    <w:p>
      <w:pPr>
        <w:spacing w:after="0" w:line="17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definitions are used in this Plan:</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Administrator as defined in Section 4(a).</w:t>
      </w:r>
    </w:p>
    <w:p>
      <w:pPr>
        <w:spacing w:after="0" w:line="205"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under U.S. federal and state corporate laws, U.S. federal and state securities laws, the Code, any stock exchange or quotation system on which the Common Stock is listed or quoted and, only to the extent applicable with respect to an Award or Awards, the tax, securities, exchange control, and other laws of any jurisdictions other than the United States where Awards are, or will be, granted under the Plan. Reference to a section of an Applicable Law or regulation related to that section shall include such section or regulation, any valid regulation issued under such section, and any comparable provision of any future legislation or regulation amending, supplementing or superseding such section or regulation.</w:t>
      </w:r>
    </w:p>
    <w:p>
      <w:pPr>
        <w:spacing w:after="0" w:line="184"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or Performance Awards.</w:t>
      </w:r>
    </w:p>
    <w:p>
      <w:pPr>
        <w:spacing w:after="0" w:line="157"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the written or electronic agreement setting forth the terms applicable to an Award granted under the Plan. The Award Agreement is subject to the terms of the Plan.</w:t>
      </w:r>
    </w:p>
    <w:p>
      <w:pPr>
        <w:spacing w:after="0" w:line="15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of the following events:</w:t>
      </w:r>
    </w:p>
    <w:p>
      <w:pPr>
        <w:spacing w:after="0" w:line="205"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with the stock held by such Person, constitutes more than 50% of the total voting power of the stock of the Company; provided, that for this subsection, the acquisition of additional stock by any one Person, who prior to such acquisition is considered to own more than 50% of the total voting power of the stock of the Company will not be considered a Change in Control and provided, further, that any change in the ownership of the stock of the Company as a result of a private financing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34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 under this Section 2(f)(i).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4" w:lineRule="exact"/>
        <w:rPr>
          <w:sz w:val="20"/>
          <w:szCs w:val="20"/>
          <w:color w:val="auto"/>
        </w:rPr>
      </w:pPr>
    </w:p>
    <w:p>
      <w:pPr>
        <w:jc w:val="both"/>
        <w:ind w:firstLine="2254"/>
        <w:spacing w:after="0" w:line="237" w:lineRule="auto"/>
        <w:tabs>
          <w:tab w:leader="none" w:pos="254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effective control of the Company which occurs on the date a majority of members of the Board is replaced during any 12-month period by Directors whose appointment or election is not endorsed by a majority of the members of the Board prior to the appointment or election. For purposes of this Section 2(f)(ii), if any Person is considered to be in effective control of the Company, the acquisition of additional control of the Company by the same Person will not be considered a Change in Control; or</w:t>
      </w:r>
    </w:p>
    <w:p>
      <w:pPr>
        <w:spacing w:after="0" w:line="180"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color w:val="auto"/>
        </w:rPr>
        <w:t>(iii)A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that for this Section 2(f)(iii), the following will not constitute a change in the ownership of a substantial portion of the Company’s assets:</w:t>
      </w:r>
    </w:p>
    <w:p>
      <w:pPr>
        <w:spacing w:after="0" w:line="179" w:lineRule="exact"/>
        <w:rPr>
          <w:sz w:val="20"/>
          <w:szCs w:val="20"/>
          <w:color w:val="auto"/>
        </w:rPr>
      </w:pPr>
    </w:p>
    <w:p>
      <w:pPr>
        <w:ind w:left="3580" w:hanging="577"/>
        <w:spacing w:after="0"/>
        <w:tabs>
          <w:tab w:leader="none" w:pos="35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controlled by the Company’s stockholders immediately after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transfer, or</w:t>
      </w:r>
    </w:p>
    <w:p>
      <w:pPr>
        <w:spacing w:after="0" w:line="181" w:lineRule="exact"/>
        <w:rPr>
          <w:sz w:val="20"/>
          <w:szCs w:val="20"/>
          <w:color w:val="auto"/>
        </w:rPr>
      </w:pPr>
    </w:p>
    <w:p>
      <w:pPr>
        <w:ind w:left="3580" w:hanging="577"/>
        <w:spacing w:after="0"/>
        <w:tabs>
          <w:tab w:leader="none" w:pos="35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of assets by the Company to:</w:t>
      </w:r>
    </w:p>
    <w:p>
      <w:pPr>
        <w:spacing w:after="0" w:line="205"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 of the Company (immediately before the asset transfer) in exchange</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for or with respect to the Company’s stock,</w:t>
      </w:r>
    </w:p>
    <w:p>
      <w:pPr>
        <w:spacing w:after="0" w:line="181" w:lineRule="exact"/>
        <w:rPr>
          <w:rFonts w:ascii="Times New Roman" w:cs="Times New Roman" w:eastAsia="Times New Roman" w:hAnsi="Times New Roman"/>
          <w:sz w:val="20"/>
          <w:szCs w:val="20"/>
          <w:color w:val="auto"/>
        </w:rPr>
      </w:pPr>
    </w:p>
    <w:p>
      <w:pPr>
        <w:ind w:left="4080" w:hanging="328"/>
        <w:spacing w:after="0"/>
        <w:tabs>
          <w:tab w:leader="none" w:pos="408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entity, 50% or more of the total value or voting power of which is owned,</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by the Company,</w:t>
      </w:r>
    </w:p>
    <w:p>
      <w:pPr>
        <w:spacing w:after="0" w:line="181" w:lineRule="exact"/>
        <w:rPr>
          <w:rFonts w:ascii="Times New Roman" w:cs="Times New Roman" w:eastAsia="Times New Roman" w:hAnsi="Times New Roman"/>
          <w:sz w:val="22"/>
          <w:szCs w:val="22"/>
          <w:color w:val="auto"/>
        </w:rPr>
      </w:pPr>
    </w:p>
    <w:p>
      <w:pPr>
        <w:ind w:firstLine="3752"/>
        <w:spacing w:after="0" w:line="258" w:lineRule="auto"/>
        <w:tabs>
          <w:tab w:leader="none" w:pos="4073"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that owns, directly or indirectly, 50% or more of the total value or voting power of all the outstanding stock of the Company, or</w:t>
      </w:r>
    </w:p>
    <w:p>
      <w:pPr>
        <w:spacing w:after="0" w:line="157"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entity, at least 50% of the total value or voting power of which is owned,</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by a Person described in Section 2(f)(iii)(2)(A) to Section 2(f)(iii)(2)(C).</w:t>
      </w:r>
    </w:p>
    <w:p>
      <w:pPr>
        <w:spacing w:after="0" w:line="181" w:lineRule="exact"/>
        <w:rPr>
          <w:sz w:val="20"/>
          <w:szCs w:val="20"/>
          <w:color w:val="auto"/>
        </w:rPr>
      </w:pPr>
    </w:p>
    <w:p>
      <w:pPr>
        <w:jc w:val="both"/>
        <w:ind w:firstLine="2246"/>
        <w:spacing w:after="0" w:line="237" w:lineRule="auto"/>
        <w:rPr>
          <w:sz w:val="20"/>
          <w:szCs w:val="20"/>
          <w:color w:val="auto"/>
        </w:rPr>
      </w:pPr>
      <w:r>
        <w:rPr>
          <w:rFonts w:ascii="Times New Roman" w:cs="Times New Roman" w:eastAsia="Times New Roman" w:hAnsi="Times New Roman"/>
          <w:sz w:val="22"/>
          <w:szCs w:val="22"/>
          <w:color w:val="auto"/>
        </w:rPr>
        <w:t>For this definition, gross fair market value means the value of the assets of the Company, or the value of the assets being disposed of, determined without regard to any liabilities associated with such assets. For this definition, persons will be acting as a group if they are owners of a corporation that enters into a merger, consolidation, purchase or acquisition of stock, or similar business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3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transaction with the Company. For the avoidance of doubt, wholly-owned subsidiaries of the Company shall not be considered “Persons” for purposes of this Section 2(f).</w:t>
      </w:r>
    </w:p>
    <w:p>
      <w:pPr>
        <w:spacing w:after="0" w:line="1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(iv)A transaction will not be a Change in Control:</w:t>
      </w:r>
    </w:p>
    <w:p>
      <w:pPr>
        <w:spacing w:after="0" w:line="205" w:lineRule="exact"/>
        <w:rPr>
          <w:sz w:val="20"/>
          <w:szCs w:val="20"/>
          <w:color w:val="auto"/>
        </w:rPr>
      </w:pPr>
    </w:p>
    <w:p>
      <w:pPr>
        <w:ind w:left="3580" w:hanging="577"/>
        <w:spacing w:after="0"/>
        <w:tabs>
          <w:tab w:leader="none" w:pos="35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transaction qualifies as a change in control event within the meaning of Code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409A; or</w:t>
      </w:r>
    </w:p>
    <w:p>
      <w:pPr>
        <w:spacing w:after="0" w:line="181" w:lineRule="exact"/>
        <w:rPr>
          <w:sz w:val="20"/>
          <w:szCs w:val="20"/>
          <w:color w:val="auto"/>
        </w:rPr>
      </w:pPr>
    </w:p>
    <w:p>
      <w:pPr>
        <w:jc w:val="both"/>
        <w:ind w:firstLine="3003"/>
        <w:spacing w:after="0" w:line="244" w:lineRule="auto"/>
        <w:tabs>
          <w:tab w:leader="none" w:pos="356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its primary purpose is to (1) change the jurisdiction of the Company’s incorporation, or (2) create a holding company owned in substantially the same proportions by the persons who held the Company’s securities immediately before such transaction.</w:t>
      </w:r>
    </w:p>
    <w:p>
      <w:pPr>
        <w:spacing w:after="0" w:line="172"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 Reference to a section of the Code or regulation related to that section shall include such section or regulation, any valid regulation issued or other official applicable guidance of general or direct applicability promulgated under such section or regulation, and any comparable provision of any future legislation, regulation or official guidance of general or direct applicability amending, supplementing or superseding such section or regulation.</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w:t>
      </w:r>
    </w:p>
    <w:p>
      <w:pPr>
        <w:spacing w:after="0" w:line="15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the Company.</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RxSight, Inc., a Delaware corporation, or any of its successors.</w:t>
      </w:r>
    </w:p>
    <w:p>
      <w:pPr>
        <w:spacing w:after="0" w:line="205"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means the Company, any Parent or Subsidiary, and any entity that, from time to time and at the time of any determination, directly or indirectly, is in control of, is controlled by or is under common control with the Company.</w:t>
      </w:r>
    </w:p>
    <w:p>
      <w:pPr>
        <w:spacing w:after="0" w:line="172"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any natural person engaged by a member of the Company Group to render bona fide services to such entity, provided the services (i) are not in connection with the offer or sale of securities in a capital raising transaction, and (ii) do not directly promote or maintain a market for the Company’s securities. A Consultant must be a person to whom the issuance of Shares registered on Form S-8 under the Securities Act is permitted.</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w:t>
      </w:r>
    </w:p>
    <w:p>
      <w:pPr>
        <w:spacing w:after="0" w:line="205"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including Officers and Directors, providing services as an employee to the Company or any member of the Company Group. However, with respect to Incentive Stock Options, an Employee must be employed by the Company or any Parent or Subsidiary of the Company (such an Employee, an “</w:t>
      </w:r>
      <w:r>
        <w:rPr>
          <w:rFonts w:ascii="Times New Roman" w:cs="Times New Roman" w:eastAsia="Times New Roman" w:hAnsi="Times New Roman"/>
          <w:sz w:val="22"/>
          <w:szCs w:val="22"/>
          <w:u w:val="single" w:color="auto"/>
          <w:color w:val="auto"/>
        </w:rPr>
        <w:t>ISO Employee</w:t>
      </w:r>
      <w:r>
        <w:rPr>
          <w:rFonts w:ascii="Times New Roman" w:cs="Times New Roman" w:eastAsia="Times New Roman" w:hAnsi="Times New Roman"/>
          <w:sz w:val="22"/>
          <w:szCs w:val="22"/>
          <w:color w:val="auto"/>
        </w:rPr>
        <w:t>”). Notwithstanding, Options awarded to individuals not providing services to the Company or a Subsidiary of the Company should be carefully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structured to comply with the payment timing rule of Code Section 409A. Neither service as a Director nor payment of a director’s fee by the Company will constitute “employment” by the Company.</w:t>
      </w:r>
    </w:p>
    <w:p>
      <w:pPr>
        <w:spacing w:after="0" w:line="157" w:lineRule="exact"/>
        <w:rPr>
          <w:sz w:val="20"/>
          <w:szCs w:val="20"/>
          <w:color w:val="auto"/>
        </w:rPr>
      </w:pPr>
    </w:p>
    <w:p>
      <w:pPr>
        <w:ind w:left="2040" w:hanging="535"/>
        <w:spacing w:after="0"/>
        <w:tabs>
          <w:tab w:leader="none" w:pos="20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w:t>
      </w:r>
    </w:p>
    <w:p>
      <w:pPr>
        <w:spacing w:after="0" w:line="205" w:lineRule="exact"/>
        <w:rPr>
          <w:rFonts w:ascii="Times New Roman" w:cs="Times New Roman" w:eastAsia="Times New Roman" w:hAnsi="Times New Roman"/>
          <w:sz w:val="22"/>
          <w:szCs w:val="22"/>
          <w:color w:val="auto"/>
        </w:rPr>
      </w:pPr>
    </w:p>
    <w:p>
      <w:pPr>
        <w:jc w:val="both"/>
        <w:ind w:firstLine="1505"/>
        <w:spacing w:after="0" w:line="266" w:lineRule="auto"/>
        <w:tabs>
          <w:tab w:leader="none" w:pos="203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Program</w:t>
      </w:r>
      <w:r>
        <w:rPr>
          <w:rFonts w:ascii="Times New Roman" w:cs="Times New Roman" w:eastAsia="Times New Roman" w:hAnsi="Times New Roman"/>
          <w:sz w:val="20"/>
          <w:szCs w:val="20"/>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5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means the price payable per share to exercise an Award.</w:t>
      </w:r>
    </w:p>
    <w:p>
      <w:pPr>
        <w:spacing w:after="0" w:line="205"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means the last possible day on which an Option or Stock Appreciation Right may be exercised. Any exercise must be completed before midnight U.S. Pacific Time between the Expiration Date and the following date; provided, however, that any broker-assisted cashless exercise of an Option granted hereunder must be completed by the close of market trading on the Expiration Date.</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the value of a Share, determined as follows:</w:t>
      </w:r>
    </w:p>
    <w:p>
      <w:pPr>
        <w:spacing w:after="0" w:line="205"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listed on any established stock exchange or a national market system, including without limitation the New York Stock Exchange, the NASDAQ Global Select Market, the NASDAQ Global Market or the NASDAQ Capital Market of The NASDAQ Stock Market, the Fair Market Value will be the closing sales price for a Share (or the closing bid, if no sales were reported) as quoted on such exchange or system on the day of determination, as reported by such source as the Administrator determines to be reliable. If the determination date for the Fair Market Value occurs on a non-Trading Day (i.e., a weekend or holiday), the Fair Market Value will be such price on the immediately preceding Trading Day, unless otherwise determined by the Administrator;</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on the last Trading Day such bids and asks were reported), as reported by such source as the Administrator determines to be reliable;</w:t>
      </w:r>
    </w:p>
    <w:p>
      <w:pPr>
        <w:spacing w:after="0" w:line="179" w:lineRule="exact"/>
        <w:rPr>
          <w:sz w:val="20"/>
          <w:szCs w:val="20"/>
          <w:color w:val="auto"/>
        </w:rPr>
      </w:pPr>
    </w:p>
    <w:p>
      <w:pPr>
        <w:jc w:val="both"/>
        <w:ind w:right="20" w:firstLine="2246"/>
        <w:spacing w:after="0" w:line="244" w:lineRule="auto"/>
        <w:rPr>
          <w:sz w:val="20"/>
          <w:szCs w:val="20"/>
          <w:color w:val="auto"/>
        </w:rPr>
      </w:pPr>
      <w:r>
        <w:rPr>
          <w:rFonts w:ascii="Times New Roman" w:cs="Times New Roman" w:eastAsia="Times New Roman" w:hAnsi="Times New Roman"/>
          <w:sz w:val="22"/>
          <w:szCs w:val="22"/>
          <w:color w:val="auto"/>
        </w:rPr>
        <w:t>(iii)For purposes of any Awards granted on the Registration Date, the Fair Market Value will be the initial price to the public as set forth in the final prospectus included within the registration statement on Form S-1 filed with the U.S. Securities and Exchange Commission for the initial public offering of the Common Stock; or</w:t>
      </w:r>
    </w:p>
    <w:p>
      <w:pPr>
        <w:spacing w:after="0" w:line="172"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(iv)Absent an established market for the Common Stock, the Fair Market Value will be determined in good faith by the Administrator.</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34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Notwithstanding the foregoing, if the determination date for the Fair Market Value occurs on a weekend, holiday or other day other than a Trading Day, the Fair Market Value will be the price as determined under subsections (t)(i) or (t)(ii) above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84" w:lineRule="exact"/>
        <w:rPr>
          <w:sz w:val="20"/>
          <w:szCs w:val="20"/>
          <w:color w:val="auto"/>
        </w:rPr>
      </w:pPr>
    </w:p>
    <w:p>
      <w:pPr>
        <w:ind w:left="2040" w:hanging="535"/>
        <w:spacing w:after="0"/>
        <w:tabs>
          <w:tab w:leader="none" w:pos="20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a fiscal year of the Company.</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means Grant Date as defined in Section 4(c).</w:t>
      </w:r>
    </w:p>
    <w:p>
      <w:pPr>
        <w:spacing w:after="0" w:line="205"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means an Option that is intended to qualify and does qualify as an incentive stock option within the meaning of Code Section 422.</w:t>
      </w:r>
    </w:p>
    <w:p>
      <w:pPr>
        <w:spacing w:after="0" w:line="157"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15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a person who is an officer of the Company within the meaning of Section 16 of the</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 right to acquire Shares granted under Section 6.</w:t>
      </w:r>
    </w:p>
    <w:p>
      <w:pPr>
        <w:spacing w:after="0" w:line="205" w:lineRule="exact"/>
        <w:rPr>
          <w:sz w:val="20"/>
          <w:szCs w:val="20"/>
          <w:color w:val="auto"/>
        </w:rPr>
      </w:pPr>
    </w:p>
    <w:p>
      <w:pPr>
        <w:ind w:left="2040" w:hanging="535"/>
        <w:spacing w:after="0"/>
        <w:tabs>
          <w:tab w:leader="none" w:pos="20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Outside Director</w:t>
      </w:r>
      <w:r>
        <w:rPr>
          <w:rFonts w:ascii="Times New Roman" w:cs="Times New Roman" w:eastAsia="Times New Roman" w:hAnsi="Times New Roman"/>
          <w:sz w:val="22"/>
          <w:szCs w:val="22"/>
          <w:color w:val="auto"/>
        </w:rPr>
        <w:t>” means a Director who is not an Employee.</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 “parent corporation,” whether now or hereafter existing, as defined in Code 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424(e).</w:t>
      </w:r>
    </w:p>
    <w:p>
      <w:pPr>
        <w:spacing w:after="0" w:line="181" w:lineRule="exact"/>
        <w:rPr>
          <w:sz w:val="20"/>
          <w:szCs w:val="20"/>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the holder of an outstanding Award.</w:t>
      </w:r>
    </w:p>
    <w:p>
      <w:pPr>
        <w:spacing w:after="0" w:line="205"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7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Performance Period as defined in Section 10(a)</w:t>
      </w:r>
    </w:p>
    <w:p>
      <w:pPr>
        <w:spacing w:after="0" w:line="205"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 of Restriction</w:t>
      </w:r>
      <w:r>
        <w:rPr>
          <w:rFonts w:ascii="Times New Roman" w:cs="Times New Roman" w:eastAsia="Times New Roman" w:hAnsi="Times New Roman"/>
          <w:sz w:val="22"/>
          <w:szCs w:val="22"/>
          <w:color w:val="auto"/>
        </w:rPr>
        <w:t>” means the period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this 2021 Equity Incentive Plan.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345" w:lineRule="exact"/>
        <w:rPr>
          <w:sz w:val="20"/>
          <w:szCs w:val="20"/>
          <w:color w:val="auto"/>
        </w:rPr>
      </w:pPr>
    </w:p>
    <w:p>
      <w:pPr>
        <w:jc w:val="both"/>
        <w:ind w:firstLine="1505"/>
        <w:spacing w:after="0" w:line="244" w:lineRule="auto"/>
        <w:tabs>
          <w:tab w:leader="none" w:pos="203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Date</w:t>
      </w:r>
      <w:r>
        <w:rPr>
          <w:rFonts w:ascii="Times New Roman" w:cs="Times New Roman" w:eastAsia="Times New Roman" w:hAnsi="Times New Roman"/>
          <w:sz w:val="22"/>
          <w:szCs w:val="22"/>
          <w:color w:val="auto"/>
        </w:rPr>
        <w:t>” means the effective date of the first registration statement that is filed by the Company and declared effective pursuant to Section 12(b) of the Exchange Act, with respect to any class of the Company’s securities.</w:t>
      </w:r>
    </w:p>
    <w:p>
      <w:pPr>
        <w:spacing w:after="0" w:line="172" w:lineRule="exact"/>
        <w:rPr>
          <w:rFonts w:ascii="Times New Roman" w:cs="Times New Roman" w:eastAsia="Times New Roman" w:hAnsi="Times New Roman"/>
          <w:sz w:val="22"/>
          <w:szCs w:val="22"/>
          <w:color w:val="auto"/>
        </w:rPr>
      </w:pPr>
    </w:p>
    <w:p>
      <w:pPr>
        <w:ind w:right="20" w:firstLine="1505"/>
        <w:spacing w:after="0" w:line="258" w:lineRule="auto"/>
        <w:tabs>
          <w:tab w:leader="none" w:pos="203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means Shares issued under an Award granted under Section 8 or issued as a result of the early exercise of an Option.</w:t>
      </w:r>
    </w:p>
    <w:p>
      <w:pPr>
        <w:spacing w:after="0" w:line="157"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granted under Section 9. Each Restricted Stock Unit represents an unfunded and unsecured obligation of the Company.</w:t>
      </w:r>
    </w:p>
    <w:p>
      <w:pPr>
        <w:spacing w:after="0" w:line="15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U.S. Securities Act of 1933.</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means an Employee, Director or Consultant.</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 share of the Common Stock as adjusted in accordance with Section 13 of the Plan.</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Appreciation Right</w:t>
      </w:r>
      <w:r>
        <w:rPr>
          <w:rFonts w:ascii="Times New Roman" w:cs="Times New Roman" w:eastAsia="Times New Roman" w:hAnsi="Times New Roman"/>
          <w:sz w:val="22"/>
          <w:szCs w:val="22"/>
          <w:color w:val="auto"/>
        </w:rPr>
        <w:t>” means an Award granted under Section 7.</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as defined in Code Section 424(f), in relation to the</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Withholdings</w:t>
      </w:r>
      <w:r>
        <w:rPr>
          <w:rFonts w:ascii="Times New Roman" w:cs="Times New Roman" w:eastAsia="Times New Roman" w:hAnsi="Times New Roman"/>
          <w:sz w:val="22"/>
          <w:szCs w:val="22"/>
          <w:color w:val="auto"/>
        </w:rPr>
        <w:t>” means tax, social insurance and social security liability or premium obligations in connection with the Awards, including, without limitation, (i) all federal, state, and local income, employment and any other taxes (including the Participant’s U.S. Federal Insurance Contributions Act (FICA) obligation) that are required to be withheld by the Company or a member of the Company Group, (ii) the Participant’s and, to the extent required by the Company, the fringe benefit tax liability of the Company or a member of the Company Group, if any, associated with the grant, vesting, or exercise of an Award or sale of Shares issued under the Award, and (iii) any other taxes or social insurance or social security liabilities or premium the responsibility for which the Participant has, or has agreed to bear, with respect to such Award, the Shares subject to, or other amounts or property payable under, an Award, or otherwise associated with or related to participation in the Plan and with respect to which the Company or the applicable member of the Company Group has either agreed to withhold or has an obligation to withhold.</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 Percent Owner</w:t>
      </w:r>
      <w:r>
        <w:rPr>
          <w:rFonts w:ascii="Times New Roman" w:cs="Times New Roman" w:eastAsia="Times New Roman" w:hAnsi="Times New Roman"/>
          <w:sz w:val="22"/>
          <w:szCs w:val="22"/>
          <w:color w:val="auto"/>
        </w:rPr>
        <w:t>” means Ten Percent Owner as defined in Section 6(b)(i).</w:t>
      </w:r>
    </w:p>
    <w:p>
      <w:pPr>
        <w:spacing w:after="0" w:line="205"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primary stock exchange or national market system (or other trading platform, as applicable) on which the Common Stock trades is open for trading.</w:t>
      </w:r>
    </w:p>
    <w:p>
      <w:pPr>
        <w:spacing w:after="0" w:line="15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means Transaction as defined in Section 14(a).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45" w:lineRule="exact"/>
        <w:rPr>
          <w:sz w:val="20"/>
          <w:szCs w:val="20"/>
          <w:color w:val="auto"/>
        </w:rPr>
      </w:pPr>
    </w:p>
    <w:p>
      <w:pPr>
        <w:ind w:left="1020" w:hanging="263"/>
        <w:spacing w:after="0"/>
        <w:tabs>
          <w:tab w:leader="none" w:pos="10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Subject to the Plan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Shares to Plan</w:t>
      </w:r>
      <w:r>
        <w:rPr>
          <w:rFonts w:ascii="Times New Roman" w:cs="Times New Roman" w:eastAsia="Times New Roman" w:hAnsi="Times New Roman"/>
          <w:sz w:val="22"/>
          <w:szCs w:val="22"/>
          <w:color w:val="auto"/>
        </w:rPr>
        <w:t>. The maximum aggregate number of Shares that may be issued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2116455</wp:posOffset>
            </wp:positionH>
            <wp:positionV relativeFrom="paragraph">
              <wp:posOffset>-305435</wp:posOffset>
            </wp:positionV>
            <wp:extent cx="342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Plan is:</w:t>
      </w:r>
    </w:p>
    <w:p>
      <w:pPr>
        <w:spacing w:after="0" w:line="181" w:lineRule="exact"/>
        <w:rPr>
          <w:sz w:val="20"/>
          <w:szCs w:val="20"/>
          <w:color w:val="auto"/>
        </w:rPr>
      </w:pPr>
    </w:p>
    <w:p>
      <w:pPr>
        <w:ind w:left="2560" w:hanging="306"/>
        <w:spacing w:after="0"/>
        <w:tabs>
          <w:tab w:leader="none" w:pos="25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2,420,135 Shares, plus</w:t>
      </w:r>
    </w:p>
    <w:p>
      <w:pPr>
        <w:spacing w:after="0" w:line="205" w:lineRule="exact"/>
        <w:rPr>
          <w:rFonts w:ascii="Times New Roman" w:cs="Times New Roman" w:eastAsia="Times New Roman" w:hAnsi="Times New Roman"/>
          <w:sz w:val="22"/>
          <w:szCs w:val="22"/>
          <w:color w:val="auto"/>
        </w:rPr>
      </w:pPr>
    </w:p>
    <w:p>
      <w:pPr>
        <w:jc w:val="both"/>
        <w:ind w:firstLine="2254"/>
        <w:spacing w:after="0" w:line="257" w:lineRule="auto"/>
        <w:tabs>
          <w:tab w:leader="none" w:pos="2546"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subject to stock options or other awards granted under the Company’s 2015 Equity Incentive Plan (the “</w:t>
      </w:r>
      <w:r>
        <w:rPr>
          <w:rFonts w:ascii="Times New Roman" w:cs="Times New Roman" w:eastAsia="Times New Roman" w:hAnsi="Times New Roman"/>
          <w:sz w:val="20"/>
          <w:szCs w:val="20"/>
          <w:u w:val="single" w:color="auto"/>
          <w:color w:val="auto"/>
        </w:rPr>
        <w:t>2015 Plan</w:t>
      </w:r>
      <w:r>
        <w:rPr>
          <w:rFonts w:ascii="Times New Roman" w:cs="Times New Roman" w:eastAsia="Times New Roman" w:hAnsi="Times New Roman"/>
          <w:sz w:val="20"/>
          <w:szCs w:val="20"/>
          <w:color w:val="auto"/>
        </w:rPr>
        <w:t>”) or the 2006 Stock Plan (the “</w:t>
      </w:r>
      <w:r>
        <w:rPr>
          <w:rFonts w:ascii="Times New Roman" w:cs="Times New Roman" w:eastAsia="Times New Roman" w:hAnsi="Times New Roman"/>
          <w:sz w:val="20"/>
          <w:szCs w:val="20"/>
          <w:u w:val="single" w:color="auto"/>
          <w:color w:val="auto"/>
        </w:rPr>
        <w:t>2006 Plan</w:t>
      </w:r>
      <w:r>
        <w:rPr>
          <w:rFonts w:ascii="Times New Roman" w:cs="Times New Roman" w:eastAsia="Times New Roman" w:hAnsi="Times New Roman"/>
          <w:sz w:val="20"/>
          <w:szCs w:val="20"/>
          <w:color w:val="auto"/>
        </w:rPr>
        <w:t>”) that, on or after the business day immediately prior to the Registration Date, expire or otherwise terminate without having been exercised in full, are tendered to or withheld by the Company for payment of an exercise price or for tax withholding obligations, and any Shares issued pursuant to awards granted under the 2015 Plan or 2006 Plan that, on or after the business day immediately prior to the Registration Date, are forfeited to or repurchased by the Company due to failure to vest, with the maximum number of Shares to be added to the Plan under this clause</w:t>
      </w:r>
    </w:p>
    <w:p>
      <w:pPr>
        <w:spacing w:after="0" w:line="2"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equal to 4,840,271 Shares, plus</w:t>
      </w:r>
    </w:p>
    <w:p>
      <w:pPr>
        <w:spacing w:after="0" w:line="181" w:lineRule="exact"/>
        <w:rPr>
          <w:rFonts w:ascii="Times New Roman" w:cs="Times New Roman" w:eastAsia="Times New Roman" w:hAnsi="Times New Roman"/>
          <w:sz w:val="22"/>
          <w:szCs w:val="22"/>
          <w:color w:val="auto"/>
        </w:rPr>
      </w:pPr>
    </w:p>
    <w:p>
      <w:pPr>
        <w:ind w:left="2660" w:hanging="406"/>
        <w:spacing w:after="0"/>
        <w:tabs>
          <w:tab w:leader="none" w:pos="266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Shares that become available for issuance under the Plan under Sections 3(b) and</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w:t>
      </w:r>
    </w:p>
    <w:p>
      <w:pPr>
        <w:spacing w:after="0" w:line="18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Shares may be authorized but unissued Common Stock or Common Stock issued and then reacquired by the Company.</w:t>
      </w:r>
    </w:p>
    <w:p>
      <w:pPr>
        <w:spacing w:after="0" w:line="157" w:lineRule="exact"/>
        <w:rPr>
          <w:sz w:val="20"/>
          <w:szCs w:val="20"/>
          <w:color w:val="auto"/>
        </w:rPr>
      </w:pPr>
    </w:p>
    <w:p>
      <w:pPr>
        <w:ind w:firstLine="1505"/>
        <w:spacing w:after="0" w:line="258" w:lineRule="auto"/>
        <w:tabs>
          <w:tab w:leader="none" w:pos="203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Share Reserve Increase</w:t>
      </w:r>
      <w:r>
        <w:rPr>
          <w:rFonts w:ascii="Times New Roman" w:cs="Times New Roman" w:eastAsia="Times New Roman" w:hAnsi="Times New Roman"/>
          <w:sz w:val="22"/>
          <w:szCs w:val="22"/>
          <w:color w:val="auto"/>
        </w:rPr>
        <w:t xml:space="preserve">. The number of Shares available for issuance under the Plan will be increased on the first day of each Fiscal Year beginning with the 2022 Fiscal Year, in an amount equal to the </w:t>
      </w:r>
      <w:r>
        <w:rPr>
          <w:rFonts w:ascii="Times New Roman" w:cs="Times New Roman" w:eastAsia="Times New Roman" w:hAnsi="Times New Roman"/>
          <w:sz w:val="22"/>
          <w:szCs w:val="22"/>
          <w:u w:val="single" w:color="auto"/>
          <w:color w:val="auto"/>
        </w:rPr>
        <w:t>least</w:t>
      </w:r>
      <w:r>
        <w:rPr>
          <w:rFonts w:ascii="Times New Roman" w:cs="Times New Roman" w:eastAsia="Times New Roman" w:hAnsi="Times New Roman"/>
          <w:sz w:val="22"/>
          <w:szCs w:val="22"/>
          <w:color w:val="auto"/>
        </w:rPr>
        <w:t xml:space="preserve"> of:</w:t>
      </w:r>
    </w:p>
    <w:p>
      <w:pPr>
        <w:spacing w:after="0" w:line="157"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7,260,406 Shares,</w:t>
      </w:r>
    </w:p>
    <w:p>
      <w:pPr>
        <w:spacing w:after="0" w:line="205"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of the total number of shares of all classes of common stock of the Company outstanding on the last day of the immediately preceding Fiscal Year, and</w:t>
      </w:r>
    </w:p>
    <w:p>
      <w:pPr>
        <w:spacing w:after="0" w:line="1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(iii)a lesser number of Shares determined by the Administrator.</w:t>
      </w:r>
    </w:p>
    <w:p>
      <w:pPr>
        <w:spacing w:after="0" w:line="205" w:lineRule="exact"/>
        <w:rPr>
          <w:sz w:val="20"/>
          <w:szCs w:val="20"/>
          <w:color w:val="auto"/>
        </w:rPr>
      </w:pPr>
    </w:p>
    <w:p>
      <w:pPr>
        <w:ind w:left="2040" w:hanging="535"/>
        <w:spacing w:after="0"/>
        <w:tabs>
          <w:tab w:leader="none" w:pos="20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Reserve Return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 and Stock Appreciation Rights</w:t>
      </w:r>
      <w:r>
        <w:rPr>
          <w:rFonts w:ascii="Times New Roman" w:cs="Times New Roman" w:eastAsia="Times New Roman" w:hAnsi="Times New Roman"/>
          <w:sz w:val="22"/>
          <w:szCs w:val="22"/>
          <w:color w:val="auto"/>
        </w:rPr>
        <w:t>. If an Option or Stock Appreciation Right expires or becomes unexercisable without having been exercised in full or is surrendered under an Exchange Program, the unissued Shares subject to the Option or Stock Appreciation Right will become available for future issuance under the Plan.</w:t>
      </w:r>
    </w:p>
    <w:p>
      <w:pPr>
        <w:spacing w:after="0" w:line="172"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Rights</w:t>
      </w:r>
      <w:r>
        <w:rPr>
          <w:rFonts w:ascii="Times New Roman" w:cs="Times New Roman" w:eastAsia="Times New Roman" w:hAnsi="Times New Roman"/>
          <w:sz w:val="22"/>
          <w:szCs w:val="22"/>
          <w:color w:val="auto"/>
        </w:rPr>
        <w:t>. Only Shares actually issued pursuant to a Stock Appreciation Right (i.e., the net Shares issued) will cease to be available under the Plan; all remaining Shares originally subject to the Stock Appreciation Right will remain available for future issuance under the Plan.</w:t>
      </w:r>
    </w:p>
    <w:p>
      <w:pPr>
        <w:spacing w:after="0" w:line="172"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Full-Value Awards</w:t>
      </w:r>
      <w:r>
        <w:rPr>
          <w:rFonts w:ascii="Times New Roman" w:cs="Times New Roman" w:eastAsia="Times New Roman" w:hAnsi="Times New Roman"/>
          <w:sz w:val="22"/>
          <w:szCs w:val="22"/>
          <w:color w:val="auto"/>
        </w:rPr>
        <w:t>. Shares issued pursuant to Awards of Restricted Stock, Restricted Stock Units, or stock-settled Performance Awards that are reacquired by the Company due to failure to vest or are forfeited to the Company will become available for future issuance under the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345" w:lineRule="exact"/>
        <w:rPr>
          <w:sz w:val="20"/>
          <w:szCs w:val="20"/>
          <w:color w:val="auto"/>
        </w:rPr>
      </w:pPr>
    </w:p>
    <w:p>
      <w:pPr>
        <w:ind w:firstLine="2246"/>
        <w:spacing w:after="0" w:line="258"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u w:val="single" w:color="auto"/>
          <w:color w:val="auto"/>
        </w:rPr>
        <w:t>Withheld Shares</w:t>
      </w:r>
      <w:r>
        <w:rPr>
          <w:rFonts w:ascii="Times New Roman" w:cs="Times New Roman" w:eastAsia="Times New Roman" w:hAnsi="Times New Roman"/>
          <w:sz w:val="22"/>
          <w:szCs w:val="22"/>
          <w:color w:val="auto"/>
        </w:rPr>
        <w:t>. Shares used to pay the Exercise Price of an Award or to satisfy Tax Withholdings related to an Award will become available for future issuance under the Plan.</w:t>
      </w:r>
    </w:p>
    <w:p>
      <w:pPr>
        <w:spacing w:after="0" w:line="157" w:lineRule="exact"/>
        <w:rPr>
          <w:sz w:val="20"/>
          <w:szCs w:val="20"/>
          <w:color w:val="auto"/>
        </w:rPr>
      </w:pPr>
    </w:p>
    <w:p>
      <w:pPr>
        <w:ind w:firstLine="2254"/>
        <w:spacing w:after="0" w:line="258" w:lineRule="auto"/>
        <w:tabs>
          <w:tab w:leader="none" w:pos="2546"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Cash-Settled Awards</w:t>
      </w:r>
      <w:r>
        <w:rPr>
          <w:rFonts w:ascii="Times New Roman" w:cs="Times New Roman" w:eastAsia="Times New Roman" w:hAnsi="Times New Roman"/>
          <w:sz w:val="22"/>
          <w:szCs w:val="22"/>
          <w:color w:val="auto"/>
        </w:rPr>
        <w:t>. If any portion of an Award under the Plan is paid to a Participant in cash rather than Shares, that cash payment will not reduce the number of Shares available for issuance under the Plan.</w:t>
      </w:r>
    </w:p>
    <w:p>
      <w:pPr>
        <w:spacing w:after="0" w:line="157"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Stock Options</w:t>
      </w:r>
      <w:r>
        <w:rPr>
          <w:rFonts w:ascii="Times New Roman" w:cs="Times New Roman" w:eastAsia="Times New Roman" w:hAnsi="Times New Roman"/>
          <w:sz w:val="22"/>
          <w:szCs w:val="22"/>
          <w:color w:val="auto"/>
        </w:rPr>
        <w:t>. The maximum number of Shares that may be issued upon the exercise of Incentive Stock Options will equal 300% of the aggregate Share number stated in Section 3(a) plus, to the extent allowable under Code Section 422, any Shares that become available for issuance under the Plan under Sections 3(b) and 3(c).</w:t>
      </w:r>
    </w:p>
    <w:p>
      <w:pPr>
        <w:spacing w:after="0" w:line="172"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w:t>
      </w:r>
      <w:r>
        <w:rPr>
          <w:rFonts w:ascii="Times New Roman" w:cs="Times New Roman" w:eastAsia="Times New Roman" w:hAnsi="Times New Roman"/>
          <w:sz w:val="22"/>
          <w:szCs w:val="22"/>
          <w:color w:val="auto"/>
        </w:rPr>
        <w:t>. The numbers provided in Sections 3(a), 3(b), and 3(d) will be adjusted as a result of changes in capitalization and any other adjustments under Section 13.</w:t>
      </w:r>
    </w:p>
    <w:p>
      <w:pPr>
        <w:spacing w:after="0" w:line="157"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If the Committee grants Awards in substitution for equity compensation awards outstanding under a plan maintained by an entity acquired by or becomes a part of any member of the Company Group, the grant of those substitute Awards will not decrease the number of Shares available for issuance under the Plan.</w:t>
      </w:r>
    </w:p>
    <w:p>
      <w:pPr>
        <w:spacing w:after="0" w:line="172"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Reserve</w:t>
      </w:r>
      <w:r>
        <w:rPr>
          <w:rFonts w:ascii="Times New Roman" w:cs="Times New Roman" w:eastAsia="Times New Roman" w:hAnsi="Times New Roman"/>
          <w:sz w:val="22"/>
          <w:szCs w:val="22"/>
          <w:color w:val="auto"/>
        </w:rPr>
        <w:t>. The Company, during the term of this Plan, will at all times reserve and keep available such number of Shares as will be sufficient to satisfy the requirements of the Plan.</w:t>
      </w:r>
    </w:p>
    <w:p>
      <w:pPr>
        <w:spacing w:after="0" w:line="15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will be administered by the Board or a Committee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Different Administrators may administer the Plan with respect to different groups of Service Providers. The Board may retain the authority to concurrently administer the Plan with a Committee and may revoke the delegation of some or all authority previously delegated.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-1075690</wp:posOffset>
            </wp:positionV>
            <wp:extent cx="342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9" w:lineRule="exact"/>
        <w:rPr>
          <w:sz w:val="20"/>
          <w:szCs w:val="20"/>
          <w:color w:val="auto"/>
        </w:rPr>
      </w:pPr>
    </w:p>
    <w:p>
      <w:pPr>
        <w:jc w:val="both"/>
        <w:ind w:firstLine="2254"/>
        <w:spacing w:after="0" w:line="237" w:lineRule="auto"/>
        <w:tabs>
          <w:tab w:leader="none" w:pos="254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Laws, the Board or a Committee may delegate to one or more subcommittees of the Board or a Committee or officers the authority to grant Awards to Employees of the Company or any of its Subsidiaries, provided that the delegation must comply with any limitations on the authority required by Applicable Laws, including the total number of Shares that may be subject to the Awards granted by such officer(s). This delegation may be revoked at any time by the Board or Committee.</w:t>
      </w:r>
    </w:p>
    <w:p>
      <w:pPr>
        <w:spacing w:after="0" w:line="180" w:lineRule="exact"/>
        <w:rPr>
          <w:rFonts w:ascii="Times New Roman" w:cs="Times New Roman" w:eastAsia="Times New Roman" w:hAnsi="Times New Roman"/>
          <w:sz w:val="22"/>
          <w:szCs w:val="22"/>
          <w:color w:val="auto"/>
        </w:rPr>
      </w:pPr>
    </w:p>
    <w:p>
      <w:pPr>
        <w:jc w:val="both"/>
        <w:ind w:firstLine="1505"/>
        <w:spacing w:after="0" w:line="280" w:lineRule="auto"/>
        <w:tabs>
          <w:tab w:leader="none" w:pos="203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Powers of the Administrator</w:t>
      </w:r>
      <w:r>
        <w:rPr>
          <w:rFonts w:ascii="Times New Roman" w:cs="Times New Roman" w:eastAsia="Times New Roman" w:hAnsi="Times New Roman"/>
          <w:sz w:val="20"/>
          <w:szCs w:val="20"/>
          <w:color w:val="auto"/>
        </w:rPr>
        <w:t>. Subject to the terms of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w:t>
      </w:r>
    </w:p>
    <w:p>
      <w:pPr>
        <w:spacing w:after="0" w:line="138"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 to approve forms of Award Agreements for use under the Plan;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3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(iii)to select the Service Providers to whom Awards may be granted and grant Awards to such Service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Providers;</w:t>
      </w:r>
    </w:p>
    <w:p>
      <w:pPr>
        <w:spacing w:after="0" w:line="1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(iv)to determine the number of Shares to be covered by each Award granted;</w:t>
      </w:r>
    </w:p>
    <w:p>
      <w:pPr>
        <w:spacing w:after="0" w:line="205" w:lineRule="exact"/>
        <w:rPr>
          <w:sz w:val="20"/>
          <w:szCs w:val="20"/>
          <w:color w:val="auto"/>
        </w:rPr>
      </w:pPr>
    </w:p>
    <w:p>
      <w:pPr>
        <w:jc w:val="both"/>
        <w:ind w:firstLine="2254"/>
        <w:spacing w:after="0" w:line="239" w:lineRule="auto"/>
        <w:tabs>
          <w:tab w:leader="none" w:pos="254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consistent with the Plan, of any Award granted. Such terms and conditions may include, but are not limited to, the Exercise Price, the time(s) when Awards may be exercised (which may be based on performance criteria), any vesting acceleration or waiver of forfeiture restrictions, and any restriction or limitation regarding any Award or the Shares relating to an Award;</w:t>
      </w:r>
    </w:p>
    <w:p>
      <w:pPr>
        <w:spacing w:after="0" w:line="1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(vi)to institute and determine the terms and conditions of an Exchange Program;</w:t>
      </w:r>
    </w:p>
    <w:p>
      <w:pPr>
        <w:spacing w:after="0" w:line="205"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(vii)to construe interpret the Plan and make any decisions necessary to administer the Plan, including but not limited to determining whether and when a Change in Control has occurred;</w:t>
      </w:r>
    </w:p>
    <w:p>
      <w:pPr>
        <w:spacing w:after="0" w:line="157"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(viii)to establish, amend and rescind rules and regulations and adopt sub-plans relating to the Plan, including rules, regulations and sub-plans for the purposes of facilitating compliance with applicable non-U.S. laws, easing the administration of the Plan and/or obtaining tax-favorable treatment for Awards granted to Service Providers located outside the U.S., in each case as the Administrator may deem necessary or advisable;</w:t>
      </w:r>
    </w:p>
    <w:p>
      <w:pPr>
        <w:spacing w:after="0" w:line="179"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(ix)to interpret, modify or amend each Award (subject to Section 19), including extending the Expiration Date and the post-termination exercisability period of such modified or amended Awards;</w:t>
      </w:r>
    </w:p>
    <w:p>
      <w:pPr>
        <w:spacing w:after="0" w:line="157" w:lineRule="exact"/>
        <w:rPr>
          <w:sz w:val="20"/>
          <w:szCs w:val="20"/>
          <w:color w:val="auto"/>
        </w:rPr>
      </w:pPr>
    </w:p>
    <w:p>
      <w:pPr>
        <w:ind w:left="2260" w:right="180" w:hanging="6"/>
        <w:spacing w:after="0" w:line="434" w:lineRule="auto"/>
        <w:tabs>
          <w:tab w:leader="none" w:pos="255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tax withholding obligations in any manner permitted by Section 16; (xi)to delegate ministerial duties to any of the Company’s employees;</w:t>
      </w:r>
    </w:p>
    <w:p>
      <w:pPr>
        <w:spacing w:after="0" w:line="2"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(xii)to authorize any person to take any steps and execute, on behalf of the Company, any documents required for an Award previously granted by the Administrator to be effective;</w:t>
      </w:r>
    </w:p>
    <w:p>
      <w:pPr>
        <w:spacing w:after="0" w:line="157"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(xiii)to temporarily suspend the exercisability of an Award if the Administrator deems such suspension to be necessary or appropriate for administrative purposes, provided that, unless prohibited by Applicable Laws, such suspension shall be lifted in all cases not less than 10 Trading Days before the last date that the Award may be exercised;</w:t>
      </w:r>
    </w:p>
    <w:p>
      <w:pPr>
        <w:spacing w:after="0" w:line="172"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(xiv)to allow Participants to defer the receipt of the payment of cash or the delivery of Shares otherwise due to any such Participants under an Award; and</w:t>
      </w:r>
    </w:p>
    <w:p>
      <w:pPr>
        <w:spacing w:after="0" w:line="1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(xv)to make any determinations necessary or appropriate under Section 13</w:t>
      </w:r>
    </w:p>
    <w:p>
      <w:pPr>
        <w:spacing w:after="0" w:line="205" w:lineRule="exact"/>
        <w:rPr>
          <w:sz w:val="20"/>
          <w:szCs w:val="20"/>
          <w:color w:val="auto"/>
        </w:rPr>
      </w:pPr>
    </w:p>
    <w:p>
      <w:pPr>
        <w:jc w:val="both"/>
        <w:ind w:firstLine="1505"/>
        <w:spacing w:after="0" w:line="239" w:lineRule="auto"/>
        <w:tabs>
          <w:tab w:leader="none" w:pos="203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The grant date of an Award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will be the date that the Administrator makes the determination granting such Award or may be a later date if such later date is designated by the Administrator on the date of the determination or under an automatic grant policy.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the determination will be provided to each Participant within a reasonable time after the Grant Date.</w:t>
      </w:r>
    </w:p>
    <w:p>
      <w:pPr>
        <w:spacing w:after="0" w:line="205" w:lineRule="exact"/>
        <w:rPr>
          <w:sz w:val="20"/>
          <w:szCs w:val="20"/>
          <w:color w:val="auto"/>
        </w:rPr>
      </w:pPr>
    </w:p>
    <w:p>
      <w:pPr>
        <w:ind w:left="2040" w:hanging="535"/>
        <w:spacing w:after="0"/>
        <w:tabs>
          <w:tab w:leader="none" w:pos="204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Administrator may waive any terms, conditions or restrictions.</w:t>
      </w:r>
    </w:p>
    <w:p>
      <w:pPr>
        <w:spacing w:after="0" w:line="205"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Except as otherwise provided by the Administrator, any fractional Shares that result from the adjustment of Awards will be canceled. Any fractional Shares that result from vesting percentages will be accumulated and vested on the date that an accumulated full Share is vested.</w:t>
      </w:r>
    </w:p>
    <w:p>
      <w:pPr>
        <w:spacing w:after="0" w:line="172"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deliver by e-mail or other electronic means (including posting on a website maintained by the Company or by a third party under contract with the Company or another member of the Company Group) all documents relating to the Plan or any Award and all other documents that the Company is required to deliver to its security holders (including prospectuses, annual reports and proxy statements).</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7"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Choice of Forum</w:t>
      </w:r>
      <w:r>
        <w:rPr>
          <w:rFonts w:ascii="Times New Roman" w:cs="Times New Roman" w:eastAsia="Times New Roman" w:hAnsi="Times New Roman"/>
          <w:sz w:val="22"/>
          <w:szCs w:val="22"/>
          <w:color w:val="auto"/>
        </w:rPr>
        <w:t>.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w:t>
      </w:r>
    </w:p>
    <w:p>
      <w:pPr>
        <w:spacing w:after="0" w:line="179"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Administrator’s Decision</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w:t>
      </w:r>
    </w:p>
    <w:p>
      <w:pPr>
        <w:spacing w:after="0" w:line="157"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Nonstatutory Stock Options, Stock Appreciation Rights, Restricted Stock, Restricted Stock Units and Performance Awards may be granted to Service Providers. Incentive Stock Options may be granted only to Employees.</w:t>
      </w:r>
    </w:p>
    <w:p>
      <w:pPr>
        <w:spacing w:after="0" w:line="15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71" w:lineRule="auto"/>
        <w:tabs>
          <w:tab w:leader="none" w:pos="2037"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Option Award Agreement</w:t>
      </w:r>
      <w:r>
        <w:rPr>
          <w:rFonts w:ascii="Times New Roman" w:cs="Times New Roman" w:eastAsia="Times New Roman" w:hAnsi="Times New Roman"/>
          <w:sz w:val="20"/>
          <w:szCs w:val="20"/>
          <w:color w:val="auto"/>
        </w:rPr>
        <w:t>. Each Option will be evidenced by an Award Agreement that will specify the number of Shares subject to the Option, per share Exercise Price, its Expiration Date, and such other terms and conditions as the Administrator determines. Each Option will be designated in the Award Agreement as either an Incentive Stock Option or a Nonstatutory Stock Option. An Option not designated as an Incentive Stock Option is a Nonstatutory Stock Option.</w:t>
      </w:r>
    </w:p>
    <w:p>
      <w:pPr>
        <w:spacing w:after="0" w:line="147" w:lineRule="exact"/>
        <w:rPr>
          <w:rFonts w:ascii="Times New Roman" w:cs="Times New Roman" w:eastAsia="Times New Roman" w:hAnsi="Times New Roman"/>
          <w:sz w:val="20"/>
          <w:szCs w:val="20"/>
          <w:color w:val="auto"/>
        </w:rPr>
      </w:pPr>
    </w:p>
    <w:p>
      <w:pPr>
        <w:ind w:firstLine="1505"/>
        <w:spacing w:after="0" w:line="258" w:lineRule="auto"/>
        <w:tabs>
          <w:tab w:leader="none" w:pos="2037"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for the Shares to be issued upon exercise of an Option will be determined by the Administrator and stated in the Award Agreement, subject to the following:</w:t>
      </w:r>
    </w:p>
    <w:p>
      <w:pPr>
        <w:spacing w:after="0" w:line="157"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Incentive Stock Option:</w:t>
      </w:r>
    </w:p>
    <w:p>
      <w:pPr>
        <w:spacing w:after="0" w:line="205"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3"/>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granted to an ISO Employee who, at the time the Incentive Stock Option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-4500880</wp:posOffset>
            </wp:positionV>
            <wp:extent cx="342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owns stock representing more than 10% of the voting power of all classes of stock of</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3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Company or any Parent or Subsidiary (a “</w:t>
      </w:r>
      <w:r>
        <w:rPr>
          <w:rFonts w:ascii="Times New Roman" w:cs="Times New Roman" w:eastAsia="Times New Roman" w:hAnsi="Times New Roman"/>
          <w:sz w:val="22"/>
          <w:szCs w:val="22"/>
          <w:u w:val="single" w:color="auto"/>
          <w:color w:val="auto"/>
        </w:rPr>
        <w:t>Ten Percent Owner</w:t>
      </w:r>
      <w:r>
        <w:rPr>
          <w:rFonts w:ascii="Times New Roman" w:cs="Times New Roman" w:eastAsia="Times New Roman" w:hAnsi="Times New Roman"/>
          <w:sz w:val="22"/>
          <w:szCs w:val="22"/>
          <w:color w:val="auto"/>
        </w:rPr>
        <w:t>”), the Exercise Price for the Shares to be issued will be no less than 110% of the Fair Market Value per Share on the date of grant; and</w:t>
      </w:r>
    </w:p>
    <w:p>
      <w:pPr>
        <w:spacing w:after="0" w:line="157" w:lineRule="exact"/>
        <w:rPr>
          <w:sz w:val="20"/>
          <w:szCs w:val="20"/>
          <w:color w:val="auto"/>
        </w:rPr>
      </w:pPr>
    </w:p>
    <w:p>
      <w:pPr>
        <w:ind w:left="3580" w:hanging="577"/>
        <w:spacing w:after="0"/>
        <w:tabs>
          <w:tab w:leader="none" w:pos="358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granted to any ISO Employee other than a Ten Percent Owner, the Exercise Price for the</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Shares to be issued will be no less than 100% of the Fair Market Value per Share on the date of grant.</w:t>
      </w:r>
    </w:p>
    <w:p>
      <w:pPr>
        <w:spacing w:after="0" w:line="181" w:lineRule="exact"/>
        <w:rPr>
          <w:rFonts w:ascii="Times New Roman" w:cs="Times New Roman" w:eastAsia="Times New Roman" w:hAnsi="Times New Roman"/>
          <w:sz w:val="20"/>
          <w:szCs w:val="20"/>
          <w:color w:val="auto"/>
        </w:rPr>
      </w:pPr>
    </w:p>
    <w:p>
      <w:pPr>
        <w:ind w:firstLine="2254"/>
        <w:spacing w:after="0" w:line="258" w:lineRule="auto"/>
        <w:tabs>
          <w:tab w:leader="none" w:pos="254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Nonstatutory Stock Option, the Exercise Price for the Shares to be issued will be no less than 100% of the Fair Market Value per Share on the date of grant.</w:t>
      </w:r>
    </w:p>
    <w:p>
      <w:pPr>
        <w:spacing w:after="0" w:line="157"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(iii)Notwithstanding the foregoing, Options may be granted with an Exercise Price of less than 100% of the Fair Market Value per Share on the date of grant (i) pursuant to a transaction described in, and in a manner consistent with, Section 424(a) of the Code or (ii) to a Service Provider that is not a U.S. taxpayer.</w:t>
      </w:r>
    </w:p>
    <w:p>
      <w:pPr>
        <w:spacing w:after="0" w:line="172" w:lineRule="exact"/>
        <w:rPr>
          <w:sz w:val="20"/>
          <w:szCs w:val="20"/>
          <w:color w:val="auto"/>
        </w:rPr>
      </w:pPr>
    </w:p>
    <w:p>
      <w:pPr>
        <w:jc w:val="both"/>
        <w:ind w:firstLine="1505"/>
        <w:spacing w:after="0" w:line="244" w:lineRule="auto"/>
        <w:tabs>
          <w:tab w:leader="none" w:pos="203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Consideration</w:t>
      </w:r>
      <w:r>
        <w:rPr>
          <w:rFonts w:ascii="Times New Roman" w:cs="Times New Roman" w:eastAsia="Times New Roman" w:hAnsi="Times New Roman"/>
          <w:sz w:val="22"/>
          <w:szCs w:val="22"/>
          <w:color w:val="auto"/>
        </w:rPr>
        <w:t>. The Administrator will determine the acceptable form(s) of consideration for exercising an Option. Unless the Administrator determines otherwise, the consideration may consist of any one or more or combination of the following, to the extent permitted by Applicable Laws:</w:t>
      </w:r>
    </w:p>
    <w:p>
      <w:pPr>
        <w:spacing w:after="0" w:line="172"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w:t>
      </w:r>
    </w:p>
    <w:p>
      <w:pPr>
        <w:spacing w:after="0" w:line="205"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or wire transfer;</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(iii)promissory note, if and to the extent approved by the Company;</w:t>
      </w:r>
    </w:p>
    <w:p>
      <w:pPr>
        <w:spacing w:after="0" w:line="205"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(iv)other Shares that have a fair market value on the date of surrender equal to the aggregate Exercise Price of the Shares as to which such Option will be exercised. To the extent not prohibited by the Administrator, this shall include the ability to tender Shares to exercise the Option and then use the Shares received on exercise to exercise the Option with respect to additional Shares;</w:t>
      </w:r>
    </w:p>
    <w:p>
      <w:pPr>
        <w:spacing w:after="0" w:line="179" w:lineRule="exact"/>
        <w:rPr>
          <w:sz w:val="20"/>
          <w:szCs w:val="20"/>
          <w:color w:val="auto"/>
        </w:rPr>
      </w:pPr>
    </w:p>
    <w:p>
      <w:pPr>
        <w:jc w:val="both"/>
        <w:ind w:firstLine="2254"/>
        <w:spacing w:after="0" w:line="244" w:lineRule="auto"/>
        <w:tabs>
          <w:tab w:leader="none" w:pos="254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received by the Company under a cashless exercise arrangement (whether through a broker or otherwise) implemented by the Company for the exercise of Options that has been approved by the Administrator, if and to the extent permitted by the Company with respect to a particular Award;</w:t>
      </w:r>
    </w:p>
    <w:p>
      <w:pPr>
        <w:spacing w:after="0" w:line="172"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(vi)consideration received by the Company under a net exercise program under which Shares are withheld from otherwise deliverable Shares that has been approved by the Administrator, if and to the extent permitted by the Company with respect to a particular Award; and</w:t>
      </w:r>
    </w:p>
    <w:p>
      <w:pPr>
        <w:spacing w:after="0" w:line="172"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(vii)any other consideration or method of payment to issue Shares (provided that other forms of considerations may only be approved by the Administrator).</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Administrator has the power to remove or limit any of the above forms of consideration for exercising an Option, except for the payment of cash, at any time in its sole discretion.</w:t>
      </w:r>
    </w:p>
    <w:p>
      <w:pPr>
        <w:spacing w:after="0" w:line="157" w:lineRule="exact"/>
        <w:rPr>
          <w:sz w:val="20"/>
          <w:szCs w:val="20"/>
          <w:color w:val="auto"/>
        </w:rPr>
      </w:pPr>
    </w:p>
    <w:p>
      <w:pPr>
        <w:ind w:firstLine="1505"/>
        <w:spacing w:after="0" w:line="244" w:lineRule="auto"/>
        <w:tabs>
          <w:tab w:leader="none" w:pos="203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The term of each Option will be determined by the Administrator and stated in the Award Agreement, provided that, in the case of an Incentive Stock Option: (a) granted</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3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 a Ten Percent Owner, the Option may not be exercisable after the expiration of 5 years from the date such Option is granted, or such shorter term as may be provided in the Award Agreement; and (b) granted to an ISO Employee other than a Ten Percent Owner, the Option may not be exercisable after the expiration of 10 years from the date such Option is granted term, or such shorter term as may be provided in the Award Agreement.</w:t>
      </w:r>
    </w:p>
    <w:p>
      <w:pPr>
        <w:spacing w:after="0" w:line="179" w:lineRule="exact"/>
        <w:rPr>
          <w:sz w:val="20"/>
          <w:szCs w:val="20"/>
          <w:color w:val="auto"/>
        </w:rPr>
      </w:pPr>
    </w:p>
    <w:p>
      <w:pPr>
        <w:ind w:left="2040" w:hanging="535"/>
        <w:spacing w:after="0"/>
        <w:tabs>
          <w:tab w:leader="none" w:pos="20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Stock Option Limitations.</w:t>
      </w:r>
    </w:p>
    <w:p>
      <w:pPr>
        <w:spacing w:after="0" w:line="205" w:lineRule="exact"/>
        <w:rPr>
          <w:rFonts w:ascii="Times New Roman" w:cs="Times New Roman" w:eastAsia="Times New Roman" w:hAnsi="Times New Roman"/>
          <w:sz w:val="22"/>
          <w:szCs w:val="22"/>
          <w:color w:val="auto"/>
        </w:rPr>
      </w:pPr>
    </w:p>
    <w:p>
      <w:pPr>
        <w:jc w:val="both"/>
        <w:ind w:firstLine="2254"/>
        <w:spacing w:after="0" w:line="266" w:lineRule="auto"/>
        <w:tabs>
          <w:tab w:leader="none" w:pos="2546"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aggregate fair market value of the shares with respect to which incentive stock options under Code Section 422(b) are exercisable for the first time by a Participant during any calendar year (under all plans and agreements of the Company Group) exceeds $100,000, the incentive stock options whose value exceeds $100,000 will be treated as nonstatutory stock options. Incentive stock options will be considered in the order in which they were granted. For this purpose, the fair market value of the shares subject to an option will be determined as of the grant date of each option.</w:t>
      </w:r>
    </w:p>
    <w:p>
      <w:pPr>
        <w:spacing w:after="0" w:line="154" w:lineRule="exact"/>
        <w:rPr>
          <w:rFonts w:ascii="Times New Roman" w:cs="Times New Roman" w:eastAsia="Times New Roman" w:hAnsi="Times New Roman"/>
          <w:sz w:val="20"/>
          <w:szCs w:val="20"/>
          <w:color w:val="auto"/>
        </w:rPr>
      </w:pPr>
    </w:p>
    <w:p>
      <w:pPr>
        <w:jc w:val="both"/>
        <w:ind w:firstLine="2254"/>
        <w:spacing w:after="0" w:line="244" w:lineRule="auto"/>
        <w:tabs>
          <w:tab w:leader="none" w:pos="2546"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Option is designated in the Administrator action that granted it as an Incentive Stock Option but the terms of the Option do not comply with Sections 6(b) and 6(d), then the Option will not qualify as an Incentive Stock Option.</w:t>
      </w:r>
    </w:p>
    <w:p>
      <w:pPr>
        <w:spacing w:after="0" w:line="172"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 An Option is exercised when the Company receives: (i) a notice of exercise (in such form as the Administrator may specify from time to time) from the person entitled to exercise the Option and (ii) full payment for the Shares with respect to which the Option is exercised (together with applicable Tax Withholdings). Shares issued upon exercise of an Option will be issued in the name of the Participant. Until the Shares are issued (as evidenced by the entry on the books of the Company or of a duly authorized transfer agent of the Company), no right to vote or receive dividends or any other rights as a stockholder will exist with respect to the Shares subject to an Option, despite the exercise of the Option. The Company will issue (or cause to be issued) such Shares promptly after the Option is exercised. An Option may not be exercised for a fraction of a Share. Exercising an Option in any manner will decrease the number of Shares thereafter available, both for purposes of the Plan (except as provided in Section 3(c)) and for purchase under the Option, by the number of Shares as to which the Option is exercised.</w:t>
      </w:r>
    </w:p>
    <w:p>
      <w:pPr>
        <w:spacing w:after="0" w:line="176" w:lineRule="exact"/>
        <w:rPr>
          <w:rFonts w:ascii="Times New Roman" w:cs="Times New Roman" w:eastAsia="Times New Roman" w:hAnsi="Times New Roman"/>
          <w:sz w:val="22"/>
          <w:szCs w:val="22"/>
          <w:color w:val="auto"/>
        </w:rPr>
      </w:pPr>
    </w:p>
    <w:p>
      <w:pPr>
        <w:jc w:val="both"/>
        <w:ind w:firstLine="2254"/>
        <w:spacing w:after="0" w:line="234" w:lineRule="auto"/>
        <w:tabs>
          <w:tab w:leader="none" w:pos="260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other than upon such cessation as the result of the Participant’s death or Disability, the Participant may exercise his or her Option within 30 days of such cessation, or such longer period of time as is specified in the Award Agreement (but in no event later than the expiration of the term of such Option as set forth in the Award Agreement or Section 6(d), as applicable) to the extent that the Option is vested on the date of cessation. Unless otherwise provided by the Administrator or set forth in the Award Agreement or other written agreement authorized by the Administrator between the Participant and the Company or any of its Subsidiaries or Parents, as applicable, if on the date of such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17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 of Participant</w:t>
      </w:r>
      <w:r>
        <w:rPr>
          <w:rFonts w:ascii="Times New Roman" w:cs="Times New Roman" w:eastAsia="Times New Roman" w:hAnsi="Times New Roman"/>
          <w:sz w:val="22"/>
          <w:szCs w:val="22"/>
          <w:color w:val="auto"/>
        </w:rPr>
        <w:t>. If a Participant ceases to be a Service Provider as a result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Participant’s Disability, the Participant may exercise his or her Option within 6 months of</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34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cessation, or such longer period of time as is specified in the Award Agreement (but in no event later than the expiration of the term of such Option as set forth in the Award Agreement or Section 6(d), as applicable) to the extent the Option is vested on the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 after such cessation the Participant does not exercise his or her Option within the time specified herein, the Option will terminate, and the Shares covered by such Option will revert to the Plan.</w:t>
      </w:r>
    </w:p>
    <w:p>
      <w:pPr>
        <w:spacing w:after="0" w:line="184" w:lineRule="exact"/>
        <w:rPr>
          <w:sz w:val="20"/>
          <w:szCs w:val="20"/>
          <w:color w:val="auto"/>
        </w:rPr>
      </w:pPr>
    </w:p>
    <w:p>
      <w:pPr>
        <w:jc w:val="both"/>
        <w:ind w:firstLine="2254"/>
        <w:spacing w:after="0" w:line="232" w:lineRule="auto"/>
        <w:tabs>
          <w:tab w:leader="none" w:pos="2705" w:val="left"/>
        </w:tabs>
        <w:numPr>
          <w:ilvl w:val="3"/>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If a Participant dies while a Service Provider, the Option may be exercised within 6 months following the Participant’s death, or within such longer period of time as is specified in the Award Agreement (but in no event later than the expiration of the term of such Option as set forth in the Award Agreement or Section 6(d), as applicable) to the extent that the Option is vested on the date of death, by the Participant’s designated beneficiary, provided the Administrator has permitted the designation of a beneficiary and provided such beneficiary has been designated prior to the Participant’s death in a form (if any) acceptable to the Administrator. If the Administrator has not permitted the designation of the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If the Option is exercised pursuant to this Section 6(f)(iii), Participant’s designated beneficiary or personal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pacing w:after="0" w:line="18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of Options</w:t>
      </w:r>
      <w:r>
        <w:rPr>
          <w:rFonts w:ascii="Times New Roman" w:cs="Times New Roman" w:eastAsia="Times New Roman" w:hAnsi="Times New Roman"/>
          <w:sz w:val="22"/>
          <w:szCs w:val="22"/>
          <w:color w:val="auto"/>
        </w:rPr>
        <w:t>. Subject to Section 6(d), an Option’s Expiration Date will be set forth in the Award Agreement. An Option may expire before its expiration date under the Plan (including pursuant to Sections 6(f), 13, 14, or 17(d)) or under the Award Agreement.</w:t>
      </w:r>
    </w:p>
    <w:p>
      <w:pPr>
        <w:spacing w:after="0" w:line="172"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7"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Tolling of Expiration</w:t>
      </w:r>
      <w:r>
        <w:rPr>
          <w:rFonts w:ascii="Times New Roman" w:cs="Times New Roman" w:eastAsia="Times New Roman" w:hAnsi="Times New Roman"/>
          <w:sz w:val="22"/>
          <w:szCs w:val="22"/>
          <w:color w:val="auto"/>
        </w:rPr>
        <w:t>. If exercising an Option prior to its expiration is not permitted because of Applicable Laws, other than the rules of any stock exchange or quotation system on which the Common Stock is listed or quoted, the Option will remain exercisable until 30 days after the first date on which exercise no longer would be prevented by such provisions; provided, however, that this tolling of expiration shall not apply if and to the extent the holder of such Option is a United States taxpayer and the tolling would result in a violation of Section 409A such that the Option would be subject to additional taxation or interest under Section 409A. If this would result in the Option remaining exercisable past its Expiration Date, then unless earlier terminated pursuant to Section 14, the Option will remain exercisable only until the end of the later of</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day on which its exercise would not be prevented by Section 20(a) and (y) its Expiration Date.</w:t>
      </w:r>
    </w:p>
    <w:p>
      <w:pPr>
        <w:spacing w:after="0" w:line="181"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-13970</wp:posOffset>
            </wp:positionV>
            <wp:extent cx="342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345" w:lineRule="exact"/>
        <w:rPr>
          <w:sz w:val="20"/>
          <w:szCs w:val="20"/>
          <w:color w:val="auto"/>
        </w:rPr>
      </w:pPr>
    </w:p>
    <w:p>
      <w:pPr>
        <w:jc w:val="both"/>
        <w:ind w:firstLine="1505"/>
        <w:spacing w:after="0" w:line="244" w:lineRule="auto"/>
        <w:tabs>
          <w:tab w:leader="none" w:pos="203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 Award Agreement</w:t>
      </w:r>
      <w:r>
        <w:rPr>
          <w:rFonts w:ascii="Times New Roman" w:cs="Times New Roman" w:eastAsia="Times New Roman" w:hAnsi="Times New Roman"/>
          <w:sz w:val="22"/>
          <w:szCs w:val="22"/>
          <w:color w:val="auto"/>
        </w:rPr>
        <w:t>. Each Stock Appreciation Right grant will be evidenced by an Award Agreement that will specify the number of Shares subject to the Stock Appreciation Right, its per share Exercise Price, its Expiration Date, and such other terms and conditions as the Administrator determines.</w:t>
      </w:r>
    </w:p>
    <w:p>
      <w:pPr>
        <w:spacing w:after="0" w:line="17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of a Stock Appreciation Right will be determined by the Administrator, provided that in the case of a Stock Appreciation Right granted to a U.S. taxpayer, the Exercise Price will be no less than 100% of the Fair Market Value of a Share on the date of grant.</w:t>
      </w:r>
    </w:p>
    <w:p>
      <w:pPr>
        <w:spacing w:after="0" w:line="172"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Stock Appreciation Right Amount</w:t>
      </w:r>
      <w:r>
        <w:rPr>
          <w:rFonts w:ascii="Times New Roman" w:cs="Times New Roman" w:eastAsia="Times New Roman" w:hAnsi="Times New Roman"/>
          <w:sz w:val="22"/>
          <w:szCs w:val="22"/>
          <w:color w:val="auto"/>
        </w:rPr>
        <w:t>. Payment upon Stock Appreciation Right exercise may be made in cash, in Shares (which, on the date of exercise, have an aggregate fair market value equal to the amount of payment to be made under the Award), or any combination of cash and Shares, with the determination of form of payment made by the Administrator. When a Participant exercises a Stock Appreciation Right, he or she will be entitled to receive a payment from the Company equal to:</w:t>
      </w:r>
    </w:p>
    <w:p>
      <w:pPr>
        <w:spacing w:after="0" w:line="180"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if any, between the fair market value on the date of exercise over the Exercise Price</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multiplied by</w:t>
      </w:r>
    </w:p>
    <w:p>
      <w:pPr>
        <w:spacing w:after="0" w:line="181"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with respect to which the Stock Appreciation Right is exercised.</w:t>
      </w:r>
    </w:p>
    <w:p>
      <w:pPr>
        <w:spacing w:after="0" w:line="205" w:lineRule="exact"/>
        <w:rPr>
          <w:rFonts w:ascii="Times New Roman" w:cs="Times New Roman" w:eastAsia="Times New Roman" w:hAnsi="Times New Roman"/>
          <w:sz w:val="22"/>
          <w:szCs w:val="22"/>
          <w:color w:val="auto"/>
        </w:rPr>
      </w:pPr>
    </w:p>
    <w:p>
      <w:pPr>
        <w:jc w:val="both"/>
        <w:ind w:firstLine="1505"/>
        <w:spacing w:after="0" w:line="259" w:lineRule="auto"/>
        <w:tabs>
          <w:tab w:leader="none" w:pos="203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Stock Appreciation Right</w:t>
      </w:r>
      <w:r>
        <w:rPr>
          <w:rFonts w:ascii="Times New Roman" w:cs="Times New Roman" w:eastAsia="Times New Roman" w:hAnsi="Times New Roman"/>
          <w:sz w:val="20"/>
          <w:szCs w:val="20"/>
          <w:color w:val="auto"/>
        </w:rPr>
        <w:t>. A Stock Appreciation Right is exercised when the Company receives a notice of exercise (in such form as the Administrator may specify from time to time) from the person entitled to exercise the Stock Appreciation Right. Shares issued upon exercise of a Stock Appreciation Right will be issued in the name of the Participant. Until the Shares are issued (as evidenced by the entry on the books of the Company or of a duly authorized transfer agent of the Company), no right to vote or receive dividends or any other rights as a stockholder will exist with respect to the Shares subject to a Stock Appreciation Right, despite the exercise of the Stock Appreciation Right. The Company will issue (or cause to be issued) such Shares promptly after the Stock Appreciation Right is exercised. A Stock Appreciation Right may not be exercised for a fraction of a Share. Exercising a Stock Appreciation Right in any manner will decrease (x) the number of Shares thereafter available under the Stock Appreciation Right by the number of Shares as to which the Stock Appreciation Right is exercised and (y) the number of Shares thereafter available under the Plan by the number of Shares issued upon such exercise.</w:t>
      </w:r>
    </w:p>
    <w:p>
      <w:pPr>
        <w:spacing w:after="0" w:line="161" w:lineRule="exact"/>
        <w:rPr>
          <w:rFonts w:ascii="Times New Roman" w:cs="Times New Roman" w:eastAsia="Times New Roman" w:hAnsi="Times New Roman"/>
          <w:sz w:val="20"/>
          <w:szCs w:val="20"/>
          <w:color w:val="auto"/>
        </w:rPr>
      </w:pPr>
    </w:p>
    <w:p>
      <w:pPr>
        <w:jc w:val="both"/>
        <w:ind w:firstLine="1505"/>
        <w:spacing w:after="0" w:line="239" w:lineRule="auto"/>
        <w:tabs>
          <w:tab w:leader="none" w:pos="203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of Stock Appreciation Rights</w:t>
      </w:r>
      <w:r>
        <w:rPr>
          <w:rFonts w:ascii="Times New Roman" w:cs="Times New Roman" w:eastAsia="Times New Roman" w:hAnsi="Times New Roman"/>
          <w:sz w:val="22"/>
          <w:szCs w:val="22"/>
          <w:color w:val="auto"/>
        </w:rPr>
        <w:t>. A Stock Appreciation Right’s Expiration Date will be set forth in the Award Agreement. A Stock Appreciation Right may expire before its expiration date under the Plan (including pursuant to Sections 13, 14, or 17(d))or under the Award Agreement. Notwithstanding the foregoing, the rules of Section 6(d) relating to the maximum term and Section 6(f) relating to exercise also will apply to Stock Appreciation Rights.</w:t>
      </w:r>
    </w:p>
    <w:p>
      <w:pPr>
        <w:spacing w:after="0" w:line="178" w:lineRule="exact"/>
        <w:rPr>
          <w:rFonts w:ascii="Times New Roman" w:cs="Times New Roman" w:eastAsia="Times New Roman" w:hAnsi="Times New Roman"/>
          <w:sz w:val="22"/>
          <w:szCs w:val="22"/>
          <w:color w:val="auto"/>
        </w:rPr>
      </w:pPr>
    </w:p>
    <w:p>
      <w:pPr>
        <w:jc w:val="both"/>
        <w:ind w:firstLine="1505"/>
        <w:spacing w:after="0" w:line="261" w:lineRule="auto"/>
        <w:tabs>
          <w:tab w:leader="none" w:pos="203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Tolling of Expiration</w:t>
      </w:r>
      <w:r>
        <w:rPr>
          <w:rFonts w:ascii="Times New Roman" w:cs="Times New Roman" w:eastAsia="Times New Roman" w:hAnsi="Times New Roman"/>
          <w:sz w:val="20"/>
          <w:szCs w:val="20"/>
          <w:color w:val="auto"/>
        </w:rPr>
        <w:t>. If exercising a Stock Appreciation Right prior to its expiration is not permitted because of Applicable Laws, other than the rules of any stock exchange or quotation system on which the Common Stock is listed or quoted, the Stock Appreciation Right will remain exercisable until 30 days after the first date on which exercise no longer</w:t>
      </w:r>
    </w:p>
    <w:p>
      <w:pPr>
        <w:spacing w:after="0" w:line="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would be prevented by such provisions; provided, however, that this tolling of expiration shall not apply if and to the extent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3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holder of such Stock Appreciation Right is a United States taxpayer and the tolling would result in a violation of Section 409A such that the Stock Appreciation Right would be subject to additional taxation or interest under Section 409A. If this would result in the Stock Appreciation Right remaining exercisable past its Expiration Date, then unless earlier terminated pursuant to Section 14, the Stock Appreciation Right will remain exercisable only until the end of the later of (x) the first day on which its exercise would not be prevented by Section 20(a) and (y) its Expiration Date.</w:t>
      </w:r>
    </w:p>
    <w:p>
      <w:pPr>
        <w:spacing w:after="0" w:line="180" w:lineRule="exact"/>
        <w:rPr>
          <w:sz w:val="20"/>
          <w:szCs w:val="20"/>
          <w:color w:val="auto"/>
        </w:rPr>
      </w:pPr>
    </w:p>
    <w:p>
      <w:pPr>
        <w:ind w:left="1020" w:hanging="263"/>
        <w:spacing w:after="0"/>
        <w:tabs>
          <w:tab w:leader="none" w:pos="10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7"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Award Agreement</w:t>
      </w:r>
      <w:r>
        <w:rPr>
          <w:rFonts w:ascii="Times New Roman" w:cs="Times New Roman" w:eastAsia="Times New Roman" w:hAnsi="Times New Roman"/>
          <w:sz w:val="22"/>
          <w:szCs w:val="22"/>
          <w:color w:val="auto"/>
        </w:rPr>
        <w:t>. Each Award of Restricted Stock will be evidenced by an Award Agreement that will specify the number of Shares subject to the Award of Restricted Stock and such other terms and conditions as the Administrator determines. For the avoidance of doubt, Restricted Stock may be granted without any Period of Restriction (e.g., fully vested stock bonuses). Unless the Administrator determines otherwise, Shares of Restricted Stock will be held in escrow while unvested.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this Section 8(b) or the Award Agreement, while unvested, Shares of Restricted Stock may not be sold, transferred, pledged, assigned, or otherwise alienated.</w:t>
      </w:r>
    </w:p>
    <w:p>
      <w:pPr>
        <w:spacing w:after="0" w:line="157"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unvested, Service Providers holding Shares of Restricted Stock may exercise full voting rights with respect to those Shares, unless the Administrator determines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1986915</wp:posOffset>
            </wp:positionH>
            <wp:positionV relativeFrom="paragraph">
              <wp:posOffset>-935355</wp:posOffset>
            </wp:positionV>
            <wp:extent cx="342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7"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(iii)Service Providers holding a Share covered by an Award of Restricted Stock will not be entitled to receive dividends and other distributions paid with respect to such Shares while such Shares are unvested, unless the Administrator provides otherwise. If the Administrator provides that dividends and distributions will be received and any such dividends or distributions are paid in cash they will be subject to the same provisions regarding forfeitability as the Shares with respect to which they were paid and if such dividend or distributions are paid in Shares, the Shares will be subject to the same restrictions on transferability and forfeitability as the Shares with respect to which they were paid and, unless the Administrator determines otherwise, the Company will hold such dividends until the restrictions on the Shares with respect to which they were paid have lapsed.</w:t>
      </w:r>
    </w:p>
    <w:p>
      <w:pPr>
        <w:spacing w:after="0" w:line="184"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(iv)Except as otherwise provided in this Section 8(b) or an Award Agreement, a Share covered by each Award of Restricted Stock made under the Plan will be released from escrow when practicable after the last day of the applicable Period of Restriction.</w:t>
      </w:r>
    </w:p>
    <w:p>
      <w:pPr>
        <w:spacing w:after="0" w:line="172" w:lineRule="exact"/>
        <w:rPr>
          <w:sz w:val="20"/>
          <w:szCs w:val="20"/>
          <w:color w:val="auto"/>
        </w:rPr>
      </w:pPr>
    </w:p>
    <w:p>
      <w:pPr>
        <w:ind w:right="20" w:firstLine="2254"/>
        <w:spacing w:after="0" w:line="258" w:lineRule="auto"/>
        <w:tabs>
          <w:tab w:leader="none" w:pos="2546"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impose (prior to grant) or remove (at any time) any restrictions on Shares covered by an Award of Restricted Stock.</w:t>
      </w:r>
    </w:p>
    <w:p>
      <w:pPr>
        <w:spacing w:after="0" w:line="15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right="20" w:firstLine="1505"/>
        <w:spacing w:after="0" w:line="239" w:lineRule="auto"/>
        <w:tabs>
          <w:tab w:leader="none" w:pos="203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 Award Agreement</w:t>
      </w:r>
      <w:r>
        <w:rPr>
          <w:rFonts w:ascii="Times New Roman" w:cs="Times New Roman" w:eastAsia="Times New Roman" w:hAnsi="Times New Roman"/>
          <w:sz w:val="22"/>
          <w:szCs w:val="22"/>
          <w:color w:val="auto"/>
        </w:rPr>
        <w:t>. Each Award of Restricted Stock Units will be evidenced by an Award Agreement that will specify the number of Restricted Stock Units subject to the Award of Restricted Stock Units and such other terms and conditions as the Administrator determines.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345" w:lineRule="exact"/>
        <w:rPr>
          <w:sz w:val="20"/>
          <w:szCs w:val="20"/>
          <w:color w:val="auto"/>
        </w:rPr>
      </w:pPr>
    </w:p>
    <w:p>
      <w:pPr>
        <w:jc w:val="both"/>
        <w:ind w:firstLine="1505"/>
        <w:spacing w:after="0" w:line="237" w:lineRule="auto"/>
        <w:tabs>
          <w:tab w:leader="none" w:pos="203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Criteria and Other Terms</w:t>
      </w:r>
      <w:r>
        <w:rPr>
          <w:rFonts w:ascii="Times New Roman" w:cs="Times New Roman" w:eastAsia="Times New Roman" w:hAnsi="Times New Roman"/>
          <w:sz w:val="22"/>
          <w:szCs w:val="22"/>
          <w:color w:val="auto"/>
        </w:rPr>
        <w:t>. The Administrator will set vesting criteria, if any, that, depending on the extent to which the criteria are met, will determine the number of Restricted Stock Units paid out to the Participant. The Administrator may set vesting criteria based upon the achievement of Company-wide, divisional, business unit, or individual goals (that may include continued employment or service) or any other basis determined by the Administrator in its sole discretion.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 Restricted Stock Units</w:t>
      </w:r>
      <w:r>
        <w:rPr>
          <w:rFonts w:ascii="Times New Roman" w:cs="Times New Roman" w:eastAsia="Times New Roman" w:hAnsi="Times New Roman"/>
          <w:sz w:val="22"/>
          <w:szCs w:val="22"/>
          <w:color w:val="auto"/>
        </w:rPr>
        <w:t>. Upon meeting any applicable vesting criteria, the Participant will have earned the Restricted Stock Units and will be paid as determined in Section 9(d). The Administrator may reduce or waive any criteria that must be met to earn the Restricted Stock Units.</w:t>
      </w:r>
    </w:p>
    <w:p>
      <w:pPr>
        <w:spacing w:after="0" w:line="17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Payment of earned Restricted Stock Units will be made at the time(s) set forth in the Award Agreement and determined by the Administrator. Unless otherwise provided in the Award Agreement, the Administrator may settle earned Restricted Stock Units in cash, Shares, or a combination of both.</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1505"/>
        <w:spacing w:after="0" w:line="244" w:lineRule="auto"/>
        <w:tabs>
          <w:tab w:leader="none" w:pos="2037"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Performance Award will be evidenced by an Award Agreement that will specify the specify any time period during which any performance objectives or other vesting provisions, if any, will be measured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and such other terms and conditions as the Administrator determines.</w:t>
      </w:r>
    </w:p>
    <w:p>
      <w:pPr>
        <w:spacing w:after="0" w:line="172"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7"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Objectives or Vesting Provisions and Other Terms</w:t>
      </w:r>
      <w:r>
        <w:rPr>
          <w:rFonts w:ascii="Times New Roman" w:cs="Times New Roman" w:eastAsia="Times New Roman" w:hAnsi="Times New Roman"/>
          <w:sz w:val="22"/>
          <w:szCs w:val="22"/>
          <w:color w:val="auto"/>
        </w:rPr>
        <w:t>. The Administrator will set objectives or vesting provisions that, depending on the extent to which the objectives or vesting provisions are met, will determine the value of the payout for the Performance Awards. The Administrator may set vesting criteria based upon the achievement of Company-wide, divisional, business unit, or individual goals (that may include continued employment or service) or any other basis determined by the Administrator in its sole discretion.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Payment of earned Performance Awards will be made at the time(s) specified in the Award Agreement. Payment with respect to earned Performance Awards will be made in cash, in Shares of equivalent value, or any combination of cash and Shares, with the determination of form of payment made by the Administrator at the time of payment or, in the discretion of the Administrator, at the time of grant.</w:t>
      </w:r>
    </w:p>
    <w:p>
      <w:pPr>
        <w:spacing w:after="0" w:line="178"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of Performance Awards</w:t>
      </w:r>
      <w:r>
        <w:rPr>
          <w:rFonts w:ascii="Times New Roman" w:cs="Times New Roman" w:eastAsia="Times New Roman" w:hAnsi="Times New Roman"/>
          <w:sz w:val="22"/>
          <w:szCs w:val="22"/>
          <w:color w:val="auto"/>
        </w:rPr>
        <w:t>. Each Performance Award’s threshold, target, and maximum payout values will be established by the Administrator on or before the Grant Date.</w:t>
      </w:r>
    </w:p>
    <w:p>
      <w:pPr>
        <w:spacing w:after="0" w:line="157"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 Performance Awards</w:t>
      </w:r>
      <w:r>
        <w:rPr>
          <w:rFonts w:ascii="Times New Roman" w:cs="Times New Roman" w:eastAsia="Times New Roman" w:hAnsi="Times New Roman"/>
          <w:sz w:val="22"/>
          <w:szCs w:val="22"/>
          <w:color w:val="auto"/>
        </w:rPr>
        <w:t>. After an applicable Performance Period has ended, the holder of a Performance Award will be entitled to receive a payout for the Performance Award earned by the Participant over the Performance Period. The Administrator may reduce or waive any performance objectives or other vesting provisions for such Performance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-2599690</wp:posOffset>
            </wp:positionV>
            <wp:extent cx="596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Leaves of Absence/ Reduced or Part-time Work Schedule/Transfer Between Locations/Change of Status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firstLine="1505"/>
        <w:spacing w:after="0" w:line="244" w:lineRule="auto"/>
        <w:tabs>
          <w:tab w:leader="none" w:pos="203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Leaves of Absence/ Reduced or Part-time Work Schedule/Transfer Between Locations</w:t>
      </w:r>
      <w:r>
        <w:rPr>
          <w:rFonts w:ascii="Times New Roman" w:cs="Times New Roman" w:eastAsia="Times New Roman" w:hAnsi="Times New Roman"/>
          <w:sz w:val="22"/>
          <w:szCs w:val="22"/>
          <w:color w:val="auto"/>
        </w:rPr>
        <w:t>. Unless the Administrator provides otherwise or as otherwise required by Applicable Laws,</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34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vesting of Awards granted hereunder will be adjusted or suspended during any unpaid leave of absence in accordance with the Company’s leave of absence policy in effect at the time of such leave. A Participant will not cease to be an Employee in the case of (i) any leave of absence approved by the Company or (ii) transfers between locations of the Company or within the Company Group. In addition, unless the Administrator provides otherwise or as otherwise required by Applicable Laws, if, after the date of grant of a Participant’s Award, the Participant commences working on a part-time or reduced work schedule basis, the vesting of such Award will be adjusted in accordance with the Company’s reduced work schedule/ part-time policy then in effect. Adjustments or suspensions of vesting pursuant to this Section shall be accomplished in a manner that is exempt from or complies with the requirements of Code Section 409A and the regulations and guidance thereunder.</w:t>
      </w:r>
    </w:p>
    <w:p>
      <w:pPr>
        <w:spacing w:after="0" w:line="184" w:lineRule="exact"/>
        <w:rPr>
          <w:sz w:val="20"/>
          <w:szCs w:val="20"/>
          <w:color w:val="auto"/>
        </w:rPr>
      </w:pPr>
    </w:p>
    <w:p>
      <w:pPr>
        <w:jc w:val="both"/>
        <w:ind w:firstLine="1505"/>
        <w:spacing w:after="0" w:line="244" w:lineRule="auto"/>
        <w:tabs>
          <w:tab w:leader="none" w:pos="203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Status</w:t>
      </w:r>
      <w:r>
        <w:rPr>
          <w:rFonts w:ascii="Times New Roman" w:cs="Times New Roman" w:eastAsia="Times New Roman" w:hAnsi="Times New Roman"/>
          <w:sz w:val="22"/>
          <w:szCs w:val="22"/>
          <w:color w:val="auto"/>
        </w:rPr>
        <w:t>. A Participant will not cease to be a Service Provider in the case of (i) any leave of absence approved by the Company or (ii) transfers between locations of the Company (or member of the Company Group) or between the Company or any member of the Company Group.</w:t>
      </w:r>
    </w:p>
    <w:p>
      <w:pPr>
        <w:spacing w:after="0" w:line="172"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Stock Options</w:t>
      </w:r>
      <w:r>
        <w:rPr>
          <w:rFonts w:ascii="Times New Roman" w:cs="Times New Roman" w:eastAsia="Times New Roman" w:hAnsi="Times New Roman"/>
          <w:sz w:val="22"/>
          <w:szCs w:val="22"/>
          <w:color w:val="auto"/>
        </w:rPr>
        <w:t>. With respect to Incentive Stock Options, no such leave may exceed 3 months, unless reemployment upon expiration of such leave is guaranteed by statute or contract. If reemployment upon expiration of a leave of absence approved by the Company is not so guaranteed, then 6 months following the first day of such leave any Incentive Stock Option held by a Participant will cease to be treated as an Incentive Stock Option and will be treated for tax purposes as a Nonstatutory Stock Option.</w:t>
      </w:r>
    </w:p>
    <w:p>
      <w:pPr>
        <w:spacing w:after="0" w:line="18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Transferability of Awards</w:t>
      </w:r>
      <w:r>
        <w:rPr>
          <w:rFonts w:ascii="Times New Roman" w:cs="Times New Roman" w:eastAsia="Times New Roman" w:hAnsi="Times New Roman"/>
          <w:sz w:val="22"/>
          <w:szCs w:val="22"/>
          <w:color w:val="auto"/>
        </w:rPr>
        <w:t>.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Adjustments; Dissolution or Liquidation</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1505"/>
        <w:spacing w:after="0" w:line="233" w:lineRule="auto"/>
        <w:tabs>
          <w:tab w:leader="none" w:pos="203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If any extraordinary dividend or other extraordinary distribution (whether in cash, Shares, other securities, or other property), recapitalization, stock split, reverse stock split, reorganization, merger, consolidation, split-up, spin-off, combination, reclassification, repurchase, or exchange of Shares or other securities of the Company, other change in the corporate structure of the Company affecting the Shares, or any similar equity restructuring transaction, as that term is used in Statement of Financial Accounting Standards Board Accounting Standards Codification Topic 718 (or any of its successors) affecting the Shares occurs (including a Change in Control), the Administrator, to prevent diminution or enlargement of the benefits or potential benefits intended to be provided under the Plan, will adjust the number and class of shares that may be delivered under the Plan and/or the number, class, and price of shares covered by each outstanding Award, and the numerical Share limits in Section 3. Notwithstanding the foregoing, the conversion of any convertible securities of the Company and ordinary course repurchases of Shares or other securities of the Company will not be treated as an event that will require adjustment.</w:t>
      </w:r>
    </w:p>
    <w:p>
      <w:pPr>
        <w:spacing w:after="0" w:line="184"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 will notify each Participant, at such time prior to the effective date of</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3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such proposed transaction as the Administrator determines. To the extent it has not been previously exercised, an Award will terminate immediately prior to the consummation of such proposed action.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Change in Control or Merger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-13970</wp:posOffset>
            </wp:positionV>
            <wp:extent cx="342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5" w:lineRule="exact"/>
        <w:rPr>
          <w:sz w:val="20"/>
          <w:szCs w:val="20"/>
          <w:color w:val="auto"/>
        </w:rPr>
      </w:pPr>
    </w:p>
    <w:p>
      <w:pPr>
        <w:jc w:val="both"/>
        <w:ind w:firstLine="1505"/>
        <w:spacing w:after="0" w:line="237" w:lineRule="auto"/>
        <w:tabs>
          <w:tab w:leader="none" w:pos="203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If a Change in Control or a merger of the Company with or into another entity occurs (each, a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each outstanding Award will be treated as the Administrator determines (subject to the provisions of this Section), without a Participant’s consent, including that such Award be continued by the successor corporation or a Parent or Subsidiary of the successor corporation (or an affiliate thereof) or that the vesting of any such Awards may accelerate automatically upon consummation of a Transaction.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Identical Treatment Not Required</w:t>
      </w:r>
      <w:r>
        <w:rPr>
          <w:rFonts w:ascii="Times New Roman" w:cs="Times New Roman" w:eastAsia="Times New Roman" w:hAnsi="Times New Roman"/>
          <w:sz w:val="22"/>
          <w:szCs w:val="22"/>
          <w:color w:val="auto"/>
        </w:rPr>
        <w:t>. The Administrator need not take the same action or actions with respect to all Awards or portions thereof or with respect to all Participants. The Administrator may take different actions with respect to the vested and unvested portions of an Award. The Administrator will not be required to treat all Awards similarly in the Transaction.</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Continuation</w:t>
      </w:r>
      <w:r>
        <w:rPr>
          <w:rFonts w:ascii="Times New Roman" w:cs="Times New Roman" w:eastAsia="Times New Roman" w:hAnsi="Times New Roman"/>
          <w:sz w:val="22"/>
          <w:szCs w:val="22"/>
          <w:color w:val="auto"/>
        </w:rPr>
        <w:t>. An Award will be considered continued if, following the Change in Control or merger:</w:t>
      </w:r>
    </w:p>
    <w:p>
      <w:pPr>
        <w:spacing w:after="0" w:line="205" w:lineRule="exact"/>
        <w:rPr>
          <w:rFonts w:ascii="Times New Roman" w:cs="Times New Roman" w:eastAsia="Times New Roman" w:hAnsi="Times New Roman"/>
          <w:sz w:val="22"/>
          <w:szCs w:val="22"/>
          <w:color w:val="auto"/>
        </w:rPr>
      </w:pPr>
    </w:p>
    <w:p>
      <w:pPr>
        <w:jc w:val="both"/>
        <w:ind w:firstLine="2254"/>
        <w:spacing w:after="0" w:line="234" w:lineRule="auto"/>
        <w:tabs>
          <w:tab w:leader="none" w:pos="254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confers the right to purchase or receive, for each Share subject to the Award immediately prior to the Transaction, the consideration (whether stock, cash, or other securities or property) received in the Transaction by holders of Shares for each Share held on the effective date of the Transaction (and if holders were offered a choice of consideration, the type of consideration received by the holders of a majority of the outstanding Shares) and the Award otherwise is continued in accordance with its terms (including vesting criteria), subject to Section 14(c)(iii) below and Section 13(a); provided that if the consideration received in the Transaction is not solely common stock of the successor corporation or its Parent, the Administrator may, with the consent of the successor corporation, provide for the consideration to be received upon exercising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Transaction; or</w:t>
      </w:r>
    </w:p>
    <w:p>
      <w:pPr>
        <w:spacing w:after="0" w:line="176"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is terminated in exchange for an amount of cash and/or property, if any, equal to the amount that would have been attained upon the exercise of such Award or realization of the Participant’s rights as of the date of the occurrence of the Transaction. Any such cash or property may be subjected to any escrow applicable to holders of Common Stock in the Change in Control. If as of the date of the occurrence of the Transaction the Administrator determines that no amount would have been attained upon the exercise of such Award or realization of the Participant’s rights, then such Award may be terminated by the Company without payment. The amount of cash or property can be subjected to vesting and paid to the Participant over the original vesting schedule of the Award.</w:t>
      </w:r>
    </w:p>
    <w:p>
      <w:pPr>
        <w:spacing w:after="0" w:line="181"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(iii)Notwithstanding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3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performance goals only to reflect the successor corporation’s post-Transaction corporate structure will not invalidate an otherwise valid Award assumption.</w:t>
      </w:r>
    </w:p>
    <w:p>
      <w:pPr>
        <w:spacing w:after="0" w:line="157" w:lineRule="exact"/>
        <w:rPr>
          <w:sz w:val="20"/>
          <w:szCs w:val="20"/>
          <w:color w:val="auto"/>
        </w:rPr>
      </w:pPr>
    </w:p>
    <w:p>
      <w:pPr>
        <w:ind w:left="2040" w:hanging="535"/>
        <w:spacing w:after="0"/>
        <w:tabs>
          <w:tab w:leader="none" w:pos="20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The Administrator will have authority to modify Awards in connection with a Change in</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Control or merger:</w:t>
      </w:r>
    </w:p>
    <w:p>
      <w:pPr>
        <w:spacing w:after="0" w:line="181"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manner that causes the Awards to lose their tax-preferred status,</w:t>
      </w:r>
    </w:p>
    <w:p>
      <w:pPr>
        <w:spacing w:after="0" w:line="205"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terminate any right a Participant has to exercise an Option prior to vesting in the Shares subject to the Option (i.e., “early exercise”), so that following the closing of the Transaction the Option may only be exercised only to the extent it is vested;</w:t>
      </w:r>
    </w:p>
    <w:p>
      <w:pPr>
        <w:spacing w:after="0" w:line="172"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(iii)to reduce the Exercise Price subject to the Award in a manner that is disproportionate to the increase in the number of Shares subject to the Award, as long as the amount that would be received upon exercise of the Award immediately before and immediately following the closing of the Transaction is equivalent and the adjustment complies with U.S. Treasury Regulation Section 1.409A-1(b)(v)(D); and</w:t>
      </w:r>
    </w:p>
    <w:p>
      <w:pPr>
        <w:spacing w:after="0" w:line="179"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(iv)to suspend a Participant’s right to exercise an Option during a limited period of time preceding and or following the closing of the Transaction without Participant consent if such suspension is administratively necessary or advisable to permit the closing of the Transaction.</w:t>
      </w:r>
    </w:p>
    <w:p>
      <w:pPr>
        <w:spacing w:after="0" w:line="172" w:lineRule="exact"/>
        <w:rPr>
          <w:sz w:val="20"/>
          <w:szCs w:val="20"/>
          <w:color w:val="auto"/>
        </w:rPr>
      </w:pPr>
    </w:p>
    <w:p>
      <w:pPr>
        <w:jc w:val="both"/>
        <w:ind w:firstLine="1505"/>
        <w:spacing w:after="0" w:line="232" w:lineRule="auto"/>
        <w:tabs>
          <w:tab w:leader="none" w:pos="203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Non-Continuation</w:t>
      </w:r>
      <w:r>
        <w:rPr>
          <w:rFonts w:ascii="Times New Roman" w:cs="Times New Roman" w:eastAsia="Times New Roman" w:hAnsi="Times New Roman"/>
          <w:sz w:val="22"/>
          <w:szCs w:val="22"/>
          <w:color w:val="auto"/>
        </w:rPr>
        <w:t>. If the successor corporation does not continue an Award (or some portion such Award), the Participant will fully vest in (and have the right to exercise) 100% of the then-unvested Shares subject to his or her outstanding Options and Stock Appreciation Rights, all restrictions on 100% of the Participant’s outstanding Restricted Stock and Restricted Stock Units will lapse, and, regarding 100% of Participant’s outstanding Awards with performance-based vesting, all performance goals or other vesting criteria will be treated as achieved at 100% of target levels and all other terms and conditions met, in all cases, unless specifically provided otherwise under the applicable Award Agreement or other written agreement authorized by the Administrator between the Participant and the Company or any of its Subsidiaries or Parents, as applicable. In no event will vesting of an Award accelerate as to more than 100% of the Award. Unless specifically provided otherwise under the applicable Award Agreement or other written agreement authorized by the Administrator between the Participant and the Company or any of its Subsidiaries or Parents, as applicable, if Options or Stock Appreciation Rights are not continued when a Change in Control or a merger of the Company with or into another corporation or other entity occurs, the Administrator will notify the Participant in writing or electronically that the Participant’s vested Options or Stock Appreciation Rights (after considering the foregoing vesting acceleration, if any) will be exercisable for a period of time determined by the Administrator in its sole discretion and all of the Participant’s Options or Stock Appreciation Rights will terminate upon the expiration of such period (whether vested or unvested).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Outside Director Grants.</w:t>
      </w:r>
    </w:p>
    <w:p>
      <w:pPr>
        <w:spacing w:after="0" w:line="205" w:lineRule="exact"/>
        <w:rPr>
          <w:sz w:val="20"/>
          <w:szCs w:val="20"/>
          <w:color w:val="auto"/>
        </w:rPr>
      </w:pPr>
    </w:p>
    <w:p>
      <w:pPr>
        <w:jc w:val="both"/>
        <w:ind w:firstLine="1505"/>
        <w:spacing w:after="0" w:line="239" w:lineRule="auto"/>
        <w:tabs>
          <w:tab w:leader="none" w:pos="2037"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Awards granted to an Outside Director, in the event of a Change in Control, the Participant will fully vest in and have the right to exercise outstanding Options and/or Stock Appreciation Rights as to all of the Shares underlying such Award, including those Shares which otherwise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3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would not be vested or exercisable, all restrictions on other outstanding Awards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a Company policy related to Director compensation, or other written agreement authorized by the Administrator between the Participant and the Company or any of its Subsidiaries or Parents, as applicable, that specifically references this default rule.</w:t>
      </w:r>
    </w:p>
    <w:p>
      <w:pPr>
        <w:spacing w:after="0" w:line="180" w:lineRule="exact"/>
        <w:rPr>
          <w:sz w:val="20"/>
          <w:szCs w:val="20"/>
          <w:color w:val="auto"/>
        </w:rPr>
      </w:pPr>
    </w:p>
    <w:p>
      <w:pPr>
        <w:jc w:val="both"/>
        <w:ind w:firstLine="1505"/>
        <w:spacing w:after="0" w:line="236" w:lineRule="auto"/>
        <w:tabs>
          <w:tab w:leader="none" w:pos="203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Outside Director may be paid, issued or granted, in any Fiscal Year, cash retainer fees and equity awards (including any Awards issued under this Plan) with an aggregate value greater than $500,000, increased to $1,000,000 in connection with his or her initial service (with the value of each equity award based on its grant date fair value (determined in accordance with U.S. generally accepted accounting principles)). Any cash compensation paid or Awards granted to an individual for his or her services as an Employee, or for his or her services as a Consultant (other than as an Outside Director), will not count for purposes of the limitation under this Section 15(b).</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1505"/>
        <w:spacing w:after="0" w:line="239" w:lineRule="auto"/>
        <w:tabs>
          <w:tab w:leader="none" w:pos="203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Requirements</w:t>
      </w:r>
      <w:r>
        <w:rPr>
          <w:rFonts w:ascii="Times New Roman" w:cs="Times New Roman" w:eastAsia="Times New Roman" w:hAnsi="Times New Roman"/>
          <w:sz w:val="22"/>
          <w:szCs w:val="22"/>
          <w:color w:val="auto"/>
        </w:rPr>
        <w:t>. Prior to the delivery of any Shares or cash under an Award (or exercise thereof) or such earlier time as any Tax Withholding are due, the Company may deduct or withhold, or require a Participant to remit to the Company, an amount sufficient to satisfy any Tax Withholding with respect to such Award or Shares subject to an Award (including upon exercise of an Award).</w:t>
      </w:r>
    </w:p>
    <w:p>
      <w:pPr>
        <w:spacing w:after="0" w:line="178" w:lineRule="exact"/>
        <w:rPr>
          <w:rFonts w:ascii="Times New Roman" w:cs="Times New Roman" w:eastAsia="Times New Roman" w:hAnsi="Times New Roman"/>
          <w:sz w:val="22"/>
          <w:szCs w:val="22"/>
          <w:color w:val="auto"/>
        </w:rPr>
      </w:pPr>
    </w:p>
    <w:p>
      <w:pPr>
        <w:jc w:val="both"/>
        <w:ind w:firstLine="1505"/>
        <w:spacing w:after="0" w:line="255" w:lineRule="auto"/>
        <w:tabs>
          <w:tab w:leader="none" w:pos="2037"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Arrangements</w:t>
      </w:r>
      <w:r>
        <w:rPr>
          <w:rFonts w:ascii="Times New Roman" w:cs="Times New Roman" w:eastAsia="Times New Roman" w:hAnsi="Times New Roman"/>
          <w:sz w:val="20"/>
          <w:szCs w:val="20"/>
          <w:color w:val="auto"/>
        </w:rPr>
        <w:t>. The Administrator, in its sole discretion and under such procedures as it may specify from time to time, may elect to satisfy such Tax Withholding, in whole or in part (including in combination) by (without limitation) (i) requiring the Participant to pay cash, check or other cash equivalents, (ii) withholding otherwise deliverable cash (including cash from the sale of Shares issued to the Participant) or Shares having a fair market value equal to the amount required to be withheld or such greater amount (including up to a maximum statutory amount) as the Administrator may determine or permit if such amount does not result in unfavorable financial accounting treatment, as the Administrator determines in its sole discretion, (iii) forcing the sale of Shares issued pursuant to an Award (or exercise thereof) having a fair market value equal to the minimum statutory amount applicable in a Participant’s jurisdiction or any greater amount as the Administrator may determine or permit if such greater amount would not result in unfavorable financial accounting treatment, as the Administrator determines in its sole discretion, (iv) requiring the Participant to deliver to the Company already-owned Shares having a fair market value equal to the minimum statutory amount required to be withheld or any greater amount as the Administrator may determine or permit if such greater amount would not result in unfavorable financial accounting treatment, as the Administrator determines in its sole discretion, (v) requiring the Participant to engage in a cashless exercise transaction (whether through a broker or otherwise) implemented by the Company in connection with the Plan, (vi) having the Company or a Parent or Subsidiary withhold from wages or any other cash amount due or to become due to the Participant and payable by the Company or any Parent or Subsidiary, or (vii) such other consideration and method of payment for the meeting of Tax Withholding as the Administrator may determine to the extent permitted by Applicable Laws, provided that, in all instances, the satisfaction of the Tax Withholding will not result in any adverse accounting consequence to the Company, as the Administrator may determine in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sole discretion. The fair market value of the Shares to be withheld or delivered will be determined as of the</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3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date the amount of tax to be withheld is calculated or such other date as Administrator determines is applicable or appropriate with respect to the Tax Withholding calculation.</w:t>
      </w:r>
    </w:p>
    <w:p>
      <w:pPr>
        <w:spacing w:after="0" w:line="157" w:lineRule="exact"/>
        <w:rPr>
          <w:sz w:val="20"/>
          <w:szCs w:val="20"/>
          <w:color w:val="auto"/>
        </w:rPr>
      </w:pPr>
    </w:p>
    <w:p>
      <w:pPr>
        <w:jc w:val="both"/>
        <w:ind w:firstLine="1505"/>
        <w:spacing w:after="0" w:line="234" w:lineRule="auto"/>
        <w:tabs>
          <w:tab w:leader="none" w:pos="203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Code Section 409A</w:t>
      </w:r>
      <w:r>
        <w:rPr>
          <w:rFonts w:ascii="Times New Roman" w:cs="Times New Roman" w:eastAsia="Times New Roman" w:hAnsi="Times New Roman"/>
          <w:sz w:val="22"/>
          <w:szCs w:val="22"/>
          <w:color w:val="auto"/>
        </w:rPr>
        <w:t>. Unless the Administrator determines that compliance with Code Section 409A is not necessary, it is intended that Awards will be designed and operated so that they are either exempt or excepted from the application of Code Section 409A or comply with any requirements necessary to avoid the imposition of additional tax under Code Section 409A(a)(1)(B) so that the grant, payment, settlement or deferral will not be subject to the additional tax or interest applicable under Code Section 409A and the Plan and each Award Agreement will be interpreted consistent with this intent. This Section 16(c) is not a guarantee to any Participant of the consequences of his or her Awards. In no event will the Company have any responsibility, liability or obligation to reimburse, indemnify or hold harmless Participant for any taxes that may be imposed or other costs that may be incurred, as a result of Section 409A.</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Other Terms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1505"/>
        <w:spacing w:after="0" w:line="239" w:lineRule="auto"/>
        <w:tabs>
          <w:tab w:leader="none" w:pos="203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 or Service</w:t>
      </w:r>
      <w:r>
        <w:rPr>
          <w:rFonts w:ascii="Times New Roman" w:cs="Times New Roman" w:eastAsia="Times New Roman" w:hAnsi="Times New Roman"/>
          <w:sz w:val="22"/>
          <w:szCs w:val="22"/>
          <w:color w:val="auto"/>
        </w:rPr>
        <w:t>. Neither the Plan nor any Award will confer upon a Participant any right regarding continuing the Participant’s relationship as a Service Provider with the Company or member of the Company Group, nor will they interfere with the Participant’s right, or the Participant’s employer’s right, to terminate such relationship at any time free from any liability or claim under the Plan.</w:t>
      </w:r>
    </w:p>
    <w:p>
      <w:pPr>
        <w:spacing w:after="0" w:line="178" w:lineRule="exact"/>
        <w:rPr>
          <w:rFonts w:ascii="Times New Roman" w:cs="Times New Roman" w:eastAsia="Times New Roman" w:hAnsi="Times New Roman"/>
          <w:sz w:val="22"/>
          <w:szCs w:val="22"/>
          <w:color w:val="auto"/>
        </w:rPr>
      </w:pPr>
    </w:p>
    <w:p>
      <w:pPr>
        <w:ind w:right="20" w:firstLine="1505"/>
        <w:spacing w:after="0" w:line="258" w:lineRule="auto"/>
        <w:tabs>
          <w:tab w:leader="none" w:pos="203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 and Rules of Construction</w:t>
      </w:r>
      <w:r>
        <w:rPr>
          <w:rFonts w:ascii="Times New Roman" w:cs="Times New Roman" w:eastAsia="Times New Roman" w:hAnsi="Times New Roman"/>
          <w:sz w:val="22"/>
          <w:szCs w:val="22"/>
          <w:color w:val="auto"/>
        </w:rPr>
        <w:t>. The words “include,” “includes” and “including” when used herein shall be deemed in each case to be followed by the words “without limitation.”</w:t>
      </w:r>
    </w:p>
    <w:p>
      <w:pPr>
        <w:spacing w:after="0" w:line="157"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In the event of a conflict between the terms and conditions of the Plan and the terms and conditions of any Grant Agreement, the terms and conditions of the Plan will prevail.</w:t>
      </w:r>
    </w:p>
    <w:p>
      <w:pPr>
        <w:spacing w:after="0" w:line="15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Events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2254"/>
        <w:spacing w:after="0" w:line="260" w:lineRule="auto"/>
        <w:tabs>
          <w:tab w:leader="none" w:pos="2546"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Awards granted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without limitation to any reacquisition right regarding previously acquired Shares or other cash or property. Unless this Section 17(d)(i)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member of the Company Group.</w:t>
      </w:r>
    </w:p>
    <w:p>
      <w:pPr>
        <w:spacing w:after="0" w:line="157" w:lineRule="exact"/>
        <w:rPr>
          <w:rFonts w:ascii="Times New Roman" w:cs="Times New Roman" w:eastAsia="Times New Roman" w:hAnsi="Times New Roman"/>
          <w:sz w:val="20"/>
          <w:szCs w:val="20"/>
          <w:color w:val="auto"/>
        </w:rPr>
      </w:pPr>
    </w:p>
    <w:p>
      <w:pPr>
        <w:jc w:val="both"/>
        <w:ind w:firstLine="2254"/>
        <w:spacing w:after="0" w:line="237" w:lineRule="auto"/>
        <w:tabs>
          <w:tab w:leader="none" w:pos="2546"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w:t>
      </w:r>
    </w:p>
    <w:p>
      <w:pPr>
        <w:spacing w:after="0" w:line="237" w:lineRule="auto"/>
        <w:rPr>
          <w:sz w:val="20"/>
          <w:szCs w:val="20"/>
          <w:color w:val="auto"/>
        </w:rPr>
      </w:pPr>
      <w:r>
        <w:rPr>
          <w:rFonts w:ascii="Times New Roman" w:cs="Times New Roman" w:eastAsia="Times New Roman" w:hAnsi="Times New Roman"/>
          <w:sz w:val="22"/>
          <w:szCs w:val="22"/>
          <w:color w:val="auto"/>
        </w:rPr>
        <w:t>include, but will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3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 be limited to, termination of such Participant’s status as Service Provider for cause or any specified action or inaction by a Participant that would constitute cause for termination of such Participant’s status as a Service Provider.</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 Subject to Section 21, the Plan will become effective upon the later to occur of (a) its adoption by the Board, (b) approval by the Company’s stockholders, or (c) the business day immediately prior to the Registration Date. The Plan will continue in effect until terminated under Section 19, but (i) no Incentive Stock Options may be granted after 10 years from the earlier of the Board or stockholder approval of the Plan and (ii) Section 3(b) relating to automatic share reserve increase will operate only until the tenth anniversary of the earlier of the Board or stockholder approval of the Plan.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firstLine="1505"/>
        <w:spacing w:after="0" w:line="258" w:lineRule="auto"/>
        <w:tabs>
          <w:tab w:leader="none" w:pos="203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Administrator, in its sole discretion, may amend, alter, suspend or terminate the Plan or any part thereof, at any time and for any reason.</w:t>
      </w:r>
    </w:p>
    <w:p>
      <w:pPr>
        <w:spacing w:after="0" w:line="157"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necessary or desirable to comply with Applicable Laws.</w:t>
      </w:r>
    </w:p>
    <w:p>
      <w:pPr>
        <w:spacing w:after="0" w:line="157"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of Participants Generally Required</w:t>
      </w:r>
      <w:r>
        <w:rPr>
          <w:rFonts w:ascii="Times New Roman" w:cs="Times New Roman" w:eastAsia="Times New Roman" w:hAnsi="Times New Roman"/>
          <w:sz w:val="22"/>
          <w:szCs w:val="22"/>
          <w:color w:val="auto"/>
        </w:rPr>
        <w:t>. Subject to Section 19(d) below, no amendment, alteration, suspension or termination of the Plan or an Award under it will materially impair the rights of any Participant without a signed, written agreement authorized by the Administrator between the Participant and the Company. Termination of the Plan will not affect the Administrator’s ability to exercise the powers granted to it regarding Awards granted under the Plan prior to such termination.</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 to Consent Requirement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546"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rights will not be deemed to have been materially impaired by any amendment, alteration, suspension or termination if the Administrator, in its sole discretion, determines that the amendment, alteration, suspension or termination taken as a whole, does not materially impair the Participant’s rights; and</w:t>
      </w:r>
    </w:p>
    <w:p>
      <w:pPr>
        <w:spacing w:after="0" w:line="172"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546"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limitations of Applicable Laws, the Administrator may amend the terms of any one or more Awards without the affected Participant’s consent even if it does materially impair the Participant’s right if such amendment is done</w:t>
      </w:r>
    </w:p>
    <w:p>
      <w:pPr>
        <w:spacing w:after="0" w:line="172"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 manner specified by the Plan,</w:t>
      </w:r>
    </w:p>
    <w:p>
      <w:pPr>
        <w:spacing w:after="0" w:line="205"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the qualified status of the Award as an Incentive Stock Option under Code</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422,</w:t>
      </w:r>
    </w:p>
    <w:p>
      <w:pPr>
        <w:spacing w:after="0" w:line="181" w:lineRule="exact"/>
        <w:rPr>
          <w:rFonts w:ascii="Times New Roman" w:cs="Times New Roman" w:eastAsia="Times New Roman" w:hAnsi="Times New Roman"/>
          <w:sz w:val="22"/>
          <w:szCs w:val="22"/>
          <w:color w:val="auto"/>
        </w:rPr>
      </w:pPr>
    </w:p>
    <w:p>
      <w:pPr>
        <w:ind w:right="200" w:firstLine="3003"/>
        <w:spacing w:after="0" w:line="307" w:lineRule="auto"/>
        <w:tabs>
          <w:tab w:leader="none" w:pos="3564" w:val="left"/>
        </w:tabs>
        <w:numPr>
          <w:ilvl w:val="2"/>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change the terms of an Incentive Stock Option, if such change results in impairment of the Award only because it impairs the qualified status of the Award as an Incentive Stock Option under Code Section 422,</w:t>
      </w:r>
    </w:p>
    <w:p>
      <w:pPr>
        <w:spacing w:after="0" w:line="112"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clarify the manner of exemption from Code Section 409A or compliance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requirements necessary to avoid the imposition of additional tax or interest under Code Section 409A(a)(1)(B), or</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345" w:lineRule="exact"/>
        <w:rPr>
          <w:sz w:val="20"/>
          <w:szCs w:val="20"/>
          <w:color w:val="auto"/>
        </w:rPr>
      </w:pPr>
    </w:p>
    <w:p>
      <w:pPr>
        <w:ind w:left="3580" w:hanging="577"/>
        <w:spacing w:after="0"/>
        <w:tabs>
          <w:tab w:leader="none" w:pos="358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other Applicable Laws.</w:t>
      </w:r>
    </w:p>
    <w:p>
      <w:pPr>
        <w:spacing w:after="0" w:line="205"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7"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The Company will make good faith efforts to comply with all Applicable Laws related to the issuance of Shares. Shares will not be issued pursuant to an Award, including without limitation upon exercise or vesting thereof, as applicable, unless the issuance and delivery of such Shares and exercise or vesting of the Award, as applicable, will comply with Applicable Laws. If required by the Administrator, issuance will be further subject to the approval of counsel for the Company with respect to such compliance. If the Company determines it to be impossible or 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Administrator reserves the authority, without the consent of a Participant, to terminate or cancel Awards with or without consideration in such a situation.</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As a condition to the exercise or vesting of an Award, the Company may require the person exercising such Award to represent and warrant during any such exercise or vesting that the Shares are being purchased only for investment and with no present intention to sell or distribute such Shares if, in the opinion of counsel for the Company, such a representation is required.</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7"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Accept Award</w:t>
      </w:r>
      <w:r>
        <w:rPr>
          <w:rFonts w:ascii="Times New Roman" w:cs="Times New Roman" w:eastAsia="Times New Roman" w:hAnsi="Times New Roman"/>
          <w:sz w:val="22"/>
          <w:szCs w:val="22"/>
          <w:color w:val="auto"/>
        </w:rPr>
        <w:t>. If a Participant has not accepted an Award to the extent such acceptance has been requested or required by the Company or has not taken all administrative and other steps (e.g., setting up an account with a broker designated by the Company) necessary for the Company to issue Shares upon the vesting, exercise, or settlement of the Award prior to the date that a portion of the Award is scheduled to vest, then the portion of the Award scheduled to vest on such date will be cancelled on such date and the Shares subject to the Award covered by such portion immediately will revert to the Plan for no additional consideration unless otherwise provided by the Administrator.</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Plan will be subject to approval by the stockholders of the Company within 12 months after the date the Plan is adopted by the Board. Such stockholder approval will be obtained in the manner and to the degree required under Applicable Laws.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RxSIGHT,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STOCK OPTION GRANT AND STOCK OPTION AGREEMENT</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Capitalized terms that are not defined in this Notice of Stock Option Grant and Stock Option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Stock Option Grant, the Non-U.S. Appendix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all other exhibits to these documents (all together,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have the meanings given to them in the RxSight, Inc. 2021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Participant has been granted an Option according to the terms below and subject to the terms and conditions of the Plan and this Agreement: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-13970</wp:posOffset>
            </wp:positionV>
            <wp:extent cx="2736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4">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Participant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-13970</wp:posOffset>
            </wp:positionV>
            <wp:extent cx="27368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5">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-13970</wp:posOffset>
            </wp:positionV>
            <wp:extent cx="27368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6">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-13970</wp:posOffset>
            </wp:positionV>
            <wp:extent cx="27368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7">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-13970</wp:posOffset>
            </wp:positionV>
            <wp:extent cx="27368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8">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-13970</wp:posOffset>
            </wp:positionV>
            <wp:extent cx="27368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9">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-13970</wp:posOffset>
            </wp:positionV>
            <wp:extent cx="27368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0">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-13970</wp:posOffset>
            </wp:positionV>
            <wp:extent cx="27368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1">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tabs>
          <w:tab w:leader="none" w:pos="2940" w:val="left"/>
        </w:tabs>
        <w:rPr>
          <w:sz w:val="20"/>
          <w:szCs w:val="20"/>
          <w:color w:val="auto"/>
        </w:rPr>
      </w:pPr>
      <w:r>
        <w:rPr>
          <w:rFonts w:ascii="Times New Roman" w:cs="Times New Roman" w:eastAsia="Times New Roman" w:hAnsi="Times New Roman"/>
          <w:sz w:val="22"/>
          <w:szCs w:val="22"/>
          <w:color w:val="auto"/>
        </w:rPr>
        <w:t>Type of Option</w:t>
      </w:r>
      <w:r>
        <w:rPr>
          <w:sz w:val="20"/>
          <w:szCs w:val="20"/>
          <w:color w:val="auto"/>
        </w:rPr>
        <w:tab/>
      </w:r>
      <w:r>
        <w:rPr>
          <w:rFonts w:ascii="Times New Roman" w:cs="Times New Roman" w:eastAsia="Times New Roman" w:hAnsi="Times New Roman"/>
          <w:sz w:val="20"/>
          <w:szCs w:val="20"/>
          <w:color w:val="auto"/>
        </w:rPr>
        <w:t>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-13970</wp:posOffset>
            </wp:positionV>
            <wp:extent cx="27368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2">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-13970</wp:posOffset>
            </wp:positionV>
            <wp:extent cx="27368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3">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-13970</wp:posOffset>
            </wp:positionV>
            <wp:extent cx="27368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4">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Vesting Schedule:</w:t>
      </w:r>
    </w:p>
    <w:p>
      <w:pPr>
        <w:spacing w:after="0" w:line="1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Subject to the conditions set forth in this Agreement, this Option shall be exercisable, in whole or in part, according to the following vesting schedule (as such vesting schedule may be amended or modified from time to time in accordance with this Agreement and the Plan):</w:t>
      </w:r>
    </w:p>
    <w:p>
      <w:pPr>
        <w:spacing w:after="0" w:line="177" w:lineRule="exact"/>
        <w:rPr>
          <w:sz w:val="20"/>
          <w:szCs w:val="20"/>
          <w:color w:val="auto"/>
        </w:rPr>
      </w:pPr>
    </w:p>
    <w:p>
      <w:pPr>
        <w:jc w:val="both"/>
        <w:ind w:left="760"/>
        <w:spacing w:after="0" w:line="227" w:lineRule="auto"/>
        <w:rPr>
          <w:sz w:val="20"/>
          <w:szCs w:val="20"/>
          <w:color w:val="auto"/>
        </w:rPr>
      </w:pPr>
      <w:r>
        <w:rPr>
          <w:rFonts w:ascii="Times New Roman" w:cs="Times New Roman" w:eastAsia="Times New Roman" w:hAnsi="Times New Roman"/>
          <w:sz w:val="22"/>
          <w:szCs w:val="22"/>
          <w:color w:val="auto"/>
        </w:rPr>
        <w:t>[25% of the Shares subject to this Option shall vest on the 1 year anniversary of the Vesting Commencement Date, and 1/48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Shares subject to this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17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For the avoidance of doubt, in the event of any conflict, discrepancy, or inconsistency between the vesting schedule set forth above and the document or action of the Board or its authorized committee</w:t>
      </w: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3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approving this Option pursuant to the Plan (the “</w:t>
      </w:r>
      <w:r>
        <w:rPr>
          <w:rFonts w:ascii="Times New Roman" w:cs="Times New Roman" w:eastAsia="Times New Roman" w:hAnsi="Times New Roman"/>
          <w:sz w:val="22"/>
          <w:szCs w:val="22"/>
          <w:u w:val="single" w:color="auto"/>
          <w:color w:val="auto"/>
        </w:rPr>
        <w:t>Approval</w:t>
      </w:r>
      <w:r>
        <w:rPr>
          <w:rFonts w:ascii="Times New Roman" w:cs="Times New Roman" w:eastAsia="Times New Roman" w:hAnsi="Times New Roman"/>
          <w:sz w:val="22"/>
          <w:szCs w:val="22"/>
          <w:color w:val="auto"/>
        </w:rPr>
        <w:t>”), the Approval shall govern the initial vesting terms. Any portion of this Option that shall vest on a monthly basis per such vesting schedule shall vest on the same day of the applicable vesting month as the Vesting Commencement Date set forth above (and if there is no corresponding day, on the last day of such month), subject to Participant continuing to be a Service Provider through each such date.</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addition to the vesting terms set forth above for this award, this Option’s vesting will be accelerated in accordance with any vesting acceleration provisions approved by the Administrator. If the Participant ceases to be a Service Provider for any or no reason before he or she fully vests in this Option, the unvested portion of this Option will terminate according to the terms of Section 4 of this Agreement.</w:t>
      </w:r>
    </w:p>
    <w:p>
      <w:pPr>
        <w:spacing w:after="0" w:line="234" w:lineRule="auto"/>
        <w:rPr>
          <w:sz w:val="20"/>
          <w:szCs w:val="20"/>
          <w:color w:val="auto"/>
        </w:rPr>
      </w:pPr>
      <w:r>
        <w:rPr>
          <w:rFonts w:ascii="Times New Roman" w:cs="Times New Roman" w:eastAsia="Times New Roman" w:hAnsi="Times New Roman"/>
          <w:sz w:val="22"/>
          <w:szCs w:val="22"/>
          <w:u w:val="single" w:color="auto"/>
          <w:color w:val="auto"/>
        </w:rPr>
        <w:t>Adjustments to Vesting Schedule</w:t>
      </w:r>
      <w:r>
        <w:rPr>
          <w:rFonts w:ascii="Times New Roman" w:cs="Times New Roman" w:eastAsia="Times New Roman" w:hAnsi="Times New Roman"/>
          <w:sz w:val="22"/>
          <w:szCs w:val="22"/>
          <w:color w:val="auto"/>
        </w:rPr>
        <w:t>:</w:t>
      </w: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Notwithstanding the aforementioned vesting schedule, in accordance with Section 11 of the Plan, unless the Administrator provides otherwise or as otherwise required by Applicable Laws, (a) the vesting schedule of this Option will be adjusted or suspended during any leave of absence in accordance with the Company’s leave of absence and/or reduced work schedule and/or part-time policy in effect at the time of such leave and (b) if, after the Grant Date of this Option, Participant commences working on a part-time or reduced work schedule basis, the vesting schedule will be adjusted in accordance with the Company’s reduced work schedule/ part-time policy then in effect.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Exercise of Option:</w:t>
      </w:r>
    </w:p>
    <w:p>
      <w:pPr>
        <w:spacing w:after="0" w:line="192" w:lineRule="exact"/>
        <w:rPr>
          <w:sz w:val="20"/>
          <w:szCs w:val="20"/>
          <w:color w:val="auto"/>
        </w:rPr>
      </w:pPr>
    </w:p>
    <w:p>
      <w:pPr>
        <w:jc w:val="both"/>
        <w:ind w:left="1140" w:hanging="383"/>
        <w:spacing w:after="0" w:line="239" w:lineRule="auto"/>
        <w:tabs>
          <w:tab w:leader="none" w:pos="11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dies or his or her status as a Service Provider is terminated due to his or her Disability, the vested portion of this Option will remain exercisable for [12 months] after the Participant ceases to be a Service Provider. For any other termination of status as a Service Provider, the vested portion of this Option will remain exercisable for [3 months] after the Participant ceases to be a Service Provider.</w:t>
      </w:r>
    </w:p>
    <w:p>
      <w:pPr>
        <w:spacing w:after="0" w:line="165"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Transaction occurs, Section 14 of the Plan may further limit this Option’s exercisability.</w:t>
      </w:r>
    </w:p>
    <w:p>
      <w:pPr>
        <w:spacing w:after="0" w:line="178"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will not be exercisable after the Expiration Date, except as may be permitted in accordance with Section 6(h) of the Plan (which tolls expiration in very limited cases when there are legal restrictions on exercise).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Participant’s signature below (or Participant’s electronic signature or other electronic acknowledgement or acceptance of this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or Award) indicates that:</w:t>
      </w:r>
    </w:p>
    <w:p>
      <w:pPr>
        <w:spacing w:after="0" w:line="168" w:lineRule="exact"/>
        <w:rPr>
          <w:sz w:val="20"/>
          <w:szCs w:val="20"/>
          <w:color w:val="auto"/>
        </w:rPr>
      </w:pPr>
    </w:p>
    <w:p>
      <w:pPr>
        <w:ind w:left="1140" w:right="20" w:hanging="758"/>
        <w:spacing w:after="0" w:line="258" w:lineRule="auto"/>
        <w:tabs>
          <w:tab w:leader="none" w:pos="11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agrees that this Option is granted under and governed by the terms and conditions of the Plan and this Agreement, including their exhibits and appendices.</w:t>
      </w:r>
    </w:p>
    <w:p>
      <w:pPr>
        <w:spacing w:after="0" w:line="143" w:lineRule="exact"/>
        <w:rPr>
          <w:rFonts w:ascii="Times New Roman" w:cs="Times New Roman" w:eastAsia="Times New Roman" w:hAnsi="Times New Roman"/>
          <w:sz w:val="22"/>
          <w:szCs w:val="22"/>
          <w:color w:val="auto"/>
        </w:rPr>
      </w:pPr>
    </w:p>
    <w:p>
      <w:pPr>
        <w:ind w:left="1140" w:right="20" w:hanging="758"/>
        <w:spacing w:after="0" w:line="258" w:lineRule="auto"/>
        <w:tabs>
          <w:tab w:leader="none" w:pos="11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understands that the Company is not providing any tax, legal, or financial advice and is not making any recommendations regarding his or her participation in the Plan or his or her acquisition or sale of Shares.</w:t>
      </w:r>
    </w:p>
    <w:p>
      <w:pPr>
        <w:spacing w:after="0" w:line="130" w:lineRule="exact"/>
        <w:rPr>
          <w:rFonts w:ascii="Times New Roman" w:cs="Times New Roman" w:eastAsia="Times New Roman" w:hAnsi="Times New Roman"/>
          <w:sz w:val="22"/>
          <w:szCs w:val="22"/>
          <w:color w:val="auto"/>
        </w:rPr>
      </w:pPr>
    </w:p>
    <w:p>
      <w:pPr>
        <w:jc w:val="both"/>
        <w:ind w:left="1140" w:hanging="758"/>
        <w:spacing w:after="0" w:line="237" w:lineRule="auto"/>
        <w:tabs>
          <w:tab w:leader="none" w:pos="11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has reviewed the Plan and this Agreement, has had an opportunity to obtain the advice of personal tax, legal, and financial advisors prior to signing this Agreement, and fully understands all provisions of the Plan and Agreement. He or she will consult with his or her own personal tax, legal, and financial advisors before taking any</w:t>
      </w:r>
    </w:p>
    <w:p>
      <w:pPr>
        <w:ind w:left="1140"/>
        <w:spacing w:after="0" w:line="237" w:lineRule="auto"/>
        <w:rPr>
          <w:sz w:val="20"/>
          <w:szCs w:val="20"/>
          <w:color w:val="auto"/>
        </w:rPr>
      </w:pPr>
      <w:r>
        <w:rPr>
          <w:rFonts w:ascii="Times New Roman" w:cs="Times New Roman" w:eastAsia="Times New Roman" w:hAnsi="Times New Roman"/>
          <w:sz w:val="22"/>
          <w:szCs w:val="22"/>
          <w:color w:val="auto"/>
        </w:rPr>
        <w:t>action related to the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331" w:lineRule="exact"/>
        <w:rPr>
          <w:sz w:val="20"/>
          <w:szCs w:val="20"/>
          <w:color w:val="auto"/>
        </w:rPr>
      </w:pPr>
    </w:p>
    <w:p>
      <w:pPr>
        <w:ind w:left="760" w:hanging="758"/>
        <w:spacing w:after="0"/>
        <w:tabs>
          <w:tab w:leader="none" w:pos="7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has read and agrees to each provision of Sections 10, 11 and 12 of this Agreement.</w:t>
      </w:r>
    </w:p>
    <w:p>
      <w:pPr>
        <w:spacing w:after="0" w:line="191" w:lineRule="exact"/>
        <w:rPr>
          <w:rFonts w:ascii="Times New Roman" w:cs="Times New Roman" w:eastAsia="Times New Roman" w:hAnsi="Times New Roman"/>
          <w:sz w:val="22"/>
          <w:szCs w:val="22"/>
          <w:color w:val="auto"/>
        </w:rPr>
      </w:pPr>
    </w:p>
    <w:p>
      <w:pPr>
        <w:ind w:left="760" w:hanging="758"/>
        <w:spacing w:after="0"/>
        <w:tabs>
          <w:tab w:leader="none" w:pos="7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will notify the Company of any change to the contact address below.</w:t>
      </w:r>
    </w:p>
    <w:p>
      <w:pPr>
        <w:spacing w:after="0" w:line="178" w:lineRule="exact"/>
        <w:rPr>
          <w:rFonts w:ascii="Times New Roman" w:cs="Times New Roman" w:eastAsia="Times New Roman" w:hAnsi="Times New Roman"/>
          <w:sz w:val="22"/>
          <w:szCs w:val="22"/>
          <w:color w:val="auto"/>
        </w:rPr>
      </w:pPr>
    </w:p>
    <w:p>
      <w:pPr>
        <w:ind w:left="760" w:hanging="758"/>
        <w:spacing w:after="0" w:line="258" w:lineRule="auto"/>
        <w:tabs>
          <w:tab w:leader="none" w:pos="7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acknowledges and agrees that this Option will be subject to recoupment under any clawback policy that the Company adopts pursuant to Section 17(d) of the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-13970</wp:posOffset>
            </wp:positionV>
            <wp:extent cx="54800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7">
                      <a:extLst>
                        <a:ext uri="{28A0092B-C50C-407E-A947-70E740481C1C}"/>
                      </a:extLst>
                    </a:blip>
                    <a:srcRect/>
                    <a:stretch>
                      <a:fillRect/>
                    </a:stretch>
                  </pic:blipFill>
                  <pic:spPr bwMode="auto">
                    <a:xfrm>
                      <a:off x="0" y="0"/>
                      <a:ext cx="548005" cy="825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259080</wp:posOffset>
            </wp:positionV>
            <wp:extent cx="3765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8">
                      <a:extLst>
                        <a:ext uri="{28A0092B-C50C-407E-A947-70E740481C1C}"/>
                      </a:extLst>
                    </a:blip>
                    <a:srcRect/>
                    <a:stretch>
                      <a:fillRect/>
                    </a:stretch>
                  </pic:blipFill>
                  <pic:spPr bwMode="auto">
                    <a:xfrm>
                      <a:off x="0" y="0"/>
                      <a:ext cx="3765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541655</wp:posOffset>
            </wp:positionV>
            <wp:extent cx="65087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9">
                      <a:extLst>
                        <a:ext uri="{28A0092B-C50C-407E-A947-70E740481C1C}"/>
                      </a:extLst>
                    </a:blip>
                    <a:srcRect/>
                    <a:stretch>
                      <a:fillRect/>
                    </a:stretch>
                  </pic:blipFill>
                  <pic:spPr bwMode="auto">
                    <a:xfrm>
                      <a:off x="0" y="0"/>
                      <a:ext cx="650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603885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168" w:name="page169"/>
    <w:bookmarkEnd w:id="168"/>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 OF STOCK OPTION GRANT</w:t>
      </w:r>
    </w:p>
    <w:p>
      <w:pPr>
        <w:spacing w:after="0" w:line="201" w:lineRule="exact"/>
        <w:rPr>
          <w:sz w:val="20"/>
          <w:szCs w:val="20"/>
          <w:color w:val="auto"/>
        </w:rPr>
      </w:pPr>
    </w:p>
    <w:p>
      <w:pPr>
        <w:jc w:val="both"/>
        <w:ind w:firstLine="8"/>
        <w:spacing w:after="0" w:line="239" w:lineRule="auto"/>
        <w:tabs>
          <w:tab w:leader="none" w:pos="50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grants the Participant an Option to purchase Shares of Common Stock as described in the Notice of Grant. If there is a conflict between the Plan, this Agreement, or any other agreement with the Participant governing this Option, those documents will take precedence and prevail in the following order: (a) the Plan, (b) the Agreement, and (c) any other agreement between the Company and the Participant governing this Option.</w:t>
      </w:r>
    </w:p>
    <w:p>
      <w:pPr>
        <w:spacing w:after="0" w:line="179"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20"/>
          <w:szCs w:val="20"/>
          <w:color w:val="auto"/>
        </w:rPr>
        <w:t>If the Notice of Grant designates this Option as an Incentive Stock Option (“</w:t>
      </w:r>
      <w:r>
        <w:rPr>
          <w:rFonts w:ascii="Times New Roman" w:cs="Times New Roman" w:eastAsia="Times New Roman" w:hAnsi="Times New Roman"/>
          <w:sz w:val="20"/>
          <w:szCs w:val="20"/>
          <w:u w:val="single" w:color="auto"/>
          <w:color w:val="auto"/>
        </w:rPr>
        <w:t>ISO</w:t>
      </w:r>
      <w:r>
        <w:rPr>
          <w:rFonts w:ascii="Times New Roman" w:cs="Times New Roman" w:eastAsia="Times New Roman" w:hAnsi="Times New Roman"/>
          <w:sz w:val="20"/>
          <w:szCs w:val="20"/>
          <w:color w:val="auto"/>
        </w:rPr>
        <w:t>”), this Option is intended to qualify as an ISO under Code Section 422. Even if this Option is designated an ISO, to the extent it first become exercisable as to more than $100,000 in any calendar year, the portion in excess of $100,000 is not an ISO under Code Section 422(d) and that portion will be a Nonstatutory Stock Option (“</w:t>
      </w:r>
      <w:r>
        <w:rPr>
          <w:rFonts w:ascii="Times New Roman" w:cs="Times New Roman" w:eastAsia="Times New Roman" w:hAnsi="Times New Roman"/>
          <w:sz w:val="20"/>
          <w:szCs w:val="20"/>
          <w:u w:val="single" w:color="auto"/>
          <w:color w:val="auto"/>
        </w:rPr>
        <w:t>NSO</w:t>
      </w:r>
      <w:r>
        <w:rPr>
          <w:rFonts w:ascii="Times New Roman" w:cs="Times New Roman" w:eastAsia="Times New Roman" w:hAnsi="Times New Roman"/>
          <w:sz w:val="20"/>
          <w:szCs w:val="20"/>
          <w:color w:val="auto"/>
        </w:rPr>
        <w:t>”). In addition, if the Participant exercises this Option after three (3) months have passed since he or she ceased to be an employee of the Company or a Parent or Subsidiary of the Company, it generally will no longer be an ISO (however, different rules apply to cessation of employee status due to death or Disability). If there is any other reason this Option (or a portion of it) will not qualify as an ISO, to the extent of such nonqualification, this Option will be an NSO. The Participant understands that he or she will have no recourse against the Administrator, any member of the Company Group, or any officer or director of a member of the Company Group if any portion of this Option is not an ISO.</w:t>
      </w:r>
    </w:p>
    <w:p>
      <w:pPr>
        <w:spacing w:after="0" w:line="131" w:lineRule="exact"/>
        <w:rPr>
          <w:sz w:val="20"/>
          <w:szCs w:val="20"/>
          <w:color w:val="auto"/>
        </w:rPr>
      </w:pPr>
    </w:p>
    <w:p>
      <w:pPr>
        <w:jc w:val="both"/>
        <w:ind w:firstLine="8"/>
        <w:spacing w:after="0" w:line="239" w:lineRule="auto"/>
        <w:tabs>
          <w:tab w:leader="none" w:pos="50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This Option will only be exercisable (also referred to as vested) under the Vesting Schedule in the Notice of Grant, Section 3 of this Agreement, or Section 14 of the Plan. Shares scheduled to vest on a certain date or upon the occurrence of a certain condition will not vest unless the Participant continues to be a Service Provider until the time such vesting is scheduled to occur.</w:t>
      </w:r>
    </w:p>
    <w:p>
      <w:pPr>
        <w:spacing w:after="0" w:line="165" w:lineRule="exact"/>
        <w:rPr>
          <w:rFonts w:ascii="Times New Roman" w:cs="Times New Roman" w:eastAsia="Times New Roman" w:hAnsi="Times New Roman"/>
          <w:sz w:val="22"/>
          <w:szCs w:val="22"/>
          <w:color w:val="auto"/>
        </w:rPr>
      </w:pPr>
    </w:p>
    <w:p>
      <w:pPr>
        <w:ind w:firstLine="8"/>
        <w:spacing w:after="0" w:line="258" w:lineRule="auto"/>
        <w:tabs>
          <w:tab w:leader="none" w:pos="50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has the discretion to accelerate the vesting of any portion of this Option. In that case, this Option will be vested as of the date and to the extent specified by the Administrator.</w:t>
      </w:r>
    </w:p>
    <w:p>
      <w:pPr>
        <w:spacing w:after="0" w:line="143" w:lineRule="exact"/>
        <w:rPr>
          <w:rFonts w:ascii="Times New Roman" w:cs="Times New Roman" w:eastAsia="Times New Roman" w:hAnsi="Times New Roman"/>
          <w:sz w:val="22"/>
          <w:szCs w:val="22"/>
          <w:color w:val="auto"/>
        </w:rPr>
      </w:pPr>
    </w:p>
    <w:p>
      <w:pPr>
        <w:jc w:val="both"/>
        <w:ind w:firstLine="8"/>
        <w:spacing w:after="0" w:line="256" w:lineRule="auto"/>
        <w:tabs>
          <w:tab w:leader="none" w:pos="50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upon Cessation of Status as a Service Provider</w:t>
      </w:r>
      <w:r>
        <w:rPr>
          <w:rFonts w:ascii="Times New Roman" w:cs="Times New Roman" w:eastAsia="Times New Roman" w:hAnsi="Times New Roman"/>
          <w:sz w:val="20"/>
          <w:szCs w:val="20"/>
          <w:color w:val="auto"/>
        </w:rPr>
        <w:t>. Upon the Participant’s termination as a Service Provider for any reason, this Option will immediately stop vesting and any portion of this Option that has not yet vested will be immediately forfeited for no consideration upon the date that Participant ceases to be a Service Provider for any reason, in all cases, subject to Applicable Laws. For purposes of this Option, the Participant’s status as a Service Provider will be considered to be terminated as of the date the Participant is no longer actively providing services to the Company, or if different, the Participant’s employer (the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or the Subsidiary or Parent to which the Participant is providing services (the Employer, Subsidiary or Parent, as applicable, the “</w:t>
      </w:r>
      <w:r>
        <w:rPr>
          <w:rFonts w:ascii="Times New Roman" w:cs="Times New Roman" w:eastAsia="Times New Roman" w:hAnsi="Times New Roman"/>
          <w:sz w:val="20"/>
          <w:szCs w:val="20"/>
          <w:u w:val="single" w:color="auto"/>
          <w:color w:val="auto"/>
        </w:rPr>
        <w:t>Service Recipient</w:t>
      </w:r>
      <w:r>
        <w:rPr>
          <w:rFonts w:ascii="Times New Roman" w:cs="Times New Roman" w:eastAsia="Times New Roman" w:hAnsi="Times New Roman"/>
          <w:sz w:val="20"/>
          <w:szCs w:val="20"/>
          <w:color w:val="auto"/>
        </w:rPr>
        <w:t>”) or other member of the Company Group (regardless of the reason for such termination and whether or not later found to be invalid or in breach of employment laws in the jurisdiction where the Participant is a Service Provider or the terms of the Participant’s employment or service agreement, if any), and unless otherwise expressly provided in this Agreement or determined by the Administrator, the Participant’s right to vest in this Option under the Plan, if any, will terminate as of such date and the Participant’s right to exercise the Option after termination, if any, will be measured from such date, and will not be extended by any notice period (e.g., the Participant’s period of service would not include any contractual notice period or any period of “garden leave” or similar period mandated under employment laws in the jurisdiction where the Participant is a Service Provider or the terms of the Participant’s employment or service agreement, if any). The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3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Administrator shall have the exclusive discretion to determine when the Participant is no longer actively providing services for purposes of this Option (including whether the Participant may still be considered to be providing services while on a leave of absence).</w:t>
      </w:r>
    </w:p>
    <w:p>
      <w:pPr>
        <w:spacing w:after="0" w:line="159" w:lineRule="exact"/>
        <w:rPr>
          <w:sz w:val="20"/>
          <w:szCs w:val="20"/>
          <w:color w:val="auto"/>
        </w:rPr>
      </w:pPr>
    </w:p>
    <w:p>
      <w:pPr>
        <w:jc w:val="both"/>
        <w:ind w:firstLine="8"/>
        <w:spacing w:after="0" w:line="237" w:lineRule="auto"/>
        <w:tabs>
          <w:tab w:leader="none" w:pos="50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the Participant under this Agreement will, if he or she is then deceased, be made to the administrator or executor of his or her estate or, if the Administrator permits, his or her designated beneficiary, unless otherwise required to comply with Applicable Laws. Any such transferee must furnish the Company with (a) written notice of his or her status as transferee, and (b) evidence satisfactory to the Company to establish the validity of the transfer and compliance with any laws or regulations that apply to the transfer.</w:t>
      </w:r>
    </w:p>
    <w:p>
      <w:pPr>
        <w:spacing w:after="0" w:line="153"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right="20" w:firstLine="8"/>
        <w:spacing w:after="0" w:line="258" w:lineRule="auto"/>
        <w:tabs>
          <w:tab w:leader="none" w:pos="50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Exercise</w:t>
      </w:r>
      <w:r>
        <w:rPr>
          <w:rFonts w:ascii="Times New Roman" w:cs="Times New Roman" w:eastAsia="Times New Roman" w:hAnsi="Times New Roman"/>
          <w:sz w:val="22"/>
          <w:szCs w:val="22"/>
          <w:color w:val="auto"/>
        </w:rPr>
        <w:t>. This Option may be exercised only before its Expiration Date and only under the Plan and this Agreement.</w:t>
      </w:r>
    </w:p>
    <w:p>
      <w:pPr>
        <w:spacing w:after="0" w:line="143" w:lineRule="exact"/>
        <w:rPr>
          <w:rFonts w:ascii="Times New Roman" w:cs="Times New Roman" w:eastAsia="Times New Roman" w:hAnsi="Times New Roman"/>
          <w:sz w:val="22"/>
          <w:szCs w:val="22"/>
          <w:color w:val="auto"/>
        </w:rPr>
      </w:pPr>
    </w:p>
    <w:p>
      <w:pPr>
        <w:ind w:firstLine="8"/>
        <w:spacing w:after="0" w:line="258" w:lineRule="auto"/>
        <w:tabs>
          <w:tab w:leader="none" w:pos="50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To exercise this Option, the Participant must deliver and the Administrator must receive an exercise notice according to procedures determined by the Administrator. The exercise notice must:</w:t>
      </w:r>
    </w:p>
    <w:p>
      <w:pPr>
        <w:spacing w:after="0" w:line="130" w:lineRule="exact"/>
        <w:rPr>
          <w:rFonts w:ascii="Times New Roman" w:cs="Times New Roman" w:eastAsia="Times New Roman" w:hAnsi="Times New Roman"/>
          <w:sz w:val="22"/>
          <w:szCs w:val="22"/>
          <w:color w:val="auto"/>
        </w:rPr>
      </w:pPr>
    </w:p>
    <w:p>
      <w:pPr>
        <w:ind w:left="1020" w:hanging="563"/>
        <w:spacing w:after="0"/>
        <w:tabs>
          <w:tab w:leader="none" w:pos="102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the number of Shares as to which this Option is being exercised (“Exercised Shares”),</w:t>
      </w:r>
    </w:p>
    <w:p>
      <w:pPr>
        <w:spacing w:after="0" w:line="191" w:lineRule="exact"/>
        <w:rPr>
          <w:rFonts w:ascii="Times New Roman" w:cs="Times New Roman" w:eastAsia="Times New Roman" w:hAnsi="Times New Roman"/>
          <w:sz w:val="22"/>
          <w:szCs w:val="22"/>
          <w:color w:val="auto"/>
        </w:rPr>
      </w:pPr>
    </w:p>
    <w:p>
      <w:pPr>
        <w:ind w:left="1020" w:hanging="563"/>
        <w:spacing w:after="0"/>
        <w:tabs>
          <w:tab w:leader="none" w:pos="102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representations or agreements required by the Company,</w:t>
      </w:r>
    </w:p>
    <w:p>
      <w:pPr>
        <w:spacing w:after="0" w:line="191" w:lineRule="exact"/>
        <w:rPr>
          <w:rFonts w:ascii="Times New Roman" w:cs="Times New Roman" w:eastAsia="Times New Roman" w:hAnsi="Times New Roman"/>
          <w:sz w:val="22"/>
          <w:szCs w:val="22"/>
          <w:color w:val="auto"/>
        </w:rPr>
      </w:pPr>
    </w:p>
    <w:p>
      <w:pPr>
        <w:ind w:left="1020" w:hanging="563"/>
        <w:spacing w:after="0"/>
        <w:tabs>
          <w:tab w:leader="none" w:pos="102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accompanied by a payment of the total exercise price for all Exercised Shares, and</w:t>
      </w:r>
    </w:p>
    <w:p>
      <w:pPr>
        <w:spacing w:after="0" w:line="178" w:lineRule="exact"/>
        <w:rPr>
          <w:rFonts w:ascii="Times New Roman" w:cs="Times New Roman" w:eastAsia="Times New Roman" w:hAnsi="Times New Roman"/>
          <w:sz w:val="22"/>
          <w:szCs w:val="22"/>
          <w:color w:val="auto"/>
        </w:rPr>
      </w:pPr>
    </w:p>
    <w:p>
      <w:pPr>
        <w:ind w:left="1020" w:hanging="563"/>
        <w:spacing w:after="0"/>
        <w:tabs>
          <w:tab w:leader="none" w:pos="102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accompanied by a payment of all required Tax Withholdings for all Exercised Shares.</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This Option is exercised when both the exercise notice and payments due under Sections 6(b)(iii) and 6(b)(iv) have been received by the Company for all Exercised Shares. The Administrator may designate a particular exercise notice to be used, but until a designation is made, the exercise notice attached to this Agreement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may be used.</w:t>
      </w:r>
    </w:p>
    <w:p>
      <w:pPr>
        <w:spacing w:after="0" w:line="159" w:lineRule="exact"/>
        <w:rPr>
          <w:sz w:val="20"/>
          <w:szCs w:val="20"/>
          <w:color w:val="auto"/>
        </w:rPr>
      </w:pPr>
    </w:p>
    <w:p>
      <w:pPr>
        <w:ind w:firstLine="8"/>
        <w:spacing w:after="0" w:line="258" w:lineRule="auto"/>
        <w:tabs>
          <w:tab w:leader="none" w:pos="50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The Participant may pay the total exercise price for Exercised Shares by any of the following methods or a combination of methods:</w:t>
      </w:r>
    </w:p>
    <w:p>
      <w:pPr>
        <w:spacing w:after="0" w:line="130"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w:t>
      </w:r>
    </w:p>
    <w:p>
      <w:pPr>
        <w:spacing w:after="0" w:line="191"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w:t>
      </w:r>
    </w:p>
    <w:p>
      <w:pPr>
        <w:spacing w:after="0" w:line="191"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wire transfer;</w:t>
      </w:r>
    </w:p>
    <w:p>
      <w:pPr>
        <w:spacing w:after="0" w:line="178"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received by the Company under a formal cashless exercise program adopted by the Company; or</w:t>
      </w:r>
    </w:p>
    <w:p>
      <w:pPr>
        <w:spacing w:after="0" w:line="191" w:lineRule="exact"/>
        <w:rPr>
          <w:rFonts w:ascii="Times New Roman" w:cs="Times New Roman" w:eastAsia="Times New Roman" w:hAnsi="Times New Roman"/>
          <w:sz w:val="22"/>
          <w:szCs w:val="22"/>
          <w:color w:val="auto"/>
        </w:rPr>
      </w:pPr>
    </w:p>
    <w:p>
      <w:pPr>
        <w:jc w:val="both"/>
        <w:ind w:right="20" w:firstLine="8"/>
        <w:spacing w:after="0" w:line="241" w:lineRule="auto"/>
        <w:tabs>
          <w:tab w:leader="none" w:pos="50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surrender of other Shares, as long as the Company determines that accepting such Shares does not result in any adverse accounting consequences to the Company. If Shares are surrendered, the value of those Shares will be the fair market value for</w:t>
      </w:r>
    </w:p>
    <w:p>
      <w:pPr>
        <w:spacing w:after="0" w:line="236" w:lineRule="auto"/>
        <w:rPr>
          <w:sz w:val="20"/>
          <w:szCs w:val="20"/>
          <w:color w:val="auto"/>
        </w:rPr>
      </w:pPr>
      <w:r>
        <w:rPr>
          <w:rFonts w:ascii="Times New Roman" w:cs="Times New Roman" w:eastAsia="Times New Roman" w:hAnsi="Times New Roman"/>
          <w:sz w:val="22"/>
          <w:szCs w:val="22"/>
          <w:color w:val="auto"/>
        </w:rPr>
        <w:t>those Shares on the date they are surrendered.</w:t>
      </w: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3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non-U.S. resident’s methods of exercise may be restricted by the terms and condition of any appendix to this Agreement for the Participant’s country (the “</w:t>
      </w: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p>
    <w:p>
      <w:pPr>
        <w:spacing w:after="0" w:line="192" w:lineRule="exact"/>
        <w:rPr>
          <w:sz w:val="20"/>
          <w:szCs w:val="20"/>
          <w:color w:val="auto"/>
        </w:rPr>
      </w:pPr>
    </w:p>
    <w:p>
      <w:pPr>
        <w:jc w:val="both"/>
        <w:ind w:left="460" w:firstLine="449"/>
        <w:spacing w:after="0" w:line="237" w:lineRule="auto"/>
        <w:rPr>
          <w:sz w:val="20"/>
          <w:szCs w:val="20"/>
          <w:color w:val="auto"/>
        </w:rPr>
      </w:pPr>
      <w:r>
        <w:rPr>
          <w:rFonts w:ascii="Times New Roman" w:cs="Times New Roman" w:eastAsia="Times New Roman" w:hAnsi="Times New Roman"/>
          <w:sz w:val="22"/>
          <w:szCs w:val="22"/>
          <w:color w:val="auto"/>
        </w:rPr>
        <w:t>(i)No Shares will be issued to the Participant until he or she makes satisfactory arrangements (as determined by the Administrator) for the payment of Tax Withholdings. If the Participant is a non-U.S. employee, the method of payment of Tax Withholdings may be restricted by any Appendix. If the Participant fails to make satisfactory arrangements for the payment of any Tax Withholdings under this Agreement at the time of an attempted Option exercise, the Company may refuse to honor the exercise and refuse to deliver the Shares, to the extent permitted by Applicable Laws.</w:t>
      </w:r>
    </w:p>
    <w:p>
      <w:pPr>
        <w:spacing w:after="0" w:line="167" w:lineRule="exact"/>
        <w:rPr>
          <w:sz w:val="20"/>
          <w:szCs w:val="20"/>
          <w:color w:val="auto"/>
        </w:rPr>
      </w:pPr>
    </w:p>
    <w:p>
      <w:pPr>
        <w:jc w:val="both"/>
        <w:ind w:left="460" w:firstLine="449"/>
        <w:spacing w:after="0" w:line="237" w:lineRule="auto"/>
        <w:rPr>
          <w:sz w:val="20"/>
          <w:szCs w:val="20"/>
          <w:color w:val="auto"/>
        </w:rPr>
      </w:pPr>
      <w:r>
        <w:rPr>
          <w:rFonts w:ascii="Times New Roman" w:cs="Times New Roman" w:eastAsia="Times New Roman" w:hAnsi="Times New Roman"/>
          <w:sz w:val="22"/>
          <w:szCs w:val="22"/>
          <w:color w:val="auto"/>
        </w:rPr>
        <w:t>(ii)The Company also has the right (but not the obligation) to satisfy any Tax Withholdings: (a) by reducing the number of Shares otherwise deliverable to the Participant; (b) by requiring payment by cash or check made payable to the Company and/or any Service Recipient with respect to which the withholding obligation arises; (c) by deduction of such amount from salary, wages or other compensation payable to the Participant; or (d) in any combination of the foregoing, or any other method determined by the Administrator to be compliance with Applicable Laws.</w:t>
      </w:r>
    </w:p>
    <w:p>
      <w:pPr>
        <w:spacing w:after="0" w:line="153" w:lineRule="exact"/>
        <w:rPr>
          <w:sz w:val="20"/>
          <w:szCs w:val="20"/>
          <w:color w:val="auto"/>
        </w:rPr>
      </w:pPr>
    </w:p>
    <w:p>
      <w:pPr>
        <w:jc w:val="both"/>
        <w:ind w:left="460" w:firstLine="449"/>
        <w:spacing w:after="0" w:line="261" w:lineRule="auto"/>
        <w:rPr>
          <w:sz w:val="20"/>
          <w:szCs w:val="20"/>
          <w:color w:val="auto"/>
        </w:rPr>
      </w:pPr>
      <w:r>
        <w:rPr>
          <w:rFonts w:ascii="Times New Roman" w:cs="Times New Roman" w:eastAsia="Times New Roman" w:hAnsi="Times New Roman"/>
          <w:sz w:val="20"/>
          <w:szCs w:val="20"/>
          <w:color w:val="auto"/>
        </w:rPr>
        <w:t>(iii)The Company may withhold or account for Tax Withholdings by considering statutory or other withholding rates, including minimum or maximum rates applicable in the Participant’s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 Withholdings directly to the applicable tax authority or to the Company and/or the Employer(s). If the obligation for Tax Withholdings is satisfied by withholding in Shares, for tax purposes, the Participant will be deemed to have been issued the full number of Shares exercised, notwithstanding that a number of the Shares is held back solely for the purpose of paying the Tax Withholdings.</w:t>
      </w:r>
    </w:p>
    <w:p>
      <w:pPr>
        <w:spacing w:after="0" w:line="143" w:lineRule="exact"/>
        <w:rPr>
          <w:sz w:val="20"/>
          <w:szCs w:val="20"/>
          <w:color w:val="auto"/>
        </w:rPr>
      </w:pPr>
    </w:p>
    <w:p>
      <w:pPr>
        <w:jc w:val="both"/>
        <w:ind w:left="460" w:firstLine="449"/>
        <w:spacing w:after="0" w:line="244" w:lineRule="auto"/>
        <w:rPr>
          <w:sz w:val="20"/>
          <w:szCs w:val="20"/>
          <w:color w:val="auto"/>
        </w:rPr>
      </w:pPr>
      <w:r>
        <w:rPr>
          <w:rFonts w:ascii="Times New Roman" w:cs="Times New Roman" w:eastAsia="Times New Roman" w:hAnsi="Times New Roman"/>
          <w:sz w:val="22"/>
          <w:szCs w:val="22"/>
          <w:color w:val="auto"/>
        </w:rPr>
        <w:t>(iv)Further, if the Participant is subject to taxation in more than one jurisdiction between the Grant Date and the date of any relevant taxable or tax withholding event, the Company or the Employer(s) or former Employer(s) may withhold or account for tax in more than one jurisdiction.</w:t>
      </w:r>
    </w:p>
    <w:p>
      <w:pPr>
        <w:spacing w:after="0" w:line="159" w:lineRule="exact"/>
        <w:rPr>
          <w:sz w:val="20"/>
          <w:szCs w:val="20"/>
          <w:color w:val="auto"/>
        </w:rPr>
      </w:pPr>
    </w:p>
    <w:p>
      <w:pPr>
        <w:jc w:val="both"/>
        <w:ind w:left="460" w:firstLine="449"/>
        <w:spacing w:after="0" w:line="234" w:lineRule="auto"/>
        <w:rPr>
          <w:sz w:val="20"/>
          <w:szCs w:val="20"/>
          <w:color w:val="auto"/>
        </w:rPr>
      </w:pPr>
      <w:r>
        <w:rPr>
          <w:rFonts w:ascii="Times New Roman" w:cs="Times New Roman" w:eastAsia="Times New Roman" w:hAnsi="Times New Roman"/>
          <w:sz w:val="22"/>
          <w:szCs w:val="22"/>
          <w:color w:val="auto"/>
        </w:rPr>
        <w:t>(v)Regardless of any action of the Company or the Employer(s), the Participant acknowledges that the ultimate liability for all Tax Withholdings and any and all additional taxes related to the Option, the Shares or other amounts or property delivered under the Option and the Participant’s participation in the Plan is and remains his or her responsibility and may exceed the amount actually withheld by the Company or the Employer(s). The Participant further acknowledges that the Company and the Employer(s) (1) make no representations or undertakings regarding the treatment of any Tax Withholdings in connection with any aspect of this Option; and (2) do not commit to and are under no obligation to structure the terms of the grant or any aspect of this Option to reduce or eliminate his or her liability for Tax Withholdings or achieve any particular tax result.</w:t>
      </w:r>
    </w:p>
    <w:p>
      <w:pPr>
        <w:spacing w:after="0" w:line="157" w:lineRule="exact"/>
        <w:rPr>
          <w:sz w:val="20"/>
          <w:szCs w:val="20"/>
          <w:color w:val="auto"/>
        </w:rPr>
      </w:pPr>
    </w:p>
    <w:p>
      <w:pPr>
        <w:ind w:left="460" w:firstLine="449"/>
        <w:spacing w:after="0" w:line="244" w:lineRule="auto"/>
        <w:rPr>
          <w:sz w:val="20"/>
          <w:szCs w:val="20"/>
          <w:color w:val="auto"/>
        </w:rPr>
      </w:pPr>
      <w:r>
        <w:rPr>
          <w:rFonts w:ascii="Times New Roman" w:cs="Times New Roman" w:eastAsia="Times New Roman" w:hAnsi="Times New Roman"/>
          <w:sz w:val="22"/>
          <w:szCs w:val="22"/>
          <w:color w:val="auto"/>
        </w:rPr>
        <w:t>(vi)For U.S. taxpayers, under Code Section 409A, a stock right (such as this Option) that vests after December 31, 2004 (or that vested on or prior to such date but which was materially modified</w:t>
      </w: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331" w:lineRule="exact"/>
        <w:rPr>
          <w:sz w:val="20"/>
          <w:szCs w:val="20"/>
          <w:color w:val="auto"/>
        </w:rPr>
      </w:pPr>
    </w:p>
    <w:p>
      <w:pPr>
        <w:jc w:val="both"/>
        <w:ind w:left="460"/>
        <w:spacing w:after="0" w:line="259" w:lineRule="auto"/>
        <w:rPr>
          <w:sz w:val="20"/>
          <w:szCs w:val="20"/>
          <w:color w:val="auto"/>
        </w:rPr>
      </w:pPr>
      <w:r>
        <w:rPr>
          <w:rFonts w:ascii="Times New Roman" w:cs="Times New Roman" w:eastAsia="Times New Roman" w:hAnsi="Times New Roman"/>
          <w:sz w:val="20"/>
          <w:szCs w:val="20"/>
          <w:color w:val="auto"/>
        </w:rPr>
        <w:t>after October 3, 2004) that was granted with a per share exercise price that is determined by the U.S. Internal Revenue Service (the “IRS”) to be less than the fair market value of an underlying share on the date of grant (a “discount option”) may be considered “deferred compensation.” A stock right that is a “discount option” may result in (1) income recognition by the recipient of the stock right prior to the exercise of the stock right, (2) an additional 20% U.S. federal income tax, and</w:t>
      </w:r>
    </w:p>
    <w:p>
      <w:pPr>
        <w:spacing w:after="0" w:line="2" w:lineRule="exact"/>
        <w:rPr>
          <w:sz w:val="20"/>
          <w:szCs w:val="20"/>
          <w:color w:val="auto"/>
        </w:rPr>
      </w:pPr>
    </w:p>
    <w:p>
      <w:pPr>
        <w:jc w:val="both"/>
        <w:ind w:left="460" w:hanging="3"/>
        <w:spacing w:after="0" w:line="232" w:lineRule="auto"/>
        <w:tabs>
          <w:tab w:leader="none" w:pos="76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penalty and interest charges. The “discount option” may also result in additional U.S. state income, penalty and interest tax to the recipient of the stock right. Participant is hereby notified that the Company cannot and has not guaranteed that the IRS will agree that the per Share exercise price of this Option equals or exceeds the fair market value of a Share on the Grant Date in a later examination. Participant is hereby notified that if the IRS determines that this Option was granted with a per Share exercise price that was less than the fair market value of a Share on the Grant Date, Participant shall be solely responsible for Participant’s costs related to such a determination.</w:t>
      </w:r>
    </w:p>
    <w:p>
      <w:pPr>
        <w:spacing w:after="0" w:line="167" w:lineRule="exact"/>
        <w:rPr>
          <w:sz w:val="20"/>
          <w:szCs w:val="20"/>
          <w:color w:val="auto"/>
        </w:rPr>
      </w:pPr>
    </w:p>
    <w:p>
      <w:pPr>
        <w:jc w:val="both"/>
        <w:ind w:left="460" w:firstLine="449"/>
        <w:spacing w:after="0" w:line="237"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Tax Reporting</w:t>
      </w:r>
      <w:r>
        <w:rPr>
          <w:rFonts w:ascii="Times New Roman" w:cs="Times New Roman" w:eastAsia="Times New Roman" w:hAnsi="Times New Roman"/>
          <w:sz w:val="22"/>
          <w:szCs w:val="22"/>
          <w:color w:val="auto"/>
        </w:rPr>
        <w:t>. This Section 8(b) applies if the Participant is a U.S. income taxpayer. If this Option is partially or wholly an ISO, and if the Participant sells or otherwise disposes of any the Shares acquired by exercising the ISO portion on or before the later of (i) the date two (2) years after the Grant Date, or (ii) the date one (1) year after the date of exercise, he or she may be subject to withholding of Tax Withholdings by the Company on the compensation income recognized by him or her and must immediately notify the Company in writing of the disposition.</w:t>
      </w:r>
    </w:p>
    <w:p>
      <w:pPr>
        <w:spacing w:after="0" w:line="153" w:lineRule="exact"/>
        <w:rPr>
          <w:sz w:val="20"/>
          <w:szCs w:val="20"/>
          <w:color w:val="auto"/>
        </w:rPr>
      </w:pPr>
    </w:p>
    <w:p>
      <w:pPr>
        <w:jc w:val="both"/>
        <w:ind w:firstLine="8"/>
        <w:spacing w:after="0" w:line="244" w:lineRule="auto"/>
        <w:tabs>
          <w:tab w:leader="none" w:pos="50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The Participant’s or any other person’s rights as a stockholder of the Company (including the right to vote and to receive dividends and distributions) will not begin until Shares have been issued and recorded on the records of the Company or its transfer agents or registrars.</w:t>
      </w:r>
    </w:p>
    <w:p>
      <w:pPr>
        <w:spacing w:after="0" w:line="158"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 and Agreements</w:t>
      </w:r>
      <w:r>
        <w:rPr>
          <w:rFonts w:ascii="Times New Roman" w:cs="Times New Roman" w:eastAsia="Times New Roman" w:hAnsi="Times New Roman"/>
          <w:sz w:val="22"/>
          <w:szCs w:val="22"/>
          <w:color w:val="auto"/>
        </w:rPr>
        <w:t>.  The Participant’s signature on the Notice of Grant accepting this Option indicates</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w:t>
      </w:r>
    </w:p>
    <w:p>
      <w:pPr>
        <w:spacing w:after="0" w:line="167"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ACKNOWLEDGES AND AGREES THAT THE VESTING OF THIS OPTION IS EARNED ONLY BY CONTINUING AS A SERVICE PROVIDER AND THAT BEING HIRED, GRANTED THIS OPTION, AND EXERCISING THIS OPTION WILL NOT RESULT IN VESTING.</w:t>
      </w:r>
    </w:p>
    <w:p>
      <w:pPr>
        <w:spacing w:after="0" w:line="145"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7"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FURTHER ACKNOWLEDGES AND AGREES THAT THIS OPTION AND AGREEMENT DO NOT CREATE AN EXPRESS OR IMPLIED PROMISE OF CONTINUED ENGAGEMENT AS A SERVICE PROVIDER FOR THE VESTING PERIOD, FOR ANY PERIOD, OR AT ALL, AND WILL NOT INTERFERE IN ANY WAY WITH HIS OR HER RIGHT OR THE RIGHT OF THE EMPLOYER(S) TO TERMINATE HIS OR HER RELATIONSHIP AS A SERVICE PROVIDER AT ANY TIME, WITH OR WITHOUT CAUSE, SUBJECT TO APPLICABLE LAWS.</w:t>
      </w:r>
    </w:p>
    <w:p>
      <w:pPr>
        <w:spacing w:after="0" w:line="165"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this Agreement and its incorporated documents reflect all agreements on its subject matters and that he or she is not accepting this Agreement based on any promises, representations, or inducements other than those reflected in the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65" w:lineRule="auto"/>
        <w:tabs>
          <w:tab w:leader="none" w:pos="2037"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understands that exercise of this Option is governed strictly by Sections 6, 7, and 8 of this Agreement and that failure to comply with those Sections could result in the expiration of this Option, even if an attempt was</w:t>
      </w:r>
    </w:p>
    <w:p>
      <w:pPr>
        <w:spacing w:after="0" w:line="236" w:lineRule="auto"/>
        <w:rPr>
          <w:sz w:val="20"/>
          <w:szCs w:val="20"/>
          <w:color w:val="auto"/>
        </w:rPr>
      </w:pPr>
      <w:r>
        <w:rPr>
          <w:rFonts w:ascii="Times New Roman" w:cs="Times New Roman" w:eastAsia="Times New Roman" w:hAnsi="Times New Roman"/>
          <w:sz w:val="22"/>
          <w:szCs w:val="22"/>
          <w:color w:val="auto"/>
        </w:rPr>
        <w:t>made to exercise.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331" w:lineRule="exact"/>
        <w:rPr>
          <w:sz w:val="20"/>
          <w:szCs w:val="20"/>
          <w:color w:val="auto"/>
        </w:rPr>
      </w:pPr>
    </w:p>
    <w:p>
      <w:pPr>
        <w:jc w:val="both"/>
        <w:ind w:firstLine="1505"/>
        <w:spacing w:after="0" w:line="247" w:lineRule="exact"/>
        <w:tabs>
          <w:tab w:leader="none" w:pos="203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the Company’s delivery of any documents related to the Plan or this Option (including the Plan, the Agreement, the Plan’s prospectus and any reports of the Company provided generally to the Company’s stockholders) to him or her may be made by electronic delivery, which may include but does not necessarily include the delivery of a link to a Company intranet or the Internet site of a third party involved in administering the Plan, the delivery of the document via e-mail, or any other means of electronic delivery specified by the Company. If the attempted electronic delivery of such documents fails, the Participant will be provided with a paper copy of the documents. The Participant acknowledges that he or she may receive from the Company a paper copy of any documents that were delivered electronically at no cost to him or her by contacting the Company by telephone or in writing. The Participant may revoke his or her consent to the electronic delivery of documents or may change the electronic mail address to which such documents are to be delivered (if the Participant has provided an electronic mail address) at any time by notifying the Company of such revoked consent or revised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address by telephone, postal service or electronic mail. Finally, the Participant understands that he or she is not required to consent to electronic delivery of documents.</w:t>
      </w:r>
    </w:p>
    <w:p>
      <w:pPr>
        <w:spacing w:after="0" w:line="168" w:lineRule="exact"/>
        <w:rPr>
          <w:rFonts w:ascii="Times New Roman" w:cs="Times New Roman" w:eastAsia="Times New Roman" w:hAnsi="Times New Roman"/>
          <w:sz w:val="22"/>
          <w:szCs w:val="22"/>
          <w:color w:val="auto"/>
        </w:rPr>
      </w:pPr>
    </w:p>
    <w:p>
      <w:pPr>
        <w:jc w:val="both"/>
        <w:ind w:firstLine="1505"/>
        <w:spacing w:after="0" w:line="280" w:lineRule="auto"/>
        <w:tabs>
          <w:tab w:leader="none" w:pos="2037"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may deliver any documents related to the Plan or this Option to the Company by e-mail or any other means of electronic delivery approved by the Administrator, but he or she must provide the Company or any designated third party administrator with a paper copy of any documents if his or her attempted electronic delivery of such documents fails.</w:t>
      </w:r>
    </w:p>
    <w:p>
      <w:pPr>
        <w:spacing w:after="0" w:line="111"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accepts that all good faith decisions or interpretations of the Administrator regarding the Plan and Awards under the Plan are binding, conclusive, and final. No member of the Administrator will be personally liable for any such decisions or interpretations.</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the Plan is established voluntarily by the Company, is discretionary in nature, and may be amended, suspended, or terminated by the Company at any time, to the extent permitted by the Plan.</w:t>
      </w:r>
    </w:p>
    <w:p>
      <w:pPr>
        <w:spacing w:after="0" w:line="14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the grant of this Option is exceptional, voluntary and occasional and does not create any contractual or other right to receive future grants of options, or benefits in lieu of options, even if options have been granted in the past.</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any decisions regarding future Awards will be in the Company’s sole</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w:t>
      </w:r>
    </w:p>
    <w:p>
      <w:pPr>
        <w:spacing w:after="0" w:line="16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he or she is voluntarily participating in the Plan.</w:t>
      </w:r>
    </w:p>
    <w:p>
      <w:pPr>
        <w:spacing w:after="0" w:line="191"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this Option and any Shares acquired under the Plan are not intended to replace any pension rights or compensation.</w:t>
      </w:r>
    </w:p>
    <w:p>
      <w:pPr>
        <w:spacing w:after="0" w:line="13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this Option, any Shares acquired under the Plan, and their income and value are not part of normal or expected compensation for any purpose, including for calculating any severance, resignation, termination, redundancy, dismissal, end-of-service payments, bonuses, holiday pay, long-service awards, pension or retirement or welfare benefits, or similar payments.</w:t>
      </w:r>
    </w:p>
    <w:p>
      <w:pPr>
        <w:spacing w:after="0" w:line="165" w:lineRule="exact"/>
        <w:rPr>
          <w:rFonts w:ascii="Times New Roman" w:cs="Times New Roman" w:eastAsia="Times New Roman" w:hAnsi="Times New Roman"/>
          <w:sz w:val="22"/>
          <w:szCs w:val="22"/>
          <w:color w:val="auto"/>
        </w:rPr>
      </w:pPr>
    </w:p>
    <w:p>
      <w:pPr>
        <w:ind w:right="20" w:firstLine="1505"/>
        <w:spacing w:after="0" w:line="258" w:lineRule="auto"/>
        <w:tabs>
          <w:tab w:leader="none" w:pos="203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the future value of the Shares underlying this Option is unknown, indeterminable, and cannot be predicted with certainty.</w:t>
      </w:r>
    </w:p>
    <w:p>
      <w:pPr>
        <w:spacing w:after="0" w:line="14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understands that if the underlying Shares do not increase in value,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Option will have no intrinsic monetary value.</w:t>
      </w:r>
    </w:p>
    <w:p>
      <w:pPr>
        <w:spacing w:after="0" w:line="192" w:lineRule="exact"/>
        <w:rPr>
          <w:sz w:val="20"/>
          <w:szCs w:val="20"/>
          <w:color w:val="auto"/>
        </w:rPr>
      </w:pPr>
    </w:p>
    <w:p>
      <w:pPr>
        <w:ind w:firstLine="1505"/>
        <w:spacing w:after="0" w:line="258" w:lineRule="auto"/>
        <w:tabs>
          <w:tab w:leader="none" w:pos="2037"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understands that if this Option is exercised, the value of each Share received on exercise may increase or decrease in value, even below the Exercise Price.</w:t>
      </w:r>
    </w:p>
    <w:p>
      <w:pPr>
        <w:spacing w:after="0" w:line="13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no member of the Company Group is liable for any foreign exchange rate fluctuation between the Participant’s local currency and the United States Dollar that may affect the value of this Option or of any amounts due to him or her from the exercise of this Option or the subsequent sale of any Shares acquired upon exercise.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this Option and the benefits evidenced in this Agreement do not create any entitlement to have this Option or any such benefits transferred to, or assumed by, another company, nor to be exchanged, cashed out or substituted for, in connection with any corporate transaction affecting the Shares.</w:t>
      </w:r>
    </w:p>
    <w:p>
      <w:pPr>
        <w:spacing w:after="0" w:line="165"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he or she has no claim or entitlement to compensation or damages from any forfeiture of this Option resulting from the termination of his or her status as a Service Provider (for any reason whatsoever, whether or not later found to be invalid or in breach of employment laws in the jurisdiction where he or she is a Service Provider or the terms of his or her service agreement, if any).</w:t>
      </w:r>
    </w:p>
    <w:p>
      <w:pPr>
        <w:spacing w:after="0" w:line="147"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b w:val="1"/>
          <w:bCs w:val="1"/>
          <w:color w:val="auto"/>
        </w:rPr>
        <w:t>.</w:t>
      </w:r>
    </w:p>
    <w:p>
      <w:pPr>
        <w:spacing w:after="0" w:line="191" w:lineRule="exact"/>
        <w:rPr>
          <w:rFonts w:ascii="Times New Roman" w:cs="Times New Roman" w:eastAsia="Times New Roman" w:hAnsi="Times New Roman"/>
          <w:sz w:val="22"/>
          <w:szCs w:val="22"/>
          <w:color w:val="auto"/>
        </w:rPr>
      </w:pPr>
    </w:p>
    <w:p>
      <w:pPr>
        <w:jc w:val="both"/>
        <w:ind w:firstLine="1505"/>
        <w:spacing w:after="0"/>
        <w:tabs>
          <w:tab w:leader="none" w:pos="2037" w:val="left"/>
        </w:tabs>
        <w:numPr>
          <w:ilvl w:val="1"/>
          <w:numId w:val="14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Participant voluntarily consents to the collection, use and transfer, in electronic or other form, of his or her personal data as described in this Agreement and any other Award materials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i w:val="1"/>
          <w:iCs w:val="1"/>
          <w:color w:val="auto"/>
        </w:rPr>
        <w:t>”) by and among, as applicable, the Employer(s), the Company and any member of the Company Group for the exclusive purpose of implementing, administering, and managing his or her participation in the Plan.</w:t>
      </w:r>
    </w:p>
    <w:p>
      <w:pPr>
        <w:spacing w:after="0" w:line="161" w:lineRule="exact"/>
        <w:rPr>
          <w:rFonts w:ascii="Times New Roman" w:cs="Times New Roman" w:eastAsia="Times New Roman" w:hAnsi="Times New Roman"/>
          <w:sz w:val="22"/>
          <w:szCs w:val="22"/>
          <w:i w:val="1"/>
          <w:iCs w:val="1"/>
          <w:color w:val="auto"/>
        </w:rPr>
      </w:pPr>
    </w:p>
    <w:p>
      <w:pPr>
        <w:jc w:val="both"/>
        <w:ind w:firstLine="1505"/>
        <w:spacing w:after="0" w:line="238" w:lineRule="auto"/>
        <w:tabs>
          <w:tab w:leader="none" w:pos="2037" w:val="left"/>
        </w:tabs>
        <w:numPr>
          <w:ilvl w:val="1"/>
          <w:numId w:val="14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Participant understands that the Company and the Employer(s) may hold certain personal information about him or her, including, but not limited to, his or her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his or her favor, for the exclusive purpose of implementing, administering, and managing the Plan.</w:t>
      </w:r>
    </w:p>
    <w:p>
      <w:pPr>
        <w:spacing w:after="0" w:line="147" w:lineRule="exact"/>
        <w:rPr>
          <w:rFonts w:ascii="Times New Roman" w:cs="Times New Roman" w:eastAsia="Times New Roman" w:hAnsi="Times New Roman"/>
          <w:sz w:val="22"/>
          <w:szCs w:val="22"/>
          <w:i w:val="1"/>
          <w:iCs w:val="1"/>
          <w:color w:val="auto"/>
        </w:rPr>
      </w:pPr>
    </w:p>
    <w:p>
      <w:pPr>
        <w:jc w:val="both"/>
        <w:ind w:firstLine="1505"/>
        <w:spacing w:after="0" w:line="260" w:lineRule="auto"/>
        <w:tabs>
          <w:tab w:leader="none" w:pos="2037" w:val="left"/>
        </w:tabs>
        <w:numPr>
          <w:ilvl w:val="1"/>
          <w:numId w:val="14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Participant understands that Data will be transferred to one or more a stock plan service provider(s) selected by the Company, which may assist the Company with the implementation, administration, and management of the Plan. The Participant understands that the recipients of the Data may be located in the United States or elsewhere, and that the recipient’s country (e.g., the United States) may have different data privacy laws and protections than his or her country. The Participant understands that if he or she resides outside the United States, he or she may request a list with the names and addresses of any potential recipients of the Data by contacting his or her local human resources representative. The Participant authorizes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his or her participation in the Plan.</w:t>
      </w:r>
    </w:p>
    <w:p>
      <w:pPr>
        <w:spacing w:after="0" w:line="144" w:lineRule="exact"/>
        <w:rPr>
          <w:rFonts w:ascii="Times New Roman" w:cs="Times New Roman" w:eastAsia="Times New Roman" w:hAnsi="Times New Roman"/>
          <w:sz w:val="20"/>
          <w:szCs w:val="20"/>
          <w:i w:val="1"/>
          <w:iCs w:val="1"/>
          <w:color w:val="auto"/>
        </w:rPr>
      </w:pPr>
    </w:p>
    <w:p>
      <w:pPr>
        <w:ind w:left="2040" w:hanging="535"/>
        <w:spacing w:after="0"/>
        <w:tabs>
          <w:tab w:leader="none" w:pos="2040" w:val="left"/>
        </w:tabs>
        <w:numPr>
          <w:ilvl w:val="1"/>
          <w:numId w:val="14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Participant understands that Data will be held only as long as is necessary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32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i w:val="1"/>
          <w:iCs w:val="1"/>
          <w:color w:val="auto"/>
        </w:rPr>
        <w:t>implement, administer and manage his or her participation in the Plan. The Participant understands that if he or she resides in certain jurisdictions outside the United States, to the extent required by Applicable Laws, he or she may, at any time, request access to Data, request additional information about the storage and processing of Data, require any necessary amendments to Data or refuse or withdraw the consents given by accepting this Option, in any case without cost, by contacting in writing his or her local human resources representative. Further, the Participant understands that he or she is providing these consents on a purely voluntary basis. If the Participant does not consent or if he or she later seeks to revoke his or her consent, his or her engagement as a Service Provider with the Employer(s) will not be adversely affected; the only consequence of refusing or withdrawing his or her consent is that the Company will not be able to grant him or her awards under the Plan or administer or maintain awards. Therefore, the Participant understands that refusing or withdrawing his or her consent may affect his or her ability to participate in the Plan (including the right to retain this Option). The Participant understands that he or she may contact his or her local human resources representative for more information on the consequences of his or her refusal to consent or withdrawal of consent.</w:t>
      </w:r>
    </w:p>
    <w:p>
      <w:pPr>
        <w:spacing w:after="0" w:line="172" w:lineRule="exact"/>
        <w:rPr>
          <w:sz w:val="20"/>
          <w:szCs w:val="20"/>
          <w:color w:val="auto"/>
        </w:rPr>
      </w:pPr>
    </w:p>
    <w:p>
      <w:pPr>
        <w:jc w:val="both"/>
        <w:ind w:firstLine="8"/>
        <w:spacing w:after="0" w:line="257" w:lineRule="auto"/>
        <w:tabs>
          <w:tab w:leader="none" w:pos="50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Trading Restrictions/Market Abuse Laws</w:t>
      </w:r>
      <w:r>
        <w:rPr>
          <w:rFonts w:ascii="Times New Roman" w:cs="Times New Roman" w:eastAsia="Times New Roman" w:hAnsi="Times New Roman"/>
          <w:sz w:val="20"/>
          <w:szCs w:val="20"/>
          <w:color w:val="auto"/>
        </w:rPr>
        <w:t>. The Participant acknowledges that he or she may be subject to insider trading restrictions and/or market abuse laws in applicable jurisdictions including, but not limited to, the United States and the Participant’s country of residence, which may affect the Participant’s ability to acquire or sell Shares or rights to Shares (e.g., this Option) under the Plan during such time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w:t>
      </w:r>
    </w:p>
    <w:p>
      <w:pPr>
        <w:spacing w:after="0" w:line="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could be prohibited from (i) disclosing the inside information to any third party and (ii) “tipping” third parties or causing them otherwise to buy or sell securities. The Participant should keep in mind third parties includes fellow employees. Any restrictions under these laws or regulations are separate from and in addition to any restrictions that may be imposed under any applicable insider trading policy of the Company. The Participant is responsible for ensuring compliance with any applicable restrictions and should consult with his or her personal legal advisor on this matter.</w:t>
      </w:r>
    </w:p>
    <w:p>
      <w:pPr>
        <w:spacing w:after="0" w:line="150" w:lineRule="exact"/>
        <w:rPr>
          <w:sz w:val="20"/>
          <w:szCs w:val="20"/>
          <w:color w:val="auto"/>
        </w:rPr>
      </w:pPr>
    </w:p>
    <w:p>
      <w:pPr>
        <w:jc w:val="both"/>
        <w:ind w:firstLine="8"/>
        <w:spacing w:after="0" w:line="234" w:lineRule="auto"/>
        <w:tabs>
          <w:tab w:leader="none" w:pos="50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 Requirements</w:t>
      </w:r>
      <w:r>
        <w:rPr>
          <w:rFonts w:ascii="Times New Roman" w:cs="Times New Roman" w:eastAsia="Times New Roman" w:hAnsi="Times New Roman"/>
          <w:sz w:val="22"/>
          <w:szCs w:val="22"/>
          <w:color w:val="auto"/>
        </w:rPr>
        <w:t>. Depending on the Participant’s country, the Participant may be subject to foreign asset/account, exchange control and/or tax reporting requirements as a result of the vesting or exercise of this Option, the acquisition, holding and/or transfer of Shares or cash resulting from participation in the Plan and/or the opening and maintaining of a brokerage or bank account in connection with the Plan. The Participant may be required to report such assets, accounts, account balances and values, and/or related transactions to the applicable authorities in his or her country. The Participant may also be required to repatriate sale proceeds or other funds received as a result of his or her participation in the Plan to his or her country through a designated bank or broker and/or within a certain time after receipt. The Participant acknowledges that he or she is responsible for ensuring compliance with any applicable foreign asset/account, exchange control and tax reporting and other requirements. The Participant further understands that he or she should consult the Participant's personal tax and legal advisors, as applicable on these matters.</w:t>
      </w:r>
    </w:p>
    <w:p>
      <w:pPr>
        <w:spacing w:after="0" w:line="162"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191" w:lineRule="exact"/>
        <w:rPr>
          <w:rFonts w:ascii="Times New Roman" w:cs="Times New Roman" w:eastAsia="Times New Roman" w:hAnsi="Times New Roman"/>
          <w:sz w:val="22"/>
          <w:szCs w:val="22"/>
          <w:color w:val="auto"/>
        </w:rPr>
      </w:pPr>
    </w:p>
    <w:p>
      <w:pPr>
        <w:jc w:val="both"/>
        <w:ind w:right="20" w:firstLine="1505"/>
        <w:spacing w:after="0" w:line="239" w:lineRule="auto"/>
        <w:tabs>
          <w:tab w:leader="none" w:pos="2037"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Agreement must be addressed to the Company at RxSight, Inc., 100 Columbia, Aliso Viejo, CA 92656 , USA until the Company designates another address in writing.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331" w:lineRule="exact"/>
        <w:rPr>
          <w:sz w:val="20"/>
          <w:szCs w:val="20"/>
          <w:color w:val="auto"/>
        </w:rPr>
      </w:pPr>
    </w:p>
    <w:p>
      <w:pPr>
        <w:jc w:val="both"/>
        <w:ind w:firstLine="1505"/>
        <w:spacing w:after="0" w:line="244" w:lineRule="auto"/>
        <w:tabs>
          <w:tab w:leader="none" w:pos="203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 This Option may not be transferred other than by will or the applicable laws of descent or distribution and may be exercised during the lifetime of the Participant only by him or her or his or her representative following a Disability.</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If this Option is transferred, this Agreement will be binding upon and inure to the benefit of the heirs, legatees, legal representatives, successors, and assigns of the parties to this Agreement.</w:t>
      </w:r>
    </w:p>
    <w:p>
      <w:pPr>
        <w:spacing w:after="0" w:line="13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In accordance with Section 20 of the Plan, if at any time the Company determines, in its discretion, that the listing, registration, qualification or rule compliance of the Shares upon any securities exchange or under any U.S. or non-U.S. federal, state or local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hereunder, such issuance will not occur unless and until such listing, registration, qualification, rule compliance, clearance, consent or approval will have been completed, effected or obtained free of any conditions not acceptable to the Company.</w:t>
      </w:r>
    </w:p>
    <w:p>
      <w:pPr>
        <w:spacing w:after="0" w:line="170" w:lineRule="exact"/>
        <w:rPr>
          <w:rFonts w:ascii="Times New Roman" w:cs="Times New Roman" w:eastAsia="Times New Roman" w:hAnsi="Times New Roman"/>
          <w:sz w:val="22"/>
          <w:szCs w:val="22"/>
          <w:color w:val="auto"/>
        </w:rPr>
      </w:pPr>
    </w:p>
    <w:p>
      <w:pPr>
        <w:ind w:firstLine="1505"/>
        <w:spacing w:after="0" w:line="258" w:lineRule="auto"/>
        <w:tabs>
          <w:tab w:leader="none" w:pos="203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in this Agreement are for convenience only and are not to serve as a basis for interpretation or construction of this Agreement.</w:t>
      </w:r>
    </w:p>
    <w:p>
      <w:pPr>
        <w:spacing w:after="0" w:line="14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If any provision of this Agreement is held invalid or unenforceable, that provision will be severed from the remaining provisions of this Agreement and the invalidity or unenforceability will have no effect on the remainder of the Agreement.</w:t>
      </w:r>
    </w:p>
    <w:p>
      <w:pPr>
        <w:spacing w:after="0" w:line="145"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Non-U.S. Appendix</w:t>
      </w:r>
      <w:r>
        <w:rPr>
          <w:rFonts w:ascii="Times New Roman" w:cs="Times New Roman" w:eastAsia="Times New Roman" w:hAnsi="Times New Roman"/>
          <w:sz w:val="22"/>
          <w:szCs w:val="22"/>
          <w:color w:val="auto"/>
        </w:rPr>
        <w:t>. This Option is subject to any special terms and conditions set forth in any Appendix. If the Participant relocates to a country included in the Appendix, the special terms and conditions for that country will apply to him or her to the extent the Company determines that applying such terms and conditions is necessary or advisable for legal or administrative reasons.</w:t>
      </w:r>
    </w:p>
    <w:p>
      <w:pPr>
        <w:spacing w:after="0" w:line="165"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this Option and the Shares subject to this Option, to the extent the Company determines it is necessary or advisable for legal or administrative reasons, and to require Participant to sign any additional agreements or undertakings that may be necessary to accomplish the foregoing.</w:t>
      </w:r>
    </w:p>
    <w:p>
      <w:pPr>
        <w:spacing w:after="0" w:line="165" w:lineRule="exact"/>
        <w:rPr>
          <w:rFonts w:ascii="Times New Roman" w:cs="Times New Roman" w:eastAsia="Times New Roman" w:hAnsi="Times New Roman"/>
          <w:sz w:val="22"/>
          <w:szCs w:val="22"/>
          <w:color w:val="auto"/>
        </w:rPr>
      </w:pPr>
    </w:p>
    <w:p>
      <w:pPr>
        <w:jc w:val="both"/>
        <w:ind w:firstLine="1505"/>
        <w:spacing w:after="0" w:line="264" w:lineRule="auto"/>
        <w:tabs>
          <w:tab w:leader="none" w:pos="2037"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Choice of Law; Choice of Forum</w:t>
      </w:r>
      <w:r>
        <w:rPr>
          <w:rFonts w:ascii="Times New Roman" w:cs="Times New Roman" w:eastAsia="Times New Roman" w:hAnsi="Times New Roman"/>
          <w:sz w:val="20"/>
          <w:szCs w:val="20"/>
          <w:color w:val="auto"/>
        </w:rPr>
        <w:t>. The Plan, this Agreement, this Option,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the Plan, the Participant's acceptance of this Option is his or her consent to the jurisdiction of the State of Delaware and his or her agreement that any such litigation will be conducted in the Delaware Court of Chancery or the federal courts for the United States for the District of Delaware and no other courts, regardless of where he or she is performing services.</w:t>
      </w:r>
    </w:p>
    <w:p>
      <w:pPr>
        <w:spacing w:after="0" w:line="127" w:lineRule="exact"/>
        <w:rPr>
          <w:rFonts w:ascii="Times New Roman" w:cs="Times New Roman" w:eastAsia="Times New Roman" w:hAnsi="Times New Roman"/>
          <w:sz w:val="20"/>
          <w:szCs w:val="20"/>
          <w:color w:val="auto"/>
        </w:rPr>
      </w:pPr>
    </w:p>
    <w:p>
      <w:pPr>
        <w:jc w:val="both"/>
        <w:ind w:left="520" w:firstLine="985"/>
        <w:spacing w:after="0" w:line="241" w:lineRule="auto"/>
        <w:tabs>
          <w:tab w:leader="none" w:pos="1940" w:val="left"/>
        </w:tabs>
        <w:numPr>
          <w:ilvl w:val="0"/>
          <w:numId w:val="1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Modifications to the Agreement</w:t>
      </w:r>
      <w:r>
        <w:rPr>
          <w:rFonts w:ascii="Times New Roman" w:cs="Times New Roman" w:eastAsia="Times New Roman" w:hAnsi="Times New Roman"/>
          <w:sz w:val="22"/>
          <w:szCs w:val="22"/>
          <w:color w:val="auto"/>
        </w:rPr>
        <w:t>. The Plan and this Agreement constitute the entire understanding of the parties on the subjects covered. The Participant expressly warrants that he or she is not accepting this Agreement in</w:t>
      </w:r>
    </w:p>
    <w:p>
      <w:pPr>
        <w:ind w:left="520"/>
        <w:spacing w:after="0" w:line="236" w:lineRule="auto"/>
        <w:rPr>
          <w:sz w:val="20"/>
          <w:szCs w:val="20"/>
          <w:color w:val="auto"/>
        </w:rPr>
      </w:pPr>
      <w:r>
        <w:rPr>
          <w:rFonts w:ascii="Times New Roman" w:cs="Times New Roman" w:eastAsia="Times New Roman" w:hAnsi="Times New Roman"/>
          <w:sz w:val="22"/>
          <w:szCs w:val="22"/>
          <w:color w:val="auto"/>
        </w:rPr>
        <w:t>reliance on any promises, representations, or inducements</w:t>
      </w: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331" w:lineRule="exact"/>
        <w:rPr>
          <w:sz w:val="20"/>
          <w:szCs w:val="20"/>
          <w:color w:val="auto"/>
        </w:rPr>
      </w:pPr>
    </w:p>
    <w:p>
      <w:pPr>
        <w:jc w:val="both"/>
        <w:ind w:left="520"/>
        <w:spacing w:after="0" w:line="237" w:lineRule="auto"/>
        <w:rPr>
          <w:sz w:val="20"/>
          <w:szCs w:val="20"/>
          <w:color w:val="auto"/>
        </w:rPr>
      </w:pPr>
      <w:r>
        <w:rPr>
          <w:rFonts w:ascii="Times New Roman" w:cs="Times New Roman" w:eastAsia="Times New Roman" w:hAnsi="Times New Roman"/>
          <w:sz w:val="22"/>
          <w:szCs w:val="22"/>
          <w:color w:val="auto"/>
        </w:rPr>
        <w:t>other than those contained herein. Other than as specified in Section 19(d) of the Plan, modifications to this Agreement or the Plan can be made only in an express written contract executed by a duly authorized officer of the Company. The Company reserves the right to revise the Agreement as it deems necessary or advisable, in its sole discretion and without the consent of the Participant, to comply with Code Section 409A, to otherwise avoid imposition of any additional tax or income recognition under Code Section 409A in connection with this Option, or to comply with other Applicable Laws.</w:t>
      </w:r>
    </w:p>
    <w:p>
      <w:pPr>
        <w:spacing w:after="0" w:line="167" w:lineRule="exact"/>
        <w:rPr>
          <w:sz w:val="20"/>
          <w:szCs w:val="20"/>
          <w:color w:val="auto"/>
        </w:rPr>
      </w:pPr>
    </w:p>
    <w:p>
      <w:pPr>
        <w:jc w:val="both"/>
        <w:ind w:left="520" w:firstLine="985"/>
        <w:spacing w:after="0" w:line="244" w:lineRule="auto"/>
        <w:tabs>
          <w:tab w:leader="none" w:pos="1940" w:val="left"/>
        </w:tabs>
        <w:numPr>
          <w:ilvl w:val="0"/>
          <w:numId w:val="14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Participant acknowledges that a waiver by the Company of a breach of any provision of this Agreement will not operate or be construed as a waiver of any other provision of this Agreement or of any subsequent breach of this Agreement by him or her.</w:t>
      </w:r>
    </w:p>
    <w:p>
      <w:pPr>
        <w:spacing w:after="0" w:line="145" w:lineRule="exact"/>
        <w:rPr>
          <w:rFonts w:ascii="Times New Roman" w:cs="Times New Roman" w:eastAsia="Times New Roman" w:hAnsi="Times New Roman"/>
          <w:sz w:val="22"/>
          <w:szCs w:val="22"/>
          <w:u w:val="single" w:color="auto"/>
          <w:color w:val="auto"/>
        </w:rPr>
      </w:pPr>
    </w:p>
    <w:p>
      <w:pPr>
        <w:jc w:val="both"/>
        <w:ind w:left="520" w:firstLine="985"/>
        <w:spacing w:after="0" w:line="244" w:lineRule="auto"/>
        <w:tabs>
          <w:tab w:leader="none" w:pos="1940" w:val="left"/>
        </w:tabs>
        <w:numPr>
          <w:ilvl w:val="0"/>
          <w:numId w:val="14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Agreement, or any other document related to this Option and/or the Plan translated into a language other than English and if the meaning of the translated version is different than the English version, the English version will control.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TO STOCK OPTION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This Appendix to Stock Option Agreement (the “</w:t>
      </w:r>
      <w:r>
        <w:rPr>
          <w:rFonts w:ascii="Times New Roman" w:cs="Times New Roman" w:eastAsia="Times New Roman" w:hAnsi="Times New Roman"/>
          <w:sz w:val="22"/>
          <w:szCs w:val="22"/>
          <w:b w:val="1"/>
          <w:bCs w:val="1"/>
          <w:color w:val="auto"/>
        </w:rPr>
        <w:t>Appendix</w:t>
      </w:r>
      <w:r>
        <w:rPr>
          <w:rFonts w:ascii="Times New Roman" w:cs="Times New Roman" w:eastAsia="Times New Roman" w:hAnsi="Times New Roman"/>
          <w:sz w:val="22"/>
          <w:szCs w:val="22"/>
          <w:color w:val="auto"/>
        </w:rPr>
        <w:t>”) includes additional terms and conditions that govern this Option granted to the Participant under the Plan if he or she resides in one of the countries listed below on the Grant Date or he or she moves to one of the listed countries. Unless otherwise defined herein, capitalized terms sued but not defined herein shall have the same meanings as set forth in the Plan and this Agreement.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 Participant is a citizen or resident of a country (or if the Participant is considered as such for local law purposes) other than the one in which the Participant is currently residing and/or working, or if the Participant transfers to another country after being granted the Option, the Company will, in its discretion, determine the extent to which the terms and conditions contained herein will be applicable to the Participant.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Appendix may also include information regarding exchange controls and certain other issues of which the Participant should be aware with respect to participation in the Plan. The information is based on the securities, exchange control, and other Applicable Laws in effect in the respective countries as of [DATE] 2021. Such Applicable Laws are often complex and change frequently. As a result, the Company strongly recommends that the Participant not rely on the information in this Appendix as the only source of information relating to the consequences of participation in the Plan because the information may be out of date at the time the Participant sells Shares acquired under the Plan.</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in this Appendix is general in nature and may not apply to the Participant’s particular situation, and the Company is not in a position to assure him or her of a particular result. The Participant is advised to seek appropriate professional advice as to how the Applicable Laws in his or her country may apply to his or her situation.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331"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22"/>
          <w:szCs w:val="22"/>
          <w:color w:val="auto"/>
        </w:rPr>
        <w:t>Finally, if the Participant is a citizen or resident of a country other than the one in which he or she is currently working, transfers employment after this Option is granted, or is considered a resident of another country for local law purposes, the information in this Appendix may not apply to him or her, and the Administrator will determine to what extent the terms and conditions in this Appendix apply.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Countries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0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RXSIGHT,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EXERCISE NOTICE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RxSight,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Columbia</w:t>
      </w:r>
    </w:p>
    <w:p>
      <w:pPr>
        <w:spacing w:after="0" w:line="230" w:lineRule="auto"/>
        <w:rPr>
          <w:sz w:val="20"/>
          <w:szCs w:val="20"/>
          <w:color w:val="auto"/>
        </w:rPr>
      </w:pPr>
      <w:r>
        <w:rPr>
          <w:rFonts w:ascii="Times New Roman" w:cs="Times New Roman" w:eastAsia="Times New Roman" w:hAnsi="Times New Roman"/>
          <w:sz w:val="22"/>
          <w:szCs w:val="22"/>
          <w:color w:val="auto"/>
        </w:rPr>
        <w:t>Aliso Viejo, CA 92656</w:t>
      </w:r>
    </w:p>
    <w:p>
      <w:pPr>
        <w:spacing w:after="0"/>
        <w:rPr>
          <w:sz w:val="20"/>
          <w:szCs w:val="20"/>
          <w:color w:val="auto"/>
        </w:rPr>
      </w:pPr>
      <w:r>
        <w:rPr>
          <w:rFonts w:ascii="Times New Roman" w:cs="Times New Roman" w:eastAsia="Times New Roman" w:hAnsi="Times New Roman"/>
          <w:sz w:val="22"/>
          <w:szCs w:val="22"/>
          <w:color w:val="auto"/>
        </w:rPr>
        <w:t>Attention: Stock Administration</w:t>
      </w:r>
    </w:p>
    <w:p>
      <w:pPr>
        <w:spacing w:after="0" w:line="2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Purchaser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-153035</wp:posOffset>
            </wp:positionV>
            <wp:extent cx="6629400" cy="23564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0">
                      <a:extLst>
                        <a:ext uri="{28A0092B-C50C-407E-A947-70E740481C1C}"/>
                      </a:extLst>
                    </a:blip>
                    <a:srcRect/>
                    <a:stretch>
                      <a:fillRect/>
                    </a:stretch>
                  </pic:blipFill>
                  <pic:spPr bwMode="auto">
                    <a:xfrm>
                      <a:off x="0" y="0"/>
                      <a:ext cx="6629400" cy="2356485"/>
                    </a:xfrm>
                    <a:prstGeom prst="rect">
                      <a:avLst/>
                    </a:prstGeom>
                    <a:noFill/>
                  </pic:spPr>
                </pic:pic>
              </a:graphicData>
            </a:graphic>
          </wp:anchor>
        </w:drawing>
      </w:r>
    </w:p>
    <w:p>
      <w:pPr>
        <w:spacing w:after="0" w:line="1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Grant Date of Stock Option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w:t>
      </w:r>
    </w:p>
    <w:p>
      <w:pPr>
        <w:spacing w:after="0" w:line="3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Grant Number:</w:t>
      </w:r>
    </w:p>
    <w:p>
      <w:pPr>
        <w:spacing w:after="0" w:line="1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Exercise Date:</w:t>
      </w:r>
    </w:p>
    <w:p>
      <w:pPr>
        <w:spacing w:after="0" w:line="1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Number of Shares Exercised:</w:t>
      </w:r>
    </w:p>
    <w:p>
      <w:pPr>
        <w:spacing w:after="0" w:line="1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 Share Exercise Price:</w:t>
      </w:r>
    </w:p>
    <w:p>
      <w:pPr>
        <w:spacing w:after="0" w:line="1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Total Exercise Price:</w:t>
      </w:r>
    </w:p>
    <w:p>
      <w:pPr>
        <w:spacing w:after="0" w:line="1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Exercise Price Payment Method:</w:t>
      </w:r>
    </w:p>
    <w:p>
      <w:pPr>
        <w:spacing w:after="0" w:line="1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Tax Withholdings Payment Method:</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in the table above is incorporated in this Exercise Notice.</w:t>
      </w:r>
    </w:p>
    <w:p>
      <w:pPr>
        <w:spacing w:after="0" w:line="175" w:lineRule="exact"/>
        <w:rPr>
          <w:sz w:val="20"/>
          <w:szCs w:val="20"/>
          <w:color w:val="auto"/>
        </w:rPr>
      </w:pPr>
    </w:p>
    <w:p>
      <w:pPr>
        <w:jc w:val="both"/>
        <w:ind w:firstLine="757"/>
        <w:spacing w:after="0"/>
        <w:tabs>
          <w:tab w:leader="none" w:pos="1018"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of Option</w:t>
      </w:r>
      <w:r>
        <w:rPr>
          <w:rFonts w:ascii="Times New Roman" w:cs="Times New Roman" w:eastAsia="Times New Roman" w:hAnsi="Times New Roman"/>
          <w:sz w:val="22"/>
          <w:szCs w:val="22"/>
          <w:color w:val="auto"/>
        </w:rPr>
        <w:t>. Effective as of the Exercise Date, I elect to purchase the Number of Shares Exercised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Exercised Shares</w:t>
      </w:r>
      <w:r>
        <w:rPr>
          <w:rFonts w:ascii="Times New Roman" w:cs="Times New Roman" w:eastAsia="Times New Roman" w:hAnsi="Times New Roman"/>
          <w:sz w:val="22"/>
          <w:szCs w:val="22"/>
          <w:color w:val="auto"/>
        </w:rPr>
        <w:t>”) under the Stock Option Agreement for this Option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for the Total Exercise Price. Capitalized terms used but not defined in this Exercise Notice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have the meanings given to them in the 2021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and/or the Agreement.</w:t>
      </w:r>
    </w:p>
    <w:p>
      <w:pPr>
        <w:spacing w:after="0" w:line="192" w:lineRule="exact"/>
        <w:rPr>
          <w:sz w:val="20"/>
          <w:szCs w:val="20"/>
          <w:color w:val="auto"/>
        </w:rPr>
      </w:pPr>
    </w:p>
    <w:p>
      <w:pPr>
        <w:jc w:val="both"/>
        <w:ind w:firstLine="757"/>
        <w:spacing w:after="0" w:line="246" w:lineRule="auto"/>
        <w:tabs>
          <w:tab w:leader="none" w:pos="101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Delivery of Payment</w:t>
      </w:r>
      <w:r>
        <w:rPr>
          <w:rFonts w:ascii="Times New Roman" w:cs="Times New Roman" w:eastAsia="Times New Roman" w:hAnsi="Times New Roman"/>
          <w:sz w:val="22"/>
          <w:szCs w:val="22"/>
          <w:color w:val="auto"/>
        </w:rPr>
        <w:t>. With this Exercise Notice, I am delivering the Total Exercise Price and any required 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Withholdings to be paid in connection with the purchase of the Exercised Shares. I am paying my total purchase price by the Exercise Price Payment Method and the Tax Withholdings by the Tax Withholdings Payment Method.</w:t>
      </w:r>
    </w:p>
    <w:p>
      <w:pPr>
        <w:spacing w:after="0" w:line="13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Representations of Purchaser</w:t>
      </w:r>
      <w:r>
        <w:rPr>
          <w:rFonts w:ascii="Times New Roman" w:cs="Times New Roman" w:eastAsia="Times New Roman" w:hAnsi="Times New Roman"/>
          <w:sz w:val="22"/>
          <w:szCs w:val="22"/>
          <w:color w:val="auto"/>
        </w:rPr>
        <w:t>. I acknowledge that:</w:t>
      </w:r>
    </w:p>
    <w:p>
      <w:pPr>
        <w:spacing w:after="0" w:line="196" w:lineRule="exact"/>
        <w:rPr>
          <w:sz w:val="20"/>
          <w:szCs w:val="20"/>
          <w:color w:val="auto"/>
        </w:rPr>
      </w:pPr>
    </w:p>
    <w:p>
      <w:pPr>
        <w:jc w:val="both"/>
        <w:ind w:left="460" w:firstLine="449"/>
        <w:spacing w:after="0" w:line="258" w:lineRule="auto"/>
        <w:rPr>
          <w:sz w:val="20"/>
          <w:szCs w:val="20"/>
          <w:color w:val="auto"/>
        </w:rPr>
      </w:pPr>
      <w:r>
        <w:rPr>
          <w:rFonts w:ascii="Times New Roman" w:cs="Times New Roman" w:eastAsia="Times New Roman" w:hAnsi="Times New Roman"/>
          <w:sz w:val="22"/>
          <w:szCs w:val="22"/>
          <w:color w:val="auto"/>
        </w:rPr>
        <w:t>(a)I have received, read, and understood the Plan and the Agreement and agree to be bound by their terms and conditions.</w:t>
      </w:r>
    </w:p>
    <w:p>
      <w:pPr>
        <w:spacing w:after="0" w:line="144" w:lineRule="exact"/>
        <w:rPr>
          <w:sz w:val="20"/>
          <w:szCs w:val="20"/>
          <w:color w:val="auto"/>
        </w:rPr>
      </w:pPr>
    </w:p>
    <w:p>
      <w:pPr>
        <w:jc w:val="both"/>
        <w:ind w:left="460" w:firstLine="449"/>
        <w:spacing w:after="0" w:line="258" w:lineRule="auto"/>
        <w:rPr>
          <w:sz w:val="20"/>
          <w:szCs w:val="20"/>
          <w:color w:val="auto"/>
        </w:rPr>
      </w:pPr>
      <w:r>
        <w:rPr>
          <w:rFonts w:ascii="Times New Roman" w:cs="Times New Roman" w:eastAsia="Times New Roman" w:hAnsi="Times New Roman"/>
          <w:sz w:val="22"/>
          <w:szCs w:val="22"/>
          <w:color w:val="auto"/>
        </w:rPr>
        <w:t>(b)The exercise will not be completed until this Exercise Notice, Total Exercise Price, and all Tax-Related Payments are received by the Company.</w:t>
      </w:r>
    </w:p>
    <w:p>
      <w:pPr>
        <w:spacing w:after="0" w:line="130" w:lineRule="exact"/>
        <w:rPr>
          <w:sz w:val="20"/>
          <w:szCs w:val="20"/>
          <w:color w:val="auto"/>
        </w:rPr>
      </w:pPr>
    </w:p>
    <w:p>
      <w:pPr>
        <w:jc w:val="both"/>
        <w:ind w:left="460" w:firstLine="449"/>
        <w:spacing w:after="0" w:line="244" w:lineRule="auto"/>
        <w:rPr>
          <w:sz w:val="20"/>
          <w:szCs w:val="20"/>
          <w:color w:val="auto"/>
        </w:rPr>
      </w:pPr>
      <w:r>
        <w:rPr>
          <w:rFonts w:ascii="Times New Roman" w:cs="Times New Roman" w:eastAsia="Times New Roman" w:hAnsi="Times New Roman"/>
          <w:sz w:val="22"/>
          <w:szCs w:val="22"/>
          <w:color w:val="auto"/>
        </w:rPr>
        <w:t>(c)I have no rights as a stockholder of the Company (including the right to vote and receive dividends and distributions) on the Exercised Shares until the Exercised Shares have been issued and recorded on the records of the Company or its transfer agents or registrars.</w:t>
      </w:r>
    </w:p>
    <w:p>
      <w:pPr>
        <w:spacing w:after="0" w:line="159" w:lineRule="exact"/>
        <w:rPr>
          <w:sz w:val="20"/>
          <w:szCs w:val="20"/>
          <w:color w:val="auto"/>
        </w:rPr>
      </w:pPr>
    </w:p>
    <w:p>
      <w:pPr>
        <w:jc w:val="both"/>
        <w:ind w:left="460" w:firstLine="449"/>
        <w:spacing w:after="0" w:line="258" w:lineRule="auto"/>
        <w:rPr>
          <w:sz w:val="20"/>
          <w:szCs w:val="20"/>
          <w:color w:val="auto"/>
        </w:rPr>
      </w:pPr>
      <w:r>
        <w:rPr>
          <w:rFonts w:ascii="Times New Roman" w:cs="Times New Roman" w:eastAsia="Times New Roman" w:hAnsi="Times New Roman"/>
          <w:sz w:val="22"/>
          <w:szCs w:val="22"/>
          <w:color w:val="auto"/>
        </w:rPr>
        <w:t>(d)No adjustment will be made for a dividend or other right for which the record date is before the date of issuance, except for adjustments under Section 13 of the Plan.</w:t>
      </w:r>
    </w:p>
    <w:p>
      <w:pPr>
        <w:spacing w:after="0" w:line="144" w:lineRule="exact"/>
        <w:rPr>
          <w:sz w:val="20"/>
          <w:szCs w:val="20"/>
          <w:color w:val="auto"/>
        </w:rPr>
      </w:pPr>
    </w:p>
    <w:p>
      <w:pPr>
        <w:jc w:val="both"/>
        <w:ind w:left="460" w:right="20" w:firstLine="449"/>
        <w:spacing w:after="0" w:line="258" w:lineRule="auto"/>
        <w:rPr>
          <w:sz w:val="20"/>
          <w:szCs w:val="20"/>
          <w:color w:val="auto"/>
        </w:rPr>
      </w:pPr>
      <w:r>
        <w:rPr>
          <w:rFonts w:ascii="Times New Roman" w:cs="Times New Roman" w:eastAsia="Times New Roman" w:hAnsi="Times New Roman"/>
          <w:sz w:val="22"/>
          <w:szCs w:val="22"/>
          <w:color w:val="auto"/>
        </w:rPr>
        <w:t>(e)There may be adverse tax consequences to exercising this Option, and I am not relying on the Company for tax advice and have had an opportunity to obtain the advice of personal tax, legal, and financial advisors prior to exercising.</w:t>
      </w:r>
    </w:p>
    <w:p>
      <w:pPr>
        <w:spacing w:after="0" w:line="1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(f)The modification and choice of law provisions of the Agreement also govern this Exercise Notice.</w:t>
      </w:r>
    </w:p>
    <w:p>
      <w:pPr>
        <w:spacing w:after="0" w:line="188" w:lineRule="exact"/>
        <w:rPr>
          <w:sz w:val="20"/>
          <w:szCs w:val="20"/>
          <w:color w:val="auto"/>
        </w:rPr>
      </w:pPr>
    </w:p>
    <w:p>
      <w:pPr>
        <w:jc w:val="both"/>
        <w:ind w:firstLine="757"/>
        <w:spacing w:after="0" w:line="234" w:lineRule="auto"/>
        <w:tabs>
          <w:tab w:leader="none" w:pos="101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 Choice of Law; Choice of Forum</w:t>
      </w:r>
      <w:r>
        <w:rPr>
          <w:rFonts w:ascii="Times New Roman" w:cs="Times New Roman" w:eastAsia="Times New Roman" w:hAnsi="Times New Roman"/>
          <w:sz w:val="22"/>
          <w:szCs w:val="22"/>
          <w:color w:val="auto"/>
        </w:rPr>
        <w:t>. The Plan and the Agreement are incorporated by reference.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Exercise Notice, the Plan, and the Agreement are the entire agreement of the parties with respect to this Options and this exercise and supersede in their entirety all prior undertakings and agreements of the Company and Purchaser with respect to their subject matter. The Plan, the Agreement, and this Exercise Notice, to the extent not otherwise governed by the laws of the United States, will be governed by the laws of the State of Delaware without giving effect to principles of conflicts of law. For purposes of litigating any dispute that arises under the Plan (including without limitation under this Exercise Notice), the Participant consents to the jurisdiction of the State of Delaware and any such litigation being conducted in the Delaware Court of Chancery or the federal courts for the United States for the District of Delaware and no other courts, regardless of where he or she is performing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Submitted by: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-13970</wp:posOffset>
            </wp:positionV>
            <wp:extent cx="27368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2">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-13970</wp:posOffset>
            </wp:positionV>
            <wp:extent cx="54800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4">
                      <a:extLst>
                        <a:ext uri="{28A0092B-C50C-407E-A947-70E740481C1C}"/>
                      </a:extLst>
                    </a:blip>
                    <a:srcRect/>
                    <a:stretch>
                      <a:fillRect/>
                    </a:stretch>
                  </pic:blipFill>
                  <pic:spPr bwMode="auto">
                    <a:xfrm>
                      <a:off x="0" y="0"/>
                      <a:ext cx="548005" cy="8255"/>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267970</wp:posOffset>
            </wp:positionV>
            <wp:extent cx="54800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5">
                      <a:extLst>
                        <a:ext uri="{28A0092B-C50C-407E-A947-70E740481C1C}"/>
                      </a:extLst>
                    </a:blip>
                    <a:srcRect/>
                    <a:stretch>
                      <a:fillRect/>
                    </a:stretch>
                  </pic:blipFill>
                  <pic:spPr bwMode="auto">
                    <a:xfrm>
                      <a:off x="0" y="0"/>
                      <a:ext cx="54800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541655</wp:posOffset>
            </wp:positionV>
            <wp:extent cx="8216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6">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80" w:name="page181"/>
    <w:bookmarkEnd w:id="180"/>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RxSIGHT,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NOTICE OF RESTRICTED STOCK UNIT AWARD AND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Capitalized terms that are not defined in this Notice of Restricted Stock Unit Award and Restricted Stock Unit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Unit Award, the Non-U.S. Appendix attached hereto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all other exhibits to these documents (all together,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have the meanings given to them in the RxSight, Inc. 2021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Participant has been granted this Restricted Stock Unit (“</w:t>
      </w:r>
      <w:r>
        <w:rPr>
          <w:rFonts w:ascii="Times New Roman" w:cs="Times New Roman" w:eastAsia="Times New Roman" w:hAnsi="Times New Roman"/>
          <w:sz w:val="22"/>
          <w:szCs w:val="22"/>
          <w:u w:val="single" w:color="auto"/>
          <w:color w:val="auto"/>
        </w:rPr>
        <w:t>RSU</w:t>
      </w:r>
      <w:r>
        <w:rPr>
          <w:rFonts w:ascii="Times New Roman" w:cs="Times New Roman" w:eastAsia="Times New Roman" w:hAnsi="Times New Roman"/>
          <w:sz w:val="22"/>
          <w:szCs w:val="22"/>
          <w:color w:val="auto"/>
        </w:rPr>
        <w:t>”) award according to the terms below and subject to the terms and conditions of the Plan and this Agreement, as follows: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-13970</wp:posOffset>
            </wp:positionV>
            <wp:extent cx="27368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8">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Participant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-13970</wp:posOffset>
            </wp:positionV>
            <wp:extent cx="27368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9">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-13970</wp:posOffset>
            </wp:positionV>
            <wp:extent cx="27368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0">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-13970</wp:posOffset>
            </wp:positionV>
            <wp:extent cx="27368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1">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-13970</wp:posOffset>
            </wp:positionV>
            <wp:extent cx="27368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2">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Number of 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-13970</wp:posOffset>
            </wp:positionV>
            <wp:extent cx="27368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3">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Vesting Schedule: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the acceleration of vesting provisions herein, the RSUs subject to this Agreement will vest as follows:</w:t>
      </w:r>
    </w:p>
    <w:p>
      <w:pPr>
        <w:spacing w:after="0" w:line="205" w:lineRule="exact"/>
        <w:rPr>
          <w:sz w:val="20"/>
          <w:szCs w:val="20"/>
          <w:color w:val="auto"/>
        </w:rPr>
      </w:pPr>
    </w:p>
    <w:p>
      <w:pPr>
        <w:ind w:left="760" w:right="760"/>
        <w:spacing w:after="0" w:line="258" w:lineRule="auto"/>
        <w:rPr>
          <w:sz w:val="20"/>
          <w:szCs w:val="20"/>
          <w:color w:val="auto"/>
        </w:rPr>
      </w:pPr>
      <w:r>
        <w:rPr>
          <w:rFonts w:ascii="Times New Roman" w:cs="Times New Roman" w:eastAsia="Times New Roman" w:hAnsi="Times New Roman"/>
          <w:sz w:val="22"/>
          <w:szCs w:val="22"/>
          <w:color w:val="auto"/>
        </w:rPr>
        <w:t>[One-eighth (1/8th) of the RSUs subject to the award shall vest on each Bi-Annual Vesting Date following the Grant Date, subject to award recipient continuing to be a Service Provider through each such date.]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“Bi-Annual Vesting Date” is the first trading day on or after each of August 31, and February 28].</w:t>
      </w:r>
    </w:p>
    <w:p>
      <w:pPr>
        <w:spacing w:after="0" w:line="2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If the Participant ceases to be a Service Provider for any or no reason before he or she fully vests in these RSUs, the unvested RSUs will terminate according to the terms of Section 5 of this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Participant’s signature below (or Participant’s electronic signature or other electronic acknowledgement or acceptance of this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or Award) indicates that:</w:t>
      </w:r>
    </w:p>
    <w:p>
      <w:pPr>
        <w:spacing w:after="0" w:line="168" w:lineRule="exact"/>
        <w:rPr>
          <w:sz w:val="20"/>
          <w:szCs w:val="20"/>
          <w:color w:val="auto"/>
        </w:rPr>
      </w:pPr>
    </w:p>
    <w:p>
      <w:pPr>
        <w:ind w:left="760"/>
        <w:spacing w:after="0"/>
        <w:tabs>
          <w:tab w:leader="none" w:pos="11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0"/>
          <w:szCs w:val="20"/>
          <w:color w:val="auto"/>
        </w:rPr>
        <w:t>He or she agrees that this Restricted Stock Unit award is granted under and governed by the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3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terms and conditions of the Plan and this Agreement, including their exhibits and appendices.</w:t>
      </w:r>
    </w:p>
    <w:p>
      <w:pPr>
        <w:spacing w:after="0" w:line="192" w:lineRule="exact"/>
        <w:rPr>
          <w:sz w:val="20"/>
          <w:szCs w:val="20"/>
          <w:color w:val="auto"/>
        </w:rPr>
      </w:pPr>
    </w:p>
    <w:p>
      <w:pPr>
        <w:ind w:left="760" w:right="20" w:hanging="383"/>
        <w:spacing w:after="0" w:line="258" w:lineRule="auto"/>
        <w:tabs>
          <w:tab w:leader="none" w:pos="7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understands that the Company is not providing any tax, legal, or financial advice and is not making any recommendations regarding his or her participation in the Plan or his or her acquisition or sale of Shares.</w:t>
      </w:r>
    </w:p>
    <w:p>
      <w:pPr>
        <w:spacing w:after="0" w:line="130" w:lineRule="exact"/>
        <w:rPr>
          <w:rFonts w:ascii="Times New Roman" w:cs="Times New Roman" w:eastAsia="Times New Roman" w:hAnsi="Times New Roman"/>
          <w:sz w:val="22"/>
          <w:szCs w:val="22"/>
          <w:color w:val="auto"/>
        </w:rPr>
      </w:pPr>
    </w:p>
    <w:p>
      <w:pPr>
        <w:jc w:val="both"/>
        <w:ind w:left="760" w:hanging="383"/>
        <w:spacing w:after="0" w:line="239" w:lineRule="auto"/>
        <w:tabs>
          <w:tab w:leader="none" w:pos="7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has reviewed the Plan and this Agreement, has had an opportunity to obtain the advice of personal tax, legal, and financial advisors prior to signing this Agreement, and fully understands all provisions of the Plan and Agreement. He or she will consult with his or her own personal tax, legal, and financial advisors before taking any action related to the Plan.</w:t>
      </w:r>
    </w:p>
    <w:p>
      <w:pPr>
        <w:spacing w:after="0" w:line="165" w:lineRule="exact"/>
        <w:rPr>
          <w:rFonts w:ascii="Times New Roman" w:cs="Times New Roman" w:eastAsia="Times New Roman" w:hAnsi="Times New Roman"/>
          <w:sz w:val="22"/>
          <w:szCs w:val="22"/>
          <w:color w:val="auto"/>
        </w:rPr>
      </w:pPr>
    </w:p>
    <w:p>
      <w:pPr>
        <w:ind w:left="760" w:hanging="383"/>
        <w:spacing w:after="0"/>
        <w:tabs>
          <w:tab w:leader="none" w:pos="7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has read and agrees to each provision of Sections 9, 10 and 11 of this Agreement.</w:t>
      </w:r>
    </w:p>
    <w:p>
      <w:pPr>
        <w:spacing w:after="0" w:line="191" w:lineRule="exact"/>
        <w:rPr>
          <w:rFonts w:ascii="Times New Roman" w:cs="Times New Roman" w:eastAsia="Times New Roman" w:hAnsi="Times New Roman"/>
          <w:sz w:val="22"/>
          <w:szCs w:val="22"/>
          <w:color w:val="auto"/>
        </w:rPr>
      </w:pPr>
    </w:p>
    <w:p>
      <w:pPr>
        <w:ind w:left="760" w:hanging="383"/>
        <w:spacing w:after="0"/>
        <w:tabs>
          <w:tab w:leader="none" w:pos="7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will notify the Company of any change to the contact address below.</w:t>
      </w:r>
    </w:p>
    <w:p>
      <w:pPr>
        <w:spacing w:after="0" w:line="178" w:lineRule="exact"/>
        <w:rPr>
          <w:rFonts w:ascii="Times New Roman" w:cs="Times New Roman" w:eastAsia="Times New Roman" w:hAnsi="Times New Roman"/>
          <w:sz w:val="22"/>
          <w:szCs w:val="22"/>
          <w:color w:val="auto"/>
        </w:rPr>
      </w:pPr>
    </w:p>
    <w:p>
      <w:pPr>
        <w:ind w:left="760" w:hanging="383"/>
        <w:spacing w:after="0" w:line="307" w:lineRule="auto"/>
        <w:tabs>
          <w:tab w:leader="none" w:pos="76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or she acknowledges and agrees that unless otherwise required to comply with Applicable Laws, these RSUs will be subject to recoupment under any clawback policy that the Company adopts pursuant to Section 17(d) of the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267970</wp:posOffset>
            </wp:positionV>
            <wp:extent cx="8216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5">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-13970</wp:posOffset>
            </wp:positionV>
            <wp:extent cx="54800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6">
                      <a:extLst>
                        <a:ext uri="{28A0092B-C50C-407E-A947-70E740481C1C}"/>
                      </a:extLst>
                    </a:blip>
                    <a:srcRect/>
                    <a:stretch>
                      <a:fillRect/>
                    </a:stretch>
                  </pic:blipFill>
                  <pic:spPr bwMode="auto">
                    <a:xfrm>
                      <a:off x="0" y="0"/>
                      <a:ext cx="548005" cy="8255"/>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259080</wp:posOffset>
            </wp:positionV>
            <wp:extent cx="54800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7">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____________</w:t>
      </w:r>
    </w:p>
    <w:p>
      <w:pPr>
        <w:spacing w:after="0" w:line="21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612140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182" w:name="page183"/>
    <w:bookmarkEnd w:id="182"/>
    <w:p>
      <w:pPr>
        <w:spacing w:after="0" w:line="3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9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TERMS AND CONDITIONS OF RESTRICTED STOCK UNIT AWARD</w:t>
      </w:r>
    </w:p>
    <w:p>
      <w:pPr>
        <w:spacing w:after="0" w:line="183" w:lineRule="exact"/>
        <w:rPr>
          <w:sz w:val="20"/>
          <w:szCs w:val="20"/>
          <w:color w:val="auto"/>
        </w:rPr>
      </w:pPr>
    </w:p>
    <w:p>
      <w:pPr>
        <w:jc w:val="both"/>
        <w:ind w:firstLine="755"/>
        <w:spacing w:after="0" w:line="237" w:lineRule="auto"/>
        <w:tabs>
          <w:tab w:leader="none" w:pos="1138"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The Company grants the Participant an award of RSUs as described in the Notice of Grant. If there is a conflict between the Plan, this Agreement, or any other agreement with the Participant governing these RSUs, those documents will take precedence and prevail in the following order: (a) the Plan, (b) the Agreement, and</w:t>
      </w:r>
    </w:p>
    <w:p>
      <w:pPr>
        <w:spacing w:after="0" w:line="2" w:lineRule="exact"/>
        <w:rPr>
          <w:rFonts w:ascii="Times New Roman" w:cs="Times New Roman" w:eastAsia="Times New Roman" w:hAnsi="Times New Roman"/>
          <w:sz w:val="22"/>
          <w:szCs w:val="22"/>
          <w:color w:val="auto"/>
        </w:rPr>
      </w:pPr>
    </w:p>
    <w:p>
      <w:pPr>
        <w:ind w:left="300" w:hanging="294"/>
        <w:spacing w:after="0"/>
        <w:tabs>
          <w:tab w:leader="none" w:pos="3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agreement between the Company and the Participant governing these RSUs.</w:t>
      </w:r>
    </w:p>
    <w:p>
      <w:pPr>
        <w:spacing w:after="0" w:line="167" w:lineRule="exact"/>
        <w:rPr>
          <w:rFonts w:ascii="Times New Roman" w:cs="Times New Roman" w:eastAsia="Times New Roman" w:hAnsi="Times New Roman"/>
          <w:sz w:val="22"/>
          <w:szCs w:val="22"/>
          <w:color w:val="auto"/>
        </w:rPr>
      </w:pPr>
    </w:p>
    <w:p>
      <w:pPr>
        <w:jc w:val="both"/>
        <w:ind w:firstLine="755"/>
        <w:spacing w:after="0" w:line="232" w:lineRule="auto"/>
        <w:tabs>
          <w:tab w:leader="none" w:pos="113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Company’s Obligation to Pay. Each RSU is a right to receive a Share or, in the sole discretion of the Administrator, an amount in cash equal to the Fair Market Value of one Share, on the date it vests. Until an RSU vests, the Participant has no right to payment of the Share. Before a vested RSU is paid, the RSU is an unsecured obligation of the Company, payable (if at all) only from the Company’s general assets. A vested RSU will be paid to the Participant (or in the event of his or her death, to his or her estate or such other person as specified in Section 6 below) in whole Shares or cash. Subject to the provisions of Section 4(b) and notwithstanding anything in the Plan to the contrary, each vested RSU that has met all requirements for settlement under this Agreement (including with respect to RSUs that the Administrator determines will be settled in cash) will be settled no later than the applicable Settlement Deadline. “Settlement Deadline” with respect to a particular vested RSU means as soon as practicable after vesting (but no later than sixty (60) days following the vesting date (or, if earlier, no later than March 15 of the calendar year following the calendar year in which occurs the first date on which the applicable RSU is no longer subject to a substantial risk of forfeiture for purposes of Section 409A)). If any RSU has not met all the requirements for settlement under this Agreement in a manner that would allow it to be settled by the applicable Settlement Deadline, such RSU will be forfeited as of immediately following the applicable Settlement Deadline. In no event will Participant be permitted, directly or indirectly, to specify the taxable year or date of settlement of any RSUs under this Agreement. For the avoidance of doubt, there may be multiple Settlement Deadlines, with each such Settlement Deadline corresponding to a particular RSU.</w:t>
      </w:r>
    </w:p>
    <w:p>
      <w:pPr>
        <w:spacing w:after="0" w:line="171" w:lineRule="exact"/>
        <w:rPr>
          <w:rFonts w:ascii="Times New Roman" w:cs="Times New Roman" w:eastAsia="Times New Roman" w:hAnsi="Times New Roman"/>
          <w:sz w:val="22"/>
          <w:szCs w:val="22"/>
          <w:color w:val="auto"/>
        </w:rPr>
      </w:pPr>
    </w:p>
    <w:p>
      <w:pPr>
        <w:jc w:val="both"/>
        <w:ind w:firstLine="755"/>
        <w:spacing w:after="0" w:line="239" w:lineRule="auto"/>
        <w:tabs>
          <w:tab w:leader="none" w:pos="113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These RSUs will vest only under the Vesting Schedule in the Notice of Grant, Section 4 of this Agreement, or Section 13 of the Plan. RSUs scheduled to vest on a certain date or upon the occurrence of a certain condition will not vest unless the Participant continues to be a Service Provider until the time such vesting is scheduled to occur.</w:t>
      </w:r>
    </w:p>
    <w:p>
      <w:pPr>
        <w:spacing w:after="0" w:line="151" w:lineRule="exact"/>
        <w:rPr>
          <w:rFonts w:ascii="Times New Roman" w:cs="Times New Roman" w:eastAsia="Times New Roman" w:hAnsi="Times New Roman"/>
          <w:sz w:val="22"/>
          <w:szCs w:val="22"/>
          <w:color w:val="auto"/>
        </w:rPr>
      </w:pPr>
    </w:p>
    <w:p>
      <w:pPr>
        <w:ind w:left="1140" w:hanging="385"/>
        <w:spacing w:after="0"/>
        <w:tabs>
          <w:tab w:leader="none" w:pos="114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Acceleration; Amendment.</w:t>
      </w:r>
    </w:p>
    <w:p>
      <w:pPr>
        <w:spacing w:after="0" w:line="191" w:lineRule="exact"/>
        <w:rPr>
          <w:rFonts w:ascii="Times New Roman" w:cs="Times New Roman" w:eastAsia="Times New Roman" w:hAnsi="Times New Roman"/>
          <w:sz w:val="22"/>
          <w:szCs w:val="22"/>
          <w:color w:val="auto"/>
        </w:rPr>
      </w:pPr>
    </w:p>
    <w:p>
      <w:pPr>
        <w:jc w:val="both"/>
        <w:ind w:left="160" w:firstLine="745"/>
        <w:spacing w:after="0" w:line="233" w:lineRule="auto"/>
        <w:tabs>
          <w:tab w:leader="none" w:pos="1340"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Discretionary Acceleration or Amendment. The Administrator may, pursuant to its authority under, and in accordance with, Section 4(b)(v), Section 4(b)(ix), Section 4(b)(xiv) and Section 9(c) of the Plan, in its discretion, unilaterally (x) accelerate, in whole or in part, the vesting of these RSUs, (y) waive or decrease some or all of the requirements required for vesting of unvested RSUs at any time, or (z) waive or decrease some or all of the requirements for settlement of RSUs at any time, in each case, subject to the terms of the Plan but without the need for Participant consent in any instance, and subject to Section 13(j) of this Agreement; provided, however, that no such acceleration, waiver or decrease shall occur or be effective unless such modification would result in this RSU award remaining exempt or excepted from the requirements of Code Section 409A pursuant to the “short-term deferral” exception or</w:t>
      </w:r>
    </w:p>
    <w:p>
      <w:pPr>
        <w:spacing w:after="0" w:line="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591185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1220" w:top="1440" w:right="339" w:bottom="1440" w:gutter="0" w:footer="0" w:header="0"/>
        </w:sectPr>
      </w:pPr>
    </w:p>
    <w:bookmarkStart w:id="183" w:name="page184"/>
    <w:bookmarkEnd w:id="183"/>
    <w:p>
      <w:pPr>
        <w:spacing w:after="0" w:line="33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another exception or exemption under Code Section 409A, or otherwise complying with Code Section 409A, in each case such that none of this Agreement, the RSUs provided under this Agreement, or Shares issuable hereunder will be subject to the additional tax imposed under Code Section 409A. If so modified, the vesting date with respect to the applicable RSUs will be deemed for all purposes of this Agreement to be the date specified by the Administrator (provided, that, for purposes of determining the applicable settlement deadline under Section 1 of this Agreement with respect to such RSUs, the vesting date will be deemed to be no later than the first date on which the RSUs are no longer subject to a substantial risk of forfeiture for purposes of Code Section 409A). The settlement of RSUs through Shares pursuant to this Section 4(a) shall in all cases be no later than the applicable settlement deadline as set forth in Section 1 of this Agreement and at a time or in a manner that is exempt from, or complies with, Code Section 409A. The prior sentence may be superseded in a future agreement or amendment to this Agreement only by direct and specific reference to such sentence.</w:t>
      </w:r>
    </w:p>
    <w:p>
      <w:pPr>
        <w:spacing w:after="0" w:line="171" w:lineRule="exact"/>
        <w:rPr>
          <w:sz w:val="20"/>
          <w:szCs w:val="20"/>
          <w:color w:val="auto"/>
        </w:rPr>
      </w:pPr>
    </w:p>
    <w:p>
      <w:pPr>
        <w:jc w:val="both"/>
        <w:ind w:firstLine="745"/>
        <w:spacing w:after="0" w:line="256" w:lineRule="auto"/>
        <w:tabs>
          <w:tab w:leader="none" w:pos="1083"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intent is that this RSU award be exempt or excepted from the requirements of Code Section 409A. However, in an abundance of caution, the Company is including in this subsection, certain Code Section 409A rules that only apply if these RSUs are not exempt or excepted, and then only in certain circumstances. Specifically, Code Section 409A contains rules that must apply to these RSUs if (a) they are not exempt or excepted from Code Section 409A, (b) the Company has any stock that is publicly traded on an established securities market or otherwise at the time Participant’s service terminates, (c) Participant receives acceleration of vesting of these RSUs in connection with a termination of service, and (d) at the time of such termination, Participant is considered a “specified employee” under the Code Section 409A rules. Should these rules ever become applicable to Participant’s RSUs, then notwithstanding anything in the Plan, this Agreement or any other agreement (whether entered into before, on or after the Grant Date) to the contrary, if the vesting of these RSUs is accelerated in connection with Participant’s termination as a Service Provider (provided that such termination is a “separation from service” within the meaning of Code Section 409A, as determined by the Company), other than due to Participant’s death, and if (x) Participant is a U.S. taxpayer and a “specified employee” within the meaning of Code Section 409A at the time of such termination as a Service Provider and (y) the settlement of such accelerated RSUs will result in the imposition of additional tax under Code Section 409A if such settlement is on or within the six (6) month period following Participant’s termination as a Service Provider, then the settlement of such accelerated RSUs will not occur until the date six (6) months and one (1) day following the date of Participant’s termination as a Service Provider, unless the Participant dies following his or her termination as a Service Provider, in which case, the Shares subject to these RSUs will be settled and issued to the Participant’s administrator or executor of his or her estate as soon as practicable following his or her death (subject to Section 6).</w:t>
      </w:r>
    </w:p>
    <w:p>
      <w:pPr>
        <w:spacing w:after="0" w:line="382" w:lineRule="exact"/>
        <w:rPr>
          <w:rFonts w:ascii="Times New Roman" w:cs="Times New Roman" w:eastAsia="Times New Roman" w:hAnsi="Times New Roman"/>
          <w:sz w:val="20"/>
          <w:szCs w:val="20"/>
          <w:color w:val="auto"/>
        </w:rPr>
      </w:pPr>
    </w:p>
    <w:p>
      <w:pPr>
        <w:jc w:val="both"/>
        <w:ind w:left="-160" w:firstLine="755"/>
        <w:spacing w:after="0" w:line="234" w:lineRule="auto"/>
        <w:tabs>
          <w:tab w:leader="none" w:pos="97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Cessation of Status as a Service Provider.</w:t>
      </w:r>
      <w:r>
        <w:rPr>
          <w:rFonts w:ascii="Times New Roman" w:cs="Times New Roman" w:eastAsia="Times New Roman" w:hAnsi="Times New Roman"/>
          <w:sz w:val="22"/>
          <w:szCs w:val="22"/>
          <w:color w:val="auto"/>
        </w:rPr>
        <w:t xml:space="preserve"> Upon the Participant’s termination as a Service Provider for any reason, these RSUs will immediately stop vesting and any of these RSUs that have not yet vested will be forfeited by the Participant for no consideration upon the date that Participant ceases to be a Service Provider for any reason, in all cases, subject to Applicable Laws. For the avoidance of doubt, service during any portion of the vesting period shall not entitle the Participant to vest in a pro rata portion of unvested RSUs. For purposes of the RSUs, the Participant’s status as a Service Provider will be considered to be terminated as of the date the Participant is no longer providing services to the Company, or if different, the</w:t>
      </w:r>
    </w:p>
    <w:p>
      <w:pPr>
        <w:spacing w:after="0" w:line="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599440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1380" w:top="1440" w:right="339" w:bottom="1440" w:gutter="0" w:footer="0" w:header="0"/>
        </w:sectPr>
      </w:pPr>
    </w:p>
    <w:bookmarkStart w:id="184" w:name="page185"/>
    <w:bookmarkEnd w:id="184"/>
    <w:p>
      <w:pPr>
        <w:spacing w:after="0" w:line="331" w:lineRule="exact"/>
        <w:rPr>
          <w:sz w:val="20"/>
          <w:szCs w:val="20"/>
          <w:color w:val="auto"/>
        </w:rPr>
      </w:pPr>
    </w:p>
    <w:p>
      <w:pPr>
        <w:jc w:val="both"/>
        <w:ind w:left="900"/>
        <w:spacing w:after="0" w:line="233" w:lineRule="auto"/>
        <w:rPr>
          <w:sz w:val="20"/>
          <w:szCs w:val="20"/>
          <w:color w:val="auto"/>
        </w:rPr>
      </w:pPr>
      <w:r>
        <w:rPr>
          <w:rFonts w:ascii="Times New Roman" w:cs="Times New Roman" w:eastAsia="Times New Roman" w:hAnsi="Times New Roman"/>
          <w:sz w:val="22"/>
          <w:szCs w:val="22"/>
          <w:color w:val="auto"/>
        </w:rPr>
        <w:t>Participant’s employer (the “Employer”) or the Subsidiary or Parent to which the Participant is providing services (the Employer, Subsidiary or Parent, as applicable, the “Service Recipient”) or other member of the Company Group (regardless of the reason for such termination and whether or not later found to be invalid or in breach of employment laws in the jurisdiction where the Participant is a Service Provider or the terms of the Participant’s employment or service agreement, if any), and unless otherwise expressly provided in this Agreement or determined by the Administrator, the Participant’s right to vest in the RSUs under the Plan, if any, will terminate as of such date and will not be extended by any notice period (e.g., the Participant’s period of service would not include any contractual notice period or any period of “garden leave” or similar period mandated under employment laws in the jurisdiction where the Participant is a Service Provider or the terms of the Participant’s employment or service agreement, if any). The Administrator shall have the exclusive discretion to determine when the Participant is no longer providing services for purposes of the RSUs (including whether the Participant may still be considered to be providing services while on a leave of absence).</w:t>
      </w:r>
    </w:p>
    <w:p>
      <w:pPr>
        <w:spacing w:after="0" w:line="168" w:lineRule="exact"/>
        <w:rPr>
          <w:sz w:val="20"/>
          <w:szCs w:val="20"/>
          <w:color w:val="auto"/>
        </w:rPr>
      </w:pPr>
    </w:p>
    <w:p>
      <w:pPr>
        <w:jc w:val="both"/>
        <w:ind w:left="900" w:firstLine="755"/>
        <w:spacing w:after="0" w:line="236" w:lineRule="auto"/>
        <w:tabs>
          <w:tab w:leader="none" w:pos="2038" w:val="left"/>
        </w:tabs>
        <w:numPr>
          <w:ilvl w:val="2"/>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the Participant under this Agreement will, if he or she is then deceased, be made to the administrator or executor of his or her estate or, if the Administrator permits, his or her designated beneficiary, unless otherwise required to comply with Applicable Laws. Any such transferee must furnish the Company with (a) written notice of his or her status as transferee, and (b) evidence satisfactory to the Company to establish the validity of the transfer and compliance with any laws or regulations that apply to the transfer.</w:t>
      </w:r>
    </w:p>
    <w:p>
      <w:pPr>
        <w:spacing w:after="0" w:line="15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2"/>
          <w:szCs w:val="22"/>
          <w:color w:val="auto"/>
        </w:rPr>
      </w:pPr>
    </w:p>
    <w:p>
      <w:pPr>
        <w:ind w:left="1840" w:hanging="287"/>
        <w:spacing w:after="0"/>
        <w:tabs>
          <w:tab w:leader="none" w:pos="184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Withholding.</w:t>
      </w:r>
    </w:p>
    <w:p>
      <w:pPr>
        <w:spacing w:after="0" w:line="191" w:lineRule="exact"/>
        <w:rPr>
          <w:rFonts w:ascii="Times New Roman" w:cs="Times New Roman" w:eastAsia="Times New Roman" w:hAnsi="Times New Roman"/>
          <w:sz w:val="22"/>
          <w:szCs w:val="22"/>
          <w:color w:val="auto"/>
        </w:rPr>
      </w:pPr>
    </w:p>
    <w:p>
      <w:pPr>
        <w:jc w:val="both"/>
        <w:ind w:left="1060" w:firstLine="745"/>
        <w:spacing w:after="0" w:line="235" w:lineRule="auto"/>
        <w:tabs>
          <w:tab w:leader="none" w:pos="2048" w:val="left"/>
        </w:tabs>
        <w:numPr>
          <w:ilvl w:val="3"/>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Shares will be issued to the Participant until he or she makes satisfactory arrangements (as determined by the Administrator) for the payment of Tax Withholdings. If the Participant is a non-U.S. employee, the method of payment of Tax Withholdings may be restricted by any Appendix (as defined below). If the Participant fails to make satisfactory arrangements for the payment of any Tax Withholdings under this Agreement when any of these RSUs otherwise are supposed to vest or Tax Withholdings related to RSUs otherwise are due, he or she will permanently forfeit the applicable RSUs and any right to receive Shares under such RSUs, and such RSUs will be returned to the Company at no cost to the Company, to the extent permitted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-1236980</wp:posOffset>
            </wp:positionV>
            <wp:extent cx="15716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1">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134" w:lineRule="exact"/>
        <w:rPr>
          <w:sz w:val="20"/>
          <w:szCs w:val="20"/>
          <w:color w:val="auto"/>
        </w:rPr>
      </w:pPr>
    </w:p>
    <w:p>
      <w:pPr>
        <w:jc w:val="both"/>
        <w:ind w:left="1060" w:firstLine="749"/>
        <w:spacing w:after="0" w:line="271" w:lineRule="auto"/>
        <w:rPr>
          <w:sz w:val="20"/>
          <w:szCs w:val="20"/>
          <w:color w:val="auto"/>
        </w:rPr>
      </w:pPr>
      <w:r>
        <w:rPr>
          <w:rFonts w:ascii="Times New Roman" w:cs="Times New Roman" w:eastAsia="Times New Roman" w:hAnsi="Times New Roman"/>
          <w:sz w:val="20"/>
          <w:szCs w:val="20"/>
          <w:color w:val="auto"/>
        </w:rPr>
        <w:t>(ii)The Company has the right (but not the obligation) to satisfy any Tax Withholdings by withholding from proceeds of a sale of Shares acquired upon payment of these RSUs arranged by the Company (on the Participant’s behalf pursuant to this authorization without further consent), and this will be the method by which such tax withholding obligations are satisfied until the Company determines otherwise, subject to Applicable Laws.</w:t>
      </w:r>
    </w:p>
    <w:p>
      <w:pPr>
        <w:spacing w:after="0" w:line="134" w:lineRule="exact"/>
        <w:rPr>
          <w:sz w:val="20"/>
          <w:szCs w:val="20"/>
          <w:color w:val="auto"/>
        </w:rPr>
      </w:pPr>
    </w:p>
    <w:p>
      <w:pPr>
        <w:jc w:val="both"/>
        <w:ind w:left="1060" w:firstLine="749"/>
        <w:spacing w:after="0" w:line="260" w:lineRule="auto"/>
        <w:rPr>
          <w:sz w:val="20"/>
          <w:szCs w:val="20"/>
          <w:color w:val="auto"/>
        </w:rPr>
      </w:pPr>
      <w:r>
        <w:rPr>
          <w:rFonts w:ascii="Times New Roman" w:cs="Times New Roman" w:eastAsia="Times New Roman" w:hAnsi="Times New Roman"/>
          <w:sz w:val="20"/>
          <w:szCs w:val="20"/>
          <w:color w:val="auto"/>
        </w:rPr>
        <w:t>(iii)The Company also has the right (but not the obligation) to satisfy any Tax Withholdings: (a) by reducing the number of Shares otherwise deliverable to the Participant; (b) by requiring payment by cash or check made payable to the Company and/or any Service Recipient with respect to which the withholding obligation arises; (c) by deduction of such amount from salary, wages or other compensation payable to the Participant; or (d) in any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331" w:lineRule="exact"/>
        <w:rPr>
          <w:sz w:val="20"/>
          <w:szCs w:val="20"/>
          <w:color w:val="auto"/>
        </w:rPr>
      </w:pPr>
    </w:p>
    <w:p>
      <w:pPr>
        <w:jc w:val="both"/>
        <w:ind w:left="1060" w:right="20"/>
        <w:spacing w:after="0" w:line="258" w:lineRule="auto"/>
        <w:rPr>
          <w:sz w:val="20"/>
          <w:szCs w:val="20"/>
          <w:color w:val="auto"/>
        </w:rPr>
      </w:pPr>
      <w:r>
        <w:rPr>
          <w:rFonts w:ascii="Times New Roman" w:cs="Times New Roman" w:eastAsia="Times New Roman" w:hAnsi="Times New Roman"/>
          <w:sz w:val="22"/>
          <w:szCs w:val="22"/>
          <w:color w:val="auto"/>
        </w:rPr>
        <w:t>combination of the foregoing, or any other method determined by the Administrator to be compliance with Applicable Laws.</w:t>
      </w:r>
    </w:p>
    <w:p>
      <w:pPr>
        <w:spacing w:after="0" w:line="144" w:lineRule="exact"/>
        <w:rPr>
          <w:sz w:val="20"/>
          <w:szCs w:val="20"/>
          <w:color w:val="auto"/>
        </w:rPr>
      </w:pPr>
    </w:p>
    <w:p>
      <w:pPr>
        <w:jc w:val="both"/>
        <w:ind w:left="1060" w:firstLine="749"/>
        <w:spacing w:after="0" w:line="234" w:lineRule="auto"/>
        <w:rPr>
          <w:sz w:val="20"/>
          <w:szCs w:val="20"/>
          <w:color w:val="auto"/>
        </w:rPr>
      </w:pPr>
      <w:r>
        <w:rPr>
          <w:rFonts w:ascii="Times New Roman" w:cs="Times New Roman" w:eastAsia="Times New Roman" w:hAnsi="Times New Roman"/>
          <w:sz w:val="22"/>
          <w:szCs w:val="22"/>
          <w:color w:val="auto"/>
        </w:rPr>
        <w:t>(iv)The Company may withhold or account for Tax Withholdings by considering statutory or other withholding rates, including minimum or maximum rates applicable in the Participant’s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 Withholdings directly to the applicable tax authority or to the Company and/or the Employer(s). If the obligation for Tax Withholdings is satisfied by withholding in Shares, for tax purposes, the Participant will be deemed to have been issued the full number of Shares subject to the vested RSUs, notwithstanding that a number of the Shares is held back solely for the purpose of paying the Tax Withholdings.</w:t>
      </w:r>
    </w:p>
    <w:p>
      <w:pPr>
        <w:spacing w:after="0" w:line="153" w:lineRule="exact"/>
        <w:rPr>
          <w:sz w:val="20"/>
          <w:szCs w:val="20"/>
          <w:color w:val="auto"/>
        </w:rPr>
      </w:pPr>
    </w:p>
    <w:p>
      <w:pPr>
        <w:jc w:val="both"/>
        <w:ind w:left="1060" w:firstLine="749"/>
        <w:spacing w:after="0" w:line="244" w:lineRule="auto"/>
        <w:rPr>
          <w:sz w:val="20"/>
          <w:szCs w:val="20"/>
          <w:color w:val="auto"/>
        </w:rPr>
      </w:pPr>
      <w:r>
        <w:rPr>
          <w:rFonts w:ascii="Times New Roman" w:cs="Times New Roman" w:eastAsia="Times New Roman" w:hAnsi="Times New Roman"/>
          <w:sz w:val="22"/>
          <w:szCs w:val="22"/>
          <w:color w:val="auto"/>
        </w:rPr>
        <w:t>(v)Further, if the Participant is subject to taxation in more than one jurisdiction between the Grant Date and the date of any relevant taxable or tax withholding event, the Company or the Employer(s) or former Employer(s) may withhold or account for tax in more than one jurisdiction.</w:t>
      </w:r>
    </w:p>
    <w:p>
      <w:pPr>
        <w:spacing w:after="0" w:line="159" w:lineRule="exact"/>
        <w:rPr>
          <w:sz w:val="20"/>
          <w:szCs w:val="20"/>
          <w:color w:val="auto"/>
        </w:rPr>
      </w:pPr>
    </w:p>
    <w:p>
      <w:pPr>
        <w:jc w:val="both"/>
        <w:ind w:left="1060" w:firstLine="749"/>
        <w:spacing w:after="0" w:line="234" w:lineRule="auto"/>
        <w:rPr>
          <w:sz w:val="20"/>
          <w:szCs w:val="20"/>
          <w:color w:val="auto"/>
        </w:rPr>
      </w:pPr>
      <w:r>
        <w:rPr>
          <w:rFonts w:ascii="Times New Roman" w:cs="Times New Roman" w:eastAsia="Times New Roman" w:hAnsi="Times New Roman"/>
          <w:sz w:val="22"/>
          <w:szCs w:val="22"/>
          <w:color w:val="auto"/>
        </w:rPr>
        <w:t>(vi)Regardless of any action of the Company or the Employer(s), the Participant acknowledges that the ultimate liability for all Tax Withholdings and any and all additional taxes related to the Award, the Shares or other amounts or property delivered under the Award and the Participant’s participation in the Plan is and remains his or her responsibility and may exceed the amount actually withheld by the Company or the Employer(s). The Participant further acknowledges that the Company and the Employer(s) (1) make no representations or undertakings regarding the treatment of any Tax Withholdings in connection with any aspect of these RSUs and (2) do not commit to and are under no obligation to structure the terms of the grant or any aspect of these RSUs to reduce or eliminate his or her liability for Tax Withholdings or achieve any particular tax result.</w:t>
      </w:r>
    </w:p>
    <w:p>
      <w:pPr>
        <w:spacing w:after="0" w:line="171" w:lineRule="exact"/>
        <w:rPr>
          <w:sz w:val="20"/>
          <w:szCs w:val="20"/>
          <w:color w:val="auto"/>
        </w:rPr>
      </w:pPr>
    </w:p>
    <w:p>
      <w:pPr>
        <w:jc w:val="both"/>
        <w:ind w:left="1060" w:firstLine="745"/>
        <w:spacing w:after="0" w:line="234" w:lineRule="auto"/>
        <w:tabs>
          <w:tab w:leader="none" w:pos="2222" w:val="left"/>
        </w:tabs>
        <w:numPr>
          <w:ilvl w:val="1"/>
          <w:numId w:val="1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Code Section 409A. It is the intent of this Agreement that it and all issuances and benefits to U.S. taxpayers hereunder be exempt or excepted from the requirements of Code Section 409A pursuant to the “short-term deferral” exception under Code Section 409A, or otherwise be exempted or excepted from, or comply with, Code Section 409A, so that none of this Agreement, the RSUs provided under this Agreement, or Shares issuable thereunder will be subject to the additional tax imposed under Code Section 409A, and any ambiguities or ambiguous terms herein will be interpreted to be so exempt or excepted, or to so comply. Each issuance upon settlement of the RSUs under this Agreement is intended to constitute a separate payment for purposes of Treasury Regulation Section 1.409A-2(b)(2). In no event will any member of the Company Group have any liability or obligation to reimburse, indemnify, or hold harmless Participant for any taxes that may be imposed, or other costs incurred, on Participant as a result of Code Section 409A.</w:t>
      </w:r>
    </w:p>
    <w:p>
      <w:pPr>
        <w:spacing w:after="0" w:line="149"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The Participant’s or any other person’s rights as a stockholder of the Company (including the right to vote and to receive dividends and distributions) will not begin until Shares have been issued and recorded on the records of the Company or its transfer agents or registrars.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331" w:lineRule="exact"/>
        <w:rPr>
          <w:sz w:val="20"/>
          <w:szCs w:val="20"/>
          <w:color w:val="auto"/>
        </w:rPr>
      </w:pPr>
    </w:p>
    <w:p>
      <w:pPr>
        <w:ind w:firstLine="757"/>
        <w:spacing w:after="0" w:line="258" w:lineRule="auto"/>
        <w:tabs>
          <w:tab w:leader="none" w:pos="1018"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 and Agreements</w:t>
      </w:r>
      <w:r>
        <w:rPr>
          <w:rFonts w:ascii="Times New Roman" w:cs="Times New Roman" w:eastAsia="Times New Roman" w:hAnsi="Times New Roman"/>
          <w:sz w:val="22"/>
          <w:szCs w:val="22"/>
          <w:color w:val="auto"/>
        </w:rPr>
        <w:t>. The Participant’s signature on the Notice of Grant accepting these RSUs indicates that:</w:t>
      </w:r>
    </w:p>
    <w:p>
      <w:pPr>
        <w:spacing w:after="0" w:line="143" w:lineRule="exact"/>
        <w:rPr>
          <w:rFonts w:ascii="Times New Roman" w:cs="Times New Roman" w:eastAsia="Times New Roman" w:hAnsi="Times New Roman"/>
          <w:sz w:val="22"/>
          <w:szCs w:val="22"/>
          <w:color w:val="auto"/>
        </w:rPr>
      </w:pPr>
    </w:p>
    <w:p>
      <w:pPr>
        <w:jc w:val="both"/>
        <w:ind w:left="520" w:hanging="3"/>
        <w:spacing w:after="0" w:line="244" w:lineRule="auto"/>
        <w:tabs>
          <w:tab w:leader="none" w:pos="823"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ACKNOWLEDGES AND AGREES THAT THE VESTING OF THESE RSUS IS EARNED ONLY BY CONTINUING AS A SERVICE PROVIDER AND THAT BEING HIRED OR BEING GRANTED THESE RSUS WILL NOT RESULT IN VESTING.</w:t>
      </w:r>
    </w:p>
    <w:p>
      <w:pPr>
        <w:spacing w:after="0" w:line="145" w:lineRule="exact"/>
        <w:rPr>
          <w:rFonts w:ascii="Times New Roman" w:cs="Times New Roman" w:eastAsia="Times New Roman" w:hAnsi="Times New Roman"/>
          <w:sz w:val="22"/>
          <w:szCs w:val="22"/>
          <w:color w:val="auto"/>
        </w:rPr>
      </w:pPr>
    </w:p>
    <w:p>
      <w:pPr>
        <w:jc w:val="both"/>
        <w:ind w:left="520" w:hanging="3"/>
        <w:spacing w:after="0" w:line="236" w:lineRule="auto"/>
        <w:tabs>
          <w:tab w:leader="none" w:pos="8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OR SHE FURTHER ACKNOWLEDGES AND AGREES THAT THESE RSUS AND THIS AGREEMENT DO NOT CREATE AN EXPRESS OR IMPLIED PROMISE OF CONTINUED ENGAGEMENT AS A SERVICE PROVIDER FOR THE VESTING PERIOD, FOR ANY PERIOD, OR AT ALL AND WILL NOT INTERFERE IN ANY WAY WITH HIS OR HER RIGHT OR THE RIGHT OF THE EMPLOYER(S) TO TERMINATE HIS OR HER RELATIONSHIP AS A SERVICE PROVIDER AT ANY TIME, WITH OR WITHOUT CAUSE, SUBJECT TO APPLICABLE LAWS.</w:t>
      </w:r>
    </w:p>
    <w:p>
      <w:pPr>
        <w:spacing w:after="0" w:line="165" w:lineRule="exact"/>
        <w:rPr>
          <w:rFonts w:ascii="Times New Roman" w:cs="Times New Roman" w:eastAsia="Times New Roman" w:hAnsi="Times New Roman"/>
          <w:sz w:val="22"/>
          <w:szCs w:val="22"/>
          <w:color w:val="auto"/>
        </w:rPr>
      </w:pPr>
    </w:p>
    <w:p>
      <w:pPr>
        <w:jc w:val="both"/>
        <w:ind w:left="1060" w:firstLine="745"/>
        <w:spacing w:after="0" w:line="244" w:lineRule="auto"/>
        <w:tabs>
          <w:tab w:leader="none" w:pos="2181"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this Agreement and its incorporated documents reflect all agreements on its subject matters and that he or she is not accepting this Agreement based on any promises, representations, or inducements other than those reflected in the Agreement.</w:t>
      </w:r>
    </w:p>
    <w:p>
      <w:pPr>
        <w:spacing w:after="0" w:line="158" w:lineRule="exact"/>
        <w:rPr>
          <w:rFonts w:ascii="Times New Roman" w:cs="Times New Roman" w:eastAsia="Times New Roman" w:hAnsi="Times New Roman"/>
          <w:sz w:val="22"/>
          <w:szCs w:val="22"/>
          <w:color w:val="auto"/>
        </w:rPr>
      </w:pPr>
    </w:p>
    <w:p>
      <w:pPr>
        <w:jc w:val="both"/>
        <w:ind w:left="1060" w:firstLine="745"/>
        <w:spacing w:after="0" w:line="247" w:lineRule="exact"/>
        <w:tabs>
          <w:tab w:leader="none" w:pos="2185"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the Company’s delivery of any documents related to the Plan or these RSUs (including the Plan, the Agreement, the Plan’s prospectus, and any reports of the Company provided generally to the Company’s stockholders) to him or her may be made by electronic delivery, which may include but does not necessarily include the delivery of a link to a Company intranet or to the Internet site of a third party involved in administering the Plan, the delivery of the document via email, or any other means of electronic delivery specified by the Company. If the attempted electronic delivery of such documents fails, the Participant will be provided with a paper copy of the documents. The Participant acknowledges that he or she may receive from the Company a paper copy of any documents that were delivered electronically at no cost to him or her by contacting the Company by telephone or in writing. The Participant may revoke his or her consent to the electronic delivery of documents or may change the electronic mail address to which such documents are to be delivered (if the Participant has provided an electronic mail address) at any time by notifying the Company of such revoked consent or revised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address by telephone, postal service or electronic mail. Finally, the Participant understands that he or she is not required to consent to electronic delivery of documents.</w:t>
      </w:r>
    </w:p>
    <w:p>
      <w:pPr>
        <w:spacing w:after="0" w:line="151" w:lineRule="exact"/>
        <w:rPr>
          <w:rFonts w:ascii="Times New Roman" w:cs="Times New Roman" w:eastAsia="Times New Roman" w:hAnsi="Times New Roman"/>
          <w:sz w:val="22"/>
          <w:szCs w:val="22"/>
          <w:color w:val="auto"/>
        </w:rPr>
      </w:pPr>
    </w:p>
    <w:p>
      <w:pPr>
        <w:jc w:val="both"/>
        <w:ind w:left="1060" w:firstLine="745"/>
        <w:spacing w:after="0" w:line="239" w:lineRule="auto"/>
        <w:tabs>
          <w:tab w:leader="none" w:pos="2168"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may deliver any documents related to the Plan or these RSUs to the Company by e-mail or any other means of electronic delivery approved by the Administrator, but he or she must provide the Company or any designated third party administrator with a paper copy of any documents if his or her attempted electronic delivery of such documents fails.</w:t>
      </w:r>
    </w:p>
    <w:p>
      <w:pPr>
        <w:spacing w:after="0" w:line="165" w:lineRule="exact"/>
        <w:rPr>
          <w:rFonts w:ascii="Times New Roman" w:cs="Times New Roman" w:eastAsia="Times New Roman" w:hAnsi="Times New Roman"/>
          <w:sz w:val="22"/>
          <w:szCs w:val="22"/>
          <w:color w:val="auto"/>
        </w:rPr>
      </w:pPr>
    </w:p>
    <w:p>
      <w:pPr>
        <w:jc w:val="both"/>
        <w:ind w:left="1060" w:firstLine="745"/>
        <w:spacing w:after="0" w:line="244" w:lineRule="auto"/>
        <w:tabs>
          <w:tab w:leader="none" w:pos="2146"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accepts that all good faith decisions or interpretations of the Administrator regarding the Plan and Awards under the Plan are binding, conclusive, and final. No member of the Administrator will be personally liable for any such decisions or interpretations.</w:t>
      </w:r>
    </w:p>
    <w:p>
      <w:pPr>
        <w:spacing w:after="0" w:line="158" w:lineRule="exact"/>
        <w:rPr>
          <w:rFonts w:ascii="Times New Roman" w:cs="Times New Roman" w:eastAsia="Times New Roman" w:hAnsi="Times New Roman"/>
          <w:sz w:val="22"/>
          <w:szCs w:val="22"/>
          <w:color w:val="auto"/>
        </w:rPr>
      </w:pPr>
    </w:p>
    <w:p>
      <w:pPr>
        <w:ind w:left="2160" w:hanging="355"/>
        <w:spacing w:after="0"/>
        <w:tabs>
          <w:tab w:leader="none" w:pos="2160" w:val="left"/>
        </w:tabs>
        <w:numPr>
          <w:ilvl w:val="2"/>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agrees that the Plan is established voluntarily by the Company, is discretionary in nature,</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and may be amended, suspended, or terminated by the Company at any</w:t>
      </w: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time, to the extent permitted by the Plan.</w:t>
      </w:r>
    </w:p>
    <w:p>
      <w:pPr>
        <w:spacing w:after="0" w:line="192" w:lineRule="exact"/>
        <w:rPr>
          <w:sz w:val="20"/>
          <w:szCs w:val="20"/>
          <w:color w:val="auto"/>
        </w:rPr>
      </w:pPr>
    </w:p>
    <w:p>
      <w:pPr>
        <w:jc w:val="both"/>
        <w:ind w:left="300" w:firstLine="745"/>
        <w:spacing w:after="0" w:line="244" w:lineRule="auto"/>
        <w:tabs>
          <w:tab w:leader="none" w:pos="140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the grant of these RSUs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45" w:lineRule="exact"/>
        <w:rPr>
          <w:rFonts w:ascii="Times New Roman" w:cs="Times New Roman" w:eastAsia="Times New Roman" w:hAnsi="Times New Roman"/>
          <w:sz w:val="22"/>
          <w:szCs w:val="22"/>
          <w:color w:val="auto"/>
        </w:rPr>
      </w:pPr>
    </w:p>
    <w:p>
      <w:pPr>
        <w:ind w:left="1460" w:hanging="415"/>
        <w:spacing w:after="0"/>
        <w:tabs>
          <w:tab w:leader="none" w:pos="146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any decisions regarding future Awards will be in the Company’s sole</w:t>
      </w:r>
    </w:p>
    <w:p>
      <w:pPr>
        <w:spacing w:after="0" w:line="13" w:lineRule="exact"/>
        <w:rPr>
          <w:rFonts w:ascii="Times New Roman" w:cs="Times New Roman" w:eastAsia="Times New Roman" w:hAnsi="Times New Roman"/>
          <w:sz w:val="22"/>
          <w:szCs w:val="22"/>
          <w:color w:val="auto"/>
        </w:rPr>
      </w:pPr>
    </w:p>
    <w:p>
      <w:pPr>
        <w:ind w:left="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w:t>
      </w:r>
    </w:p>
    <w:p>
      <w:pPr>
        <w:spacing w:after="0" w:line="167" w:lineRule="exact"/>
        <w:rPr>
          <w:rFonts w:ascii="Times New Roman" w:cs="Times New Roman" w:eastAsia="Times New Roman" w:hAnsi="Times New Roman"/>
          <w:sz w:val="22"/>
          <w:szCs w:val="22"/>
          <w:color w:val="auto"/>
        </w:rPr>
      </w:pPr>
    </w:p>
    <w:p>
      <w:pPr>
        <w:ind w:left="1300" w:hanging="255"/>
        <w:spacing w:after="0"/>
        <w:tabs>
          <w:tab w:leader="none" w:pos="13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he or she is voluntarily participating in the Plan.</w:t>
      </w:r>
    </w:p>
    <w:p>
      <w:pPr>
        <w:spacing w:after="0" w:line="191" w:lineRule="exact"/>
        <w:rPr>
          <w:rFonts w:ascii="Times New Roman" w:cs="Times New Roman" w:eastAsia="Times New Roman" w:hAnsi="Times New Roman"/>
          <w:sz w:val="22"/>
          <w:szCs w:val="22"/>
          <w:color w:val="auto"/>
        </w:rPr>
      </w:pPr>
    </w:p>
    <w:p>
      <w:pPr>
        <w:ind w:left="300" w:firstLine="745"/>
        <w:spacing w:after="0" w:line="258" w:lineRule="auto"/>
        <w:tabs>
          <w:tab w:leader="none" w:pos="141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these RSUs and any Shares acquired under these RSUs, and the income from and value of same, are not intended to replace any pension rights or compensation.</w:t>
      </w:r>
    </w:p>
    <w:p>
      <w:pPr>
        <w:spacing w:after="0" w:line="130" w:lineRule="exact"/>
        <w:rPr>
          <w:rFonts w:ascii="Times New Roman" w:cs="Times New Roman" w:eastAsia="Times New Roman" w:hAnsi="Times New Roman"/>
          <w:sz w:val="22"/>
          <w:szCs w:val="22"/>
          <w:color w:val="auto"/>
        </w:rPr>
      </w:pPr>
    </w:p>
    <w:p>
      <w:pPr>
        <w:jc w:val="both"/>
        <w:ind w:left="300" w:firstLine="745"/>
        <w:spacing w:after="0" w:line="239" w:lineRule="auto"/>
        <w:tabs>
          <w:tab w:leader="none" w:pos="136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these RSUs, any Shares acquired under these RSUs,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w:t>
      </w:r>
    </w:p>
    <w:p>
      <w:pPr>
        <w:spacing w:after="0" w:line="165" w:lineRule="exact"/>
        <w:rPr>
          <w:rFonts w:ascii="Times New Roman" w:cs="Times New Roman" w:eastAsia="Times New Roman" w:hAnsi="Times New Roman"/>
          <w:sz w:val="22"/>
          <w:szCs w:val="22"/>
          <w:color w:val="auto"/>
        </w:rPr>
      </w:pPr>
    </w:p>
    <w:p>
      <w:pPr>
        <w:ind w:left="300" w:right="20" w:firstLine="745"/>
        <w:spacing w:after="0" w:line="258" w:lineRule="auto"/>
        <w:tabs>
          <w:tab w:leader="none" w:pos="158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the future value of the Shares underlying these RSUs is unknown, indeterminable, and cannot be predicted with certainty.</w:t>
      </w:r>
    </w:p>
    <w:p>
      <w:pPr>
        <w:spacing w:after="0" w:line="143" w:lineRule="exact"/>
        <w:rPr>
          <w:rFonts w:ascii="Times New Roman" w:cs="Times New Roman" w:eastAsia="Times New Roman" w:hAnsi="Times New Roman"/>
          <w:sz w:val="22"/>
          <w:szCs w:val="22"/>
          <w:color w:val="auto"/>
        </w:rPr>
      </w:pPr>
    </w:p>
    <w:p>
      <w:pPr>
        <w:jc w:val="both"/>
        <w:ind w:left="300" w:firstLine="745"/>
        <w:spacing w:after="0" w:line="239" w:lineRule="auto"/>
        <w:tabs>
          <w:tab w:leader="none" w:pos="144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no member of the Company Group is liable for any foreign exchange rate fluctuation between the Participant’s local currency and the United States Dollar that may affect the value of these RSUs or of any amounts due to him or her from the payment of these RSUs or the subsequent sale of any Shares acquired upon such payment.</w:t>
      </w:r>
    </w:p>
    <w:p>
      <w:pPr>
        <w:spacing w:after="0" w:line="151" w:lineRule="exact"/>
        <w:rPr>
          <w:rFonts w:ascii="Times New Roman" w:cs="Times New Roman" w:eastAsia="Times New Roman" w:hAnsi="Times New Roman"/>
          <w:sz w:val="22"/>
          <w:szCs w:val="22"/>
          <w:color w:val="auto"/>
        </w:rPr>
      </w:pPr>
    </w:p>
    <w:p>
      <w:pPr>
        <w:jc w:val="both"/>
        <w:ind w:left="300" w:firstLine="745"/>
        <w:spacing w:after="0" w:line="239" w:lineRule="auto"/>
        <w:tabs>
          <w:tab w:leader="none" w:pos="148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RSUs and the benefits evidenced in this Agreement do not create any entitlement to have the RSUs or any such benefits transferred to, or assumed by, another company, nor to be exchanged, cashed out or substituted for, in connection with any corporate transaction affecting the Shares.</w:t>
      </w:r>
    </w:p>
    <w:p>
      <w:pPr>
        <w:spacing w:after="0" w:line="165" w:lineRule="exact"/>
        <w:rPr>
          <w:rFonts w:ascii="Times New Roman" w:cs="Times New Roman" w:eastAsia="Times New Roman" w:hAnsi="Times New Roman"/>
          <w:sz w:val="22"/>
          <w:szCs w:val="22"/>
          <w:color w:val="auto"/>
        </w:rPr>
      </w:pPr>
    </w:p>
    <w:p>
      <w:pPr>
        <w:jc w:val="both"/>
        <w:ind w:left="300" w:firstLine="745"/>
        <w:spacing w:after="0" w:line="239" w:lineRule="auto"/>
        <w:tabs>
          <w:tab w:leader="none" w:pos="142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agrees that he or she has no claim or entitlement to compensation or damages from any forfeiture of these RSUs resulting from the termination of his or her status as a Service Provider (for any reason whatsoever, whether or not later found to be invalid or in breach of employment laws in the jurisdiction where he or she is a Service Provider or the terms of his or her service agreement, if 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300" w:firstLine="745"/>
        <w:spacing w:after="0" w:line="237" w:lineRule="auto"/>
        <w:tabs>
          <w:tab w:leader="none" w:pos="1354" w:val="left"/>
        </w:tabs>
        <w:numPr>
          <w:ilvl w:val="0"/>
          <w:numId w:val="16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Participant voluntarily consents to the collection, use and transfer, in electronic or other form, of his or her personal data as described in this Agreement and any other Award materials (“Data”) by and among, as applicable, the Employer(s), the Company and any member of the Company Group for the exclusive purpose of implementing, administering, and managing his or her participation in the Plan.</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599440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88" w:name="page189"/>
    <w:bookmarkEnd w:id="188"/>
    <w:p>
      <w:pPr>
        <w:spacing w:after="0" w:line="331" w:lineRule="exact"/>
        <w:rPr>
          <w:sz w:val="20"/>
          <w:szCs w:val="20"/>
          <w:color w:val="auto"/>
        </w:rPr>
      </w:pPr>
    </w:p>
    <w:p>
      <w:pPr>
        <w:jc w:val="both"/>
        <w:ind w:left="1060" w:firstLine="745"/>
        <w:spacing w:after="0" w:line="236" w:lineRule="auto"/>
        <w:tabs>
          <w:tab w:leader="none" w:pos="2182" w:val="left"/>
        </w:tabs>
        <w:numPr>
          <w:ilvl w:val="0"/>
          <w:numId w:val="16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Participant understands that the Company and the Employer(s) may hold certain personal information about him or her, including, but not limited to, his or her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his or her favor, for the exclusive purpose of implementing, administering, and managing the Plan.</w:t>
      </w:r>
    </w:p>
    <w:p>
      <w:pPr>
        <w:spacing w:after="0" w:line="165" w:lineRule="exact"/>
        <w:rPr>
          <w:rFonts w:ascii="Times New Roman" w:cs="Times New Roman" w:eastAsia="Times New Roman" w:hAnsi="Times New Roman"/>
          <w:sz w:val="22"/>
          <w:szCs w:val="22"/>
          <w:i w:val="1"/>
          <w:iCs w:val="1"/>
          <w:color w:val="auto"/>
        </w:rPr>
      </w:pPr>
    </w:p>
    <w:p>
      <w:pPr>
        <w:jc w:val="both"/>
        <w:ind w:left="1060" w:firstLine="745"/>
        <w:spacing w:after="0" w:line="234" w:lineRule="auto"/>
        <w:tabs>
          <w:tab w:leader="none" w:pos="2183" w:val="left"/>
        </w:tabs>
        <w:numPr>
          <w:ilvl w:val="0"/>
          <w:numId w:val="16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Participant understands that Data will be transferred to one or more stock plan service provider(s) selected by the Company, which may assist the Company with the implementation, administration, and management of the Plan. The Participant understands that the recipients of the Data may be located in the United States or elsewhere, and that the recipient’s country (e.g., the United States) may have different data privacy laws and protections than his or her country. The Participant understands that if he or she resides outside the United States, he or she may request a list with the names and addresses of any potential recipients of the Data by contacting his or her local human resources representative. The Participant authorizes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his or her participation in the Plan.</w:t>
      </w:r>
    </w:p>
    <w:p>
      <w:pPr>
        <w:spacing w:after="0" w:line="149" w:lineRule="exact"/>
        <w:rPr>
          <w:rFonts w:ascii="Times New Roman" w:cs="Times New Roman" w:eastAsia="Times New Roman" w:hAnsi="Times New Roman"/>
          <w:sz w:val="22"/>
          <w:szCs w:val="22"/>
          <w:i w:val="1"/>
          <w:iCs w:val="1"/>
          <w:color w:val="auto"/>
        </w:rPr>
      </w:pPr>
    </w:p>
    <w:p>
      <w:pPr>
        <w:jc w:val="both"/>
        <w:ind w:left="1060" w:firstLine="745"/>
        <w:spacing w:after="0" w:line="232" w:lineRule="auto"/>
        <w:tabs>
          <w:tab w:leader="none" w:pos="2168" w:val="left"/>
        </w:tabs>
        <w:numPr>
          <w:ilvl w:val="0"/>
          <w:numId w:val="16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The Participant understands that Data will be held only as long as is necessary to implement, administer and manage his or her participation in the Plan. The Participant understands that if he or she resides in certain jurisdictions outside the United States, to the extent required by Applicable Laws, he or she may, at any time, request access to Data, request additional information about the storage and processing of Data, require any necessary amendments to Data or refuse or withdraw the consents given by accepting these RSUs, in any case without cost, by contacting in writing his or her local human resources representative. Further, the Participant understands that he or she is providing these consents on a purely voluntary basis. If the Participant does not consent or if he or she later seeks to revoke his or her consent, his or her engagement as a Service Provider with the Employer(s) will not be adversely affected; the only consequence of refusing or withdrawing his or her consent is that the Company will not be able to grant him or her awards under the Plan or administer or maintain awards. Therefore, the Participant understands that refusing or withdrawing his or her consent may affect his or her ability to participate in the Plan (including the right to retain these RSUs). The Participant understands that he or she may contact his or her local human resources representative for more information on the consequences of his or her refusal to consent or withdrawal of consent.</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Insider Trading Restrictions/Market Abuse Laws</w:t>
      </w:r>
      <w:r>
        <w:rPr>
          <w:rFonts w:ascii="Times New Roman" w:cs="Times New Roman" w:eastAsia="Times New Roman" w:hAnsi="Times New Roman"/>
          <w:sz w:val="22"/>
          <w:szCs w:val="22"/>
          <w:color w:val="auto"/>
        </w:rPr>
        <w:t>. The Participant acknowledges that he or she may be subject to insider trading restrictions and/or market abuse laws in applicable jurisdictions including, but not limited to, the United States and the Participant’s country of residence, which may affect the Participant’s ability to acquire or sell Shares or rights to Shares (e.g., RSUs) under the Plan during such time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33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to any third party and (ii) “tipping” third parties or causing them otherwise to buy or sell securities. The Participant should keep in mind third parties includes fellow employees. Any restrictions under these laws or regulations are separate from and in addition to any restrictions that may be imposed under any applicable insider trading policy of the Company. The Participant is responsible for ensuring compliance with any applicable restrictions and should consult with his or her personal legal advisor on this matter.</w:t>
      </w:r>
    </w:p>
    <w:p>
      <w:pPr>
        <w:spacing w:after="0" w:line="16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Foreign Asset/Account Reporting Requirements</w:t>
      </w:r>
      <w:r>
        <w:rPr>
          <w:rFonts w:ascii="Times New Roman" w:cs="Times New Roman" w:eastAsia="Times New Roman" w:hAnsi="Times New Roman"/>
          <w:sz w:val="22"/>
          <w:szCs w:val="22"/>
          <w:color w:val="auto"/>
        </w:rPr>
        <w:t>. Depending on the Participant’s country, the Participant may be subject to foreign asset/account, exchange control and/or tax reporting requirements as a result of the vesting of the RSUs, the acquisition, holding and/or transfer of Shares or cash resulting from participation in the Plan and/or the opening and maintaining of a brokerage or bank account in connection with the Plan. The Participant may be required to report such assets, accounts, account balances and values, and/or related transactions to the applicable authorities in his or her country. The Participant may also be required to repatriate sale proceeds or other funds received as a result of his or her participation in the Plan to his or her country through a designated bank or broker and/or within a certain time after receipt. The Participant acknowledges that he or she is responsible for ensuring compliance with any applicable foreign asset/account, exchange control and tax reporting and other requirements. The Participant further understands that he or she should consult the Participant's personal tax and legal advisors, as applicable on these matters.</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left="1060" w:right="20" w:firstLine="745"/>
        <w:spacing w:after="0" w:line="244" w:lineRule="auto"/>
        <w:tabs>
          <w:tab w:leader="none" w:pos="224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for Notices. Any notice to be given to the Company under the terms of this Agreement must be addressed to the Company at RxSight, Inc., 100 Columbia, Aliso Viejo, CA 92656, USA until the Company designates another address in writing.</w:t>
      </w:r>
    </w:p>
    <w:p>
      <w:pPr>
        <w:spacing w:after="0" w:line="158" w:lineRule="exact"/>
        <w:rPr>
          <w:rFonts w:ascii="Times New Roman" w:cs="Times New Roman" w:eastAsia="Times New Roman" w:hAnsi="Times New Roman"/>
          <w:sz w:val="22"/>
          <w:szCs w:val="22"/>
          <w:color w:val="auto"/>
        </w:rPr>
      </w:pPr>
    </w:p>
    <w:p>
      <w:pPr>
        <w:ind w:left="1060" w:firstLine="745"/>
        <w:spacing w:after="0" w:line="258" w:lineRule="auto"/>
        <w:tabs>
          <w:tab w:leader="none" w:pos="2240" w:val="left"/>
        </w:tabs>
        <w:numPr>
          <w:ilvl w:val="0"/>
          <w:numId w:val="1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Non-Transferability of RSUs</w:t>
      </w:r>
      <w:r>
        <w:rPr>
          <w:rFonts w:ascii="Times New Roman" w:cs="Times New Roman" w:eastAsia="Times New Roman" w:hAnsi="Times New Roman"/>
          <w:sz w:val="22"/>
          <w:szCs w:val="22"/>
          <w:color w:val="auto"/>
        </w:rPr>
        <w:t>. These RSUs may not be transferred other than by will or the applicable laws of descent or distribution.</w:t>
      </w:r>
    </w:p>
    <w:p>
      <w:pPr>
        <w:spacing w:after="0" w:line="130" w:lineRule="exact"/>
        <w:rPr>
          <w:rFonts w:ascii="Times New Roman" w:cs="Times New Roman" w:eastAsia="Times New Roman" w:hAnsi="Times New Roman"/>
          <w:sz w:val="22"/>
          <w:szCs w:val="22"/>
          <w:u w:val="single" w:color="auto"/>
          <w:color w:val="auto"/>
        </w:rPr>
      </w:pPr>
    </w:p>
    <w:p>
      <w:pPr>
        <w:ind w:left="1060" w:firstLine="745"/>
        <w:spacing w:after="0" w:line="258" w:lineRule="auto"/>
        <w:tabs>
          <w:tab w:leader="none" w:pos="2240" w:val="left"/>
        </w:tabs>
        <w:numPr>
          <w:ilvl w:val="0"/>
          <w:numId w:val="1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If any RSUs are transferred, this Agreement will be binding upon and inure to the benefit of the heirs, legatees, legal representatives, successors, and assigns of the parties to this Agreement.</w:t>
      </w:r>
    </w:p>
    <w:p>
      <w:pPr>
        <w:spacing w:after="0" w:line="143" w:lineRule="exact"/>
        <w:rPr>
          <w:rFonts w:ascii="Times New Roman" w:cs="Times New Roman" w:eastAsia="Times New Roman" w:hAnsi="Times New Roman"/>
          <w:sz w:val="22"/>
          <w:szCs w:val="22"/>
          <w:u w:val="single" w:color="auto"/>
          <w:color w:val="auto"/>
        </w:rPr>
      </w:pPr>
    </w:p>
    <w:p>
      <w:pPr>
        <w:jc w:val="both"/>
        <w:ind w:left="1060" w:firstLine="745"/>
        <w:spacing w:after="0" w:line="255" w:lineRule="auto"/>
        <w:tabs>
          <w:tab w:leader="none" w:pos="2240" w:val="left"/>
        </w:tabs>
        <w:numPr>
          <w:ilvl w:val="0"/>
          <w:numId w:val="1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Additional Conditions to Issuance of Stock</w:t>
      </w:r>
      <w:r>
        <w:rPr>
          <w:rFonts w:ascii="Times New Roman" w:cs="Times New Roman" w:eastAsia="Times New Roman" w:hAnsi="Times New Roman"/>
          <w:sz w:val="20"/>
          <w:szCs w:val="20"/>
          <w:color w:val="auto"/>
        </w:rPr>
        <w:t xml:space="preserve"> . In accordance with Section 20 of the Plan, if at any time the Company determines, in its discretion, that the listing, registration, qualification or rule compliance of the Shares upon any securities exchange or under any U.S. or non-U.S. federal, state or local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hereunder, such issuance will not occur 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with respect to a Restricted Stock Unit in a manner that would allow it to be settled by the applicable Settlement Deadline, such Restricted Stock Unit will be forfeited as of immediately following the Settlement Deadline for no consideration and at no cost to the Company.</w:t>
      </w:r>
    </w:p>
    <w:p>
      <w:pPr>
        <w:ind w:left="1060"/>
        <w:spacing w:after="0"/>
        <w:rPr>
          <w:sz w:val="20"/>
          <w:szCs w:val="20"/>
          <w:color w:val="auto"/>
        </w:rPr>
      </w:pPr>
      <w:r>
        <w:rPr>
          <w:rFonts w:ascii="Times New Roman" w:cs="Times New Roman" w:eastAsia="Times New Roman" w:hAnsi="Times New Roman"/>
          <w:sz w:val="22"/>
          <w:szCs w:val="22"/>
          <w:color w:val="auto"/>
        </w:rPr>
        <w:t>Subject to the terms of this Agreement and the Plan, the Company shall not be</w:t>
      </w: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3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required to issue any certificate or certificates for Shares hereunder prior to the lapse of such reasonable period of time following the date of vesting of a Restricted Stock Unit as the Administrator may establish from time to time for reasons of administrative convenience and any such certificate may be in book entry form.</w:t>
      </w:r>
    </w:p>
    <w:p>
      <w:pPr>
        <w:spacing w:after="0" w:line="159" w:lineRule="exact"/>
        <w:rPr>
          <w:sz w:val="20"/>
          <w:szCs w:val="20"/>
          <w:color w:val="auto"/>
        </w:rPr>
      </w:pPr>
    </w:p>
    <w:p>
      <w:pPr>
        <w:ind w:firstLine="745"/>
        <w:spacing w:after="0" w:line="258" w:lineRule="auto"/>
        <w:tabs>
          <w:tab w:leader="none" w:pos="1180" w:val="left"/>
        </w:tabs>
        <w:numPr>
          <w:ilvl w:val="0"/>
          <w:numId w:val="1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in this Agreement are for convenience only and are not to serve as a basis for interpretation or construction of this Agreement.</w:t>
      </w:r>
    </w:p>
    <w:p>
      <w:pPr>
        <w:spacing w:after="0" w:line="130" w:lineRule="exact"/>
        <w:rPr>
          <w:rFonts w:ascii="Times New Roman" w:cs="Times New Roman" w:eastAsia="Times New Roman" w:hAnsi="Times New Roman"/>
          <w:sz w:val="22"/>
          <w:szCs w:val="22"/>
          <w:u w:val="single" w:color="auto"/>
          <w:color w:val="auto"/>
        </w:rPr>
      </w:pPr>
    </w:p>
    <w:p>
      <w:pPr>
        <w:jc w:val="both"/>
        <w:ind w:firstLine="745"/>
        <w:spacing w:after="0" w:line="244" w:lineRule="auto"/>
        <w:tabs>
          <w:tab w:leader="none" w:pos="11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Severable . If any provision of this Agreement is held invalid or unenforceable, that provision will be severed from the remaining provisions of this Agreement and the invalidity or unenforceability will have no effect on the remainder of the Agreement.</w:t>
      </w:r>
    </w:p>
    <w:p>
      <w:pPr>
        <w:spacing w:after="0" w:line="158" w:lineRule="exact"/>
        <w:rPr>
          <w:rFonts w:ascii="Times New Roman" w:cs="Times New Roman" w:eastAsia="Times New Roman" w:hAnsi="Times New Roman"/>
          <w:sz w:val="22"/>
          <w:szCs w:val="22"/>
          <w:color w:val="auto"/>
        </w:rPr>
      </w:pPr>
    </w:p>
    <w:p>
      <w:pPr>
        <w:jc w:val="both"/>
        <w:ind w:firstLine="745"/>
        <w:spacing w:after="0" w:line="237" w:lineRule="auto"/>
        <w:tabs>
          <w:tab w:leader="none" w:pos="1180" w:val="left"/>
        </w:tabs>
        <w:numPr>
          <w:ilvl w:val="0"/>
          <w:numId w:val="1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Non-U.S. Appendix</w:t>
      </w:r>
      <w:r>
        <w:rPr>
          <w:rFonts w:ascii="Times New Roman" w:cs="Times New Roman" w:eastAsia="Times New Roman" w:hAnsi="Times New Roman"/>
          <w:sz w:val="22"/>
          <w:szCs w:val="22"/>
          <w:color w:val="auto"/>
        </w:rPr>
        <w:t xml:space="preserve"> . These RSUs are subject to any special terms and conditions set forth in any appendix to this Agreement for the Participant’s country (the “</w:t>
      </w: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If the Participant relocates to a country included in the Appendix, the special terms and conditions for that country will apply to him or her to the extent the Company determines that applying such terms and conditions is necessary or advisable for legal or administrative reasons.</w:t>
      </w:r>
    </w:p>
    <w:p>
      <w:pPr>
        <w:spacing w:after="0" w:line="166" w:lineRule="exact"/>
        <w:rPr>
          <w:rFonts w:ascii="Times New Roman" w:cs="Times New Roman" w:eastAsia="Times New Roman" w:hAnsi="Times New Roman"/>
          <w:sz w:val="22"/>
          <w:szCs w:val="22"/>
          <w:u w:val="single" w:color="auto"/>
          <w:color w:val="auto"/>
        </w:rPr>
      </w:pPr>
    </w:p>
    <w:p>
      <w:pPr>
        <w:jc w:val="both"/>
        <w:ind w:firstLine="745"/>
        <w:spacing w:after="0" w:line="234" w:lineRule="auto"/>
        <w:tabs>
          <w:tab w:leader="none" w:pos="1180" w:val="left"/>
        </w:tabs>
        <w:numPr>
          <w:ilvl w:val="0"/>
          <w:numId w:val="1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xml:space="preserve"> .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 provided, however, that no such imposition of other requirements shall occur or be effective unless such imposition would result in these RSUs remaining exempt or excepted from the requirements of Code Section 409A pursuant to the “short-term deferral” exception or another exception or exemption under Code Section 409A, or otherwise complying with Code Section 409A, in each case such that none of this Agreement, the RSUs provided under this Agreement, or Shares, cash or other property issuable hereunder will be subject to the additional tax imposed under Code Section 409A.</w:t>
      </w:r>
    </w:p>
    <w:p>
      <w:pPr>
        <w:spacing w:after="0" w:line="149" w:lineRule="exact"/>
        <w:rPr>
          <w:rFonts w:ascii="Times New Roman" w:cs="Times New Roman" w:eastAsia="Times New Roman" w:hAnsi="Times New Roman"/>
          <w:sz w:val="22"/>
          <w:szCs w:val="22"/>
          <w:u w:val="single" w:color="auto"/>
          <w:color w:val="auto"/>
        </w:rPr>
      </w:pPr>
    </w:p>
    <w:p>
      <w:pPr>
        <w:jc w:val="both"/>
        <w:ind w:firstLine="745"/>
        <w:spacing w:after="0" w:line="235" w:lineRule="auto"/>
        <w:tabs>
          <w:tab w:leader="none" w:pos="1180" w:val="left"/>
        </w:tabs>
        <w:numPr>
          <w:ilvl w:val="0"/>
          <w:numId w:val="1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Choice of Law; Choice of Forum</w:t>
      </w:r>
      <w:r>
        <w:rPr>
          <w:rFonts w:ascii="Times New Roman" w:cs="Times New Roman" w:eastAsia="Times New Roman" w:hAnsi="Times New Roman"/>
          <w:sz w:val="22"/>
          <w:szCs w:val="22"/>
          <w:color w:val="auto"/>
        </w:rPr>
        <w:t>. The Plan, this Agreement, these RSUs,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the Plan, the Participant's acceptance of these RSUs is his or her consent to the jurisdiction of the State of Delaware and his or her agreement that any such litigation will be conducted in the Delaware Court of Chancery or the federal courts for the United States for the District of Delaware and no other courts, regardless of where he or she is performing services.</w:t>
      </w:r>
    </w:p>
    <w:p>
      <w:pPr>
        <w:spacing w:after="0" w:line="167" w:lineRule="exact"/>
        <w:rPr>
          <w:rFonts w:ascii="Times New Roman" w:cs="Times New Roman" w:eastAsia="Times New Roman" w:hAnsi="Times New Roman"/>
          <w:sz w:val="22"/>
          <w:szCs w:val="22"/>
          <w:u w:val="single" w:color="auto"/>
          <w:color w:val="auto"/>
        </w:rPr>
      </w:pPr>
    </w:p>
    <w:p>
      <w:pPr>
        <w:jc w:val="both"/>
        <w:ind w:firstLine="745"/>
        <w:spacing w:after="0" w:line="257" w:lineRule="auto"/>
        <w:tabs>
          <w:tab w:leader="none" w:pos="1180" w:val="left"/>
        </w:tabs>
        <w:numPr>
          <w:ilvl w:val="0"/>
          <w:numId w:val="1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Modifications to the Agreement</w:t>
      </w:r>
      <w:r>
        <w:rPr>
          <w:rFonts w:ascii="Times New Roman" w:cs="Times New Roman" w:eastAsia="Times New Roman" w:hAnsi="Times New Roman"/>
          <w:sz w:val="20"/>
          <w:szCs w:val="20"/>
          <w:color w:val="auto"/>
        </w:rPr>
        <w:t xml:space="preserve"> . The Plan and this Agreement constitute the entire understanding of the parties on the subjects covered. The Participant expressly warrants that he or she is not accepting this Agreement in reliance on any promises, representations, or inducements other than those contained herein. Other than as specified in Section 19(d) of the Plan, modifications to this Agreement or the Plan can be made only in an express written contract executed by a duly authorized officer of the Company. Notwithstanding anything in the Plan or this Agreement to the contrary, but subject to Section 13(h), the Administrator may, without the consent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-5149850</wp:posOffset>
            </wp:positionV>
            <wp:extent cx="154241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8">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22"/>
          <w:szCs w:val="22"/>
          <w:color w:val="auto"/>
        </w:rPr>
        <w:t>Participant, modify this Agreement in any of the following manners:</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591185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1380" w:top="1440" w:right="339" w:bottom="1440" w:gutter="0" w:footer="0" w:header="0"/>
        </w:sectPr>
      </w:pPr>
    </w:p>
    <w:bookmarkStart w:id="191" w:name="page192"/>
    <w:bookmarkEnd w:id="191"/>
    <w:p>
      <w:pPr>
        <w:spacing w:after="0" w:line="331" w:lineRule="exact"/>
        <w:rPr>
          <w:sz w:val="20"/>
          <w:szCs w:val="20"/>
          <w:color w:val="auto"/>
        </w:rPr>
      </w:pPr>
    </w:p>
    <w:p>
      <w:pPr>
        <w:jc w:val="both"/>
        <w:ind w:left="1060" w:hanging="4"/>
        <w:spacing w:after="0" w:line="236" w:lineRule="auto"/>
        <w:tabs>
          <w:tab w:leader="none" w:pos="137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permitted by Section 4 of this Agreement, including to waive or decrease, in whole or in part, some or all of the requirements required for vesting of all or a portion of the unvested RSUs; or (b) waive or decrease some or all of the requirements for settlement of RSUs. The Company reserves the right to revise this Agreement as it deems necessary or advisable, in its sole discretion and without the consent of the Participant, to comply with Code Section 409A, to otherwise avoid imposition of any additional tax or income recognition under Code Section 409A in connection with these RSUs, or to comply with other Applicable Laws.</w:t>
      </w:r>
    </w:p>
    <w:p>
      <w:pPr>
        <w:spacing w:after="0" w:line="165" w:lineRule="exact"/>
        <w:rPr>
          <w:rFonts w:ascii="Times New Roman" w:cs="Times New Roman" w:eastAsia="Times New Roman" w:hAnsi="Times New Roman"/>
          <w:sz w:val="22"/>
          <w:szCs w:val="22"/>
          <w:color w:val="auto"/>
        </w:rPr>
      </w:pPr>
    </w:p>
    <w:p>
      <w:pPr>
        <w:jc w:val="both"/>
        <w:ind w:left="1060" w:firstLine="745"/>
        <w:spacing w:after="0" w:line="244" w:lineRule="auto"/>
        <w:tabs>
          <w:tab w:leader="none" w:pos="2240" w:val="left"/>
        </w:tabs>
        <w:numPr>
          <w:ilvl w:val="1"/>
          <w:numId w:val="1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Participant acknowledges that a waiver by the Company of a breach of any provision of this Agreement will not operate or be construed as a waiver of any other provision of this Agreement or of any subsequent breach of this Agreement by him or her.</w:t>
      </w:r>
    </w:p>
    <w:p>
      <w:pPr>
        <w:spacing w:after="0" w:line="145" w:lineRule="exact"/>
        <w:rPr>
          <w:rFonts w:ascii="Times New Roman" w:cs="Times New Roman" w:eastAsia="Times New Roman" w:hAnsi="Times New Roman"/>
          <w:sz w:val="22"/>
          <w:szCs w:val="22"/>
          <w:u w:val="single" w:color="auto"/>
          <w:color w:val="auto"/>
        </w:rPr>
      </w:pPr>
    </w:p>
    <w:p>
      <w:pPr>
        <w:jc w:val="both"/>
        <w:ind w:left="1060" w:firstLine="745"/>
        <w:spacing w:after="0" w:line="237" w:lineRule="auto"/>
        <w:tabs>
          <w:tab w:leader="none" w:pos="2240" w:val="left"/>
        </w:tabs>
        <w:numPr>
          <w:ilvl w:val="1"/>
          <w:numId w:val="1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Participant acknowledges that the Participant is sufficiently proficient in English, or has consulted with an advisor who is sufficiently proficient in English, so as to allow the Participant to understand the terms of this Agreement. If Participant has received this Agreement, or any other document related to these RSUs and/or the Plan translated into a language other than English and if the meaning of the translated version is different than the English version, the English version will control.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TO RESTRICTED STOCK UNIT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Appendix to Restricted Stock Unit Agreement (the “</w:t>
      </w: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includes additional terms and conditions that govern these RSUs granted to the Participant under the Plan if he or she resides and/or works in one of the countries listed below on the Grant Date or he or she moves to one of the listed countries. Unless otherwise defined herein, capitalized terms used but not defined herein shall have the same meanings as set forth in the Plan and the Agreement.</w:t>
      </w:r>
    </w:p>
    <w:p>
      <w:pPr>
        <w:spacing w:after="0" w:line="1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 Participant is a citizen or resident of a country (or if the Participant is considered as such for local law purposes) other than the one in which the Participant is currently residing and/or working, or if the Participant transfers to another country after being granted the RSUs, the Company will, in its discretion, determine the extent to which the terms and conditions contained herein will be applicable to the Participant.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9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Appendix may also include information regarding securities laws, exchange controls and certain other issues of which the Participant should be aware with respect to participation in the Plan. The information is based on the securities, exchange control, and other Applicable Laws in effect in the respective countries as of [DATE] 2021. Such laws are often complex and change frequently. As a result, the Company strongly recommends that the Participant not rely on the information in this Appendix as the only source of information relating to the consequences of participation in the Plan because the information may be out of date at the time the Participant vests in or sells the Shares acquired under the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3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the information contained in this Appendix is general in nature and may not apply to the Participant’s particular situation, and the Company is not in a position to assure him or her of a particular result. The Participant is advised to seek appropriate professional advice as to how the relevant laws in his or her country may apply to his or her situation.</w:t>
      </w:r>
    </w:p>
    <w:p>
      <w:pPr>
        <w:spacing w:after="0" w:line="1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Finally, if the Participant is a citizen or resident of a country other than the one in which he or she is currently residing and/or working, transfers employment after these RSUs are granted, or is considered a resident of another country for local law purposes, the information in this Appendix may not apply to him or her, and the Administrator will determine to what extent the terms and conditions in this Appendix apply.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Countries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2"/>
          <w:szCs w:val="22"/>
          <w:color w:val="auto"/>
        </w:rPr>
        <w:t>Exhibit 10.13</w:t>
      </w:r>
    </w:p>
    <w:p>
      <w:pPr>
        <w:spacing w:after="0" w:line="200" w:lineRule="exact"/>
        <w:rPr>
          <w:sz w:val="20"/>
          <w:szCs w:val="20"/>
          <w:color w:val="auto"/>
        </w:rPr>
      </w:pP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SEVENTH AMENDMENT (EXTENSION TO THE LEASE)</w:t>
      </w:r>
    </w:p>
    <w:p>
      <w:pPr>
        <w:spacing w:after="0" w:line="236"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THIS INSTRUMENT (hereinafter referred to as the “Seventh Amendment”), dated the 25th day of October, is entered into by ACCURIDE INTERNATIONAL INC., a California corporation (hereinafter referred to as “Landlord”) and RXSIGHT, Inc. (formerly known as CALHOUN VISION, INC.), a Delaware corporation, (hereinafter referred to as “Tenant”). The parties agree as follows:</w:t>
      </w:r>
    </w:p>
    <w:p>
      <w:pPr>
        <w:spacing w:after="0" w:line="118" w:lineRule="exact"/>
        <w:rPr>
          <w:sz w:val="20"/>
          <w:szCs w:val="20"/>
          <w:color w:val="auto"/>
        </w:rPr>
      </w:pPr>
    </w:p>
    <w:p>
      <w:pPr>
        <w:ind w:firstLine="835"/>
        <w:spacing w:after="0" w:line="211" w:lineRule="auto"/>
        <w:tabs>
          <w:tab w:leader="none" w:pos="1240" w:val="left"/>
        </w:tabs>
        <w:numPr>
          <w:ilvl w:val="1"/>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Identification of Lease</w:t>
      </w:r>
      <w:r>
        <w:rPr>
          <w:rFonts w:ascii="Times New Roman" w:cs="Times New Roman" w:eastAsia="Times New Roman" w:hAnsi="Times New Roman"/>
          <w:sz w:val="20"/>
          <w:szCs w:val="20"/>
          <w:color w:val="auto"/>
        </w:rPr>
        <w:t>. Reference is made to that certain Commercial Lease Agreement dated August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2015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“Original Lease”), as amended by that certain </w:t>
      </w:r>
      <w:r>
        <w:rPr>
          <w:rFonts w:ascii="Times New Roman" w:cs="Times New Roman" w:eastAsia="Times New Roman" w:hAnsi="Times New Roman"/>
          <w:sz w:val="20"/>
          <w:szCs w:val="20"/>
          <w:b w:val="1"/>
          <w:bCs w:val="1"/>
          <w:color w:val="auto"/>
        </w:rPr>
        <w:t>First Amendment</w:t>
      </w:r>
      <w:r>
        <w:rPr>
          <w:rFonts w:ascii="Times New Roman" w:cs="Times New Roman" w:eastAsia="Times New Roman" w:hAnsi="Times New Roman"/>
          <w:sz w:val="20"/>
          <w:szCs w:val="20"/>
          <w:color w:val="auto"/>
        </w:rPr>
        <w:t xml:space="preserve"> to the Lease dated November 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xml:space="preserve">, 2015, as amended by that certain </w:t>
      </w:r>
      <w:r>
        <w:rPr>
          <w:rFonts w:ascii="Times New Roman" w:cs="Times New Roman" w:eastAsia="Times New Roman" w:hAnsi="Times New Roman"/>
          <w:sz w:val="20"/>
          <w:szCs w:val="20"/>
          <w:b w:val="1"/>
          <w:bCs w:val="1"/>
          <w:color w:val="auto"/>
        </w:rPr>
        <w:t xml:space="preserve">Second Amendment </w:t>
      </w:r>
      <w:r>
        <w:rPr>
          <w:rFonts w:ascii="Times New Roman" w:cs="Times New Roman" w:eastAsia="Times New Roman" w:hAnsi="Times New Roman"/>
          <w:sz w:val="20"/>
          <w:szCs w:val="20"/>
          <w:color w:val="auto"/>
        </w:rPr>
        <w:t>to the Lease dated December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2015 , as amended by that certain</w:t>
      </w:r>
      <w:r>
        <w:rPr>
          <w:rFonts w:ascii="Times New Roman" w:cs="Times New Roman" w:eastAsia="Times New Roman" w:hAnsi="Times New Roman"/>
          <w:sz w:val="20"/>
          <w:szCs w:val="20"/>
          <w:b w:val="1"/>
          <w:bCs w:val="1"/>
          <w:color w:val="auto"/>
        </w:rPr>
        <w:t xml:space="preserve"> Third Amendment </w:t>
      </w:r>
      <w:r>
        <w:rPr>
          <w:rFonts w:ascii="Times New Roman" w:cs="Times New Roman" w:eastAsia="Times New Roman" w:hAnsi="Times New Roman"/>
          <w:sz w:val="20"/>
          <w:szCs w:val="20"/>
          <w:color w:val="auto"/>
        </w:rPr>
        <w:t>to the Lease 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January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2016, as amended by that certain </w:t>
      </w:r>
      <w:r>
        <w:rPr>
          <w:rFonts w:ascii="Times New Roman" w:cs="Times New Roman" w:eastAsia="Times New Roman" w:hAnsi="Times New Roman"/>
          <w:sz w:val="20"/>
          <w:szCs w:val="20"/>
          <w:b w:val="1"/>
          <w:bCs w:val="1"/>
          <w:color w:val="auto"/>
        </w:rPr>
        <w:t>Fourth Amendment</w:t>
      </w:r>
      <w:r>
        <w:rPr>
          <w:rFonts w:ascii="Times New Roman" w:cs="Times New Roman" w:eastAsia="Times New Roman" w:hAnsi="Times New Roman"/>
          <w:sz w:val="20"/>
          <w:szCs w:val="20"/>
          <w:color w:val="auto"/>
        </w:rPr>
        <w:t xml:space="preserve"> to the Lease dated November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2016, as amended by that certain </w:t>
      </w:r>
      <w:r>
        <w:rPr>
          <w:rFonts w:ascii="Times New Roman" w:cs="Times New Roman" w:eastAsia="Times New Roman" w:hAnsi="Times New Roman"/>
          <w:sz w:val="20"/>
          <w:szCs w:val="20"/>
          <w:b w:val="1"/>
          <w:bCs w:val="1"/>
          <w:color w:val="auto"/>
        </w:rPr>
        <w:t>Fifth Amendment</w:t>
      </w:r>
      <w:r>
        <w:rPr>
          <w:rFonts w:ascii="Times New Roman" w:cs="Times New Roman" w:eastAsia="Times New Roman" w:hAnsi="Times New Roman"/>
          <w:sz w:val="20"/>
          <w:szCs w:val="20"/>
          <w:color w:val="auto"/>
        </w:rPr>
        <w:t xml:space="preserve"> to the Lease dated April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2024, as amended by that certain </w:t>
      </w:r>
      <w:r>
        <w:rPr>
          <w:rFonts w:ascii="Times New Roman" w:cs="Times New Roman" w:eastAsia="Times New Roman" w:hAnsi="Times New Roman"/>
          <w:sz w:val="20"/>
          <w:szCs w:val="20"/>
          <w:b w:val="1"/>
          <w:bCs w:val="1"/>
          <w:color w:val="auto"/>
        </w:rPr>
        <w:t>Sixth Amendment</w:t>
      </w:r>
      <w:r>
        <w:rPr>
          <w:rFonts w:ascii="Times New Roman" w:cs="Times New Roman" w:eastAsia="Times New Roman" w:hAnsi="Times New Roman"/>
          <w:sz w:val="20"/>
          <w:szCs w:val="20"/>
          <w:color w:val="auto"/>
        </w:rPr>
        <w:t xml:space="preserve"> to the Lease dated June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2024, (The Original Lease, as so amended, is herein collectively referred to as the “Lease”) for certain premises containing approximately 21,498 rentable square feet located at 100 Columbia Suite 200, Aliso Viejo Ca and 20,608 rentable square feet located at</w:t>
      </w:r>
    </w:p>
    <w:p>
      <w:pPr>
        <w:spacing w:after="0" w:line="6"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Columbia Suite 100, Aliso Viejo Ca as more particularly described in the Lease as the Premises.</w:t>
      </w:r>
    </w:p>
    <w:p>
      <w:pPr>
        <w:spacing w:after="0" w:line="73" w:lineRule="exact"/>
        <w:rPr>
          <w:rFonts w:ascii="Times New Roman" w:cs="Times New Roman" w:eastAsia="Times New Roman" w:hAnsi="Times New Roman"/>
          <w:sz w:val="21"/>
          <w:szCs w:val="21"/>
          <w:color w:val="auto"/>
        </w:rPr>
      </w:pPr>
    </w:p>
    <w:p>
      <w:pPr>
        <w:ind w:right="140" w:firstLine="871"/>
        <w:spacing w:after="0" w:line="261" w:lineRule="auto"/>
        <w:tabs>
          <w:tab w:leader="none" w:pos="1295" w:val="left"/>
        </w:tabs>
        <w:numPr>
          <w:ilvl w:val="2"/>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Context of Seventh Amendment. </w:t>
      </w:r>
      <w:r>
        <w:rPr>
          <w:rFonts w:ascii="Times New Roman" w:cs="Times New Roman" w:eastAsia="Times New Roman" w:hAnsi="Times New Roman"/>
          <w:sz w:val="22"/>
          <w:szCs w:val="22"/>
          <w:color w:val="auto"/>
        </w:rPr>
        <w:t>The parties have agreed to Expand the Lease to include 120 Columbia Suites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300, 400, and 500 for a total of approximately 13,183 Leasable square feet.</w:t>
      </w:r>
    </w:p>
    <w:p>
      <w:pPr>
        <w:spacing w:after="0" w:line="177" w:lineRule="exact"/>
        <w:rPr>
          <w:rFonts w:ascii="Times New Roman" w:cs="Times New Roman" w:eastAsia="Times New Roman" w:hAnsi="Times New Roman"/>
          <w:sz w:val="22"/>
          <w:szCs w:val="22"/>
          <w:b w:val="1"/>
          <w:bCs w:val="1"/>
          <w:color w:val="auto"/>
        </w:rPr>
      </w:pPr>
    </w:p>
    <w:p>
      <w:pPr>
        <w:ind w:left="760" w:hanging="752"/>
        <w:spacing w:after="0" w:line="243" w:lineRule="auto"/>
        <w:tabs>
          <w:tab w:leader="none" w:pos="7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Term/Premises. </w:t>
      </w:r>
      <w:r>
        <w:rPr>
          <w:rFonts w:ascii="Times New Roman" w:cs="Times New Roman" w:eastAsia="Times New Roman" w:hAnsi="Times New Roman"/>
          <w:sz w:val="22"/>
          <w:szCs w:val="22"/>
          <w:color w:val="auto"/>
        </w:rPr>
        <w:t>Landlord and Tenant agrees to expand the Lease for an additional seventy-four (74) months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total of 13,183 square feet.</w:t>
      </w:r>
    </w:p>
    <w:p>
      <w:pPr>
        <w:spacing w:after="0" w:line="1" w:lineRule="exact"/>
        <w:rPr>
          <w:rFonts w:ascii="Times New Roman" w:cs="Times New Roman" w:eastAsia="Times New Roman" w:hAnsi="Times New Roman"/>
          <w:sz w:val="22"/>
          <w:szCs w:val="22"/>
          <w:color w:val="auto"/>
        </w:rPr>
      </w:pPr>
    </w:p>
    <w:p>
      <w:pPr>
        <w:ind w:left="760" w:hanging="752"/>
        <w:spacing w:after="0" w:line="230" w:lineRule="auto"/>
        <w:tabs>
          <w:tab w:leader="none" w:pos="7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The Lease Expansion period</w:t>
      </w:r>
      <w:r>
        <w:rPr>
          <w:rFonts w:ascii="Times New Roman" w:cs="Times New Roman" w:eastAsia="Times New Roman" w:hAnsi="Times New Roman"/>
          <w:sz w:val="22"/>
          <w:szCs w:val="22"/>
          <w:color w:val="auto"/>
        </w:rPr>
        <w:t>. The Lease Expansion Period shall be from December 1, 2024 to January 31, 2031.</w:t>
      </w:r>
    </w:p>
    <w:p>
      <w:pPr>
        <w:jc w:val="both"/>
        <w:ind w:left="760" w:hanging="752"/>
        <w:spacing w:after="0" w:line="230" w:lineRule="auto"/>
        <w:tabs>
          <w:tab w:leader="none" w:pos="7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Tenant Improvement Allowance. </w:t>
      </w:r>
      <w:r>
        <w:rPr>
          <w:rFonts w:ascii="Times New Roman" w:cs="Times New Roman" w:eastAsia="Times New Roman" w:hAnsi="Times New Roman"/>
          <w:sz w:val="22"/>
          <w:szCs w:val="22"/>
          <w:color w:val="auto"/>
        </w:rPr>
        <w:t>Landlord shall provide a $150,000 allowance for all mutually agreed upon building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improvements. Tenant agrees to comply with all requirements in Section 7.3.3 of the Lease. A “Work Letter” shall be provided to the Landlord prior to all work being done. This Tenant Improvement allowance shall be used to improve the property at 120 Columbia Suites 300, 400, and 500 only.</w:t>
      </w:r>
    </w:p>
    <w:p>
      <w:pPr>
        <w:spacing w:after="0" w:line="1" w:lineRule="exact"/>
        <w:rPr>
          <w:rFonts w:ascii="Times New Roman" w:cs="Times New Roman" w:eastAsia="Times New Roman" w:hAnsi="Times New Roman"/>
          <w:sz w:val="22"/>
          <w:szCs w:val="22"/>
          <w:color w:val="auto"/>
        </w:rPr>
      </w:pPr>
    </w:p>
    <w:p>
      <w:pPr>
        <w:jc w:val="both"/>
        <w:ind w:left="760" w:hanging="752"/>
        <w:spacing w:after="0" w:line="230" w:lineRule="auto"/>
        <w:tabs>
          <w:tab w:leader="none" w:pos="7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Redelivery of Premises. </w:t>
      </w:r>
      <w:r>
        <w:rPr>
          <w:rFonts w:ascii="Times New Roman" w:cs="Times New Roman" w:eastAsia="Times New Roman" w:hAnsi="Times New Roman"/>
          <w:sz w:val="22"/>
          <w:szCs w:val="22"/>
          <w:color w:val="auto"/>
        </w:rPr>
        <w:t>Tenant shall be required to restore suites 300, 400, and 500 to their original condition (“Put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Backs”) prior to any Tenant improvements (see Attachment A for “As built” configuration). Tenant has provided a preliminary design layout (see Attachment B “Proposed Configuration”). Landlord shall waive the right to the Put Backs so long as Landlord approves and signs off on, in part or in full, the finalized permittable Tenant Improvement plans for the Premises.</w:t>
      </w:r>
    </w:p>
    <w:p>
      <w:pPr>
        <w:spacing w:after="0" w:line="1" w:lineRule="exact"/>
        <w:rPr>
          <w:rFonts w:ascii="Times New Roman" w:cs="Times New Roman" w:eastAsia="Times New Roman" w:hAnsi="Times New Roman"/>
          <w:sz w:val="22"/>
          <w:szCs w:val="22"/>
          <w:color w:val="auto"/>
        </w:rPr>
      </w:pPr>
    </w:p>
    <w:p>
      <w:pPr>
        <w:ind w:left="740" w:right="380" w:hanging="732"/>
        <w:spacing w:after="0" w:line="233" w:lineRule="auto"/>
        <w:tabs>
          <w:tab w:leader="none" w:pos="74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Security Deposit. </w:t>
      </w:r>
      <w:r>
        <w:rPr>
          <w:rFonts w:ascii="Times New Roman" w:cs="Times New Roman" w:eastAsia="Times New Roman" w:hAnsi="Times New Roman"/>
          <w:sz w:val="22"/>
          <w:szCs w:val="22"/>
          <w:color w:val="auto"/>
        </w:rPr>
        <w:t>The Security Deposit shall conform to Section B(4) of the Fifth Amendment, as amended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Sixth Amendment, to the Lease. Upon lease execution of this Seventh Amendment to the Lease, Tenant shall pay the first month’s Base Rent ($22,015.61) and a Security Deposit equal to the last month’s rent ($27,062.81) for 120 Columbia Suites 300, 400, and 500.</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section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4" w:name="page195"/>
    <w:bookmarkEnd w:id="194"/>
    <w:p>
      <w:pPr>
        <w:ind w:left="380" w:firstLine="5"/>
        <w:spacing w:after="0" w:line="260" w:lineRule="auto"/>
        <w:tabs>
          <w:tab w:leader="none" w:pos="919"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 xml:space="preserve">Rent During Seventh Extension Period. </w:t>
      </w:r>
      <w:r>
        <w:rPr>
          <w:rFonts w:ascii="Times New Roman" w:cs="Times New Roman" w:eastAsia="Times New Roman" w:hAnsi="Times New Roman"/>
          <w:sz w:val="21"/>
          <w:szCs w:val="21"/>
          <w:color w:val="auto"/>
        </w:rPr>
        <w:t>During the Seventh Extension Period, the base rent payable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amount called for by the following:</w:t>
      </w:r>
    </w:p>
    <w:p>
      <w:pPr>
        <w:spacing w:after="0" w:line="188"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Months</w:t>
            </w:r>
          </w:p>
        </w:tc>
        <w:tc>
          <w:tcPr>
            <w:tcW w:w="940" w:type="dxa"/>
            <w:vAlign w:val="bottom"/>
          </w:tcPr>
          <w:p>
            <w:pPr>
              <w:ind w:left="260"/>
              <w:spacing w:after="0"/>
              <w:rPr>
                <w:sz w:val="20"/>
                <w:szCs w:val="20"/>
                <w:color w:val="auto"/>
              </w:rPr>
            </w:pPr>
            <w:r>
              <w:rPr>
                <w:rFonts w:ascii="Times New Roman" w:cs="Times New Roman" w:eastAsia="Times New Roman" w:hAnsi="Times New Roman"/>
                <w:sz w:val="21"/>
                <w:szCs w:val="21"/>
                <w:color w:val="auto"/>
                <w:w w:val="97"/>
              </w:rPr>
              <w:t>Rate/SF</w:t>
            </w:r>
          </w:p>
        </w:tc>
        <w:tc>
          <w:tcPr>
            <w:tcW w:w="23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Rate/Month</w:t>
            </w:r>
          </w:p>
        </w:tc>
      </w:tr>
      <w:tr>
        <w:trPr>
          <w:trHeight w:val="243"/>
        </w:trPr>
        <w:tc>
          <w:tcPr>
            <w:tcW w:w="9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*01-12:</w:t>
            </w:r>
          </w:p>
        </w:tc>
        <w:tc>
          <w:tcPr>
            <w:tcW w:w="9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$1.67</w:t>
            </w:r>
          </w:p>
        </w:tc>
        <w:tc>
          <w:tcPr>
            <w:tcW w:w="236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$22,015.61 Plus NNN</w:t>
            </w:r>
          </w:p>
        </w:tc>
      </w:tr>
      <w:tr>
        <w:trPr>
          <w:trHeight w:val="243"/>
        </w:trPr>
        <w:tc>
          <w:tcPr>
            <w:tcW w:w="9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13 – 24:</w:t>
            </w:r>
          </w:p>
        </w:tc>
        <w:tc>
          <w:tcPr>
            <w:tcW w:w="9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$1.72845</w:t>
            </w:r>
          </w:p>
        </w:tc>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$22,786.16 Plus NNN</w:t>
            </w:r>
          </w:p>
        </w:tc>
      </w:tr>
      <w:tr>
        <w:trPr>
          <w:trHeight w:val="243"/>
        </w:trPr>
        <w:tc>
          <w:tcPr>
            <w:tcW w:w="9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25 – 36:</w:t>
            </w:r>
          </w:p>
        </w:tc>
        <w:tc>
          <w:tcPr>
            <w:tcW w:w="9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$1.78895</w:t>
            </w:r>
          </w:p>
        </w:tc>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$23,583.67 Plus NNN</w:t>
            </w:r>
          </w:p>
        </w:tc>
      </w:tr>
      <w:tr>
        <w:trPr>
          <w:trHeight w:val="243"/>
        </w:trPr>
        <w:tc>
          <w:tcPr>
            <w:tcW w:w="9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37 – 48:</w:t>
            </w:r>
          </w:p>
        </w:tc>
        <w:tc>
          <w:tcPr>
            <w:tcW w:w="9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$1.85156</w:t>
            </w:r>
          </w:p>
        </w:tc>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$24,409.10 Plus NNN</w:t>
            </w:r>
          </w:p>
        </w:tc>
      </w:tr>
      <w:tr>
        <w:trPr>
          <w:trHeight w:val="243"/>
        </w:trPr>
        <w:tc>
          <w:tcPr>
            <w:tcW w:w="9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49 – 60:</w:t>
            </w:r>
          </w:p>
        </w:tc>
        <w:tc>
          <w:tcPr>
            <w:tcW w:w="9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$1.91636</w:t>
            </w:r>
          </w:p>
        </w:tc>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$25,263.42 Plus NNN</w:t>
            </w:r>
          </w:p>
        </w:tc>
      </w:tr>
      <w:tr>
        <w:trPr>
          <w:trHeight w:val="243"/>
        </w:trPr>
        <w:tc>
          <w:tcPr>
            <w:tcW w:w="9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61 – 72:</w:t>
            </w:r>
          </w:p>
        </w:tc>
        <w:tc>
          <w:tcPr>
            <w:tcW w:w="9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$1.98344</w:t>
            </w:r>
          </w:p>
        </w:tc>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$26,147.64 Plus NNN</w:t>
            </w:r>
          </w:p>
        </w:tc>
      </w:tr>
      <w:tr>
        <w:trPr>
          <w:trHeight w:val="274"/>
        </w:trPr>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73 – 74:</w:t>
            </w:r>
          </w:p>
        </w:tc>
        <w:tc>
          <w:tcPr>
            <w:tcW w:w="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$2.05286</w:t>
            </w:r>
          </w:p>
        </w:tc>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$27,062.81 Plus NNN</w:t>
            </w:r>
          </w:p>
        </w:tc>
      </w:tr>
    </w:tbl>
    <w:p>
      <w:pPr>
        <w:ind w:left="580"/>
        <w:spacing w:after="0"/>
        <w:rPr>
          <w:sz w:val="20"/>
          <w:szCs w:val="20"/>
          <w:color w:val="auto"/>
        </w:rPr>
      </w:pPr>
      <w:r>
        <w:rPr>
          <w:rFonts w:ascii="Times New Roman" w:cs="Times New Roman" w:eastAsia="Times New Roman" w:hAnsi="Times New Roman"/>
          <w:sz w:val="16"/>
          <w:szCs w:val="16"/>
          <w:color w:val="auto"/>
        </w:rPr>
        <w:t>*Abated Base rent in months 2,11 and 12, NNN fees still due.</w:t>
      </w:r>
    </w:p>
    <w:p>
      <w:pPr>
        <w:spacing w:after="0" w:line="8" w:lineRule="exact"/>
        <w:rPr>
          <w:sz w:val="20"/>
          <w:szCs w:val="20"/>
          <w:color w:val="auto"/>
        </w:rPr>
      </w:pPr>
    </w:p>
    <w:p>
      <w:pPr>
        <w:ind w:left="580" w:right="3500"/>
        <w:spacing w:after="0" w:line="287" w:lineRule="auto"/>
        <w:rPr>
          <w:sz w:val="20"/>
          <w:szCs w:val="20"/>
          <w:color w:val="auto"/>
        </w:rPr>
      </w:pPr>
      <w:r>
        <w:rPr>
          <w:rFonts w:ascii="Times New Roman" w:cs="Times New Roman" w:eastAsia="Times New Roman" w:hAnsi="Times New Roman"/>
          <w:sz w:val="16"/>
          <w:szCs w:val="16"/>
          <w:color w:val="auto"/>
        </w:rPr>
        <w:t>In addition to the base rent, Tenant shall be responsible for the Triple Net expenses as per the existing Lease.</w:t>
      </w:r>
    </w:p>
    <w:p>
      <w:pPr>
        <w:spacing w:after="0" w:line="182" w:lineRule="exact"/>
        <w:rPr>
          <w:sz w:val="20"/>
          <w:szCs w:val="20"/>
          <w:color w:val="auto"/>
        </w:rPr>
      </w:pPr>
    </w:p>
    <w:p>
      <w:pPr>
        <w:jc w:val="both"/>
        <w:ind w:left="-360" w:firstLine="745"/>
        <w:spacing w:after="0" w:line="238" w:lineRule="auto"/>
        <w:tabs>
          <w:tab w:leader="none" w:pos="928"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Landlord Warranty. </w:t>
      </w:r>
      <w:r>
        <w:rPr>
          <w:rFonts w:ascii="Times New Roman" w:cs="Times New Roman" w:eastAsia="Times New Roman" w:hAnsi="Times New Roman"/>
          <w:sz w:val="22"/>
          <w:szCs w:val="22"/>
          <w:color w:val="auto"/>
        </w:rPr>
        <w:t>Landlord agrees to replace and install two (2) new office HVAC systems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(Landlord’s choice) and warrants that all HVAC systems shall all be in good working condition for one (1) year from the Commencement Date. Additionally, Landlord warrants that internal warehouse heaters shall be in good working condition for six (6) months from the Commencement Date (Internal heaters are not part of the CAM). Landlord shall pay for the cost of repair or replacement of any HVAC or heater component during the respective warranty periods.</w:t>
      </w:r>
    </w:p>
    <w:p>
      <w:pPr>
        <w:spacing w:after="0" w:line="201" w:lineRule="exact"/>
        <w:rPr>
          <w:rFonts w:ascii="Times New Roman" w:cs="Times New Roman" w:eastAsia="Times New Roman" w:hAnsi="Times New Roman"/>
          <w:sz w:val="22"/>
          <w:szCs w:val="22"/>
          <w:b w:val="1"/>
          <w:bCs w:val="1"/>
          <w:color w:val="auto"/>
        </w:rPr>
      </w:pPr>
    </w:p>
    <w:p>
      <w:pPr>
        <w:ind w:left="-360" w:firstLine="745"/>
        <w:spacing w:after="0" w:line="261" w:lineRule="auto"/>
        <w:tabs>
          <w:tab w:leader="none" w:pos="928"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Signage. </w:t>
      </w:r>
      <w:r>
        <w:rPr>
          <w:rFonts w:ascii="Times New Roman" w:cs="Times New Roman" w:eastAsia="Times New Roman" w:hAnsi="Times New Roman"/>
          <w:sz w:val="22"/>
          <w:szCs w:val="22"/>
          <w:color w:val="auto"/>
        </w:rPr>
        <w:t>Landlord shall pay the costs of refurbishment and installation of three (3) Tenant signs located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front of Suites 300, 400, and 500</w:t>
      </w:r>
    </w:p>
    <w:p>
      <w:pPr>
        <w:spacing w:after="0" w:line="177" w:lineRule="exact"/>
        <w:rPr>
          <w:rFonts w:ascii="Times New Roman" w:cs="Times New Roman" w:eastAsia="Times New Roman" w:hAnsi="Times New Roman"/>
          <w:sz w:val="22"/>
          <w:szCs w:val="22"/>
          <w:b w:val="1"/>
          <w:bCs w:val="1"/>
          <w:color w:val="auto"/>
        </w:rPr>
      </w:pPr>
    </w:p>
    <w:p>
      <w:pPr>
        <w:ind w:left="820" w:hanging="435"/>
        <w:spacing w:after="0"/>
        <w:tabs>
          <w:tab w:leader="none" w:pos="820"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Landlord Represented by. </w:t>
      </w:r>
      <w:r>
        <w:rPr>
          <w:rFonts w:ascii="Times New Roman" w:cs="Times New Roman" w:eastAsia="Times New Roman" w:hAnsi="Times New Roman"/>
          <w:sz w:val="22"/>
          <w:szCs w:val="22"/>
          <w:color w:val="auto"/>
        </w:rPr>
        <w:t>Open Doors Unlimited, Joel Newman</w:t>
      </w:r>
    </w:p>
    <w:p>
      <w:pPr>
        <w:spacing w:after="0" w:line="232" w:lineRule="exact"/>
        <w:rPr>
          <w:rFonts w:ascii="Times New Roman" w:cs="Times New Roman" w:eastAsia="Times New Roman" w:hAnsi="Times New Roman"/>
          <w:sz w:val="22"/>
          <w:szCs w:val="22"/>
          <w:b w:val="1"/>
          <w:bCs w:val="1"/>
          <w:color w:val="auto"/>
        </w:rPr>
      </w:pPr>
    </w:p>
    <w:p>
      <w:pPr>
        <w:jc w:val="both"/>
        <w:ind w:left="-360" w:firstLine="745"/>
        <w:spacing w:after="0" w:line="241" w:lineRule="auto"/>
        <w:tabs>
          <w:tab w:leader="none" w:pos="1302"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Option to Renew. </w:t>
      </w:r>
      <w:r>
        <w:rPr>
          <w:rFonts w:ascii="Times New Roman" w:cs="Times New Roman" w:eastAsia="Times New Roman" w:hAnsi="Times New Roman"/>
          <w:sz w:val="22"/>
          <w:szCs w:val="22"/>
          <w:color w:val="auto"/>
        </w:rPr>
        <w:t>Tenant shall receive two (2) five (5) year options to extend the lease at the end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initial term. Tenant shall provide no less than nine (9) months prior written notice and no more than twelve (12) months prior to the Lease Expiration date of its intention to extend the lease. The base rent amounts for the option periods shall be at 95% of FMV and </w:t>
      </w:r>
      <w:r>
        <w:rPr>
          <w:rFonts w:ascii="Times New Roman" w:cs="Times New Roman" w:eastAsia="Times New Roman" w:hAnsi="Times New Roman"/>
          <w:sz w:val="22"/>
          <w:szCs w:val="22"/>
          <w:b w:val="1"/>
          <w:bCs w:val="1"/>
          <w:i w:val="1"/>
          <w:iCs w:val="1"/>
          <w:color w:val="auto"/>
        </w:rPr>
        <w:t>not less than last month’s average</w:t>
      </w:r>
      <w:r>
        <w:rPr>
          <w:rFonts w:ascii="Times New Roman" w:cs="Times New Roman" w:eastAsia="Times New Roman" w:hAnsi="Times New Roman"/>
          <w:sz w:val="22"/>
          <w:szCs w:val="22"/>
          <w:color w:val="auto"/>
        </w:rPr>
        <w:t xml:space="preserve"> of all rents paid. This shall apply to the Entire Lease</w:t>
      </w:r>
    </w:p>
    <w:p>
      <w:pPr>
        <w:spacing w:after="0" w:line="209" w:lineRule="exact"/>
        <w:rPr>
          <w:rFonts w:ascii="Times New Roman" w:cs="Times New Roman" w:eastAsia="Times New Roman" w:hAnsi="Times New Roman"/>
          <w:sz w:val="22"/>
          <w:szCs w:val="22"/>
          <w:b w:val="1"/>
          <w:bCs w:val="1"/>
          <w:color w:val="auto"/>
        </w:rPr>
      </w:pPr>
    </w:p>
    <w:p>
      <w:pPr>
        <w:jc w:val="both"/>
        <w:ind w:left="-360" w:firstLine="745"/>
        <w:spacing w:after="0" w:line="248" w:lineRule="auto"/>
        <w:tabs>
          <w:tab w:leader="none" w:pos="802" w:val="left"/>
        </w:tabs>
        <w:numPr>
          <w:ilvl w:val="0"/>
          <w:numId w:val="1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 Any term used in this Seventh Amendment, which is defined in the Lease, shall have the same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meaning herein, unless the context indicates that another meaning is intended. The Lease is intended to be and is supplemented and amended by the provisions of this Seventh Amendment, and hereafter the Lease shall be considered and construed together. All of the terms, provisions, conditions, and covenants of the Lease, as modified by this Seventh Amendment, shall be and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“This section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1075055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6" w:right="339" w:bottom="1440" w:gutter="0" w:footer="0" w:header="0"/>
        </w:sectPr>
      </w:pPr>
    </w:p>
    <w:bookmarkStart w:id="195" w:name="page196"/>
    <w:bookmarkEnd w:id="195"/>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Seventh Amendment to be executed on or as of the day and year above written.</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282"/>
        </w:trPr>
        <w:tc>
          <w:tcPr>
            <w:tcW w:w="4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“Landlord”:</w:t>
            </w:r>
          </w:p>
        </w:tc>
        <w:tc>
          <w:tcPr>
            <w:tcW w:w="318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“Tenant”:</w:t>
            </w:r>
          </w:p>
        </w:tc>
      </w:tr>
      <w:tr>
        <w:trPr>
          <w:trHeight w:val="446"/>
        </w:trPr>
        <w:tc>
          <w:tcPr>
            <w:tcW w:w="4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ACCURIDE INTERNATIONAL INC.</w:t>
            </w:r>
          </w:p>
        </w:tc>
        <w:tc>
          <w:tcPr>
            <w:tcW w:w="318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RXSIGHT, Inc.</w:t>
            </w:r>
          </w:p>
        </w:tc>
      </w:tr>
      <w:tr>
        <w:trPr>
          <w:trHeight w:val="282"/>
        </w:trPr>
        <w:tc>
          <w:tcPr>
            <w:tcW w:w="4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 California Corporation</w:t>
            </w:r>
          </w:p>
        </w:tc>
        <w:tc>
          <w:tcPr>
            <w:tcW w:w="318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 Delaware Corporation</w:t>
            </w:r>
          </w:p>
        </w:tc>
      </w:tr>
      <w:tr>
        <w:trPr>
          <w:trHeight w:val="446"/>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 Jeff Dunlap</w:t>
            </w:r>
          </w:p>
        </w:tc>
        <w:tc>
          <w:tcPr>
            <w:tcW w:w="318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By:/s/ Ron Kurtz</w:t>
            </w:r>
          </w:p>
        </w:tc>
      </w:tr>
      <w:tr>
        <w:trPr>
          <w:trHeight w:val="282"/>
        </w:trPr>
        <w:tc>
          <w:tcPr>
            <w:tcW w:w="660" w:type="dxa"/>
            <w:vAlign w:val="bottom"/>
          </w:tcPr>
          <w:p>
            <w:pPr>
              <w:spacing w:after="0"/>
              <w:rPr>
                <w:sz w:val="24"/>
                <w:szCs w:val="24"/>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11/6/2024</w:t>
            </w:r>
          </w:p>
        </w:tc>
        <w:tc>
          <w:tcPr>
            <w:tcW w:w="318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11/6/2024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section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4773930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6" w:name="page197"/>
    <w:bookmarkEnd w:id="196"/>
    <w:p>
      <w:pPr>
        <w:ind w:left="3920"/>
        <w:spacing w:after="0"/>
        <w:rPr>
          <w:sz w:val="20"/>
          <w:szCs w:val="20"/>
          <w:color w:val="auto"/>
        </w:rPr>
      </w:pPr>
      <w:r>
        <w:rPr>
          <w:rFonts w:ascii="Arial" w:cs="Arial" w:eastAsia="Arial" w:hAnsi="Arial"/>
          <w:sz w:val="18"/>
          <w:szCs w:val="18"/>
          <w:b w:val="1"/>
          <w:bCs w:val="1"/>
          <w:u w:val="single" w:color="auto"/>
          <w:color w:val="auto"/>
        </w:rPr>
        <w:t>Attachment A</w:t>
      </w:r>
    </w:p>
    <w:p>
      <w:pPr>
        <w:spacing w:after="0" w:line="13"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“As Built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7399655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151765</wp:posOffset>
            </wp:positionV>
            <wp:extent cx="5342890" cy="30994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6">
                      <a:extLst>
                        <a:ext uri="{28A0092B-C50C-407E-A947-70E740481C1C}"/>
                      </a:extLst>
                    </a:blip>
                    <a:srcRect/>
                    <a:stretch>
                      <a:fillRect/>
                    </a:stretch>
                  </pic:blipFill>
                  <pic:spPr bwMode="auto">
                    <a:xfrm>
                      <a:off x="0" y="0"/>
                      <a:ext cx="5342890" cy="3099435"/>
                    </a:xfrm>
                    <a:prstGeom prst="rect">
                      <a:avLst/>
                    </a:prstGeom>
                    <a:noFill/>
                  </pic:spPr>
                </pic:pic>
              </a:graphicData>
            </a:graphic>
          </wp:anchor>
        </w:drawing>
      </w:r>
    </w:p>
    <w:p>
      <w:pPr>
        <w:sectPr>
          <w:pgSz w:w="11900" w:h="16838" w:orient="portrait"/>
          <w:cols w:equalWidth="0" w:num="1">
            <w:col w:w="9019"/>
          </w:cols>
          <w:pgMar w:left="1440" w:top="1011" w:right="1440"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u w:val="single" w:color="auto"/>
          <w:color w:val="auto"/>
        </w:rPr>
        <w:t>Attachment B</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“Proposed Configuration”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6234430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133350</wp:posOffset>
            </wp:positionV>
            <wp:extent cx="5342890" cy="382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8">
                      <a:extLst>
                        <a:ext uri="{28A0092B-C50C-407E-A947-70E740481C1C}"/>
                      </a:extLst>
                    </a:blip>
                    <a:srcRect/>
                    <a:stretch>
                      <a:fillRect/>
                    </a:stretch>
                  </pic:blipFill>
                  <pic:spPr bwMode="auto">
                    <a:xfrm>
                      <a:off x="0" y="0"/>
                      <a:ext cx="5342890" cy="3827145"/>
                    </a:xfrm>
                    <a:prstGeom prst="rect">
                      <a:avLst/>
                    </a:prstGeom>
                    <a:noFill/>
                  </pic:spPr>
                </pic:pic>
              </a:graphicData>
            </a:graphic>
          </wp:anchor>
        </w:drawing>
      </w:r>
    </w:p>
    <w:p>
      <w:pPr>
        <w:sectPr>
          <w:pgSz w:w="11900" w:h="16838" w:orient="portrait"/>
          <w:cols w:equalWidth="0" w:num="1">
            <w:col w:w="9019"/>
          </w:cols>
          <w:pgMar w:left="1440" w:top="1253" w:right="1440"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2"/>
          <w:szCs w:val="22"/>
          <w:b w:val="1"/>
          <w:bCs w:val="1"/>
          <w:color w:val="auto"/>
        </w:rPr>
        <w:t>Exhibit 10.33</w:t>
      </w:r>
    </w:p>
    <w:p>
      <w:pPr>
        <w:spacing w:after="0" w:line="200" w:lineRule="exact"/>
        <w:rPr>
          <w:sz w:val="20"/>
          <w:szCs w:val="20"/>
          <w:color w:val="auto"/>
        </w:rPr>
      </w:pPr>
    </w:p>
    <w:p>
      <w:pPr>
        <w:spacing w:after="0" w:line="2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RxSIGHT, INC.</w:t>
      </w:r>
    </w:p>
    <w:p>
      <w:pPr>
        <w:spacing w:after="0" w:line="20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0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Adopted and approved July 1, 2021</w:t>
      </w:r>
    </w:p>
    <w:p>
      <w:pPr>
        <w:spacing w:after="0" w:line="20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as amended December 19, 2024</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RxSight,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believes that providing cash and equity compensation to members of its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members of the Board, the “</w:t>
      </w:r>
      <w:r>
        <w:rPr>
          <w:rFonts w:ascii="Times New Roman" w:cs="Times New Roman" w:eastAsia="Times New Roman" w:hAnsi="Times New Roman"/>
          <w:sz w:val="22"/>
          <w:szCs w:val="22"/>
          <w:u w:val="single" w:color="auto"/>
          <w:color w:val="auto"/>
        </w:rPr>
        <w:t>Directors</w:t>
      </w:r>
      <w:r>
        <w:rPr>
          <w:rFonts w:ascii="Times New Roman" w:cs="Times New Roman" w:eastAsia="Times New Roman" w:hAnsi="Times New Roman"/>
          <w:sz w:val="22"/>
          <w:szCs w:val="22"/>
          <w:color w:val="auto"/>
        </w:rPr>
        <w:t>”) represents an effective tool to attract, retain and reward Directors who are not employees of the Company (the “</w:t>
      </w:r>
      <w:r>
        <w:rPr>
          <w:rFonts w:ascii="Times New Roman" w:cs="Times New Roman" w:eastAsia="Times New Roman" w:hAnsi="Times New Roman"/>
          <w:sz w:val="22"/>
          <w:szCs w:val="22"/>
          <w:u w:val="single" w:color="auto"/>
          <w:color w:val="auto"/>
        </w:rPr>
        <w:t>Outside Directors</w:t>
      </w:r>
      <w:r>
        <w:rPr>
          <w:rFonts w:ascii="Times New Roman" w:cs="Times New Roman" w:eastAsia="Times New Roman" w:hAnsi="Times New Roman"/>
          <w:sz w:val="22"/>
          <w:szCs w:val="22"/>
          <w:color w:val="auto"/>
        </w:rPr>
        <w:t>”). This Outside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is intended to formalize the Company’s policy regarding cash compensation and grants of equity awards to its Outside Directors. Unless otherwise defined herein, capitalized terms used in this Policy will have the meaning given such term in the Company’s 2021 Equity Incentive Plan, as amended from time to time (or if such plan no longer is in use at the time of the grant of an equity award, the meaning given such term or any similar term in the equity plan then in place under which such equity award is granted) (such applicable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Subject to Section 9 of this Policy, this Policy, as amended, will be effective as of December 19, 2024, except as otherwise provided below (such date,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1020" w:hanging="263"/>
        <w:spacing w:after="0"/>
        <w:tabs>
          <w:tab w:leader="none" w:pos="1020"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ash</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09" w:lineRule="exact"/>
        <w:rPr>
          <w:rFonts w:ascii="Times New Roman" w:cs="Times New Roman" w:eastAsia="Times New Roman" w:hAnsi="Times New Roman"/>
          <w:sz w:val="22"/>
          <w:szCs w:val="22"/>
          <w:b w:val="1"/>
          <w:bCs w:val="1"/>
          <w:color w:val="auto"/>
        </w:rPr>
      </w:pPr>
    </w:p>
    <w:p>
      <w:pPr>
        <w:jc w:val="both"/>
        <w:ind w:firstLine="1505"/>
        <w:spacing w:after="0" w:line="253" w:lineRule="exact"/>
        <w:tabs>
          <w:tab w:leader="none" w:pos="2037"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Cash Retainers for Service as Outside Director</w:t>
      </w:r>
      <w:r>
        <w:rPr>
          <w:rFonts w:ascii="Times New Roman" w:cs="Times New Roman" w:eastAsia="Times New Roman" w:hAnsi="Times New Roman"/>
          <w:sz w:val="22"/>
          <w:szCs w:val="22"/>
          <w:color w:val="auto"/>
        </w:rPr>
        <w:t>. Effective as of the Effective Date, each Outside Director will be paid a cash retainer of $50,000 per year. There are no per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meeting attendance fees for attending Board meetings or meetings of any committee of the Board. Notwithstanding the foregoing, if the Board or any one committee of the Board meets in excess of 8 times in a year (measured from annual meeting to annual meeting), such Outside Directors will be provided a fee of $1,500 for each additional meeting attended.</w:t>
      </w:r>
    </w:p>
    <w:p>
      <w:pPr>
        <w:spacing w:after="0" w:line="17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Cash Retainers for Service as Non-Executive Chair, Committee Chair and Committee</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Member</w:t>
      </w:r>
    </w:p>
    <w:p>
      <w:pPr>
        <w:spacing w:after="0" w:line="181" w:lineRule="exact"/>
        <w:rPr>
          <w:rFonts w:ascii="Times New Roman" w:cs="Times New Roman" w:eastAsia="Times New Roman" w:hAnsi="Times New Roman"/>
          <w:sz w:val="20"/>
          <w:szCs w:val="20"/>
          <w:color w:val="auto"/>
        </w:rPr>
      </w:pPr>
    </w:p>
    <w:p>
      <w:pPr>
        <w:ind w:firstLine="2254"/>
        <w:spacing w:after="0" w:line="258" w:lineRule="auto"/>
        <w:tabs>
          <w:tab w:leader="none" w:pos="2546"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Effective Date, each Outside Director who serves as the Non-Executive Chair, Lead Director, or chair or a member of a committee of the Board will be eligible to earn additional annual fees as follows: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70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22"/>
                <w:szCs w:val="22"/>
                <w:color w:val="auto"/>
              </w:rPr>
              <w:t>Non-Executive Chair:</w:t>
            </w:r>
          </w:p>
        </w:tc>
        <w:tc>
          <w:tcPr>
            <w:tcW w:w="3300" w:type="dxa"/>
            <w:vAlign w:val="bottom"/>
            <w:shd w:val="clear" w:color="auto" w:fill="D9D9D9"/>
          </w:tcPr>
          <w:p>
            <w:pPr>
              <w:jc w:val="right"/>
              <w:ind w:right="72"/>
              <w:spacing w:after="0"/>
              <w:rPr>
                <w:sz w:val="20"/>
                <w:szCs w:val="20"/>
                <w:color w:val="auto"/>
              </w:rPr>
            </w:pPr>
            <w:r>
              <w:rPr>
                <w:rFonts w:ascii="Times New Roman" w:cs="Times New Roman" w:eastAsia="Times New Roman" w:hAnsi="Times New Roman"/>
                <w:sz w:val="22"/>
                <w:szCs w:val="22"/>
                <w:color w:val="auto"/>
              </w:rPr>
              <w:t>$50,000</w:t>
            </w:r>
          </w:p>
        </w:tc>
        <w:tc>
          <w:tcPr>
            <w:tcW w:w="3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70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Lead Director:</w:t>
            </w:r>
          </w:p>
        </w:tc>
        <w:tc>
          <w:tcPr>
            <w:tcW w:w="33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$30,000</w:t>
            </w:r>
          </w:p>
        </w:tc>
        <w:tc>
          <w:tcPr>
            <w:tcW w:w="3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7020" w:type="dxa"/>
            <w:vAlign w:val="bottom"/>
            <w:shd w:val="clear" w:color="auto" w:fill="D9D9D9"/>
          </w:tcPr>
          <w:p>
            <w:pPr>
              <w:spacing w:after="0" w:line="243" w:lineRule="exact"/>
              <w:rPr>
                <w:sz w:val="20"/>
                <w:szCs w:val="20"/>
                <w:color w:val="auto"/>
              </w:rPr>
            </w:pPr>
            <w:r>
              <w:rPr>
                <w:rFonts w:ascii="Times New Roman" w:cs="Times New Roman" w:eastAsia="Times New Roman" w:hAnsi="Times New Roman"/>
                <w:sz w:val="22"/>
                <w:szCs w:val="22"/>
                <w:color w:val="auto"/>
              </w:rPr>
              <w:t>Audit Committee Chair:</w:t>
            </w:r>
          </w:p>
        </w:tc>
        <w:tc>
          <w:tcPr>
            <w:tcW w:w="3300" w:type="dxa"/>
            <w:vAlign w:val="bottom"/>
            <w:shd w:val="clear" w:color="auto" w:fill="D9D9D9"/>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3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7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Member of Audit Committee:</w:t>
            </w:r>
          </w:p>
        </w:tc>
        <w:tc>
          <w:tcPr>
            <w:tcW w:w="33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3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7020" w:type="dxa"/>
            <w:vAlign w:val="bottom"/>
            <w:shd w:val="clear" w:color="auto" w:fill="D9D9D9"/>
          </w:tcPr>
          <w:p>
            <w:pPr>
              <w:spacing w:after="0" w:line="243" w:lineRule="exact"/>
              <w:rPr>
                <w:sz w:val="20"/>
                <w:szCs w:val="20"/>
                <w:color w:val="auto"/>
              </w:rPr>
            </w:pPr>
            <w:r>
              <w:rPr>
                <w:rFonts w:ascii="Times New Roman" w:cs="Times New Roman" w:eastAsia="Times New Roman" w:hAnsi="Times New Roman"/>
                <w:sz w:val="22"/>
                <w:szCs w:val="22"/>
                <w:color w:val="auto"/>
              </w:rPr>
              <w:t>Compensation Committee Chair:</w:t>
            </w:r>
          </w:p>
        </w:tc>
        <w:tc>
          <w:tcPr>
            <w:tcW w:w="3300" w:type="dxa"/>
            <w:vAlign w:val="bottom"/>
            <w:shd w:val="clear" w:color="auto" w:fill="D9D9D9"/>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$7,500</w:t>
            </w:r>
          </w:p>
        </w:tc>
        <w:tc>
          <w:tcPr>
            <w:tcW w:w="3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7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Member of Compensation Committee:</w:t>
            </w:r>
          </w:p>
        </w:tc>
        <w:tc>
          <w:tcPr>
            <w:tcW w:w="33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$7,500</w:t>
            </w:r>
          </w:p>
        </w:tc>
        <w:tc>
          <w:tcPr>
            <w:tcW w:w="3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7020" w:type="dxa"/>
            <w:vAlign w:val="bottom"/>
            <w:shd w:val="clear" w:color="auto" w:fill="D9D9D9"/>
          </w:tcPr>
          <w:p>
            <w:pPr>
              <w:spacing w:after="0" w:line="243" w:lineRule="exact"/>
              <w:rPr>
                <w:sz w:val="20"/>
                <w:szCs w:val="20"/>
                <w:color w:val="auto"/>
              </w:rPr>
            </w:pPr>
            <w:r>
              <w:rPr>
                <w:rFonts w:ascii="Times New Roman" w:cs="Times New Roman" w:eastAsia="Times New Roman" w:hAnsi="Times New Roman"/>
                <w:sz w:val="22"/>
                <w:szCs w:val="22"/>
                <w:color w:val="auto"/>
              </w:rPr>
              <w:t>Nominating and Governance Committee Chair:</w:t>
            </w:r>
          </w:p>
        </w:tc>
        <w:tc>
          <w:tcPr>
            <w:tcW w:w="3300" w:type="dxa"/>
            <w:vAlign w:val="bottom"/>
            <w:shd w:val="clear" w:color="auto" w:fill="D9D9D9"/>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340" w:type="dxa"/>
            <w:vAlign w:val="bottom"/>
          </w:tcPr>
          <w:p>
            <w:pPr>
              <w:spacing w:after="0"/>
              <w:rPr>
                <w:sz w:val="21"/>
                <w:szCs w:val="21"/>
                <w:color w:val="auto"/>
              </w:rPr>
            </w:pPr>
          </w:p>
        </w:tc>
      </w:tr>
      <w:tr>
        <w:trPr>
          <w:trHeight w:val="282"/>
        </w:trPr>
        <w:tc>
          <w:tcPr>
            <w:tcW w:w="580" w:type="dxa"/>
            <w:vAlign w:val="bottom"/>
          </w:tcPr>
          <w:p>
            <w:pPr>
              <w:spacing w:after="0"/>
              <w:rPr>
                <w:sz w:val="24"/>
                <w:szCs w:val="24"/>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22"/>
                <w:szCs w:val="22"/>
                <w:color w:val="auto"/>
              </w:rPr>
              <w:t>Member of Nominating and Governance Committee:</w:t>
            </w:r>
          </w:p>
        </w:tc>
        <w:tc>
          <w:tcPr>
            <w:tcW w:w="3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$5,000</w:t>
            </w:r>
          </w:p>
        </w:tc>
        <w:tc>
          <w:tcPr>
            <w:tcW w:w="340" w:type="dxa"/>
            <w:vAlign w:val="bottom"/>
          </w:tcPr>
          <w:p>
            <w:pPr>
              <w:spacing w:after="0"/>
              <w:rPr>
                <w:sz w:val="24"/>
                <w:szCs w:val="24"/>
                <w:color w:val="auto"/>
              </w:rPr>
            </w:pPr>
          </w:p>
        </w:tc>
      </w:tr>
      <w:tr>
        <w:trPr>
          <w:trHeight w:val="938"/>
        </w:trPr>
        <w:tc>
          <w:tcPr>
            <w:tcW w:w="58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99" w:name="page200"/>
    <w:bookmarkEnd w:id="199"/>
    <w:p>
      <w:pPr>
        <w:jc w:val="both"/>
        <w:spacing w:after="0" w:line="239"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will receive both the additional annual fee as the chair of the committee and the additional annual fee as a member of such committee while serving as such chair. Additionally, an Outside Director who serves as the Non-Executive Chair or Lead Director will receive the annual fee as an Outside Director and the additional annual fee as the Non-Executive Chair or Lead Director, as applicable.</w:t>
      </w:r>
    </w:p>
    <w:p>
      <w:pPr>
        <w:spacing w:after="0" w:line="179" w:lineRule="exact"/>
        <w:rPr>
          <w:sz w:val="20"/>
          <w:szCs w:val="20"/>
          <w:color w:val="auto"/>
        </w:rPr>
      </w:pPr>
    </w:p>
    <w:p>
      <w:pPr>
        <w:jc w:val="both"/>
        <w:ind w:firstLine="1505"/>
        <w:spacing w:after="0" w:line="235" w:lineRule="auto"/>
        <w:tabs>
          <w:tab w:leader="none" w:pos="2037"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Each annual cash retainer under this Policy will be paid quarterly in arrears on a prorated basis to each Outside Director who has served in the relevant capacity at any point during the immediately preceding fiscal quarter of the Company (“</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and such payment will be made no later than 30 days following the end of such immediately preceding Fiscal Quarter. For purposes of clarity, an Outside Director who has served as an Outside Director, as a member of an applicable committee (or chair thereof) during only a portion of the relevant Fiscal Quarter will receive a prorated payment of the quarterly payment of the applicable annual cash retainer(s), calculated based on the number of days during such Fiscal Quarter such Outside Director has served in the relevant capacities.</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quity</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Outside Directors will be eligible to receive all types of Awards (except Incentive Stock Options) under the Plan,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179" w:lineRule="exact"/>
        <w:rPr>
          <w:sz w:val="20"/>
          <w:szCs w:val="20"/>
          <w:color w:val="auto"/>
        </w:rPr>
      </w:pPr>
    </w:p>
    <w:p>
      <w:pPr>
        <w:jc w:val="both"/>
        <w:ind w:firstLine="1505"/>
        <w:spacing w:after="0" w:line="244" w:lineRule="auto"/>
        <w:tabs>
          <w:tab w:leader="none" w:pos="2037"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any Awards under this Policy or to determine the number of Shares to be covered by such Awards, except as provided in Sections 2(d)(ii) and 9 below.</w:t>
      </w:r>
    </w:p>
    <w:p>
      <w:pPr>
        <w:spacing w:after="0" w:line="172" w:lineRule="exact"/>
        <w:rPr>
          <w:rFonts w:ascii="Times New Roman" w:cs="Times New Roman" w:eastAsia="Times New Roman" w:hAnsi="Times New Roman"/>
          <w:sz w:val="22"/>
          <w:szCs w:val="22"/>
          <w:color w:val="auto"/>
        </w:rPr>
      </w:pPr>
    </w:p>
    <w:p>
      <w:pPr>
        <w:jc w:val="both"/>
        <w:ind w:firstLine="1505"/>
        <w:spacing w:after="0" w:line="259" w:lineRule="auto"/>
        <w:tabs>
          <w:tab w:leader="none" w:pos="2037"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Each individual who first becomes an Outside Director on or following the Effective Date will be granted an award of Restricted Stock Units (an “</w:t>
      </w:r>
      <w:r>
        <w:rPr>
          <w:rFonts w:ascii="Times New Roman" w:cs="Times New Roman" w:eastAsia="Times New Roman" w:hAnsi="Times New Roman"/>
          <w:sz w:val="20"/>
          <w:szCs w:val="20"/>
          <w:u w:val="single" w:color="auto"/>
          <w:color w:val="auto"/>
        </w:rPr>
        <w:t>Initial Award</w:t>
      </w:r>
      <w:r>
        <w:rPr>
          <w:rFonts w:ascii="Times New Roman" w:cs="Times New Roman" w:eastAsia="Times New Roman" w:hAnsi="Times New Roman"/>
          <w:sz w:val="20"/>
          <w:szCs w:val="20"/>
          <w:color w:val="auto"/>
        </w:rPr>
        <w:t>”) covering a number of Shares having a Value (as defined below) of $ $277,500, with any resulting fraction rounded down to the nearest whole Share. The Initial Award will be granted automatically on the first Trading Day on or after the date on which such individual first becomes an Outside Director (the first date as an Outside Director, the “</w:t>
      </w:r>
      <w:r>
        <w:rPr>
          <w:rFonts w:ascii="Times New Roman" w:cs="Times New Roman" w:eastAsia="Times New Roman" w:hAnsi="Times New Roman"/>
          <w:sz w:val="20"/>
          <w:szCs w:val="20"/>
          <w:u w:val="single" w:color="auto"/>
          <w:color w:val="auto"/>
        </w:rPr>
        <w:t>Initial Start Date</w:t>
      </w:r>
      <w:r>
        <w:rPr>
          <w:rFonts w:ascii="Times New Roman" w:cs="Times New Roman" w:eastAsia="Times New Roman" w:hAnsi="Times New Roman"/>
          <w:sz w:val="20"/>
          <w:szCs w:val="20"/>
          <w:color w:val="auto"/>
        </w:rPr>
        <w:t>”), whether through election by the Company’s stockholders or appointment by the Board to fill a vacancy. If an individual was a member of the Board and also an employee, becoming an Outside Director due to termination of employment will not entitle the Outside Director to an Initial Award. Each Initial Award will be scheduled to vest as follows: 1/3</w:t>
      </w:r>
      <w:r>
        <w:rPr>
          <w:rFonts w:ascii="Times New Roman" w:cs="Times New Roman" w:eastAsia="Times New Roman" w:hAnsi="Times New Roman"/>
          <w:sz w:val="13"/>
          <w:szCs w:val="13"/>
          <w:color w:val="auto"/>
        </w:rPr>
        <w:t>rd</w:t>
      </w:r>
      <w:r>
        <w:rPr>
          <w:rFonts w:ascii="Times New Roman" w:cs="Times New Roman" w:eastAsia="Times New Roman" w:hAnsi="Times New Roman"/>
          <w:sz w:val="20"/>
          <w:szCs w:val="20"/>
          <w:color w:val="auto"/>
        </w:rPr>
        <w:t xml:space="preserve"> of the Restricted Stock Units subject to the Initial Award will be scheduled to vest on each annual anniversary of the Initial Start Date (or, if there is no corresponding day in the applicable month, then the last day of such month), in each case subject to the Outside Director continuing to be an Outside Director through the applicable vesting date.</w:t>
      </w:r>
    </w:p>
    <w:p>
      <w:pPr>
        <w:spacing w:after="0" w:line="161" w:lineRule="exact"/>
        <w:rPr>
          <w:rFonts w:ascii="Times New Roman" w:cs="Times New Roman" w:eastAsia="Times New Roman" w:hAnsi="Times New Roman"/>
          <w:sz w:val="20"/>
          <w:szCs w:val="20"/>
          <w:color w:val="auto"/>
        </w:rPr>
      </w:pPr>
    </w:p>
    <w:p>
      <w:pPr>
        <w:jc w:val="both"/>
        <w:ind w:firstLine="1505"/>
        <w:spacing w:after="0" w:line="233" w:lineRule="auto"/>
        <w:tabs>
          <w:tab w:leader="none" w:pos="2037"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the first Trading Day immediately following each Annual Meeting of the Company’s stockholders (an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that occurs after the Effective Date, each Outside Director automatically will be granted an award of Restricted Stock Units (an “</w:t>
      </w: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covering a number of Shares having a Value of $170,000; provided that the first Annual Award granted to an individual who first becomes an Outside Director on or following the Effective Date will have a Value equal to the product of (A) $170,000 multiplied by (B) a fraction, (i) the numerator of which is the number of fully completed months between the applicable Initial Start Date and the date of the first Annual Meeting to occur after such individual first becomes an Outside Director, and (ii) the denominator of which is 12; and provided further that any resulting fraction with respect to an Annual Award shall be rounded down to the nearest whole Restricted Stock Unit. Each Annual Award will be scheduled to vest in full on the earlier of (i) the one-year anniversary of the grant date or (ii) the date of the next Annual Meeting following the grant date, in each case subject to the Outside Director continuing to be an Outside Director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00" w:name="page201"/>
    <w:bookmarkEnd w:id="200"/>
    <w:p>
      <w:pPr>
        <w:ind w:right="20" w:firstLine="1505"/>
        <w:spacing w:after="0" w:line="258" w:lineRule="auto"/>
        <w:tabs>
          <w:tab w:leader="none" w:pos="2037"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Terms of Initial Awards and Annual Awards</w:t>
      </w:r>
      <w:r>
        <w:rPr>
          <w:rFonts w:ascii="Times New Roman" w:cs="Times New Roman" w:eastAsia="Times New Roman" w:hAnsi="Times New Roman"/>
          <w:sz w:val="22"/>
          <w:szCs w:val="22"/>
          <w:color w:val="auto"/>
        </w:rPr>
        <w:t>. The terms and conditions of each Initial Award and Annual Award will be as follows:</w:t>
      </w:r>
    </w:p>
    <w:p>
      <w:pPr>
        <w:spacing w:after="0" w:line="157"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Initial Award and Annual Award will be granted under and subject to the terms and conditions of the Plan and the applicable form of Award Agreement previously approved by the Board or its Compensation Committee, as applicable, for use thereunder.</w:t>
      </w:r>
    </w:p>
    <w:p>
      <w:pPr>
        <w:spacing w:after="0" w:line="172"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Policy, “</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the grant date fair value as determined in accordance with U.S. generally accepted accounting principles, or such other methodology the Board or any committee of the Board designed by the Board with appropriate authority (the “</w:t>
      </w:r>
      <w:r>
        <w:rPr>
          <w:rFonts w:ascii="Times New Roman" w:cs="Times New Roman" w:eastAsia="Times New Roman" w:hAnsi="Times New Roman"/>
          <w:sz w:val="22"/>
          <w:szCs w:val="22"/>
          <w:u w:val="single" w:color="auto"/>
          <w:color w:val="auto"/>
        </w:rPr>
        <w:t>Designated Committee</w:t>
      </w:r>
      <w:r>
        <w:rPr>
          <w:rFonts w:ascii="Times New Roman" w:cs="Times New Roman" w:eastAsia="Times New Roman" w:hAnsi="Times New Roman"/>
          <w:sz w:val="22"/>
          <w:szCs w:val="22"/>
          <w:color w:val="auto"/>
        </w:rPr>
        <w:t>”), as applicable, may determine prior to the grant of the applicable Award becoming effective.</w:t>
      </w:r>
    </w:p>
    <w:p>
      <w:pPr>
        <w:spacing w:after="0" w:line="17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Revisions</w:t>
      </w:r>
      <w:r>
        <w:rPr>
          <w:rFonts w:ascii="Times New Roman" w:cs="Times New Roman" w:eastAsia="Times New Roman" w:hAnsi="Times New Roman"/>
          <w:sz w:val="22"/>
          <w:szCs w:val="22"/>
          <w:color w:val="auto"/>
        </w:rPr>
        <w:t>. The Board or the Designated Committee, as applicable and in its discretion, may change and otherwise revise the terms of Initial Awards and Annual Awards granted under this Policy, including, without limitation, the number of Shares subject thereto and type of Award.</w:t>
      </w:r>
    </w:p>
    <w:p>
      <w:pPr>
        <w:spacing w:after="0" w:line="16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w:t>
      </w:r>
      <w:r>
        <w:rPr>
          <w:rFonts w:ascii="Times New Roman" w:cs="Times New Roman" w:eastAsia="Times New Roman" w:hAnsi="Times New Roman"/>
          <w:sz w:val="14"/>
          <w:szCs w:val="14"/>
          <w:b w:val="1"/>
          <w:bCs w:val="1"/>
          <w:u w:val="single" w:color="auto"/>
          <w:color w:val="auto"/>
        </w:rPr>
        <w:t>ther</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 and</w:t>
      </w:r>
      <w:r>
        <w:rPr>
          <w:rFonts w:ascii="Times New Roman" w:cs="Times New Roman" w:eastAsia="Times New Roman" w:hAnsi="Times New Roman"/>
          <w:sz w:val="22"/>
          <w:szCs w:val="22"/>
          <w:b w:val="1"/>
          <w:bCs w:val="1"/>
          <w:u w:val="single" w:color="auto"/>
          <w:color w:val="auto"/>
        </w:rPr>
        <w:t xml:space="preserve"> B</w:t>
      </w:r>
      <w:r>
        <w:rPr>
          <w:rFonts w:ascii="Times New Roman" w:cs="Times New Roman" w:eastAsia="Times New Roman" w:hAnsi="Times New Roman"/>
          <w:sz w:val="14"/>
          <w:szCs w:val="14"/>
          <w:b w:val="1"/>
          <w:bCs w:val="1"/>
          <w:u w:val="single" w:color="auto"/>
          <w:color w:val="auto"/>
        </w:rPr>
        <w:t>enefits</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Outside Directors also may be eligible to receive other compensation and benefits, as may be determined by the Board or its Designated Committee, as applicable, from time to time.</w:t>
      </w:r>
    </w:p>
    <w:p>
      <w:pPr>
        <w:spacing w:after="0" w:line="153" w:lineRule="exact"/>
        <w:rPr>
          <w:sz w:val="20"/>
          <w:szCs w:val="20"/>
          <w:color w:val="auto"/>
        </w:rPr>
      </w:pPr>
    </w:p>
    <w:p>
      <w:pPr>
        <w:ind w:left="1020" w:hanging="263"/>
        <w:spacing w:after="0"/>
        <w:tabs>
          <w:tab w:leader="none" w:pos="102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r>
        <w:rPr>
          <w:rFonts w:ascii="Times New Roman" w:cs="Times New Roman" w:eastAsia="Times New Roman" w:hAnsi="Times New Roman"/>
          <w:sz w:val="22"/>
          <w:szCs w:val="22"/>
          <w:b w:val="1"/>
          <w:bCs w:val="1"/>
          <w:u w:val="single" w:color="auto"/>
          <w:color w:val="auto"/>
        </w:rPr>
        <w:t>, D</w:t>
      </w:r>
      <w:r>
        <w:rPr>
          <w:rFonts w:ascii="Times New Roman" w:cs="Times New Roman" w:eastAsia="Times New Roman" w:hAnsi="Times New Roman"/>
          <w:sz w:val="14"/>
          <w:szCs w:val="14"/>
          <w:b w:val="1"/>
          <w:bCs w:val="1"/>
          <w:u w:val="single" w:color="auto"/>
          <w:color w:val="auto"/>
        </w:rPr>
        <w:t>eath or</w:t>
      </w:r>
      <w:r>
        <w:rPr>
          <w:rFonts w:ascii="Times New Roman" w:cs="Times New Roman" w:eastAsia="Times New Roman" w:hAnsi="Times New Roman"/>
          <w:sz w:val="22"/>
          <w:szCs w:val="22"/>
          <w:b w:val="1"/>
          <w:bCs w:val="1"/>
          <w:u w:val="single" w:color="auto"/>
          <w:color w:val="auto"/>
        </w:rPr>
        <w:t xml:space="preserve"> D</w:t>
      </w:r>
      <w:r>
        <w:rPr>
          <w:rFonts w:ascii="Times New Roman" w:cs="Times New Roman" w:eastAsia="Times New Roman" w:hAnsi="Times New Roman"/>
          <w:sz w:val="14"/>
          <w:szCs w:val="14"/>
          <w:b w:val="1"/>
          <w:bCs w:val="1"/>
          <w:u w:val="single" w:color="auto"/>
          <w:color w:val="auto"/>
        </w:rPr>
        <w:t>isability</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In the event of a Change in Control, each Outside Director will fully vest in his or her outstanding Company equity awards as of immediately prior to a Change in Control, including any Initial Awards and Annual Awards, provided that the Outside Director continues to be an Outside Director through the date of the Change in Control. Additionally, in the event of an Outside Director’s death or termination due to Disability, such Outside Director will fully vest in his or her outstanding Company equity awards as of immediately prior to the Outside Director’s death or termination due to Disability.</w:t>
      </w:r>
    </w:p>
    <w:p>
      <w:pPr>
        <w:spacing w:after="0" w:line="176" w:lineRule="exact"/>
        <w:rPr>
          <w:sz w:val="20"/>
          <w:szCs w:val="20"/>
          <w:color w:val="auto"/>
        </w:rPr>
      </w:pPr>
    </w:p>
    <w:p>
      <w:pPr>
        <w:ind w:left="1020" w:hanging="263"/>
        <w:spacing w:after="0"/>
        <w:tabs>
          <w:tab w:leader="none" w:pos="102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nnual</w:t>
      </w:r>
      <w:r>
        <w:rPr>
          <w:rFonts w:ascii="Times New Roman" w:cs="Times New Roman" w:eastAsia="Times New Roman" w:hAnsi="Times New Roman"/>
          <w:sz w:val="22"/>
          <w:szCs w:val="22"/>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r>
        <w:rPr>
          <w:rFonts w:ascii="Times New Roman" w:cs="Times New Roman" w:eastAsia="Times New Roman" w:hAnsi="Times New Roman"/>
          <w:sz w:val="22"/>
          <w:szCs w:val="22"/>
          <w:b w:val="1"/>
          <w:bCs w:val="1"/>
          <w:u w:val="single" w:color="auto"/>
          <w:color w:val="auto"/>
        </w:rPr>
        <w:t xml:space="preserve"> L</w:t>
      </w:r>
      <w:r>
        <w:rPr>
          <w:rFonts w:ascii="Times New Roman" w:cs="Times New Roman" w:eastAsia="Times New Roman" w:hAnsi="Times New Roman"/>
          <w:sz w:val="14"/>
          <w:szCs w:val="14"/>
          <w:b w:val="1"/>
          <w:bCs w:val="1"/>
          <w:u w:val="single" w:color="auto"/>
          <w:color w:val="auto"/>
        </w:rPr>
        <w:t>imit</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No Outside Director may be granted Awards with Values, and be provided cash retainers or fees, with amounts that, in any Fiscal Year, in the aggregate, exceed $500,000, provided that, in the Fiscal Year containing an Outside Director’s Initial Start Date, such limit will be increased to $1,000,000. Any Awards or other compensation provided to an individual for his or her services as an Employee, or for his or her services as a Consultant other than as an Outside Director, will be excluded for purposes of the foregoing limit.</w:t>
      </w:r>
    </w:p>
    <w:p>
      <w:pPr>
        <w:spacing w:after="0" w:line="176" w:lineRule="exact"/>
        <w:rPr>
          <w:sz w:val="20"/>
          <w:szCs w:val="20"/>
          <w:color w:val="auto"/>
        </w:rPr>
      </w:pPr>
    </w:p>
    <w:p>
      <w:pPr>
        <w:ind w:left="1020" w:hanging="263"/>
        <w:spacing w:after="0"/>
        <w:tabs>
          <w:tab w:leader="none" w:pos="1020"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ravel</w:t>
      </w:r>
      <w:r>
        <w:rPr>
          <w:rFonts w:ascii="Times New Roman" w:cs="Times New Roman" w:eastAsia="Times New Roman" w:hAnsi="Times New Roman"/>
          <w:sz w:val="22"/>
          <w:szCs w:val="22"/>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xpenses</w:t>
      </w:r>
    </w:p>
    <w:p>
      <w:pPr>
        <w:spacing w:after="0" w:line="20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Each Outside Director’s reasonable, customary, and properly documented, out-of-pocket travel expenses to meetings of the Board and any of its committees, as applicable, will be reimbursed by the Company.</w:t>
      </w:r>
    </w:p>
    <w:p>
      <w:pPr>
        <w:spacing w:after="0" w:line="153" w:lineRule="exact"/>
        <w:rPr>
          <w:sz w:val="20"/>
          <w:szCs w:val="20"/>
          <w:color w:val="auto"/>
        </w:rPr>
      </w:pPr>
    </w:p>
    <w:p>
      <w:pPr>
        <w:ind w:left="1020" w:hanging="263"/>
        <w:spacing w:after="0"/>
        <w:tabs>
          <w:tab w:leader="none" w:pos="1020" w:val="left"/>
        </w:tabs>
        <w:numPr>
          <w:ilvl w:val="0"/>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ode</w:t>
      </w:r>
      <w:r>
        <w:rPr>
          <w:rFonts w:ascii="Times New Roman" w:cs="Times New Roman" w:eastAsia="Times New Roman" w:hAnsi="Times New Roman"/>
          <w:sz w:val="22"/>
          <w:szCs w:val="22"/>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ection</w:t>
      </w:r>
      <w:r>
        <w:rPr>
          <w:rFonts w:ascii="Times New Roman" w:cs="Times New Roman" w:eastAsia="Times New Roman" w:hAnsi="Times New Roman"/>
          <w:sz w:val="22"/>
          <w:szCs w:val="22"/>
          <w:b w:val="1"/>
          <w:bCs w:val="1"/>
          <w:u w:val="single" w:color="auto"/>
          <w:color w:val="auto"/>
        </w:rPr>
        <w:t xml:space="preserve"> 409A</w:t>
      </w:r>
    </w:p>
    <w:p>
      <w:pPr>
        <w:spacing w:after="0" w:line="209" w:lineRule="exact"/>
        <w:rPr>
          <w:sz w:val="20"/>
          <w:szCs w:val="20"/>
          <w:color w:val="auto"/>
        </w:rPr>
      </w:pPr>
    </w:p>
    <w:p>
      <w:pPr>
        <w:jc w:val="both"/>
        <w:ind w:firstLine="749"/>
        <w:spacing w:after="0" w:line="220" w:lineRule="auto"/>
        <w:rPr>
          <w:sz w:val="20"/>
          <w:szCs w:val="20"/>
          <w:color w:val="auto"/>
        </w:rPr>
      </w:pPr>
      <w:r>
        <w:rPr>
          <w:rFonts w:ascii="Times New Roman" w:cs="Times New Roman" w:eastAsia="Times New Roman" w:hAnsi="Times New Roman"/>
          <w:sz w:val="22"/>
          <w:szCs w:val="22"/>
          <w:color w:val="auto"/>
        </w:rPr>
        <w:t>In no event will cash compensation or expense reimbursement payments under this Policy be paid after the later of (a)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month following the end of the Company’s taxable year in which the compensation is earned or expenses are incurred, as applicable, or (b)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month following the end of the calendar year in which the compensation is earned or expenses are incurred, as applicable, in compliance with the “short-term deferral” exception under Code Section 409A. It is the intent of this Policy that this Policy and all payments hereunder be exempt or excepted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01" w:name="page202"/>
    <w:bookmarkEnd w:id="201"/>
    <w:p>
      <w:pPr>
        <w:jc w:val="both"/>
        <w:spacing w:after="0" w:line="237" w:lineRule="auto"/>
        <w:rPr>
          <w:sz w:val="20"/>
          <w:szCs w:val="20"/>
          <w:color w:val="auto"/>
        </w:rPr>
      </w:pPr>
      <w:r>
        <w:rPr>
          <w:rFonts w:ascii="Times New Roman" w:cs="Times New Roman" w:eastAsia="Times New Roman" w:hAnsi="Times New Roman"/>
          <w:sz w:val="22"/>
          <w:szCs w:val="22"/>
          <w:color w:val="auto"/>
        </w:rPr>
        <w:t>from or otherwise comply with the requirements of Code Section 409A so that none of the compensation to be provided hereunder will be subject to the additional tax imposed under Code Section 409A, and any ambiguities or ambiguous terms herein will be interpreted to be so exempt or comply. In no event will the Company Group have any responsibility, liability or obligation to reimburse, indemnify, or hold harmless an Outside Director or any other person for any taxes imposed, or other costs incurred, as a result of Code Section 409A.</w:t>
      </w:r>
    </w:p>
    <w:p>
      <w:pPr>
        <w:spacing w:after="0" w:line="176" w:lineRule="exact"/>
        <w:rPr>
          <w:sz w:val="20"/>
          <w:szCs w:val="20"/>
          <w:color w:val="auto"/>
        </w:rPr>
      </w:pPr>
    </w:p>
    <w:p>
      <w:pPr>
        <w:ind w:left="1020" w:hanging="263"/>
        <w:spacing w:after="0"/>
        <w:tabs>
          <w:tab w:leader="none" w:pos="102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tockholder</w:t>
      </w:r>
      <w:r>
        <w:rPr>
          <w:rFonts w:ascii="Times New Roman" w:cs="Times New Roman" w:eastAsia="Times New Roman" w:hAnsi="Times New Roman"/>
          <w:sz w:val="22"/>
          <w:szCs w:val="22"/>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pproval</w:t>
      </w:r>
    </w:p>
    <w:p>
      <w:pPr>
        <w:spacing w:after="0" w:line="209"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Unless otherwise required by applicable law, , the Policy will not be subject to approval by the Company’s stockholders, including, for the avoidance of doubt, as a result of or in connection with an action taken with respect to this Policy as contemplated in Section 9.</w:t>
      </w:r>
    </w:p>
    <w:p>
      <w:pPr>
        <w:spacing w:after="0" w:line="168" w:lineRule="exact"/>
        <w:rPr>
          <w:sz w:val="20"/>
          <w:szCs w:val="20"/>
          <w:color w:val="auto"/>
        </w:rPr>
      </w:pPr>
    </w:p>
    <w:p>
      <w:pPr>
        <w:ind w:left="1020" w:hanging="263"/>
        <w:spacing w:after="0"/>
        <w:tabs>
          <w:tab w:leader="none" w:pos="1020" w:val="left"/>
        </w:tabs>
        <w:numPr>
          <w:ilvl w:val="0"/>
          <w:numId w:val="1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w:t>
      </w:r>
      <w:r>
        <w:rPr>
          <w:rFonts w:ascii="Times New Roman" w:cs="Times New Roman" w:eastAsia="Times New Roman" w:hAnsi="Times New Roman"/>
          <w:sz w:val="14"/>
          <w:szCs w:val="14"/>
          <w:b w:val="1"/>
          <w:bCs w:val="1"/>
          <w:u w:val="single" w:color="auto"/>
          <w:color w:val="auto"/>
        </w:rPr>
        <w:t>evisions</w:t>
      </w:r>
    </w:p>
    <w:p>
      <w:pPr>
        <w:spacing w:after="0" w:line="20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in writing between the Outside Director and the Company. Termination of this Policy will not affect the Board’s or the Designated Committee’s ability to exercise the powers granted to it with respect to Awards granted pursuant to this Policy prior to the date of such termination, including without limitation such applicable powers set forth in the Plan.</w:t>
      </w:r>
    </w:p>
    <w:p>
      <w:pPr>
        <w:spacing w:after="0" w:line="179"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1059815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RXSIGHT, INC.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(Adopted on July 1, 2021 and effective as of the Company’s initial public offering; amended as of March 2, 2023 and October 31, 2024)</w:t>
      </w:r>
    </w:p>
    <w:p>
      <w:pPr>
        <w:spacing w:after="0" w:line="211" w:lineRule="exact"/>
        <w:rPr>
          <w:sz w:val="20"/>
          <w:szCs w:val="20"/>
          <w:color w:val="auto"/>
        </w:rPr>
      </w:pPr>
    </w:p>
    <w:p>
      <w:pPr>
        <w:ind w:left="760" w:hanging="752"/>
        <w:spacing w:after="0"/>
        <w:tabs>
          <w:tab w:leader="none" w:pos="760"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OVERVIEW</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RxSight, Inc.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help you comply with the federal and state securities laws and regulations that govern trading in securities and to help the Company minimize its own legal and reputational risk. This Policy amends and restates any prior policy previously adopted by the Company regarding the subject matter hereof.</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For purposes of this Policy, the Company’s General Counsel serves as the Compliance Officer or, at any time when the Company does not have a General Counsel, the Company’ Chief Financial Officer shall serve as the Compliance Officer. The Compliance Officer may designate others, from time to time, to assist with the execution of his or her duties under this Policy.</w:t>
      </w:r>
    </w:p>
    <w:p>
      <w:pPr>
        <w:spacing w:after="0" w:line="172" w:lineRule="exact"/>
        <w:rPr>
          <w:sz w:val="20"/>
          <w:szCs w:val="20"/>
          <w:color w:val="auto"/>
        </w:rPr>
      </w:pPr>
    </w:p>
    <w:p>
      <w:pPr>
        <w:ind w:left="760" w:hanging="752"/>
        <w:spacing w:after="0"/>
        <w:tabs>
          <w:tab w:leader="none" w:pos="760"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218" w:lineRule="exact"/>
        <w:rPr>
          <w:rFonts w:ascii="Times New Roman" w:cs="Times New Roman" w:eastAsia="Times New Roman" w:hAnsi="Times New Roman"/>
          <w:sz w:val="20"/>
          <w:szCs w:val="20"/>
          <w:b w:val="1"/>
          <w:bCs w:val="1"/>
          <w:color w:val="auto"/>
        </w:rPr>
      </w:pPr>
    </w:p>
    <w:p>
      <w:pPr>
        <w:ind w:firstLine="757"/>
        <w:spacing w:after="0" w:line="268" w:lineRule="auto"/>
        <w:tabs>
          <w:tab w:leader="none" w:pos="1018" w:val="left"/>
        </w:tabs>
        <w:numPr>
          <w:ilvl w:val="1"/>
          <w:numId w:val="1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Trading on Material Nonpublic Information</w:t>
      </w:r>
      <w:r>
        <w:rPr>
          <w:rFonts w:ascii="Times New Roman" w:cs="Times New Roman" w:eastAsia="Times New Roman" w:hAnsi="Times New Roman"/>
          <w:sz w:val="20"/>
          <w:szCs w:val="20"/>
          <w:color w:val="auto"/>
        </w:rPr>
        <w:t>. It is illegal for anyone to trade in securities on the basis of material nonpublic information. If you are in possession of material nonpublic information about the Company, you are prohibited from:</w:t>
      </w:r>
    </w:p>
    <w:p>
      <w:pPr>
        <w:spacing w:after="0" w:line="160" w:lineRule="exact"/>
        <w:rPr>
          <w:rFonts w:ascii="Times New Roman" w:cs="Times New Roman" w:eastAsia="Times New Roman" w:hAnsi="Times New Roman"/>
          <w:sz w:val="20"/>
          <w:szCs w:val="20"/>
          <w:u w:val="single" w:color="auto"/>
          <w:color w:val="auto"/>
        </w:rPr>
      </w:pPr>
    </w:p>
    <w:p>
      <w:pPr>
        <w:ind w:left="1880" w:hanging="749"/>
        <w:spacing w:after="0"/>
        <w:tabs>
          <w:tab w:leader="none" w:pos="1880"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transact in securities of the Company;</w:t>
      </w:r>
    </w:p>
    <w:p>
      <w:pPr>
        <w:spacing w:after="0" w:line="214" w:lineRule="exact"/>
        <w:rPr>
          <w:rFonts w:ascii="Times New Roman" w:cs="Times New Roman" w:eastAsia="Times New Roman" w:hAnsi="Times New Roman"/>
          <w:sz w:val="20"/>
          <w:szCs w:val="20"/>
          <w:color w:val="auto"/>
        </w:rPr>
      </w:pPr>
    </w:p>
    <w:p>
      <w:pPr>
        <w:ind w:left="1880" w:right="20" w:hanging="749"/>
        <w:spacing w:after="0" w:line="268" w:lineRule="auto"/>
        <w:tabs>
          <w:tab w:leader="none" w:pos="1880"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other directors, officers, employees, consultants, contractors or advisors whose roles do not require them to have the information;</w:t>
      </w:r>
    </w:p>
    <w:p>
      <w:pPr>
        <w:spacing w:after="0" w:line="160" w:lineRule="exact"/>
        <w:rPr>
          <w:rFonts w:ascii="Times New Roman" w:cs="Times New Roman" w:eastAsia="Times New Roman" w:hAnsi="Times New Roman"/>
          <w:sz w:val="20"/>
          <w:szCs w:val="20"/>
          <w:color w:val="auto"/>
        </w:rPr>
      </w:pPr>
    </w:p>
    <w:p>
      <w:pPr>
        <w:ind w:left="1880" w:hanging="749"/>
        <w:spacing w:after="0" w:line="268" w:lineRule="auto"/>
        <w:tabs>
          <w:tab w:leader="none" w:pos="1880"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anyone outside of the Company, including family, friends, business associates, investors or consulting firms, without prior written authorization from the Compliance Officer; or</w:t>
      </w:r>
    </w:p>
    <w:p>
      <w:pPr>
        <w:spacing w:after="0" w:line="160"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express an opinion or make a recommendation about trading in the Company’s securities.</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In addition, if you learn of material nonpublic information through your service with the Company that could be expected to affect the trading price of the securities of another company, you cannot (x) use that information to trade, directly or indirectly through others, or (y) provide that information to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0"/>
          <w:szCs w:val="20"/>
          <w:color w:val="auto"/>
        </w:rPr>
        <w:t>person in order to trade, in the securities of that other company. Any such action will be deemed a violation of this Policy.</w:t>
      </w:r>
    </w:p>
    <w:p>
      <w:pPr>
        <w:spacing w:after="0" w:line="215" w:lineRule="exact"/>
        <w:rPr>
          <w:sz w:val="20"/>
          <w:szCs w:val="20"/>
          <w:color w:val="auto"/>
        </w:rPr>
      </w:pPr>
    </w:p>
    <w:p>
      <w:pPr>
        <w:jc w:val="both"/>
        <w:ind w:firstLine="757"/>
        <w:spacing w:after="0" w:line="246" w:lineRule="auto"/>
        <w:tabs>
          <w:tab w:leader="none" w:pos="1018" w:val="left"/>
        </w:tabs>
        <w:numPr>
          <w:ilvl w:val="0"/>
          <w:numId w:val="1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Disclosure of Confidential Information</w:t>
      </w:r>
      <w:r>
        <w:rPr>
          <w:rFonts w:ascii="Times New Roman" w:cs="Times New Roman" w:eastAsia="Times New Roman" w:hAnsi="Times New Roman"/>
          <w:sz w:val="20"/>
          <w:szCs w:val="20"/>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Chief Financial Officer, General Counsel (if one is serving), or Chief Investor Relations Officer (or such other person performing the duties of such functions). Responding to a request yourself may violate this Policy and, in some circumstances, the law. Please consult the Company’s External Communications Policy for more details.</w:t>
      </w:r>
    </w:p>
    <w:p>
      <w:pPr>
        <w:spacing w:after="0" w:line="179" w:lineRule="exact"/>
        <w:rPr>
          <w:sz w:val="20"/>
          <w:szCs w:val="20"/>
          <w:color w:val="auto"/>
        </w:rPr>
      </w:pPr>
    </w:p>
    <w:p>
      <w:pPr>
        <w:jc w:val="both"/>
        <w:ind w:firstLine="757"/>
        <w:spacing w:after="0" w:line="247" w:lineRule="auto"/>
        <w:tabs>
          <w:tab w:leader="none" w:pos="1018" w:val="left"/>
        </w:tabs>
        <w:numPr>
          <w:ilvl w:val="0"/>
          <w:numId w:val="1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Definition of Material Nonpublic Information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Material information</w:t>
      </w:r>
      <w:r>
        <w:rPr>
          <w:rFonts w:ascii="Times New Roman" w:cs="Times New Roman" w:eastAsia="Times New Roman" w:hAnsi="Times New Roman"/>
          <w:sz w:val="20"/>
          <w:szCs w:val="20"/>
          <w:color w:val="auto"/>
        </w:rPr>
        <w:t>” means information that a reasonable investor would be substantially likely to consider important in deciding whether to buy, hold or sell securities of the Company or view as significantly altering the total mix of information available in the marketplace about the Company as an issuer of the securities. In general, any information that could reasonably be expected to affect the market price of a security is likely to be material. Either positive or negative information may be material.</w:t>
      </w:r>
    </w:p>
    <w:p>
      <w:pPr>
        <w:spacing w:after="0" w:line="182"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could be regarded as material include, but are not limited to:</w:t>
      </w:r>
    </w:p>
    <w:p>
      <w:pPr>
        <w:spacing w:after="0" w:line="161" w:lineRule="exact"/>
        <w:rPr>
          <w:sz w:val="20"/>
          <w:szCs w:val="20"/>
          <w:color w:val="auto"/>
        </w:rPr>
      </w:pPr>
    </w:p>
    <w:p>
      <w:pPr>
        <w:ind w:left="1880" w:hanging="749"/>
        <w:spacing w:after="0" w:line="268" w:lineRule="auto"/>
        <w:tabs>
          <w:tab w:leader="none" w:pos="18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key metrics, financial condition, earnings pre-announcements, guidance, projections or forecasts, particularly if inconsistent with the Company’s guidance or the expectations of the investment community;</w:t>
      </w:r>
    </w:p>
    <w:p>
      <w:pPr>
        <w:spacing w:after="0" w:line="160"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214"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214"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214" w:lineRule="exact"/>
        <w:rPr>
          <w:rFonts w:ascii="Times New Roman" w:cs="Times New Roman" w:eastAsia="Times New Roman" w:hAnsi="Times New Roman"/>
          <w:sz w:val="20"/>
          <w:szCs w:val="20"/>
          <w:color w:val="auto"/>
        </w:rPr>
      </w:pPr>
    </w:p>
    <w:p>
      <w:pPr>
        <w:ind w:left="1880" w:hanging="749"/>
        <w:spacing w:after="0" w:line="268" w:lineRule="auto"/>
        <w:tabs>
          <w:tab w:leader="none" w:pos="18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160"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214" w:lineRule="exact"/>
        <w:rPr>
          <w:rFonts w:ascii="Times New Roman" w:cs="Times New Roman" w:eastAsia="Times New Roman" w:hAnsi="Times New Roman"/>
          <w:sz w:val="20"/>
          <w:szCs w:val="20"/>
          <w:color w:val="auto"/>
        </w:rPr>
      </w:pPr>
    </w:p>
    <w:p>
      <w:pPr>
        <w:ind w:left="1880" w:right="20" w:hanging="749"/>
        <w:spacing w:after="0" w:line="268" w:lineRule="auto"/>
        <w:tabs>
          <w:tab w:leader="none" w:pos="18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60" w:lineRule="exact"/>
        <w:rPr>
          <w:rFonts w:ascii="Times New Roman" w:cs="Times New Roman" w:eastAsia="Times New Roman" w:hAnsi="Times New Roman"/>
          <w:sz w:val="20"/>
          <w:szCs w:val="20"/>
          <w:color w:val="auto"/>
        </w:rPr>
      </w:pPr>
    </w:p>
    <w:p>
      <w:pPr>
        <w:jc w:val="both"/>
        <w:ind w:left="1880" w:hanging="749"/>
        <w:spacing w:after="0" w:line="267" w:lineRule="auto"/>
        <w:tabs>
          <w:tab w:leader="none" w:pos="18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information relating to the operation of a product or service, such as new products or services, major modifications or performance issues, defects or recalls, significant pricing changes or other announcements of a significant nature;</w:t>
      </w:r>
    </w:p>
    <w:p>
      <w:pPr>
        <w:spacing w:after="0" w:line="35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4" w:name="page205"/>
    <w:bookmarkEnd w:id="204"/>
    <w:p>
      <w:pPr>
        <w:ind w:left="1880" w:hanging="749"/>
        <w:spacing w:after="0" w:line="268" w:lineRule="auto"/>
        <w:tabs>
          <w:tab w:leader="none" w:pos="18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relating to the Company’s clinical studies, including, without limitation, status, results and communications with regulatory agencies, or relating to intellectual property;</w:t>
      </w:r>
    </w:p>
    <w:p>
      <w:pPr>
        <w:spacing w:after="0" w:line="160" w:lineRule="exact"/>
        <w:rPr>
          <w:rFonts w:ascii="Times New Roman" w:cs="Times New Roman" w:eastAsia="Times New Roman" w:hAnsi="Times New Roman"/>
          <w:sz w:val="20"/>
          <w:szCs w:val="20"/>
          <w:color w:val="auto"/>
        </w:rPr>
      </w:pPr>
    </w:p>
    <w:p>
      <w:pPr>
        <w:ind w:left="1880" w:hanging="749"/>
        <w:spacing w:after="0" w:line="268" w:lineRule="auto"/>
        <w:tabs>
          <w:tab w:leader="none" w:pos="18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positive or negative, actual or threatened, including litigation or resolving litigation;</w:t>
      </w:r>
    </w:p>
    <w:p>
      <w:pPr>
        <w:spacing w:after="0" w:line="160" w:lineRule="exact"/>
        <w:rPr>
          <w:rFonts w:ascii="Times New Roman" w:cs="Times New Roman" w:eastAsia="Times New Roman" w:hAnsi="Times New Roman"/>
          <w:sz w:val="20"/>
          <w:szCs w:val="20"/>
          <w:color w:val="auto"/>
        </w:rPr>
      </w:pPr>
    </w:p>
    <w:p>
      <w:pPr>
        <w:jc w:val="both"/>
        <w:ind w:left="1880" w:hanging="749"/>
        <w:spacing w:after="0" w:line="253" w:lineRule="auto"/>
        <w:tabs>
          <w:tab w:leader="none" w:pos="18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76" w:lineRule="exact"/>
        <w:rPr>
          <w:rFonts w:ascii="Times New Roman" w:cs="Times New Roman" w:eastAsia="Times New Roman" w:hAnsi="Times New Roman"/>
          <w:sz w:val="20"/>
          <w:szCs w:val="20"/>
          <w:color w:val="auto"/>
        </w:rPr>
      </w:pPr>
    </w:p>
    <w:p>
      <w:pPr>
        <w:ind w:left="1880" w:hanging="749"/>
        <w:spacing w:after="0" w:line="268" w:lineRule="auto"/>
        <w:tabs>
          <w:tab w:leader="none" w:pos="18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60"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or employee layoffs;</w:t>
      </w:r>
    </w:p>
    <w:p>
      <w:pPr>
        <w:spacing w:after="0" w:line="214"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breaches or other cybersecurity events;</w:t>
      </w:r>
    </w:p>
    <w:p>
      <w:pPr>
        <w:spacing w:after="0" w:line="214"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regarding any prior material disclosure that has materially changed; and</w:t>
      </w:r>
    </w:p>
    <w:p>
      <w:pPr>
        <w:spacing w:after="0" w:line="214"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blackout period.</w:t>
      </w:r>
    </w:p>
    <w:p>
      <w:pPr>
        <w:spacing w:after="0" w:line="21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7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such information is considered public.</w:t>
      </w:r>
    </w:p>
    <w:p>
      <w:pPr>
        <w:spacing w:after="0" w:line="176"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As a rule of thumb, if you think something might be material nonpublic information, it probably is. You can always reach out to the Compliance Officer if you have questions.</w:t>
      </w:r>
    </w:p>
    <w:p>
      <w:pPr>
        <w:spacing w:after="0" w:line="157" w:lineRule="exact"/>
        <w:rPr>
          <w:sz w:val="20"/>
          <w:szCs w:val="20"/>
          <w:color w:val="auto"/>
        </w:rPr>
      </w:pPr>
    </w:p>
    <w:p>
      <w:pPr>
        <w:ind w:left="760" w:hanging="752"/>
        <w:spacing w:after="0"/>
        <w:tabs>
          <w:tab w:leader="none" w:pos="760"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COVERED BY THIS POLICY</w:t>
      </w:r>
    </w:p>
    <w:p>
      <w:pPr>
        <w:spacing w:after="0" w:line="21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Policy shall not apply to any such entity that engages in the investment of securities in the ordinary course of its business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an investment fund or partnership) if such entity has established its own insider trading controls and procedures in compliance with applicable securities laws. You are responsible for making sure that these other individuals and entities comply with this Policy.</w:t>
      </w:r>
    </w:p>
    <w:p>
      <w:pPr>
        <w:spacing w:after="0" w:line="18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w:t>
      </w:r>
    </w:p>
    <w:p>
      <w:pPr>
        <w:spacing w:after="0" w:line="36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0"/>
          <w:szCs w:val="20"/>
          <w:color w:val="auto"/>
        </w:rPr>
        <w:t>Company, you must abide by the applicable trading restrictions until at least the end of the relevant blackout period.</w:t>
      </w:r>
    </w:p>
    <w:p>
      <w:pPr>
        <w:spacing w:after="0" w:line="211" w:lineRule="exact"/>
        <w:rPr>
          <w:sz w:val="20"/>
          <w:szCs w:val="20"/>
          <w:color w:val="auto"/>
        </w:rPr>
      </w:pPr>
    </w:p>
    <w:p>
      <w:pPr>
        <w:ind w:left="760" w:hanging="752"/>
        <w:spacing w:after="0"/>
        <w:tabs>
          <w:tab w:leader="none" w:pos="760"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COVERED BY THIS POLICY</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this Policy applies to all transactions involving the Company’s securities or other companies’ securities for which you possess material nonpublic information obtained in connection with your service with the Company. This Policy therefore applies to:</w:t>
      </w:r>
    </w:p>
    <w:p>
      <w:pPr>
        <w:spacing w:after="0" w:line="174" w:lineRule="exact"/>
        <w:rPr>
          <w:sz w:val="20"/>
          <w:szCs w:val="20"/>
          <w:color w:val="auto"/>
        </w:rPr>
      </w:pPr>
    </w:p>
    <w:p>
      <w:pPr>
        <w:jc w:val="both"/>
        <w:ind w:firstLine="757"/>
        <w:spacing w:after="0" w:line="249" w:lineRule="auto"/>
        <w:tabs>
          <w:tab w:leader="none" w:pos="1018" w:val="left"/>
        </w:tabs>
        <w:numPr>
          <w:ilvl w:val="0"/>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spacing w:after="0" w:line="178"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disposition in the form of a gift of any securities of the Company;</w:t>
      </w:r>
    </w:p>
    <w:p>
      <w:pPr>
        <w:spacing w:after="0" w:line="214"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distribution to holders of interests in an entity if the entity is subject to this Policy; and</w:t>
      </w:r>
    </w:p>
    <w:p>
      <w:pPr>
        <w:spacing w:after="0" w:line="214" w:lineRule="exact"/>
        <w:rPr>
          <w:rFonts w:ascii="Times New Roman" w:cs="Times New Roman" w:eastAsia="Times New Roman" w:hAnsi="Times New Roman"/>
          <w:sz w:val="20"/>
          <w:szCs w:val="20"/>
          <w:u w:val="single" w:color="auto"/>
          <w:color w:val="auto"/>
        </w:rPr>
      </w:pPr>
    </w:p>
    <w:p>
      <w:pPr>
        <w:jc w:val="both"/>
        <w:ind w:firstLine="757"/>
        <w:spacing w:after="0" w:line="243" w:lineRule="exact"/>
        <w:tabs>
          <w:tab w:leader="none" w:pos="1018" w:val="left"/>
        </w:tabs>
        <w:numPr>
          <w:ilvl w:val="0"/>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other arrangement that generates gains or losses from or based on changes in the prices of such securities including derivative securities (for example, exchange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traded put or call options, swaps, caps and collars), hedging and pledging transactions, short sales and certain arrangements regarding participation in benefit plans, and any offer to engage in the foregoing transactions.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 are no exceptions from insider trading laws or this Policy based on the size of the transaction or the type of consideration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received.</w:t>
      </w:r>
    </w:p>
    <w:p>
      <w:pPr>
        <w:spacing w:after="0" w:line="189" w:lineRule="exact"/>
        <w:rPr>
          <w:sz w:val="20"/>
          <w:szCs w:val="20"/>
          <w:color w:val="auto"/>
        </w:rPr>
      </w:pPr>
    </w:p>
    <w:p>
      <w:pPr>
        <w:ind w:left="760" w:hanging="752"/>
        <w:spacing w:after="0"/>
        <w:tabs>
          <w:tab w:leader="none" w:pos="760" w:val="left"/>
        </w:tabs>
        <w:numPr>
          <w:ilvl w:val="0"/>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RESTRICTIONS</w:t>
      </w:r>
    </w:p>
    <w:p>
      <w:pPr>
        <w:spacing w:after="0" w:line="218"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the exceptions set forth below, this Policy restricts trading during certain periods and by certain people as follows:</w:t>
      </w:r>
    </w:p>
    <w:p>
      <w:pPr>
        <w:spacing w:after="0" w:line="210"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18" w:val="left"/>
        </w:tabs>
        <w:numPr>
          <w:ilvl w:val="1"/>
          <w:numId w:val="19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Quarterly Blackout Periods</w:t>
      </w:r>
      <w:r>
        <w:rPr>
          <w:rFonts w:ascii="Times New Roman" w:cs="Times New Roman" w:eastAsia="Times New Roman" w:hAnsi="Times New Roman"/>
          <w:sz w:val="20"/>
          <w:szCs w:val="20"/>
          <w:color w:val="auto"/>
        </w:rPr>
        <w:t>. 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all directors, officers and employees of the Company must refrain from conducting transactions involving the Company’s securities during quarterly blackout periods. Individuals subject to quarterly blackout periods will be informed by the Compliance Officer that they are listed on the covered persons list maintained by the Compliance Officer (the “</w:t>
      </w:r>
      <w:r>
        <w:rPr>
          <w:rFonts w:ascii="Times New Roman" w:cs="Times New Roman" w:eastAsia="Times New Roman" w:hAnsi="Times New Roman"/>
          <w:sz w:val="20"/>
          <w:szCs w:val="20"/>
          <w:b w:val="1"/>
          <w:bCs w:val="1"/>
          <w:color w:val="auto"/>
        </w:rPr>
        <w:t>Covered Persons List</w:t>
      </w:r>
      <w:r>
        <w:rPr>
          <w:rFonts w:ascii="Times New Roman" w:cs="Times New Roman" w:eastAsia="Times New Roman" w:hAnsi="Times New Roman"/>
          <w:sz w:val="20"/>
          <w:szCs w:val="20"/>
          <w:color w:val="auto"/>
        </w:rPr>
        <w:t>”).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83"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Quarterly blackout periods will start at the end of the 15th day of the third month of each fiscal quarter and will end at the start of the second full trading day following the Company’s earnings release.</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w:t>
      </w:r>
    </w:p>
    <w:p>
      <w:pPr>
        <w:spacing w:after="0" w:line="36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6" w:name="page207"/>
    <w:bookmarkEnd w:id="206"/>
    <w:p>
      <w:pPr>
        <w:jc w:val="both"/>
        <w:spacing w:after="0" w:line="253" w:lineRule="auto"/>
        <w:rPr>
          <w:sz w:val="20"/>
          <w:szCs w:val="20"/>
          <w:color w:val="auto"/>
        </w:rPr>
      </w:pPr>
      <w:r>
        <w:rPr>
          <w:rFonts w:ascii="Times New Roman" w:cs="Times New Roman" w:eastAsia="Times New Roman" w:hAnsi="Times New Roman"/>
          <w:sz w:val="20"/>
          <w:szCs w:val="20"/>
          <w:color w:val="auto"/>
        </w:rPr>
        <w:t>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quarterly blackout periods, and the Compliance Officer may update and revise the Covered Persons List as appropriate.</w:t>
      </w:r>
    </w:p>
    <w:p>
      <w:pPr>
        <w:spacing w:after="0" w:line="161" w:lineRule="exact"/>
        <w:rPr>
          <w:sz w:val="20"/>
          <w:szCs w:val="20"/>
          <w:color w:val="auto"/>
        </w:rPr>
      </w:pPr>
    </w:p>
    <w:p>
      <w:pPr>
        <w:jc w:val="both"/>
        <w:ind w:firstLine="757"/>
        <w:spacing w:after="0" w:line="243" w:lineRule="auto"/>
        <w:tabs>
          <w:tab w:leader="none" w:pos="1018" w:val="left"/>
        </w:tabs>
        <w:numPr>
          <w:ilvl w:val="1"/>
          <w:numId w:val="19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Special Blackout Periods</w:t>
      </w:r>
      <w:r>
        <w:rPr>
          <w:rFonts w:ascii="Times New Roman" w:cs="Times New Roman" w:eastAsia="Times New Roman" w:hAnsi="Times New Roman"/>
          <w:sz w:val="20"/>
          <w:szCs w:val="20"/>
          <w:color w:val="auto"/>
        </w:rPr>
        <w:t xml:space="preserve">. The Company always retains the right to impose additional or longer trading blackout periods at any time on any or all of its directors, officers, employees, consultants, contractors and advisors. The Compliance Officer will notify you if you are subject to a special blackout period by providing to you a notice in writing or via email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86" w:lineRule="exact"/>
        <w:rPr>
          <w:rFonts w:ascii="Times New Roman" w:cs="Times New Roman" w:eastAsia="Times New Roman" w:hAnsi="Times New Roman"/>
          <w:sz w:val="20"/>
          <w:szCs w:val="20"/>
          <w:u w:val="single" w:color="auto"/>
          <w:color w:val="auto"/>
        </w:rPr>
      </w:pPr>
    </w:p>
    <w:p>
      <w:pPr>
        <w:jc w:val="both"/>
        <w:ind w:firstLine="757"/>
        <w:spacing w:after="0" w:line="258" w:lineRule="auto"/>
        <w:tabs>
          <w:tab w:leader="none" w:pos="1018" w:val="left"/>
        </w:tabs>
        <w:numPr>
          <w:ilvl w:val="1"/>
          <w:numId w:val="19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Regulation BTR Blackouts</w:t>
      </w:r>
      <w:r>
        <w:rPr>
          <w:rFonts w:ascii="Times New Roman" w:cs="Times New Roman" w:eastAsia="Times New Roman" w:hAnsi="Times New Roman"/>
          <w:sz w:val="19"/>
          <w:szCs w:val="19"/>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the Company’s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66" w:lineRule="exact"/>
        <w:rPr>
          <w:rFonts w:ascii="Times New Roman" w:cs="Times New Roman" w:eastAsia="Times New Roman" w:hAnsi="Times New Roman"/>
          <w:sz w:val="19"/>
          <w:szCs w:val="19"/>
          <w:u w:val="single" w:color="auto"/>
          <w:color w:val="auto"/>
        </w:rPr>
      </w:pPr>
    </w:p>
    <w:p>
      <w:pPr>
        <w:ind w:left="760" w:hanging="752"/>
        <w:spacing w:after="0"/>
        <w:tabs>
          <w:tab w:leader="none" w:pos="760" w:val="left"/>
        </w:tabs>
        <w:numPr>
          <w:ilvl w:val="0"/>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TRANSACTIONS</w:t>
      </w:r>
    </w:p>
    <w:p>
      <w:pPr>
        <w:spacing w:after="0" w:line="219"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You may not engage in any of the following types of transactions other than as noted below, regardless of whether you have material nonpublic information or not.</w:t>
      </w:r>
    </w:p>
    <w:p>
      <w:pPr>
        <w:spacing w:after="0" w:line="161" w:lineRule="exact"/>
        <w:rPr>
          <w:sz w:val="20"/>
          <w:szCs w:val="20"/>
          <w:color w:val="auto"/>
        </w:rPr>
      </w:pPr>
    </w:p>
    <w:p>
      <w:pPr>
        <w:ind w:firstLine="757"/>
        <w:spacing w:after="0" w:line="268" w:lineRule="auto"/>
        <w:tabs>
          <w:tab w:leader="none" w:pos="1018" w:val="left"/>
        </w:tabs>
        <w:numPr>
          <w:ilvl w:val="0"/>
          <w:numId w:val="1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60" w:lineRule="exact"/>
        <w:rPr>
          <w:rFonts w:ascii="Times New Roman" w:cs="Times New Roman" w:eastAsia="Times New Roman" w:hAnsi="Times New Roman"/>
          <w:sz w:val="20"/>
          <w:szCs w:val="20"/>
          <w:u w:val="single" w:color="auto"/>
          <w:color w:val="auto"/>
        </w:rPr>
      </w:pPr>
    </w:p>
    <w:p>
      <w:pPr>
        <w:jc w:val="both"/>
        <w:ind w:firstLine="757"/>
        <w:spacing w:after="0" w:line="249" w:lineRule="auto"/>
        <w:tabs>
          <w:tab w:leader="none" w:pos="1018" w:val="left"/>
        </w:tabs>
        <w:numPr>
          <w:ilvl w:val="0"/>
          <w:numId w:val="1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Derivative Securities and Hedging Transactions</w:t>
      </w:r>
      <w:r>
        <w:rPr>
          <w:rFonts w:ascii="Times New Roman" w:cs="Times New Roman" w:eastAsia="Times New Roman" w:hAnsi="Times New Roman"/>
          <w:sz w:val="20"/>
          <w:szCs w:val="20"/>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w:t>
      </w:r>
    </w:p>
    <w:p>
      <w:pPr>
        <w:spacing w:after="0" w:line="36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7" w:name="page208"/>
    <w:bookmarkEnd w:id="207"/>
    <w:p>
      <w:pPr>
        <w:spacing w:after="0" w:line="268" w:lineRule="auto"/>
        <w:rPr>
          <w:sz w:val="20"/>
          <w:szCs w:val="20"/>
          <w:color w:val="auto"/>
        </w:rPr>
      </w:pPr>
      <w:r>
        <w:rPr>
          <w:rFonts w:ascii="Times New Roman" w:cs="Times New Roman" w:eastAsia="Times New Roman" w:hAnsi="Times New Roman"/>
          <w:sz w:val="20"/>
          <w:szCs w:val="20"/>
          <w:color w:val="auto"/>
        </w:rPr>
        <w:t>designed to hedge or offset, any decrease in the market value of Company equity securities either (i) granted to you by the Company as part of your compensation or (ii) held, directly or indirectly, by you.</w:t>
      </w:r>
    </w:p>
    <w:p>
      <w:pPr>
        <w:spacing w:after="0" w:line="161" w:lineRule="exact"/>
        <w:rPr>
          <w:sz w:val="20"/>
          <w:szCs w:val="20"/>
          <w:color w:val="auto"/>
        </w:rPr>
      </w:pPr>
    </w:p>
    <w:p>
      <w:pPr>
        <w:ind w:left="1020" w:hanging="263"/>
        <w:spacing w:after="0"/>
        <w:tabs>
          <w:tab w:leader="none" w:pos="1020" w:val="left"/>
        </w:tabs>
        <w:numPr>
          <w:ilvl w:val="1"/>
          <w:numId w:val="1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Pledging Transactions</w:t>
      </w:r>
      <w:r>
        <w:rPr>
          <w:rFonts w:ascii="Times New Roman" w:cs="Times New Roman" w:eastAsia="Times New Roman" w:hAnsi="Times New Roman"/>
          <w:sz w:val="20"/>
          <w:szCs w:val="20"/>
          <w:color w:val="auto"/>
        </w:rPr>
        <w:t>. You may not pledge the Company’s securities as collateral for any loan or as part of any other pledging</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transaction.</w:t>
      </w:r>
    </w:p>
    <w:p>
      <w:pPr>
        <w:spacing w:after="0" w:line="192"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1"/>
          <w:numId w:val="1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Margin Accounts</w:t>
      </w:r>
      <w:r>
        <w:rPr>
          <w:rFonts w:ascii="Times New Roman" w:cs="Times New Roman" w:eastAsia="Times New Roman" w:hAnsi="Times New Roman"/>
          <w:sz w:val="20"/>
          <w:szCs w:val="20"/>
          <w:color w:val="auto"/>
        </w:rPr>
        <w:t>. You may not hold the Company’s common stock in margin accounts.</w:t>
      </w:r>
    </w:p>
    <w:p>
      <w:pPr>
        <w:spacing w:after="0" w:line="210" w:lineRule="exact"/>
        <w:rPr>
          <w:rFonts w:ascii="Times New Roman" w:cs="Times New Roman" w:eastAsia="Times New Roman" w:hAnsi="Times New Roman"/>
          <w:sz w:val="20"/>
          <w:szCs w:val="20"/>
          <w:u w:val="single" w:color="auto"/>
          <w:color w:val="auto"/>
        </w:rPr>
      </w:pPr>
    </w:p>
    <w:p>
      <w:pPr>
        <w:ind w:left="760" w:hanging="752"/>
        <w:spacing w:after="0"/>
        <w:tabs>
          <w:tab w:leader="none" w:pos="760" w:val="left"/>
        </w:tabs>
        <w:numPr>
          <w:ilvl w:val="0"/>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OF TRADES</w:t>
      </w:r>
    </w:p>
    <w:p>
      <w:pPr>
        <w:spacing w:after="0" w:line="218"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Company’s directors and officers and any other persons identified on the Covered Persons List of this Policy as being subject to</w:t>
      </w:r>
    </w:p>
    <w:p>
      <w:pPr>
        <w:spacing w:after="0" w:line="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pre-clearance requirements must obtain pre-clearance prior to trading the Company’s securities. If you are subject to pre-clearance requirements, you should submit a pre-clearance request in the 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the Compliance Officer at least two business days prior to your desired trade date.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spacing w:after="0" w:line="190"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If the Compliance Officer is the requester, then the Company’s Chief Executive Officer must pre-clear or deny any trade. All trades must be executed within two business days of any pre-clearance.</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Even after preclearance, a person may not trade the Company’s securities if they become subject to a blackout period or aware of material nonpublic information prior to the trade being executed.</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the pre-clearance requirements set forth above, and the Compliance Officer may update and revise the Covered Persons List as appropriate.</w:t>
      </w:r>
    </w:p>
    <w:p>
      <w:pPr>
        <w:spacing w:after="0" w:line="157" w:lineRule="exact"/>
        <w:rPr>
          <w:sz w:val="20"/>
          <w:szCs w:val="20"/>
          <w:color w:val="auto"/>
        </w:rPr>
      </w:pPr>
    </w:p>
    <w:p>
      <w:pPr>
        <w:ind w:left="760" w:hanging="752"/>
        <w:spacing w:after="0"/>
        <w:tabs>
          <w:tab w:leader="none" w:pos="760" w:val="left"/>
        </w:tabs>
        <w:numPr>
          <w:ilvl w:val="0"/>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 TO TRADING RESTRICTIONS</w:t>
      </w:r>
    </w:p>
    <w:p>
      <w:pPr>
        <w:spacing w:after="0" w:line="21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Other than the limited exceptions set forth below, any other exceptions to this Policy must be approved by the Compliance Officer, in consultation with the Company’s board of directors or an independent committee of the board of directors.</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The following are certain limited exceptions to the quarterly and special blackout period restrictions and pre-clearance requirements imposed by the Company under this Policy:</w:t>
      </w:r>
    </w:p>
    <w:p>
      <w:pPr>
        <w:spacing w:after="0" w:line="161" w:lineRule="exact"/>
        <w:rPr>
          <w:sz w:val="20"/>
          <w:szCs w:val="20"/>
          <w:color w:val="auto"/>
        </w:rPr>
      </w:pPr>
    </w:p>
    <w:p>
      <w:pPr>
        <w:ind w:left="1020" w:hanging="263"/>
        <w:spacing w:after="0"/>
        <w:tabs>
          <w:tab w:leader="none" w:pos="1020" w:val="left"/>
        </w:tabs>
        <w:numPr>
          <w:ilvl w:val="0"/>
          <w:numId w:val="2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stock option exercises where the purchase price of such stock options is paid in cash and there is no other associated market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activity;</w:t>
      </w:r>
    </w:p>
    <w:p>
      <w:pPr>
        <w:spacing w:after="0" w:line="193" w:lineRule="exact"/>
        <w:rPr>
          <w:sz w:val="20"/>
          <w:szCs w:val="20"/>
          <w:color w:val="auto"/>
        </w:rPr>
      </w:pPr>
    </w:p>
    <w:p>
      <w:pPr>
        <w:ind w:left="1020" w:hanging="263"/>
        <w:spacing w:after="0"/>
        <w:tabs>
          <w:tab w:leader="none" w:pos="1020" w:val="left"/>
        </w:tabs>
        <w:numPr>
          <w:ilvl w:val="0"/>
          <w:numId w:val="2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purchases pursuant to the employee stock purchase plan; however, this exception does not apply to subsequent sales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w:t>
      </w:r>
    </w:p>
    <w:p>
      <w:pPr>
        <w:spacing w:after="0" w:line="38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8" w:name="page209"/>
    <w:bookmarkEnd w:id="208"/>
    <w:p>
      <w:pPr>
        <w:ind w:left="1020" w:hanging="263"/>
        <w:spacing w:after="0"/>
        <w:tabs>
          <w:tab w:leader="none" w:pos="1020" w:val="left"/>
        </w:tabs>
        <w:numPr>
          <w:ilvl w:val="0"/>
          <w:numId w:val="2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receipt and vesting of stock options, restricted stock units, restricted stock or other equity compensation awards from the</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Company;</w:t>
      </w:r>
    </w:p>
    <w:p>
      <w:pPr>
        <w:spacing w:after="0" w:line="192" w:lineRule="exact"/>
        <w:rPr>
          <w:rFonts w:ascii="Times New Roman" w:cs="Times New Roman" w:eastAsia="Times New Roman" w:hAnsi="Times New Roman"/>
          <w:sz w:val="20"/>
          <w:szCs w:val="20"/>
          <w:u w:val="single" w:color="auto"/>
          <w:color w:val="auto"/>
        </w:rPr>
      </w:pPr>
    </w:p>
    <w:p>
      <w:pPr>
        <w:jc w:val="both"/>
        <w:ind w:firstLine="757"/>
        <w:spacing w:after="0" w:line="249" w:lineRule="auto"/>
        <w:tabs>
          <w:tab w:leader="none" w:pos="1018" w:val="left"/>
        </w:tabs>
        <w:numPr>
          <w:ilvl w:val="0"/>
          <w:numId w:val="2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net share withholding with respect to equity awards where shares are withheld by the Company in order to satisfy tax withholding requirements, (x) as required by either the Company’s board of directors (or a committee thereof) or the award agreement governing such equity award or (y) as you elect, if permitted by the Company, so long as the election is irrevocable and made in writing at a time when a trading blackout is not in place and you are not in possession of material nonpublic information;</w:t>
      </w:r>
    </w:p>
    <w:p>
      <w:pPr>
        <w:spacing w:after="0" w:line="178" w:lineRule="exact"/>
        <w:rPr>
          <w:rFonts w:ascii="Times New Roman" w:cs="Times New Roman" w:eastAsia="Times New Roman" w:hAnsi="Times New Roman"/>
          <w:sz w:val="20"/>
          <w:szCs w:val="20"/>
          <w:u w:val="single" w:color="auto"/>
          <w:color w:val="auto"/>
        </w:rPr>
      </w:pPr>
    </w:p>
    <w:p>
      <w:pPr>
        <w:jc w:val="both"/>
        <w:ind w:firstLine="757"/>
        <w:spacing w:after="0" w:line="246" w:lineRule="auto"/>
        <w:tabs>
          <w:tab w:leader="none" w:pos="1018" w:val="left"/>
        </w:tabs>
        <w:numPr>
          <w:ilvl w:val="0"/>
          <w:numId w:val="2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sell to cover transactions where shares sold on your behalf upon vesting of equity awards and sold in order to satisfy tax withholding requirements, (x) as required by either the Company’s board of directors (or a committee thereof) or the award agreement governing such equity award or (y) as you elect, if permitted by the Company, so long as the election is irrevocable an made in writing when a trading blackout is not in place and you are not in possession of material non-public information; however, this exception does not apply to any other market sale for the purposes of paying required withholding;</w:t>
      </w:r>
    </w:p>
    <w:p>
      <w:pPr>
        <w:spacing w:after="0" w:line="151" w:lineRule="exact"/>
        <w:rPr>
          <w:rFonts w:ascii="Times New Roman" w:cs="Times New Roman" w:eastAsia="Times New Roman" w:hAnsi="Times New Roman"/>
          <w:sz w:val="20"/>
          <w:szCs w:val="20"/>
          <w:u w:val="single" w:color="auto"/>
          <w:color w:val="auto"/>
        </w:rPr>
      </w:pPr>
    </w:p>
    <w:p>
      <w:pPr>
        <w:ind w:left="1020" w:hanging="263"/>
        <w:spacing w:after="0" w:line="230" w:lineRule="exact"/>
        <w:tabs>
          <w:tab w:leader="none" w:pos="1020" w:val="left"/>
        </w:tabs>
        <w:numPr>
          <w:ilvl w:val="0"/>
          <w:numId w:val="2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transactions made pursuant to a valid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trading plan approved by the Company (see Section I (</w:t>
      </w:r>
      <w:r>
        <w:rPr>
          <w:rFonts w:ascii="Times New Roman" w:cs="Times New Roman" w:eastAsia="Times New Roman" w:hAnsi="Times New Roman"/>
          <w:sz w:val="20"/>
          <w:szCs w:val="20"/>
          <w:i w:val="1"/>
          <w:iCs w:val="1"/>
          <w:color w:val="auto"/>
        </w:rPr>
        <w:t>10b-5-1 Trading Plans</w:t>
      </w:r>
      <w:r>
        <w:rPr>
          <w:rFonts w:ascii="Times New Roman" w:cs="Times New Roman" w:eastAsia="Times New Roman" w:hAnsi="Times New Roman"/>
          <w:sz w:val="20"/>
          <w:szCs w:val="20"/>
          <w:color w:val="auto"/>
        </w:rPr>
        <w:t>)</w:t>
      </w:r>
    </w:p>
    <w:p>
      <w:pPr>
        <w:spacing w:after="0" w:line="66"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below);</w:t>
      </w:r>
    </w:p>
    <w:p>
      <w:pPr>
        <w:spacing w:after="0" w:line="192" w:lineRule="exact"/>
        <w:rPr>
          <w:rFonts w:ascii="Times New Roman" w:cs="Times New Roman" w:eastAsia="Times New Roman" w:hAnsi="Times New Roman"/>
          <w:sz w:val="20"/>
          <w:szCs w:val="20"/>
          <w:u w:val="single" w:color="auto"/>
          <w:color w:val="auto"/>
        </w:rPr>
      </w:pPr>
    </w:p>
    <w:p>
      <w:pPr>
        <w:jc w:val="both"/>
        <w:ind w:firstLine="757"/>
        <w:spacing w:after="0" w:line="253" w:lineRule="auto"/>
        <w:tabs>
          <w:tab w:leader="none" w:pos="1018" w:val="left"/>
        </w:tabs>
        <w:numPr>
          <w:ilvl w:val="0"/>
          <w:numId w:val="2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 and</w:t>
      </w:r>
    </w:p>
    <w:p>
      <w:pPr>
        <w:spacing w:after="0" w:line="176" w:lineRule="exact"/>
        <w:rPr>
          <w:rFonts w:ascii="Times New Roman" w:cs="Times New Roman" w:eastAsia="Times New Roman" w:hAnsi="Times New Roman"/>
          <w:sz w:val="20"/>
          <w:szCs w:val="20"/>
          <w:u w:val="single" w:color="auto"/>
          <w:color w:val="auto"/>
        </w:rPr>
      </w:pPr>
    </w:p>
    <w:p>
      <w:pPr>
        <w:ind w:right="20" w:firstLine="757"/>
        <w:spacing w:after="0" w:line="268" w:lineRule="auto"/>
        <w:tabs>
          <w:tab w:leader="none" w:pos="1018" w:val="left"/>
        </w:tabs>
        <w:numPr>
          <w:ilvl w:val="0"/>
          <w:numId w:val="2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changes in the number of the Company’s securities you hold due to a stock split or a stock dividend that applies equally to all securities of a class, or similar transactions.</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If there is a Regulation BTR blackout (and no quarterly or special blackout period) , then the limited exceptions set forth in Regulation BTR will apply. Please be aware that even if a transaction is subject to an exception to this Policy, you will need to separately assess whether the transaction complies with applicable law.</w:t>
      </w:r>
    </w:p>
    <w:p>
      <w:pPr>
        <w:spacing w:after="0" w:line="172" w:lineRule="exact"/>
        <w:rPr>
          <w:sz w:val="20"/>
          <w:szCs w:val="20"/>
          <w:color w:val="auto"/>
        </w:rPr>
      </w:pPr>
    </w:p>
    <w:p>
      <w:pPr>
        <w:ind w:left="760" w:hanging="752"/>
        <w:spacing w:after="0"/>
        <w:tabs>
          <w:tab w:leader="none" w:pos="760"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10B5-1 TRADING PLANS</w:t>
      </w:r>
    </w:p>
    <w:p>
      <w:pPr>
        <w:spacing w:after="0" w:line="187" w:lineRule="exact"/>
        <w:rPr>
          <w:sz w:val="20"/>
          <w:szCs w:val="20"/>
          <w:color w:val="auto"/>
        </w:rPr>
      </w:pPr>
    </w:p>
    <w:p>
      <w:pPr>
        <w:jc w:val="both"/>
        <w:ind w:firstLine="749"/>
        <w:spacing w:after="0" w:line="243" w:lineRule="exact"/>
        <w:rPr>
          <w:sz w:val="20"/>
          <w:szCs w:val="20"/>
          <w:color w:val="auto"/>
        </w:rPr>
      </w:pPr>
      <w:r>
        <w:rPr>
          <w:rFonts w:ascii="Times New Roman" w:cs="Times New Roman" w:eastAsia="Times New Roman" w:hAnsi="Times New Roman"/>
          <w:sz w:val="20"/>
          <w:szCs w:val="20"/>
          <w:color w:val="auto"/>
        </w:rPr>
        <w:t>The Company permits its directors, officers and employees to adopt written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1 trading plan adopted by a director, officer or employee must be submitted to the Compliance Officer for approval and comply with the requirements set forth in the Requirements for Trading Plans attached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If the Compliance</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Officer is the requester, then the Company’s Chief Executive Officer, Chief Financial Officer, or their delegate, must approve the written 10b5-1 trading plan.</w:t>
      </w:r>
    </w:p>
    <w:p>
      <w:pPr>
        <w:spacing w:after="0" w:line="179" w:lineRule="exact"/>
        <w:rPr>
          <w:sz w:val="20"/>
          <w:szCs w:val="20"/>
          <w:color w:val="auto"/>
        </w:rPr>
      </w:pPr>
    </w:p>
    <w:p>
      <w:pPr>
        <w:ind w:left="760" w:hanging="752"/>
        <w:spacing w:after="0"/>
        <w:tabs>
          <w:tab w:leader="none" w:pos="760"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16 COMPLIANCE</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36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9" w:name="page210"/>
    <w:bookmarkEnd w:id="209"/>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about his or her transactions involving the Company’s securities.</w:t>
      </w:r>
    </w:p>
    <w:p>
      <w:pPr>
        <w:spacing w:after="0" w:line="176"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The Company is available to assist in filing Section 16 reports, but the obligation to comply with Section 16 is personal. If you have any questions, you should check with the Compliance Officer.</w:t>
      </w:r>
    </w:p>
    <w:p>
      <w:pPr>
        <w:spacing w:after="0" w:line="157" w:lineRule="exact"/>
        <w:rPr>
          <w:sz w:val="20"/>
          <w:szCs w:val="20"/>
          <w:color w:val="auto"/>
        </w:rPr>
      </w:pPr>
    </w:p>
    <w:p>
      <w:pPr>
        <w:ind w:left="760" w:hanging="752"/>
        <w:spacing w:after="0"/>
        <w:tabs>
          <w:tab w:leader="none" w:pos="760"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VIOLATIONS OF THIS POLICY</w:t>
      </w:r>
    </w:p>
    <w:p>
      <w:pPr>
        <w:spacing w:after="0" w:line="21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In such instances, the Company cannot extend the term of your options and has no obligation or liability to replace the economic value or lost benefit to you. It is your responsibility to manage your economic interests and to consider potential trading restrictions when determining whether to exercise your options.</w:t>
      </w:r>
    </w:p>
    <w:p>
      <w:pPr>
        <w:spacing w:after="0" w:line="185" w:lineRule="exact"/>
        <w:rPr>
          <w:sz w:val="20"/>
          <w:szCs w:val="20"/>
          <w:color w:val="auto"/>
        </w:rPr>
      </w:pPr>
    </w:p>
    <w:p>
      <w:pPr>
        <w:ind w:left="760" w:hanging="752"/>
        <w:spacing w:after="0"/>
        <w:tabs>
          <w:tab w:leader="none" w:pos="760"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PROTECTED ACTIVITY NOT PROHIBITED</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172" w:lineRule="exact"/>
        <w:rPr>
          <w:sz w:val="20"/>
          <w:szCs w:val="20"/>
          <w:color w:val="auto"/>
        </w:rPr>
      </w:pPr>
    </w:p>
    <w:p>
      <w:pPr>
        <w:ind w:left="760" w:hanging="752"/>
        <w:spacing w:after="0"/>
        <w:tabs>
          <w:tab w:leader="none" w:pos="760" w:val="left"/>
        </w:tabs>
        <w:numPr>
          <w:ilvl w:val="0"/>
          <w:numId w:val="2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spacing w:after="0" w:line="36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0" w:name="page211"/>
    <w:bookmarkEnd w:id="210"/>
    <w:p>
      <w:pPr>
        <w:ind w:left="760" w:hanging="752"/>
        <w:spacing w:after="0"/>
        <w:tabs>
          <w:tab w:leader="none" w:pos="760"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36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1" w:name="page212"/>
    <w:bookmarkEnd w:id="21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160655</wp:posOffset>
            </wp:positionV>
            <wp:extent cx="5342890" cy="66617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3">
                      <a:extLst>
                        <a:ext uri="{28A0092B-C50C-407E-A947-70E740481C1C}"/>
                      </a:extLst>
                    </a:blip>
                    <a:srcRect/>
                    <a:stretch>
                      <a:fillRect/>
                    </a:stretch>
                  </pic:blipFill>
                  <pic:spPr bwMode="auto">
                    <a:xfrm>
                      <a:off x="0" y="0"/>
                      <a:ext cx="5342890" cy="666178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325755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type w:val="continuous"/>
        </w:sectPr>
      </w:pPr>
    </w:p>
    <w:bookmarkStart w:id="212" w:name="page213"/>
    <w:bookmarkEnd w:id="212"/>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SPECIAL BLACKOUT NOTICE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Date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CONFIDENTIAL COMMUNICATION</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RxSight,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imposed a special blackout period in accordance with the terms of the Company’s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Pursuant to the Policy, and subject to the exceptions stated in the Policy, you may not engage in any transaction involving the securities of the Company until you receive official notice that the special blackout period is no longer in effect.</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You may not disclose to others the fact that a special blackout period has been imposed. In addition, you should take care to handle any confidential information in your possession in accordance with the Company’s policies.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have any questions at all, please contact me at [</w:t>
      </w:r>
      <w:r>
        <w:rPr>
          <w:rFonts w:ascii="Times New Roman" w:cs="Times New Roman" w:eastAsia="Times New Roman" w:hAnsi="Times New Roman"/>
          <w:sz w:val="20"/>
          <w:szCs w:val="20"/>
          <w:i w:val="1"/>
          <w:iCs w:val="1"/>
          <w:color w:val="auto"/>
        </w:rPr>
        <w:t>insert contact information</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Compliance Officer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REQUIREMENTS FOR TRADING PLANS</w:t>
      </w:r>
    </w:p>
    <w:p>
      <w:pPr>
        <w:spacing w:after="0" w:line="215" w:lineRule="exact"/>
        <w:rPr>
          <w:sz w:val="20"/>
          <w:szCs w:val="20"/>
          <w:color w:val="auto"/>
        </w:rPr>
      </w:pPr>
    </w:p>
    <w:p>
      <w:pPr>
        <w:jc w:val="both"/>
        <w:ind w:firstLine="749"/>
        <w:spacing w:after="0" w:line="238" w:lineRule="exact"/>
        <w:rPr>
          <w:sz w:val="20"/>
          <w:szCs w:val="20"/>
          <w:color w:val="auto"/>
        </w:rPr>
      </w:pPr>
      <w:r>
        <w:rPr>
          <w:rFonts w:ascii="Times New Roman" w:cs="Times New Roman" w:eastAsia="Times New Roman" w:hAnsi="Times New Roman"/>
          <w:sz w:val="20"/>
          <w:szCs w:val="20"/>
          <w:color w:val="auto"/>
        </w:rPr>
        <w:t>For transactions under a trading plan to be exempt from (A) the prohibitions in the Company’s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RxSight, Inc.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must meet the following requirements (collectively, the “</w:t>
      </w:r>
      <w:r>
        <w:rPr>
          <w:rFonts w:ascii="Times New Roman" w:cs="Times New Roman" w:eastAsia="Times New Roman" w:hAnsi="Times New Roman"/>
          <w:sz w:val="20"/>
          <w:szCs w:val="20"/>
          <w:b w:val="1"/>
          <w:bCs w:val="1"/>
          <w:color w:val="auto"/>
        </w:rPr>
        <w:t>Trading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Plan Requirements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1020" w:hanging="263"/>
        <w:spacing w:after="0"/>
        <w:tabs>
          <w:tab w:leader="none" w:pos="10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21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214"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and</w:t>
      </w:r>
    </w:p>
    <w:p>
      <w:pPr>
        <w:spacing w:after="0" w:line="214" w:lineRule="exact"/>
        <w:rPr>
          <w:rFonts w:ascii="Times New Roman" w:cs="Times New Roman" w:eastAsia="Times New Roman" w:hAnsi="Times New Roman"/>
          <w:sz w:val="20"/>
          <w:szCs w:val="20"/>
          <w:color w:val="auto"/>
        </w:rPr>
      </w:pPr>
    </w:p>
    <w:p>
      <w:pPr>
        <w:ind w:left="1880" w:hanging="749"/>
        <w:spacing w:after="0"/>
        <w:tabs>
          <w:tab w:leader="none" w:pos="1880"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plan.</w:t>
      </w:r>
    </w:p>
    <w:p>
      <w:pPr>
        <w:spacing w:after="0" w:line="183" w:lineRule="exact"/>
        <w:rPr>
          <w:rFonts w:ascii="Times New Roman" w:cs="Times New Roman" w:eastAsia="Times New Roman" w:hAnsi="Times New Roman"/>
          <w:sz w:val="20"/>
          <w:szCs w:val="20"/>
          <w:color w:val="auto"/>
        </w:rPr>
      </w:pPr>
    </w:p>
    <w:p>
      <w:pPr>
        <w:ind w:firstLine="757"/>
        <w:spacing w:after="0" w:line="266" w:lineRule="exact"/>
        <w:tabs>
          <w:tab w:leader="none" w:pos="1018"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 good faith and not as part of a plan or scheme to evade the prohibitions of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the person adopting the trading plan must act in good faith with respect to the trading plan.</w:t>
      </w:r>
    </w:p>
    <w:p>
      <w:pPr>
        <w:spacing w:after="0" w:line="18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include representations that, on the date of adoption of the trading plan, the person adopting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2" w:lineRule="exact"/>
        <w:rPr>
          <w:rFonts w:ascii="Times New Roman" w:cs="Times New Roman" w:eastAsia="Times New Roman" w:hAnsi="Times New Roman"/>
          <w:sz w:val="20"/>
          <w:szCs w:val="20"/>
          <w:color w:val="auto"/>
        </w:rPr>
      </w:pPr>
    </w:p>
    <w:p>
      <w:pPr>
        <w:ind w:left="1880" w:hanging="660"/>
        <w:spacing w:after="0"/>
        <w:tabs>
          <w:tab w:leader="none" w:pos="1880" w:val="left"/>
        </w:tabs>
        <w:numPr>
          <w:ilvl w:val="2"/>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aware of material nonpublic information about the securities or the Company; and</w:t>
      </w:r>
    </w:p>
    <w:p>
      <w:pPr>
        <w:spacing w:after="0" w:line="214" w:lineRule="exact"/>
        <w:rPr>
          <w:rFonts w:ascii="Times New Roman" w:cs="Times New Roman" w:eastAsia="Times New Roman" w:hAnsi="Times New Roman"/>
          <w:sz w:val="20"/>
          <w:szCs w:val="20"/>
          <w:color w:val="auto"/>
        </w:rPr>
      </w:pPr>
    </w:p>
    <w:p>
      <w:pPr>
        <w:ind w:left="1880" w:hanging="660"/>
        <w:spacing w:after="0"/>
        <w:tabs>
          <w:tab w:leader="none" w:pos="1880" w:val="left"/>
        </w:tabs>
        <w:numPr>
          <w:ilvl w:val="2"/>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adopting the trading plan in good faith and not as part of a plan or scheme to evade the prohibitions of Rule 10b5-1.</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71" w:lineRule="exact"/>
        <w:rPr>
          <w:rFonts w:ascii="Times New Roman" w:cs="Times New Roman" w:eastAsia="Times New Roman" w:hAnsi="Times New Roman"/>
          <w:sz w:val="19"/>
          <w:szCs w:val="19"/>
          <w:color w:val="auto"/>
        </w:rPr>
      </w:pPr>
    </w:p>
    <w:p>
      <w:pPr>
        <w:jc w:val="both"/>
        <w:ind w:firstLine="757"/>
        <w:spacing w:after="0" w:line="253" w:lineRule="auto"/>
        <w:tabs>
          <w:tab w:leader="none" w:pos="1018"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6"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for directors and officers (as defined in Rule 16a-1(f) of the Exchange Act) may not occur until the expiration of a cooling-off period consisting of the later of (a) 90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 The first trade under the trading plan for all other persons (other than the Company) may not occur until the expiration of a cooling off period that is 30 calendar days after adoption of the trading plan.</w:t>
      </w:r>
    </w:p>
    <w:p>
      <w:pPr>
        <w:spacing w:after="0" w:line="18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have a minimum term of one year (starting from the date of adoption of the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88" w:lineRule="exact"/>
        <w:rPr>
          <w:sz w:val="20"/>
          <w:szCs w:val="20"/>
          <w:color w:val="auto"/>
        </w:rPr>
      </w:pPr>
    </w:p>
    <w:p>
      <w:pPr>
        <w:jc w:val="both"/>
        <w:ind w:firstLine="757"/>
        <w:spacing w:after="0" w:line="244"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spacing w:after="0" w:line="183"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change to the amount, price or timing of transactions under the trading plan is deemed the termination of the trading plan, and the adoption of a new trading plan (“</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Therefore, a Modification must be submitted to the Compliance Officer for approval, in accordance with Section I of the Policy, and is subject to the same conditions as a new trading plan as set forth in Sections 1 through 8 herein.</w:t>
      </w:r>
    </w:p>
    <w:p>
      <w:pPr>
        <w:spacing w:after="0" w:line="178"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one year preceding the adoption or a Modification of a trading plan, a person may not have otherwise adopted or made a Modification to a plan more than once.</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may adopt a trading plan designed to cover a single trade only once in any consecutive 12-month period except as permitted by Rule 10b5-1.</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that adopted the trading plan terminates the plan prior to its stated duration, he or she may not trade in the Company’s securities until after the expiration of 30 calendar days following termination, and then only in accordance with this Policy.</w:t>
      </w:r>
    </w:p>
    <w:p>
      <w:pPr>
        <w:spacing w:after="0" w:line="160" w:lineRule="exact"/>
        <w:rPr>
          <w:rFonts w:ascii="Times New Roman" w:cs="Times New Roman" w:eastAsia="Times New Roman" w:hAnsi="Times New Roman"/>
          <w:sz w:val="20"/>
          <w:szCs w:val="20"/>
          <w:color w:val="auto"/>
        </w:rPr>
      </w:pPr>
    </w:p>
    <w:p>
      <w:pPr>
        <w:ind w:right="20" w:firstLine="757"/>
        <w:spacing w:after="0" w:line="268"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be promptly notified of any Modification or termination of the trading plan, including any suspension of trading under the trading plan.</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spacing w:after="0" w:line="176"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trading plan grants discretion to a stockbroker or other person with respect to the execution of trades under the trading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w:t>
      </w:r>
    </w:p>
    <w:p>
      <w:pPr>
        <w:spacing w:after="0" w:line="192" w:lineRule="exact"/>
        <w:rPr>
          <w:rFonts w:ascii="Times New Roman" w:cs="Times New Roman" w:eastAsia="Times New Roman" w:hAnsi="Times New Roman"/>
          <w:sz w:val="20"/>
          <w:szCs w:val="20"/>
          <w:color w:val="auto"/>
        </w:rPr>
      </w:pPr>
    </w:p>
    <w:p>
      <w:pPr>
        <w:ind w:left="1880" w:hanging="749"/>
        <w:spacing w:after="0" w:line="268" w:lineRule="auto"/>
        <w:tabs>
          <w:tab w:leader="none" w:pos="188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exercise any subsequent influence over how, when or whether to effect purchases or sales under the plan;</w:t>
      </w:r>
    </w:p>
    <w:p>
      <w:pPr>
        <w:spacing w:after="0" w:line="52" w:lineRule="exact"/>
        <w:rPr>
          <w:rFonts w:ascii="Times New Roman" w:cs="Times New Roman" w:eastAsia="Times New Roman" w:hAnsi="Times New Roman"/>
          <w:sz w:val="20"/>
          <w:szCs w:val="20"/>
          <w:color w:val="auto"/>
        </w:rPr>
      </w:pPr>
    </w:p>
    <w:p>
      <w:pPr>
        <w:ind w:left="1880" w:hanging="749"/>
        <w:spacing w:after="0" w:line="268" w:lineRule="auto"/>
        <w:tabs>
          <w:tab w:leader="none" w:pos="188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spacing w:after="0" w:line="52" w:lineRule="exact"/>
        <w:rPr>
          <w:rFonts w:ascii="Times New Roman" w:cs="Times New Roman" w:eastAsia="Times New Roman" w:hAnsi="Times New Roman"/>
          <w:sz w:val="20"/>
          <w:szCs w:val="20"/>
          <w:color w:val="auto"/>
        </w:rPr>
      </w:pPr>
    </w:p>
    <w:p>
      <w:pPr>
        <w:ind w:left="1880" w:hanging="749"/>
        <w:spacing w:after="0" w:line="268" w:lineRule="auto"/>
        <w:tabs>
          <w:tab w:leader="none" w:pos="188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pacing w:after="0" w:line="5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under the trading plan must be in accordance with applicable law.</w:t>
      </w:r>
    </w:p>
    <w:p>
      <w:pPr>
        <w:spacing w:after="0" w:line="214"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exceptions to the Trading Plan Requirements must be approved by the Compliance Officer or, in the case of directors and officers who are subject Section 16 of the Securities Exchange Act of 1934, by the Compliance Officer, in consultation with the Company’s board of directors or an independent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 The trading plan (including any Modification) must meet such other requirements as the Compliance Officer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1036320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1080" w:top="1440" w:right="679" w:bottom="1440" w:gutter="0" w:footer="0" w:header="0"/>
        </w:sectPr>
      </w:pPr>
    </w:p>
    <w:bookmarkStart w:id="216" w:name="page217"/>
    <w:bookmarkEnd w:id="216"/>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w:t>
      </w:r>
    </w:p>
    <w:p>
      <w:pPr>
        <w:spacing w:after="0" w:line="225" w:lineRule="exact"/>
        <w:rPr>
          <w:sz w:val="20"/>
          <w:szCs w:val="20"/>
          <w:color w:val="auto"/>
        </w:rPr>
      </w:pPr>
    </w:p>
    <w:p>
      <w:pPr>
        <w:ind w:left="760" w:hanging="378"/>
        <w:spacing w:after="0"/>
        <w:tabs>
          <w:tab w:leader="none" w:pos="7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333-266651) of RxSight, Inc.,</w:t>
      </w:r>
    </w:p>
    <w:p>
      <w:pPr>
        <w:spacing w:after="0" w:line="116"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333-258292) pertaining to the 2021 Equity Incentive Plan, 2021 Employee Stock Purchase Plan, 2015 Equity Incentive Plan and 2006 Stock Plan of RxSight, Inc.,</w:t>
      </w:r>
    </w:p>
    <w:p>
      <w:pPr>
        <w:spacing w:after="0" w:line="54"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333-263374) pertaining to the 2021 Equity Incentive Plan, and 2021 Employee Stock Purchase Plan of RxSight, Inc.,</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333-270301) pertaining to the 2021 Equity Incentive Plan;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333-277487) pertaining to the 2021 Equity Incentive Plan;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333-279206) of RxSight, Inc.</w:t>
      </w:r>
    </w:p>
    <w:p>
      <w:pPr>
        <w:spacing w:after="0" w:line="22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of our reports dated February 25, 2025, with respect to the consolidated financial statements of RxSight, Inc. and the effectiveness of internal control over financial reporting of RxSight, Inc. included in this Annual Report (Form 10-K) of RxSight, Inc. for the year ended December 31, 2024.</w:t>
      </w:r>
    </w:p>
    <w:p>
      <w:pPr>
        <w:spacing w:after="0" w:line="200" w:lineRule="exact"/>
        <w:rPr>
          <w:sz w:val="20"/>
          <w:szCs w:val="20"/>
          <w:color w:val="auto"/>
        </w:rPr>
      </w:pPr>
    </w:p>
    <w:p>
      <w:pPr>
        <w:spacing w:after="0" w:line="28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1294130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 Kurtz, M.D., certify that:</w:t>
      </w:r>
    </w:p>
    <w:p>
      <w:pPr>
        <w:spacing w:after="0" w:line="225" w:lineRule="exact"/>
        <w:rPr>
          <w:sz w:val="20"/>
          <w:szCs w:val="20"/>
          <w:color w:val="auto"/>
        </w:rPr>
      </w:pPr>
    </w:p>
    <w:p>
      <w:pPr>
        <w:ind w:left="520" w:hanging="512"/>
        <w:spacing w:after="0"/>
        <w:tabs>
          <w:tab w:leader="none" w:pos="5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RxSight,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3"/>
        <w:spacing w:after="0" w:line="265"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3"/>
        <w:spacing w:after="0" w:line="265"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3"/>
        <w:spacing w:after="0" w:line="312" w:lineRule="auto"/>
        <w:tabs>
          <w:tab w:leader="none" w:pos="1020"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1"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1"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25, 2025</w:t>
            </w:r>
          </w:p>
        </w:tc>
        <w:tc>
          <w:tcPr>
            <w:tcW w:w="23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 Kurtz, M.D.</w:t>
            </w:r>
          </w:p>
        </w:tc>
      </w:tr>
      <w:tr>
        <w:trPr>
          <w:trHeight w:val="191"/>
        </w:trPr>
        <w:tc>
          <w:tcPr>
            <w:tcW w:w="37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Ron Kurtz, M.D.</w:t>
            </w:r>
          </w:p>
        </w:tc>
      </w:tr>
      <w:tr>
        <w:trPr>
          <w:trHeight w:val="216"/>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5"/>
        </w:trPr>
        <w:tc>
          <w:tcPr>
            <w:tcW w:w="37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Shelley Thunen certify that:</w:t>
      </w:r>
    </w:p>
    <w:p>
      <w:pPr>
        <w:spacing w:after="0" w:line="225" w:lineRule="exact"/>
        <w:rPr>
          <w:sz w:val="20"/>
          <w:szCs w:val="20"/>
          <w:color w:val="auto"/>
        </w:rPr>
      </w:pPr>
    </w:p>
    <w:p>
      <w:pPr>
        <w:ind w:left="520" w:hanging="512"/>
        <w:spacing w:after="0"/>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RxSight,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3"/>
        <w:spacing w:after="0" w:line="265"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3"/>
        <w:spacing w:after="0" w:line="265"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3"/>
        <w:spacing w:after="0" w:line="312" w:lineRule="auto"/>
        <w:tabs>
          <w:tab w:leader="none" w:pos="1020"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3"/>
        <w:spacing w:after="0" w:line="265"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1"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1"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25, 2025</w:t>
            </w:r>
          </w:p>
        </w:tc>
        <w:tc>
          <w:tcPr>
            <w:tcW w:w="23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Shelley Thunen</w:t>
            </w:r>
          </w:p>
        </w:tc>
      </w:tr>
      <w:tr>
        <w:trPr>
          <w:trHeight w:val="191"/>
        </w:trPr>
        <w:tc>
          <w:tcPr>
            <w:tcW w:w="37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Shelley Thunen</w:t>
            </w:r>
          </w:p>
        </w:tc>
      </w:tr>
      <w:tr>
        <w:trPr>
          <w:trHeight w:val="216"/>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1194"/>
        </w:trPr>
        <w:tc>
          <w:tcPr>
            <w:tcW w:w="37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5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RxSight, Inc. (the “Company”) on Form 10-K for the year ended December 31,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3"/>
        <w:spacing w:after="0"/>
        <w:tabs>
          <w:tab w:leader="none" w:pos="10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3"/>
        <w:spacing w:after="0" w:line="281" w:lineRule="auto"/>
        <w:tabs>
          <w:tab w:leader="none" w:pos="10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25, 2025</w:t>
            </w:r>
          </w:p>
        </w:tc>
        <w:tc>
          <w:tcPr>
            <w:tcW w:w="23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 Kurtz, M.D.</w:t>
            </w:r>
          </w:p>
        </w:tc>
      </w:tr>
      <w:tr>
        <w:trPr>
          <w:trHeight w:val="191"/>
        </w:trPr>
        <w:tc>
          <w:tcPr>
            <w:tcW w:w="37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Ron Kurtz, M.D.</w:t>
            </w:r>
          </w:p>
        </w:tc>
      </w:tr>
      <w:tr>
        <w:trPr>
          <w:trHeight w:val="216"/>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16"/>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5"/>
        </w:trPr>
        <w:tc>
          <w:tcPr>
            <w:tcW w:w="37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5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RxSight, Inc. (the “Company”) on Form 10-K for the year ended December 31,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3"/>
        <w:spacing w:after="0"/>
        <w:tabs>
          <w:tab w:leader="none" w:pos="10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3"/>
        <w:spacing w:after="0" w:line="281" w:lineRule="auto"/>
        <w:tabs>
          <w:tab w:leader="none" w:pos="10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25, 2025</w:t>
            </w: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Shelley Thunen</w:t>
            </w:r>
          </w:p>
        </w:tc>
      </w:tr>
      <w:tr>
        <w:trPr>
          <w:trHeight w:val="191"/>
        </w:trPr>
        <w:tc>
          <w:tcPr>
            <w:tcW w:w="37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Shelley Thunen</w:t>
            </w:r>
          </w:p>
        </w:tc>
      </w:tr>
      <w:tr>
        <w:trPr>
          <w:trHeight w:val="216"/>
        </w:trPr>
        <w:tc>
          <w:tcPr>
            <w:tcW w:w="3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09"/>
        </w:trPr>
        <w:tc>
          <w:tcPr>
            <w:tcW w:w="37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21" w:name="page222"/>
    <w:bookmarkEnd w:id="2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9F6E5F"/>
    <w:multiLevelType w:val="hybridMultilevel"/>
    <w:lvl w:ilvl="0">
      <w:lvlJc w:val="left"/>
      <w:lvlText w:val="☒"/>
      <w:numFmt w:val="bullet"/>
      <w:start w:val="1"/>
    </w:lvl>
  </w:abstractNum>
  <w:abstractNum w:abstractNumId="1">
    <w:nsid w:val="97E1B4E"/>
    <w:multiLevelType w:val="hybridMultilevel"/>
    <w:lvl w:ilvl="0">
      <w:lvlJc w:val="left"/>
      <w:lvlText w:val="☐"/>
      <w:numFmt w:val="bullet"/>
      <w:start w:val="1"/>
    </w:lvl>
  </w:abstractNum>
  <w:abstractNum w:abstractNumId="2">
    <w:nsid w:val="51088277"/>
    <w:multiLevelType w:val="hybridMultilevel"/>
    <w:lvl w:ilvl="0">
      <w:lvlJc w:val="left"/>
      <w:lvlText w:val="%1"/>
      <w:numFmt w:val="decimal"/>
      <w:start w:val="100"/>
    </w:lvl>
  </w:abstractNum>
  <w:abstractNum w:abstractNumId="3">
    <w:nsid w:val="1CA0C5FA"/>
    <w:multiLevelType w:val="hybridMultilevel"/>
    <w:lvl w:ilvl="0">
      <w:lvlJc w:val="left"/>
      <w:lvlText w:val="•"/>
      <w:numFmt w:val="bullet"/>
      <w:start w:val="1"/>
    </w:lvl>
  </w:abstractNum>
  <w:abstractNum w:abstractNumId="4">
    <w:nsid w:val="53584BCB"/>
    <w:multiLevelType w:val="hybridMultilevel"/>
    <w:lvl w:ilvl="0">
      <w:lvlJc w:val="left"/>
      <w:lvlText w:val="•"/>
      <w:numFmt w:val="bullet"/>
      <w:start w:val="1"/>
    </w:lvl>
  </w:abstractNum>
  <w:abstractNum w:abstractNumId="5">
    <w:nsid w:val="415E286C"/>
    <w:multiLevelType w:val="hybridMultilevel"/>
    <w:lvl w:ilvl="0">
      <w:lvlJc w:val="left"/>
      <w:lvlText w:val="•"/>
      <w:numFmt w:val="bullet"/>
      <w:start w:val="1"/>
    </w:lvl>
  </w:abstractNum>
  <w:abstractNum w:abstractNumId="6">
    <w:nsid w:val="7C58FD05"/>
    <w:multiLevelType w:val="hybridMultilevel"/>
    <w:lvl w:ilvl="0">
      <w:lvlJc w:val="left"/>
      <w:lvlText w:val="•"/>
      <w:numFmt w:val="bullet"/>
      <w:start w:val="1"/>
    </w:lvl>
  </w:abstractNum>
  <w:abstractNum w:abstractNumId="7">
    <w:nsid w:val="23D86AAC"/>
    <w:multiLevelType w:val="hybridMultilevel"/>
    <w:lvl w:ilvl="0">
      <w:lvlJc w:val="left"/>
      <w:lvlText w:val="\endash "/>
      <w:numFmt w:val="bullet"/>
      <w:start w:val="1"/>
    </w:lvl>
  </w:abstractNum>
  <w:abstractNum w:abstractNumId="8">
    <w:nsid w:val="45E6D486"/>
    <w:multiLevelType w:val="hybridMultilevel"/>
    <w:lvl w:ilvl="0">
      <w:lvlJc w:val="left"/>
      <w:lvlText w:val="•"/>
      <w:numFmt w:val="bullet"/>
      <w:start w:val="1"/>
    </w:lvl>
  </w:abstractNum>
  <w:abstractNum w:abstractNumId="9">
    <w:nsid w:val="5C10FE21"/>
    <w:multiLevelType w:val="hybridMultilevel"/>
    <w:lvl w:ilvl="0">
      <w:lvlJc w:val="left"/>
      <w:lvlText w:val="•"/>
      <w:numFmt w:val="bullet"/>
      <w:start w:val="1"/>
    </w:lvl>
  </w:abstractNum>
  <w:abstractNum w:abstractNumId="10">
    <w:nsid w:val="E7FFA2B"/>
    <w:multiLevelType w:val="hybridMultilevel"/>
    <w:lvl w:ilvl="0">
      <w:lvlJc w:val="left"/>
      <w:lvlText w:val="•"/>
      <w:numFmt w:val="bullet"/>
      <w:start w:val="1"/>
    </w:lvl>
  </w:abstractNum>
  <w:abstractNum w:abstractNumId="11">
    <w:nsid w:val="3C5991AA"/>
    <w:multiLevelType w:val="hybridMultilevel"/>
    <w:lvl w:ilvl="0">
      <w:lvlJc w:val="left"/>
      <w:lvlText w:val="•"/>
      <w:numFmt w:val="bullet"/>
      <w:start w:val="1"/>
    </w:lvl>
  </w:abstractNum>
  <w:abstractNum w:abstractNumId="12">
    <w:nsid w:val="4BD8591A"/>
    <w:multiLevelType w:val="hybridMultilevel"/>
    <w:lvl w:ilvl="0">
      <w:lvlJc w:val="left"/>
      <w:lvlText w:val="•"/>
      <w:numFmt w:val="bullet"/>
      <w:start w:val="1"/>
    </w:lvl>
  </w:abstractNum>
  <w:abstractNum w:abstractNumId="13">
    <w:nsid w:val="78DF6A55"/>
    <w:multiLevelType w:val="hybridMultilevel"/>
    <w:lvl w:ilvl="0">
      <w:lvlJc w:val="left"/>
      <w:lvlText w:val="•"/>
      <w:numFmt w:val="bullet"/>
      <w:start w:val="1"/>
    </w:lvl>
  </w:abstractNum>
  <w:abstractNum w:abstractNumId="14">
    <w:nsid w:val="39B7AAA2"/>
    <w:multiLevelType w:val="hybridMultilevel"/>
    <w:lvl w:ilvl="0">
      <w:lvlJc w:val="left"/>
      <w:lvlText w:val="•"/>
      <w:numFmt w:val="bullet"/>
      <w:start w:val="1"/>
    </w:lvl>
  </w:abstractNum>
  <w:abstractNum w:abstractNumId="15">
    <w:nsid w:val="2B0D8DBE"/>
    <w:multiLevelType w:val="hybridMultilevel"/>
    <w:lvl w:ilvl="0">
      <w:lvlJc w:val="left"/>
      <w:lvlText w:val="•"/>
      <w:numFmt w:val="bullet"/>
      <w:start w:val="1"/>
    </w:lvl>
  </w:abstractNum>
  <w:abstractNum w:abstractNumId="16">
    <w:nsid w:val="6C80EC70"/>
    <w:multiLevelType w:val="hybridMultilevel"/>
    <w:lvl w:ilvl="0">
      <w:lvlJc w:val="left"/>
      <w:lvlText w:val="•"/>
      <w:numFmt w:val="bullet"/>
      <w:start w:val="1"/>
    </w:lvl>
  </w:abstractNum>
  <w:abstractNum w:abstractNumId="17">
    <w:nsid w:val="379E21B5"/>
    <w:multiLevelType w:val="hybridMultilevel"/>
    <w:lvl w:ilvl="0">
      <w:lvlJc w:val="left"/>
      <w:lvlText w:val="•"/>
      <w:numFmt w:val="bullet"/>
      <w:start w:val="1"/>
    </w:lvl>
  </w:abstractNum>
  <w:abstractNum w:abstractNumId="18">
    <w:nsid w:val="69E373"/>
    <w:multiLevelType w:val="hybridMultilevel"/>
    <w:lvl w:ilvl="0">
      <w:lvlJc w:val="left"/>
      <w:lvlText w:val="•"/>
      <w:numFmt w:val="bullet"/>
      <w:start w:val="1"/>
    </w:lvl>
  </w:abstractNum>
  <w:abstractNum w:abstractNumId="19">
    <w:nsid w:val="2C27173B"/>
    <w:multiLevelType w:val="hybridMultilevel"/>
    <w:lvl w:ilvl="0">
      <w:lvlJc w:val="left"/>
      <w:lvlText w:val="•"/>
      <w:numFmt w:val="bullet"/>
      <w:start w:val="1"/>
    </w:lvl>
  </w:abstractNum>
  <w:abstractNum w:abstractNumId="20">
    <w:nsid w:val="4C9B0904"/>
    <w:multiLevelType w:val="hybridMultilevel"/>
    <w:lvl w:ilvl="0">
      <w:lvlJc w:val="left"/>
      <w:lvlText w:val="•"/>
      <w:numFmt w:val="bullet"/>
      <w:start w:val="1"/>
    </w:lvl>
  </w:abstractNum>
  <w:abstractNum w:abstractNumId="21">
    <w:nsid w:val="6AA7B75C"/>
    <w:multiLevelType w:val="hybridMultilevel"/>
    <w:lvl w:ilvl="0">
      <w:lvlJc w:val="left"/>
      <w:lvlText w:val="•"/>
      <w:numFmt w:val="bullet"/>
      <w:start w:val="1"/>
    </w:lvl>
  </w:abstractNum>
  <w:abstractNum w:abstractNumId="22">
    <w:nsid w:val="1DF029D3"/>
    <w:multiLevelType w:val="hybridMultilevel"/>
    <w:lvl w:ilvl="0">
      <w:lvlJc w:val="left"/>
      <w:lvlText w:val="•"/>
      <w:numFmt w:val="bullet"/>
      <w:start w:val="1"/>
    </w:lvl>
  </w:abstractNum>
  <w:abstractNum w:abstractNumId="23">
    <w:nsid w:val="5675FF36"/>
    <w:multiLevelType w:val="hybridMultilevel"/>
    <w:lvl w:ilvl="0">
      <w:lvlJc w:val="left"/>
      <w:lvlText w:val="•"/>
      <w:numFmt w:val="bullet"/>
      <w:start w:val="1"/>
    </w:lvl>
  </w:abstractNum>
  <w:abstractNum w:abstractNumId="24">
    <w:nsid w:val="3DD15094"/>
    <w:multiLevelType w:val="hybridMultilevel"/>
    <w:lvl w:ilvl="0">
      <w:lvlJc w:val="left"/>
      <w:lvlText w:val="•"/>
      <w:numFmt w:val="bullet"/>
      <w:start w:val="1"/>
    </w:lvl>
  </w:abstractNum>
  <w:abstractNum w:abstractNumId="25">
    <w:nsid w:val="3DB012B3"/>
    <w:multiLevelType w:val="hybridMultilevel"/>
    <w:lvl w:ilvl="0">
      <w:lvlJc w:val="left"/>
      <w:lvlText w:val="•"/>
      <w:numFmt w:val="bullet"/>
      <w:start w:val="1"/>
    </w:lvl>
  </w:abstractNum>
  <w:abstractNum w:abstractNumId="26">
    <w:nsid w:val="2708C9AF"/>
    <w:multiLevelType w:val="hybridMultilevel"/>
    <w:lvl w:ilvl="0">
      <w:lvlJc w:val="left"/>
      <w:lvlText w:val="•"/>
      <w:numFmt w:val="bullet"/>
      <w:start w:val="1"/>
    </w:lvl>
  </w:abstractNum>
  <w:abstractNum w:abstractNumId="27">
    <w:nsid w:val="5B25ACE2"/>
    <w:multiLevelType w:val="hybridMultilevel"/>
    <w:lvl w:ilvl="0">
      <w:lvlJc w:val="left"/>
      <w:lvlText w:val="•"/>
      <w:numFmt w:val="bullet"/>
      <w:start w:val="1"/>
    </w:lvl>
  </w:abstractNum>
  <w:abstractNum w:abstractNumId="28">
    <w:nsid w:val="175DFCF0"/>
    <w:multiLevelType w:val="hybridMultilevel"/>
    <w:lvl w:ilvl="0">
      <w:lvlJc w:val="left"/>
      <w:lvlText w:val="•"/>
      <w:numFmt w:val="bullet"/>
      <w:start w:val="1"/>
    </w:lvl>
  </w:abstractNum>
  <w:abstractNum w:abstractNumId="29">
    <w:nsid w:val="4F97E3E4"/>
    <w:multiLevelType w:val="hybridMultilevel"/>
    <w:lvl w:ilvl="0">
      <w:lvlJc w:val="left"/>
      <w:lvlText w:val="•"/>
      <w:numFmt w:val="bullet"/>
      <w:start w:val="1"/>
    </w:lvl>
  </w:abstractNum>
  <w:abstractNum w:abstractNumId="30">
    <w:nsid w:val="53B0A9E"/>
    <w:multiLevelType w:val="hybridMultilevel"/>
    <w:lvl w:ilvl="0">
      <w:lvlJc w:val="left"/>
      <w:lvlText w:val="•"/>
      <w:numFmt w:val="bullet"/>
      <w:start w:val="1"/>
    </w:lvl>
  </w:abstractNum>
  <w:abstractNum w:abstractNumId="31">
    <w:nsid w:val="34FD6B4F"/>
    <w:multiLevelType w:val="hybridMultilevel"/>
    <w:lvl w:ilvl="0">
      <w:lvlJc w:val="left"/>
      <w:lvlText w:val="•"/>
      <w:numFmt w:val="bullet"/>
      <w:start w:val="1"/>
    </w:lvl>
  </w:abstractNum>
  <w:abstractNum w:abstractNumId="32">
    <w:nsid w:val="5915FF32"/>
    <w:multiLevelType w:val="hybridMultilevel"/>
    <w:lvl w:ilvl="0">
      <w:lvlJc w:val="left"/>
      <w:lvlText w:val="•"/>
      <w:numFmt w:val="bullet"/>
      <w:start w:val="1"/>
    </w:lvl>
  </w:abstractNum>
  <w:abstractNum w:abstractNumId="33">
    <w:nsid w:val="56438D15"/>
    <w:multiLevelType w:val="hybridMultilevel"/>
    <w:lvl w:ilvl="0">
      <w:lvlJc w:val="left"/>
      <w:lvlText w:val="•"/>
      <w:numFmt w:val="bullet"/>
      <w:start w:val="1"/>
    </w:lvl>
  </w:abstractNum>
  <w:abstractNum w:abstractNumId="34">
    <w:nsid w:val="519E3149"/>
    <w:multiLevelType w:val="hybridMultilevel"/>
    <w:lvl w:ilvl="0">
      <w:lvlJc w:val="left"/>
      <w:lvlText w:val="•"/>
      <w:numFmt w:val="bullet"/>
      <w:start w:val="1"/>
    </w:lvl>
  </w:abstractNum>
  <w:abstractNum w:abstractNumId="35">
    <w:nsid w:val="2C6E4AFD"/>
    <w:multiLevelType w:val="hybridMultilevel"/>
    <w:lvl w:ilvl="0">
      <w:lvlJc w:val="left"/>
      <w:lvlText w:val="•"/>
      <w:numFmt w:val="bullet"/>
      <w:start w:val="1"/>
    </w:lvl>
  </w:abstractNum>
  <w:abstractNum w:abstractNumId="36">
    <w:nsid w:val="17A1B582"/>
    <w:multiLevelType w:val="hybridMultilevel"/>
    <w:lvl w:ilvl="0">
      <w:lvlJc w:val="left"/>
      <w:lvlText w:val="•"/>
      <w:numFmt w:val="bullet"/>
      <w:start w:val="1"/>
    </w:lvl>
  </w:abstractNum>
  <w:abstractNum w:abstractNumId="37">
    <w:nsid w:val="4DF72E4E"/>
    <w:multiLevelType w:val="hybridMultilevel"/>
    <w:lvl w:ilvl="0">
      <w:lvlJc w:val="left"/>
      <w:lvlText w:val="•"/>
      <w:numFmt w:val="bullet"/>
      <w:start w:val="1"/>
    </w:lvl>
  </w:abstractNum>
  <w:abstractNum w:abstractNumId="38">
    <w:nsid w:val="5046B5A9"/>
    <w:multiLevelType w:val="hybridMultilevel"/>
    <w:lvl w:ilvl="0">
      <w:lvlJc w:val="left"/>
      <w:lvlText w:val="•"/>
      <w:numFmt w:val="bullet"/>
      <w:start w:val="1"/>
    </w:lvl>
  </w:abstractNum>
  <w:abstractNum w:abstractNumId="39">
    <w:nsid w:val="5D888A08"/>
    <w:multiLevelType w:val="hybridMultilevel"/>
    <w:lvl w:ilvl="0">
      <w:lvlJc w:val="left"/>
      <w:lvlText w:val="•"/>
      <w:numFmt w:val="bullet"/>
      <w:start w:val="1"/>
    </w:lvl>
  </w:abstractNum>
  <w:abstractNum w:abstractNumId="40">
    <w:nsid w:val="2A082C70"/>
    <w:multiLevelType w:val="hybridMultilevel"/>
    <w:lvl w:ilvl="0">
      <w:lvlJc w:val="left"/>
      <w:lvlText w:val="•"/>
      <w:numFmt w:val="bullet"/>
      <w:start w:val="1"/>
    </w:lvl>
  </w:abstractNum>
  <w:abstractNum w:abstractNumId="41">
    <w:nsid w:val="5EC6AFD4"/>
    <w:multiLevelType w:val="hybridMultilevel"/>
    <w:lvl w:ilvl="0">
      <w:lvlJc w:val="left"/>
      <w:lvlText w:val="•"/>
      <w:numFmt w:val="bullet"/>
      <w:start w:val="1"/>
    </w:lvl>
  </w:abstractNum>
  <w:abstractNum w:abstractNumId="42">
    <w:nsid w:val="19E21BB2"/>
    <w:multiLevelType w:val="hybridMultilevel"/>
    <w:lvl w:ilvl="0">
      <w:lvlJc w:val="left"/>
      <w:lvlText w:val="•"/>
      <w:numFmt w:val="bullet"/>
      <w:start w:val="1"/>
    </w:lvl>
  </w:abstractNum>
  <w:abstractNum w:abstractNumId="43">
    <w:nsid w:val="75E0858A"/>
    <w:multiLevelType w:val="hybridMultilevel"/>
    <w:lvl w:ilvl="0">
      <w:lvlJc w:val="left"/>
      <w:lvlText w:val="•"/>
      <w:numFmt w:val="bullet"/>
      <w:start w:val="1"/>
    </w:lvl>
  </w:abstractNum>
  <w:abstractNum w:abstractNumId="44">
    <w:nsid w:val="57A61A29"/>
    <w:multiLevelType w:val="hybridMultilevel"/>
    <w:lvl w:ilvl="0">
      <w:lvlJc w:val="left"/>
      <w:lvlText w:val="•"/>
      <w:numFmt w:val="bullet"/>
      <w:start w:val="1"/>
    </w:lvl>
  </w:abstractNum>
  <w:abstractNum w:abstractNumId="45">
    <w:nsid w:val="5399C654"/>
    <w:multiLevelType w:val="hybridMultilevel"/>
    <w:lvl w:ilvl="0">
      <w:lvlJc w:val="left"/>
      <w:lvlText w:val="•"/>
      <w:numFmt w:val="bullet"/>
      <w:start w:val="1"/>
    </w:lvl>
  </w:abstractNum>
  <w:abstractNum w:abstractNumId="46">
    <w:nsid w:val="20EE1348"/>
    <w:multiLevelType w:val="hybridMultilevel"/>
    <w:lvl w:ilvl="0">
      <w:lvlJc w:val="left"/>
      <w:lvlText w:val="•"/>
      <w:numFmt w:val="bullet"/>
      <w:start w:val="1"/>
    </w:lvl>
  </w:abstractNum>
  <w:abstractNum w:abstractNumId="47">
    <w:nsid w:val="4427069A"/>
    <w:multiLevelType w:val="hybridMultilevel"/>
    <w:lvl w:ilvl="0">
      <w:lvlJc w:val="left"/>
      <w:lvlText w:val="•"/>
      <w:numFmt w:val="bullet"/>
      <w:start w:val="1"/>
    </w:lvl>
  </w:abstractNum>
  <w:abstractNum w:abstractNumId="48">
    <w:nsid w:val="B37E80A"/>
    <w:multiLevelType w:val="hybridMultilevel"/>
    <w:lvl w:ilvl="0">
      <w:lvlJc w:val="left"/>
      <w:lvlText w:val="•"/>
      <w:numFmt w:val="bullet"/>
      <w:start w:val="1"/>
    </w:lvl>
  </w:abstractNum>
  <w:abstractNum w:abstractNumId="49">
    <w:nsid w:val="2157F6BC"/>
    <w:multiLevelType w:val="hybridMultilevel"/>
    <w:lvl w:ilvl="0">
      <w:lvlJc w:val="left"/>
      <w:lvlText w:val="•"/>
      <w:numFmt w:val="bullet"/>
      <w:start w:val="1"/>
    </w:lvl>
  </w:abstractNum>
  <w:abstractNum w:abstractNumId="50">
    <w:nsid w:val="704E1DD5"/>
    <w:multiLevelType w:val="hybridMultilevel"/>
    <w:lvl w:ilvl="0">
      <w:lvlJc w:val="left"/>
      <w:lvlText w:val="•"/>
      <w:numFmt w:val="bullet"/>
      <w:start w:val="1"/>
    </w:lvl>
  </w:abstractNum>
  <w:abstractNum w:abstractNumId="51">
    <w:nsid w:val="57D2F10E"/>
    <w:multiLevelType w:val="hybridMultilevel"/>
    <w:lvl w:ilvl="0">
      <w:lvlJc w:val="left"/>
      <w:lvlText w:val="•"/>
      <w:numFmt w:val="bullet"/>
      <w:start w:val="1"/>
    </w:lvl>
  </w:abstractNum>
  <w:abstractNum w:abstractNumId="52">
    <w:nsid w:val="BFFAE18"/>
    <w:multiLevelType w:val="hybridMultilevel"/>
    <w:lvl w:ilvl="0">
      <w:lvlJc w:val="left"/>
      <w:lvlText w:val="•"/>
      <w:numFmt w:val="bullet"/>
      <w:start w:val="1"/>
    </w:lvl>
  </w:abstractNum>
  <w:abstractNum w:abstractNumId="53">
    <w:nsid w:val="E3E47A8"/>
    <w:multiLevelType w:val="hybridMultilevel"/>
    <w:lvl w:ilvl="0">
      <w:lvlJc w:val="left"/>
      <w:lvlText w:val="•"/>
      <w:numFmt w:val="bullet"/>
      <w:start w:val="1"/>
    </w:lvl>
  </w:abstractNum>
  <w:abstractNum w:abstractNumId="54">
    <w:nsid w:val="2E48F044"/>
    <w:multiLevelType w:val="hybridMultilevel"/>
    <w:lvl w:ilvl="0">
      <w:lvlJc w:val="left"/>
      <w:lvlText w:val="•"/>
      <w:numFmt w:val="bullet"/>
      <w:start w:val="1"/>
    </w:lvl>
  </w:abstractNum>
  <w:abstractNum w:abstractNumId="55">
    <w:nsid w:val="49D0FEAC"/>
    <w:multiLevelType w:val="hybridMultilevel"/>
    <w:lvl w:ilvl="0">
      <w:lvlJc w:val="left"/>
      <w:lvlText w:val="•"/>
      <w:numFmt w:val="bullet"/>
      <w:start w:val="1"/>
    </w:lvl>
  </w:abstractNum>
  <w:abstractNum w:abstractNumId="56">
    <w:nsid w:val="4BEE5A5B"/>
    <w:multiLevelType w:val="hybridMultilevel"/>
    <w:lvl w:ilvl="0">
      <w:lvlJc w:val="left"/>
      <w:lvlText w:val="(%1)"/>
      <w:numFmt w:val="decimal"/>
      <w:start w:val="2"/>
    </w:lvl>
  </w:abstractNum>
  <w:abstractNum w:abstractNumId="57">
    <w:nsid w:val="5551B9F3"/>
    <w:multiLevelType w:val="hybridMultilevel"/>
    <w:lvl w:ilvl="0">
      <w:lvlJc w:val="left"/>
      <w:lvlText w:val="•"/>
      <w:numFmt w:val="bullet"/>
      <w:start w:val="1"/>
    </w:lvl>
  </w:abstractNum>
  <w:abstractNum w:abstractNumId="58">
    <w:nsid w:val="24F6AB8E"/>
    <w:multiLevelType w:val="hybridMultilevel"/>
    <w:lvl w:ilvl="0">
      <w:lvlJc w:val="left"/>
      <w:lvlText w:val="•"/>
      <w:numFmt w:val="bullet"/>
      <w:start w:val="1"/>
    </w:lvl>
  </w:abstractNum>
  <w:abstractNum w:abstractNumId="59">
    <w:nsid w:val="634C574C"/>
    <w:multiLevelType w:val="hybridMultilevel"/>
    <w:lvl w:ilvl="0">
      <w:lvlJc w:val="left"/>
      <w:lvlText w:val="•"/>
      <w:numFmt w:val="bullet"/>
      <w:start w:val="1"/>
    </w:lvl>
  </w:abstractNum>
  <w:abstractNum w:abstractNumId="60">
    <w:nsid w:val="24E99DD7"/>
    <w:multiLevelType w:val="hybridMultilevel"/>
    <w:lvl w:ilvl="0">
      <w:lvlJc w:val="left"/>
      <w:lvlText w:val="•"/>
      <w:numFmt w:val="bullet"/>
      <w:start w:val="1"/>
    </w:lvl>
  </w:abstractNum>
  <w:abstractNum w:abstractNumId="61">
    <w:nsid w:val="2A31B62D"/>
    <w:multiLevelType w:val="hybridMultilevel"/>
    <w:lvl w:ilvl="0">
      <w:lvlJc w:val="left"/>
      <w:lvlText w:val="•"/>
      <w:numFmt w:val="bullet"/>
      <w:start w:val="1"/>
    </w:lvl>
  </w:abstractNum>
  <w:abstractNum w:abstractNumId="62">
    <w:nsid w:val="1849C29B"/>
    <w:multiLevelType w:val="hybridMultilevel"/>
    <w:lvl w:ilvl="0">
      <w:lvlJc w:val="left"/>
      <w:lvlText w:val="•"/>
      <w:numFmt w:val="bullet"/>
      <w:start w:val="1"/>
    </w:lvl>
  </w:abstractNum>
  <w:abstractNum w:abstractNumId="63">
    <w:nsid w:val="7DFF9D09"/>
    <w:multiLevelType w:val="hybridMultilevel"/>
    <w:lvl w:ilvl="0">
      <w:lvlJc w:val="left"/>
      <w:lvlText w:val="•"/>
      <w:numFmt w:val="bullet"/>
      <w:start w:val="1"/>
    </w:lvl>
  </w:abstractNum>
  <w:abstractNum w:abstractNumId="64">
    <w:nsid w:val="754342"/>
    <w:multiLevelType w:val="hybridMultilevel"/>
    <w:lvl w:ilvl="0">
      <w:lvlJc w:val="left"/>
      <w:lvlText w:val="•"/>
      <w:numFmt w:val="bullet"/>
      <w:start w:val="1"/>
    </w:lvl>
  </w:abstractNum>
  <w:abstractNum w:abstractNumId="65">
    <w:nsid w:val="69E7F3E5"/>
    <w:multiLevelType w:val="hybridMultilevel"/>
    <w:lvl w:ilvl="0">
      <w:lvlJc w:val="left"/>
      <w:lvlText w:val="•"/>
      <w:numFmt w:val="bullet"/>
      <w:start w:val="1"/>
    </w:lvl>
  </w:abstractNum>
  <w:abstractNum w:abstractNumId="66">
    <w:nsid w:val="2A6DE806"/>
    <w:multiLevelType w:val="hybridMultilevel"/>
    <w:lvl w:ilvl="0">
      <w:lvlJc w:val="left"/>
      <w:lvlText w:val="(%1)"/>
      <w:numFmt w:val="lowerRoman"/>
      <w:start w:val="4"/>
    </w:lvl>
  </w:abstractNum>
  <w:abstractNum w:abstractNumId="67">
    <w:nsid w:val="1816F8C4"/>
    <w:multiLevelType w:val="hybridMultilevel"/>
    <w:lvl w:ilvl="0">
      <w:lvlJc w:val="left"/>
      <w:lvlText w:val="(%1)"/>
      <w:numFmt w:val="lowerRoman"/>
      <w:start w:val="3"/>
    </w:lvl>
  </w:abstractNum>
  <w:abstractNum w:abstractNumId="68">
    <w:nsid w:val="37DF2233"/>
    <w:multiLevelType w:val="hybridMultilevel"/>
    <w:lvl w:ilvl="0">
      <w:lvlJc w:val="left"/>
      <w:lvlText w:val="(%1)"/>
      <w:numFmt w:val="lowerLetter"/>
      <w:start w:val="1"/>
    </w:lvl>
    <w:lvl w:ilvl="1">
      <w:lvlJc w:val="left"/>
      <w:lvlText w:val="(%2)"/>
      <w:numFmt w:val="decimal"/>
      <w:start w:val="1"/>
    </w:lvl>
  </w:abstractNum>
  <w:abstractNum w:abstractNumId="69">
    <w:nsid w:val="7AB49DAF"/>
    <w:multiLevelType w:val="hybridMultilevel"/>
    <w:lvl w:ilvl="0">
      <w:lvlJc w:val="left"/>
      <w:lvlText w:val="*"/>
      <w:numFmt w:val="bullet"/>
      <w:start w:val="1"/>
    </w:lvl>
  </w:abstractNum>
  <w:abstractNum w:abstractNumId="70">
    <w:nsid w:val="759F82CD"/>
    <w:multiLevelType w:val="hybridMultilevel"/>
    <w:lvl w:ilvl="0">
      <w:lvlJc w:val="left"/>
      <w:lvlText w:val="†"/>
      <w:numFmt w:val="bullet"/>
      <w:start w:val="1"/>
    </w:lvl>
  </w:abstractNum>
  <w:abstractNum w:abstractNumId="71">
    <w:nsid w:val="61E74EA3"/>
    <w:multiLevelType w:val="hybridMultilevel"/>
    <w:lvl w:ilvl="0">
      <w:lvlJc w:val="left"/>
      <w:lvlText w:val="+"/>
      <w:numFmt w:val="bullet"/>
      <w:start w:val="1"/>
    </w:lvl>
  </w:abstractNum>
  <w:abstractNum w:abstractNumId="72">
    <w:nsid w:val="597B4D84"/>
    <w:multiLevelType w:val="hybridMultilevel"/>
    <w:lvl w:ilvl="0">
      <w:lvlJc w:val="left"/>
      <w:lvlText w:val="#"/>
      <w:numFmt w:val="bullet"/>
      <w:start w:val="1"/>
    </w:lvl>
  </w:abstractNum>
  <w:abstractNum w:abstractNumId="73">
    <w:nsid w:val="F819E7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4">
    <w:nsid w:val="57C7D42D"/>
    <w:multiLevelType w:val="hybridMultilevel"/>
    <w:lvl w:ilvl="0">
      <w:lvlJc w:val="left"/>
      <w:lvlText w:val="(%1)"/>
      <w:numFmt w:val="lowerRoman"/>
      <w:start w:val="2"/>
    </w:lvl>
  </w:abstractNum>
  <w:abstractNum w:abstractNumId="75">
    <w:nsid w:val="312167AD"/>
    <w:multiLevelType w:val="hybridMultilevel"/>
    <w:lvl w:ilvl="0">
      <w:lvlJc w:val="left"/>
      <w:lvlText w:val="(%1)"/>
      <w:numFmt w:val="decimal"/>
      <w:start w:val="1"/>
    </w:lvl>
  </w:abstractNum>
  <w:abstractNum w:abstractNumId="76">
    <w:nsid w:val="631B64D4"/>
    <w:multiLevelType w:val="hybridMultilevel"/>
    <w:lvl w:ilvl="0">
      <w:lvlJc w:val="left"/>
      <w:lvlText w:val="(%1)"/>
      <w:numFmt w:val="decimal"/>
      <w:start w:val="2"/>
    </w:lvl>
    <w:lvl w:ilvl="1">
      <w:lvlJc w:val="left"/>
      <w:lvlText w:val="(%2)"/>
      <w:numFmt w:val="upperLetter"/>
      <w:start w:val="1"/>
    </w:lvl>
  </w:abstractNum>
  <w:abstractNum w:abstractNumId="77">
    <w:nsid w:val="78B5E776"/>
    <w:multiLevelType w:val="hybridMultilevel"/>
    <w:lvl w:ilvl="0">
      <w:lvlJc w:val="left"/>
      <w:lvlText w:val="(%1)"/>
      <w:numFmt w:val="decimal"/>
      <w:start w:val="1"/>
    </w:lvl>
  </w:abstractNum>
  <w:abstractNum w:abstractNumId="78">
    <w:nsid w:val="75486E47"/>
    <w:multiLevelType w:val="hybridMultilevel"/>
    <w:lvl w:ilvl="0">
      <w:lvlJc w:val="left"/>
      <w:lvlText w:val="%1"/>
      <w:numFmt w:val="lowerLetter"/>
      <w:start w:val="1"/>
    </w:lvl>
    <w:lvl w:ilvl="1">
      <w:lvlJc w:val="left"/>
      <w:lvlText w:val="(%2)"/>
      <w:numFmt w:val="decimal"/>
      <w:start w:val="2"/>
    </w:lvl>
  </w:abstractNum>
  <w:abstractNum w:abstractNumId="79">
    <w:nsid w:val="6E534CDE"/>
    <w:multiLevelType w:val="hybridMultilevel"/>
    <w:lvl w:ilvl="0">
      <w:lvlJc w:val="left"/>
      <w:lvlText w:val="(%1)"/>
      <w:numFmt w:val="lowerLetter"/>
      <w:start w:val="7"/>
    </w:lvl>
    <w:lvl w:ilvl="1">
      <w:lvlJc w:val="left"/>
      <w:lvlText w:val="%2"/>
      <w:numFmt w:val="decimal"/>
      <w:start w:val="1"/>
    </w:lvl>
  </w:abstractNum>
  <w:abstractNum w:abstractNumId="80">
    <w:nsid w:val="1A0DDE32"/>
    <w:multiLevelType w:val="hybridMultilevel"/>
    <w:lvl w:ilvl="0">
      <w:lvlJc w:val="left"/>
      <w:lvlText w:val="(%1)"/>
      <w:numFmt w:val="lowerLetter"/>
      <w:start w:val="16"/>
    </w:lvl>
    <w:lvl w:ilvl="1">
      <w:lvlJc w:val="left"/>
      <w:lvlText w:val="(%2)"/>
      <w:numFmt w:val="lowerRoman"/>
      <w:start w:val="1"/>
    </w:lvl>
  </w:abstractNum>
  <w:abstractNum w:abstractNumId="81">
    <w:nsid w:val="65968C1C"/>
    <w:multiLevelType w:val="hybridMultilevel"/>
    <w:lvl w:ilvl="0">
      <w:lvlJc w:val="left"/>
      <w:lvlText w:val="(%1)"/>
      <w:numFmt w:val="lowerLetter"/>
      <w:start w:val="21"/>
    </w:lvl>
  </w:abstractNum>
  <w:abstractNum w:abstractNumId="82">
    <w:nsid w:val="46263DEC"/>
    <w:multiLevelType w:val="hybridMultilevel"/>
    <w:lvl w:ilvl="0">
      <w:lvlJc w:val="left"/>
      <w:lvlText w:val="(%1)"/>
      <w:numFmt w:val="lowerLetter"/>
      <w:start w:val="27"/>
    </w:lvl>
  </w:abstractNum>
  <w:abstractNum w:abstractNumId="83">
    <w:nsid w:val="260D8C4A"/>
    <w:multiLevelType w:val="hybridMultilevel"/>
    <w:lvl w:ilvl="0">
      <w:lvlJc w:val="left"/>
      <w:lvlText w:val="(%1)"/>
      <w:numFmt w:val="lowerLetter"/>
      <w:start w:val="29"/>
    </w:lvl>
  </w:abstractNum>
  <w:abstractNum w:abstractNumId="84">
    <w:nsid w:val="73D4D3C4"/>
    <w:multiLevelType w:val="hybridMultilevel"/>
    <w:lvl w:ilvl="0">
      <w:lvlJc w:val="left"/>
      <w:lvlText w:val="(%1)"/>
      <w:numFmt w:val="lowerLetter"/>
      <w:start w:val="34"/>
    </w:lvl>
  </w:abstractNum>
  <w:abstractNum w:abstractNumId="85">
    <w:nsid w:val="746F2E30"/>
    <w:multiLevelType w:val="hybridMultilevel"/>
    <w:lvl w:ilvl="0">
      <w:lvlJc w:val="left"/>
      <w:lvlText w:val="%1."/>
      <w:numFmt w:val="decimal"/>
      <w:start w:val="3"/>
    </w:lvl>
    <w:lvl w:ilvl="1">
      <w:lvlJc w:val="left"/>
      <w:lvlText w:val="(%2)"/>
      <w:numFmt w:val="lowerLetter"/>
      <w:start w:val="1"/>
    </w:lvl>
  </w:abstractNum>
  <w:abstractNum w:abstractNumId="86">
    <w:nsid w:val="6FDE8AF6"/>
    <w:multiLevelType w:val="hybridMultilevel"/>
    <w:lvl w:ilvl="0">
      <w:lvlJc w:val="left"/>
      <w:lvlText w:val="%1"/>
      <w:numFmt w:val="lowerRoman"/>
      <w:start w:val="1"/>
    </w:lvl>
    <w:lvl w:ilvl="1">
      <w:lvlJc w:val="left"/>
      <w:lvlText w:val="(%2)"/>
      <w:numFmt w:val="lowerRoman"/>
      <w:start w:val="1"/>
    </w:lvl>
  </w:abstractNum>
  <w:abstractNum w:abstractNumId="87">
    <w:nsid w:val="3FC32E20"/>
    <w:multiLevelType w:val="hybridMultilevel"/>
    <w:lvl w:ilvl="0">
      <w:lvlJc w:val="left"/>
      <w:lvlText w:val="(%1)"/>
      <w:numFmt w:val="lowerRoman"/>
      <w:start w:val="2"/>
    </w:lvl>
    <w:lvl w:ilvl="1">
      <w:lvlJc w:val="left"/>
      <w:lvlText w:val="(%2)"/>
      <w:numFmt w:val="lowerRoman"/>
      <w:start w:val="3"/>
    </w:lvl>
  </w:abstractNum>
  <w:abstractNum w:abstractNumId="88">
    <w:nsid w:val="49C0E823"/>
    <w:multiLevelType w:val="hybridMultilevel"/>
    <w:lvl w:ilvl="0">
      <w:lvlJc w:val="left"/>
      <w:lvlText w:val="(%1)"/>
      <w:numFmt w:val="lowerLetter"/>
      <w:start w:val="2"/>
    </w:lvl>
    <w:lvl w:ilvl="1">
      <w:lvlJc w:val="left"/>
      <w:lvlText w:val="(%2)"/>
      <w:numFmt w:val="lowerRoman"/>
      <w:start w:val="1"/>
    </w:lvl>
  </w:abstractNum>
  <w:abstractNum w:abstractNumId="89">
    <w:nsid w:val="14D53685"/>
    <w:multiLevelType w:val="hybridMultilevel"/>
    <w:lvl w:ilvl="0">
      <w:lvlJc w:val="left"/>
      <w:lvlText w:val="(%1)"/>
      <w:numFmt w:val="lowerLetter"/>
      <w:start w:val="3"/>
    </w:lvl>
    <w:lvl w:ilvl="1">
      <w:lvlJc w:val="left"/>
      <w:lvlText w:val="(%2)"/>
      <w:numFmt w:val="lowerRoman"/>
      <w:start w:val="1"/>
    </w:lvl>
  </w:abstractNum>
  <w:abstractNum w:abstractNumId="90">
    <w:nsid w:val="230F85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91">
    <w:nsid w:val="6EAA85F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2">
    <w:nsid w:val="3F06ECB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93">
    <w:nsid w:val="3B594807"/>
    <w:multiLevelType w:val="hybridMultilevel"/>
    <w:lvl w:ilvl="0">
      <w:lvlJc w:val="left"/>
      <w:lvlText w:val="%1"/>
      <w:numFmt w:val="lowerLetter"/>
      <w:start w:val="1"/>
    </w:lvl>
    <w:lvl w:ilvl="1">
      <w:lvlJc w:val="left"/>
      <w:lvlText w:val="(%2)"/>
      <w:numFmt w:val="lowerLetter"/>
      <w:start w:val="35"/>
    </w:lvl>
  </w:abstractNum>
  <w:abstractNum w:abstractNumId="94">
    <w:nsid w:val="6CAA2304"/>
    <w:multiLevelType w:val="hybridMultilevel"/>
    <w:lvl w:ilvl="0">
      <w:lvlJc w:val="left"/>
      <w:lvlText w:val="(%1)"/>
      <w:numFmt w:val="lowerLetter"/>
      <w:start w:val="2"/>
    </w:lvl>
    <w:lvl w:ilvl="1">
      <w:lvlJc w:val="left"/>
      <w:lvlText w:val="(%2)"/>
      <w:numFmt w:val="lowerLetter"/>
      <w:start w:val="9"/>
    </w:lvl>
  </w:abstractNum>
  <w:abstractNum w:abstractNumId="95">
    <w:nsid w:val="3F7C2FF4"/>
    <w:multiLevelType w:val="hybridMultilevel"/>
    <w:lvl w:ilvl="0">
      <w:lvlJc w:val="left"/>
      <w:lvlText w:val="(%1)"/>
      <w:numFmt w:val="lowerRoman"/>
      <w:start w:val="5"/>
    </w:lvl>
  </w:abstractNum>
  <w:abstractNum w:abstractNumId="96">
    <w:nsid w:val="25413BEC"/>
    <w:multiLevelType w:val="hybridMultilevel"/>
    <w:lvl w:ilvl="0">
      <w:lvlJc w:val="left"/>
      <w:lvlText w:val="(%1)"/>
      <w:numFmt w:val="lowerRoman"/>
      <w:start w:val="10"/>
    </w:lvl>
  </w:abstractNum>
  <w:abstractNum w:abstractNumId="97">
    <w:nsid w:val="17180B0B"/>
    <w:multiLevelType w:val="hybridMultilevel"/>
    <w:lvl w:ilvl="0">
      <w:lvlJc w:val="left"/>
      <w:lvlText w:val="(%1)"/>
      <w:numFmt w:val="lowerLetter"/>
      <w:start w:val="3"/>
    </w:lvl>
  </w:abstractNum>
  <w:abstractNum w:abstractNumId="98">
    <w:nsid w:val="579328B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decimal"/>
      <w:start w:val="1"/>
    </w:lvl>
  </w:abstractNum>
  <w:abstractNum w:abstractNumId="99">
    <w:nsid w:val="5D205E2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0">
    <w:nsid w:val="11CCA8BA"/>
    <w:multiLevelType w:val="hybridMultilevel"/>
    <w:lvl w:ilvl="0">
      <w:lvlJc w:val="left"/>
      <w:lvlText w:val="%1"/>
      <w:numFmt w:val="lowerRoman"/>
      <w:start w:val="1"/>
    </w:lvl>
    <w:lvl w:ilvl="1">
      <w:lvlJc w:val="left"/>
      <w:lvlText w:val="(%2)"/>
      <w:numFmt w:val="decimal"/>
      <w:start w:val="2"/>
    </w:lvl>
  </w:abstractNum>
  <w:abstractNum w:abstractNumId="101">
    <w:nsid w:val="4D32AB86"/>
    <w:multiLevelType w:val="hybridMultilevel"/>
    <w:lvl w:ilvl="0">
      <w:lvlJc w:val="left"/>
      <w:lvlText w:val="(%1)"/>
      <w:numFmt w:val="lowerRoman"/>
      <w:start w:val="2"/>
    </w:lvl>
    <w:lvl w:ilvl="1">
      <w:lvlJc w:val="left"/>
      <w:lvlText w:val="%2"/>
      <w:numFmt w:val="decimal"/>
      <w:start w:val="1"/>
    </w:lvl>
  </w:abstractNum>
  <w:abstractNum w:abstractNumId="102">
    <w:nsid w:val="3F07ACC3"/>
    <w:multiLevelType w:val="hybridMultilevel"/>
    <w:lvl w:ilvl="0">
      <w:lvlJc w:val="left"/>
      <w:lvlText w:val="(%1)"/>
      <w:numFmt w:val="lowerLetter"/>
      <w:start w:val="3"/>
    </w:lvl>
    <w:lvl w:ilvl="1">
      <w:lvlJc w:val="left"/>
      <w:lvlText w:val="(%2)"/>
      <w:numFmt w:val="lowerRoman"/>
      <w:start w:val="1"/>
    </w:lvl>
  </w:abstractNum>
  <w:abstractNum w:abstractNumId="103">
    <w:nsid w:val="6B47F63E"/>
    <w:multiLevelType w:val="hybridMultilevel"/>
    <w:lvl w:ilvl="0">
      <w:lvlJc w:val="left"/>
      <w:lvlText w:val="(%1)"/>
      <w:numFmt w:val="lowerRoman"/>
      <w:start w:val="5"/>
    </w:lvl>
  </w:abstractNum>
  <w:abstractNum w:abstractNumId="104">
    <w:nsid w:val="5CB44A05"/>
    <w:multiLevelType w:val="hybridMultilevel"/>
    <w:lvl w:ilvl="0">
      <w:lvlJc w:val="left"/>
      <w:lvlText w:val="(%1)"/>
      <w:numFmt w:val="lowerLetter"/>
      <w:start w:val="4"/>
    </w:lvl>
  </w:abstractNum>
  <w:abstractNum w:abstractNumId="105">
    <w:nsid w:val="16CF80F1"/>
    <w:multiLevelType w:val="hybridMultilevel"/>
    <w:lvl w:ilvl="0">
      <w:lvlJc w:val="left"/>
      <w:lvlText w:val="(%1)"/>
      <w:numFmt w:val="lowerLetter"/>
      <w:start w:val="5"/>
    </w:lvl>
    <w:lvl w:ilvl="1">
      <w:lvlJc w:val="left"/>
      <w:lvlText w:val="(%2)"/>
      <w:numFmt w:val="lowerRoman"/>
      <w:start w:val="1"/>
    </w:lvl>
  </w:abstractNum>
  <w:abstractNum w:abstractNumId="106">
    <w:nsid w:val="1C695D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107">
    <w:nsid w:val="3FCFAED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lvl w:ilvl="3">
      <w:lvlJc w:val="left"/>
      <w:lvlText w:val="%4"/>
      <w:numFmt w:val="lowerLetter"/>
      <w:start w:val="1"/>
    </w:lvl>
  </w:abstractNum>
  <w:abstractNum w:abstractNumId="108">
    <w:nsid w:val="F856867"/>
    <w:multiLevelType w:val="hybridMultilevel"/>
    <w:lvl w:ilvl="0">
      <w:lvlJc w:val="left"/>
      <w:lvlText w:val="(%1)"/>
      <w:numFmt w:val="lowerLetter"/>
      <w:start w:val="24"/>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109">
    <w:nsid w:val="11B1CC33"/>
    <w:multiLevelType w:val="hybridMultilevel"/>
    <w:lvl w:ilvl="0">
      <w:lvlJc w:val="left"/>
      <w:lvlText w:val="(%1)"/>
      <w:numFmt w:val="lowerLetter"/>
      <w:start w:val="1"/>
    </w:lvl>
    <w:lvl w:ilvl="1">
      <w:lvlJc w:val="left"/>
      <w:lvlText w:val="(%2)"/>
      <w:numFmt w:val="lowerRoman"/>
      <w:start w:val="1"/>
    </w:lvl>
  </w:abstractNum>
  <w:abstractNum w:abstractNumId="110">
    <w:nsid w:val="2E22FBB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11">
    <w:nsid w:val="299346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12">
    <w:nsid w:val="77485850"/>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13">
    <w:nsid w:val="744939A3"/>
    <w:multiLevelType w:val="hybridMultilevel"/>
    <w:lvl w:ilvl="0">
      <w:lvlJc w:val="left"/>
      <w:lvlText w:val="(%1)"/>
      <w:numFmt w:val="lowerLetter"/>
      <w:start w:val="2"/>
    </w:lvl>
  </w:abstractNum>
  <w:abstractNum w:abstractNumId="114">
    <w:nsid w:val="4FA0D2E3"/>
    <w:multiLevelType w:val="hybridMultilevel"/>
    <w:lvl w:ilvl="0">
      <w:lvlJc w:val="left"/>
      <w:lvlText w:val="(%1)"/>
      <w:numFmt w:val="lowerLetter"/>
      <w:start w:val="1"/>
    </w:lvl>
  </w:abstractNum>
  <w:abstractNum w:abstractNumId="115">
    <w:nsid w:val="6B1D2C14"/>
    <w:multiLevelType w:val="hybridMultilevel"/>
    <w:lvl w:ilvl="0">
      <w:lvlJc w:val="left"/>
      <w:lvlText w:val="(%1)"/>
      <w:numFmt w:val="lowerLetter"/>
      <w:start w:val="1"/>
    </w:lvl>
  </w:abstractNum>
  <w:abstractNum w:abstractNumId="116">
    <w:nsid w:val="68B867D3"/>
    <w:multiLevelType w:val="hybridMultilevel"/>
    <w:lvl w:ilvl="0">
      <w:lvlJc w:val="left"/>
      <w:lvlText w:val="(%1)"/>
      <w:numFmt w:val="lowerLetter"/>
      <w:start w:val="2"/>
    </w:lvl>
  </w:abstractNum>
  <w:abstractNum w:abstractNumId="117">
    <w:nsid w:val="3F7F5DD9"/>
    <w:multiLevelType w:val="hybridMultilevel"/>
    <w:lvl w:ilvl="0">
      <w:lvlJc w:val="left"/>
      <w:lvlText w:val="(%1)"/>
      <w:numFmt w:val="lowerLetter"/>
      <w:start w:val="1"/>
    </w:lvl>
  </w:abstractNum>
  <w:abstractNum w:abstractNumId="118">
    <w:nsid w:val="2AE05A34"/>
    <w:multiLevelType w:val="hybridMultilevel"/>
    <w:lvl w:ilvl="0">
      <w:lvlJc w:val="left"/>
      <w:lvlText w:val="(%1)"/>
      <w:numFmt w:val="lowerLetter"/>
      <w:start w:val="1"/>
    </w:lvl>
    <w:lvl w:ilvl="1">
      <w:lvlJc w:val="left"/>
      <w:lvlText w:val="(%2)"/>
      <w:numFmt w:val="lowerRoman"/>
      <w:start w:val="1"/>
    </w:lvl>
  </w:abstractNum>
  <w:abstractNum w:abstractNumId="119">
    <w:nsid w:val="32794FF7"/>
    <w:multiLevelType w:val="hybridMultilevel"/>
    <w:lvl w:ilvl="0">
      <w:lvlJc w:val="left"/>
      <w:lvlText w:val="(%1)"/>
      <w:numFmt w:val="lowerLetter"/>
      <w:start w:val="4"/>
    </w:lvl>
    <w:lvl w:ilvl="1">
      <w:lvlJc w:val="left"/>
      <w:lvlText w:val="(%2)"/>
      <w:numFmt w:val="lowerRoman"/>
      <w:start w:val="1"/>
    </w:lvl>
  </w:abstractNum>
  <w:abstractNum w:abstractNumId="120">
    <w:nsid w:val="5454945E"/>
    <w:multiLevelType w:val="hybridMultilevel"/>
    <w:lvl w:ilvl="0">
      <w:lvlJc w:val="left"/>
      <w:lvlText w:val="(%1)"/>
      <w:numFmt w:val="lowerLetter"/>
      <w:start w:val="5"/>
    </w:lvl>
  </w:abstractNum>
  <w:abstractNum w:abstractNumId="121">
    <w:nsid w:val="4DEFDFA0"/>
    <w:multiLevelType w:val="hybridMultilevel"/>
    <w:lvl w:ilvl="0">
      <w:lvlJc w:val="left"/>
      <w:lvlText w:val="(%1)"/>
      <w:numFmt w:val="lowerLetter"/>
      <w:start w:val="1"/>
    </w:lvl>
  </w:abstractNum>
  <w:abstractNum w:abstractNumId="122">
    <w:nsid w:val="2123D5F2"/>
    <w:multiLevelType w:val="hybridMultilevel"/>
    <w:lvl w:ilvl="0">
      <w:lvlJc w:val="left"/>
      <w:lvlText w:val="(%1)"/>
      <w:numFmt w:val="lowerLetter"/>
      <w:start w:val="2"/>
    </w:lvl>
  </w:abstractNum>
  <w:abstractNum w:abstractNumId="123">
    <w:nsid w:val="135B8110"/>
    <w:multiLevelType w:val="hybridMultilevel"/>
    <w:lvl w:ilvl="0">
      <w:lvlJc w:val="left"/>
      <w:lvlText w:val="(%1)"/>
      <w:numFmt w:val="lowerLetter"/>
      <w:start w:val="1"/>
    </w:lvl>
  </w:abstractNum>
  <w:abstractNum w:abstractNumId="124">
    <w:nsid w:val="94927A8"/>
    <w:multiLevelType w:val="hybridMultilevel"/>
    <w:lvl w:ilvl="0">
      <w:lvlJc w:val="left"/>
      <w:lvlText w:val="(%1)"/>
      <w:numFmt w:val="lowerLetter"/>
      <w:start w:val="3"/>
    </w:lvl>
  </w:abstractNum>
  <w:abstractNum w:abstractNumId="125">
    <w:nsid w:val="DCDF8F6"/>
    <w:multiLevelType w:val="hybridMultilevel"/>
    <w:lvl w:ilvl="0">
      <w:lvlJc w:val="left"/>
      <w:lvlText w:val="(%1)"/>
      <w:numFmt w:val="lowerLetter"/>
      <w:start w:val="1"/>
    </w:lvl>
    <w:lvl w:ilvl="1">
      <w:lvlJc w:val="left"/>
      <w:lvlText w:val="(%2)"/>
      <w:numFmt w:val="lowerRoman"/>
      <w:start w:val="1"/>
    </w:lvl>
  </w:abstractNum>
  <w:abstractNum w:abstractNumId="126">
    <w:nsid w:val="52D7B10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27">
    <w:nsid w:val="2E8A6394"/>
    <w:multiLevelType w:val="hybridMultilevel"/>
    <w:lvl w:ilvl="0">
      <w:lvlJc w:val="left"/>
      <w:lvlText w:val="%1"/>
      <w:numFmt w:val="lowerLetter"/>
      <w:start w:val="1"/>
    </w:lvl>
    <w:lvl w:ilvl="1">
      <w:lvlJc w:val="left"/>
      <w:lvlText w:val="(%2)"/>
      <w:numFmt w:val="lowerRoman"/>
      <w:start w:val="6"/>
    </w:lvl>
  </w:abstractNum>
  <w:abstractNum w:abstractNumId="128">
    <w:nsid w:val="24E60401"/>
    <w:multiLevelType w:val="hybridMultilevel"/>
    <w:lvl w:ilvl="0">
      <w:lvlJc w:val="left"/>
      <w:lvlText w:val="(%1)"/>
      <w:numFmt w:val="lowerLetter"/>
      <w:start w:val="1"/>
    </w:lvl>
    <w:lvl w:ilvl="1">
      <w:lvlJc w:val="left"/>
      <w:lvlText w:val="%2"/>
      <w:numFmt w:val="lowerRoman"/>
      <w:start w:val="1"/>
    </w:lvl>
  </w:abstractNum>
  <w:abstractNum w:abstractNumId="129">
    <w:nsid w:val="2A6AD9BE"/>
    <w:multiLevelType w:val="hybridMultilevel"/>
    <w:lvl w:ilvl="0">
      <w:lvlJc w:val="left"/>
      <w:lvlText w:val="(%1)"/>
      <w:numFmt w:val="lowerLetter"/>
      <w:start w:val="1"/>
    </w:lvl>
  </w:abstractNum>
  <w:abstractNum w:abstractNumId="130">
    <w:nsid w:val="BAAC1B4"/>
    <w:multiLevelType w:val="hybridMultilevel"/>
    <w:lvl w:ilvl="0">
      <w:lvlJc w:val="left"/>
      <w:lvlText w:val="(%1)"/>
      <w:numFmt w:val="lowerRoman"/>
      <w:start w:val="1"/>
    </w:lvl>
  </w:abstractNum>
  <w:abstractNum w:abstractNumId="131">
    <w:nsid w:val="36B2ACBC"/>
    <w:multiLevelType w:val="hybridMultilevel"/>
    <w:lvl w:ilvl="0">
      <w:lvlJc w:val="left"/>
      <w:lvlText w:val="(%1)"/>
      <w:numFmt w:val="lowerRoman"/>
      <w:start w:val="4"/>
    </w:lvl>
  </w:abstractNum>
  <w:abstractNum w:abstractNumId="132">
    <w:nsid w:val="779D8544"/>
    <w:multiLevelType w:val="hybridMultilevel"/>
    <w:lvl w:ilvl="0">
      <w:lvlJc w:val="left"/>
      <w:lvlText w:val="%1."/>
      <w:numFmt w:val="decimal"/>
      <w:start w:val="1"/>
    </w:lvl>
  </w:abstractNum>
  <w:abstractNum w:abstractNumId="133">
    <w:nsid w:val="4AB26E78"/>
    <w:multiLevelType w:val="hybridMultilevel"/>
    <w:lvl w:ilvl="0">
      <w:lvlJc w:val="left"/>
      <w:lvlText w:val="%1."/>
      <w:numFmt w:val="decimal"/>
      <w:start w:val="2"/>
    </w:lvl>
  </w:abstractNum>
  <w:abstractNum w:abstractNumId="134">
    <w:nsid w:val="21FAA2FA"/>
    <w:multiLevelType w:val="hybridMultilevel"/>
    <w:lvl w:ilvl="0">
      <w:lvlJc w:val="left"/>
      <w:lvlText w:val="%1."/>
      <w:numFmt w:val="decimal"/>
      <w:start w:val="5"/>
    </w:lvl>
  </w:abstractNum>
  <w:abstractNum w:abstractNumId="135">
    <w:nsid w:val="5451CF49"/>
    <w:multiLevelType w:val="hybridMultilevel"/>
    <w:lvl w:ilvl="0">
      <w:lvlJc w:val="left"/>
      <w:lvlText w:val="(%1)"/>
      <w:numFmt w:val="lowerLetter"/>
      <w:start w:val="1"/>
    </w:lvl>
    <w:lvl w:ilvl="1">
      <w:lvlJc w:val="left"/>
      <w:lvlText w:val="(%2)"/>
      <w:numFmt w:val="lowerRoman"/>
      <w:start w:val="1"/>
    </w:lvl>
  </w:abstractNum>
  <w:abstractNum w:abstractNumId="136">
    <w:nsid w:val="6181EF69"/>
    <w:multiLevelType w:val="hybridMultilevel"/>
    <w:lvl w:ilvl="0">
      <w:lvlJc w:val="left"/>
      <w:lvlText w:val="%1."/>
      <w:numFmt w:val="decimal"/>
      <w:start w:val="7"/>
    </w:lvl>
  </w:abstractNum>
  <w:abstractNum w:abstractNumId="137">
    <w:nsid w:val="3E6400E6"/>
    <w:multiLevelType w:val="hybridMultilevel"/>
    <w:lvl w:ilvl="0">
      <w:lvlJc w:val="left"/>
      <w:lvlText w:val="(%1)"/>
      <w:numFmt w:val="lowerLetter"/>
      <w:start w:val="1"/>
    </w:lvl>
  </w:abstractNum>
  <w:abstractNum w:abstractNumId="138">
    <w:nsid w:val="14217E23"/>
    <w:multiLevelType w:val="hybridMultilevel"/>
    <w:lvl w:ilvl="0">
      <w:lvlJc w:val="left"/>
      <w:lvlText w:val="%1."/>
      <w:numFmt w:val="decimal"/>
      <w:start w:val="8"/>
    </w:lvl>
    <w:lvl w:ilvl="1">
      <w:lvlJc w:val="left"/>
      <w:lvlText w:val="(%2)"/>
      <w:numFmt w:val="lowerLetter"/>
      <w:start w:val="1"/>
    </w:lvl>
  </w:abstractNum>
  <w:abstractNum w:abstractNumId="139">
    <w:nsid w:val="710757D0"/>
    <w:multiLevelType w:val="hybridMultilevel"/>
    <w:lvl w:ilvl="0">
      <w:lvlJc w:val="left"/>
      <w:lvlText w:val="(%1)"/>
      <w:numFmt w:val="decimal"/>
      <w:start w:val="3"/>
    </w:lvl>
  </w:abstractNum>
  <w:abstractNum w:abstractNumId="140">
    <w:nsid w:val="5015CD1A"/>
    <w:multiLevelType w:val="hybridMultilevel"/>
    <w:lvl w:ilvl="0">
      <w:lvlJc w:val="left"/>
      <w:lvlText w:val="%1."/>
      <w:numFmt w:val="decimal"/>
      <w:start w:val="9"/>
    </w:lvl>
    <w:lvl w:ilvl="1">
      <w:lvlJc w:val="left"/>
      <w:lvlText w:val="(%2)"/>
      <w:numFmt w:val="lowerLetter"/>
      <w:start w:val="1"/>
    </w:lvl>
  </w:abstractNum>
  <w:abstractNum w:abstractNumId="141">
    <w:nsid w:val="424479DA"/>
    <w:multiLevelType w:val="hybridMultilevel"/>
    <w:lvl w:ilvl="0">
      <w:lvlJc w:val="left"/>
      <w:lvlText w:val="(%1)"/>
      <w:numFmt w:val="lowerLetter"/>
      <w:start w:val="5"/>
    </w:lvl>
  </w:abstractNum>
  <w:abstractNum w:abstractNumId="142">
    <w:nsid w:val="1A9A9E69"/>
    <w:multiLevelType w:val="hybridMultilevel"/>
    <w:lvl w:ilvl="0">
      <w:lvlJc w:val="left"/>
      <w:lvlText w:val="%1"/>
      <w:numFmt w:val="decimal"/>
      <w:start w:val="1"/>
    </w:lvl>
    <w:lvl w:ilvl="1">
      <w:lvlJc w:val="left"/>
      <w:lvlText w:val="(%2)"/>
      <w:numFmt w:val="lowerLetter"/>
      <w:start w:val="16"/>
    </w:lvl>
  </w:abstractNum>
  <w:abstractNum w:abstractNumId="143">
    <w:nsid w:val="475E256A"/>
    <w:multiLevelType w:val="hybridMultilevel"/>
    <w:lvl w:ilvl="0">
      <w:lvlJc w:val="left"/>
      <w:lvlText w:val="%1."/>
      <w:numFmt w:val="decimal"/>
      <w:start w:val="11"/>
    </w:lvl>
    <w:lvl w:ilvl="1">
      <w:lvlJc w:val="left"/>
      <w:lvlText w:val="(%2)"/>
      <w:numFmt w:val="lowerLetter"/>
      <w:start w:val="1"/>
    </w:lvl>
  </w:abstractNum>
  <w:abstractNum w:abstractNumId="144">
    <w:nsid w:val="368DB37E"/>
    <w:multiLevelType w:val="hybridMultilevel"/>
    <w:lvl w:ilvl="0">
      <w:lvlJc w:val="left"/>
      <w:lvlText w:val="%1."/>
      <w:numFmt w:val="decimal"/>
      <w:start w:val="12"/>
    </w:lvl>
  </w:abstractNum>
  <w:abstractNum w:abstractNumId="145">
    <w:nsid w:val="6A3B714C"/>
    <w:multiLevelType w:val="hybridMultilevel"/>
    <w:lvl w:ilvl="0">
      <w:lvlJc w:val="left"/>
      <w:lvlText w:val="%1."/>
      <w:numFmt w:val="decimal"/>
      <w:start w:val="13"/>
    </w:lvl>
    <w:lvl w:ilvl="1">
      <w:lvlJc w:val="left"/>
      <w:lvlText w:val="(%2)"/>
      <w:numFmt w:val="lowerLetter"/>
      <w:start w:val="1"/>
    </w:lvl>
  </w:abstractNum>
  <w:abstractNum w:abstractNumId="146">
    <w:nsid w:val="327B517E"/>
    <w:multiLevelType w:val="hybridMultilevel"/>
    <w:lvl w:ilvl="0">
      <w:lvlJc w:val="left"/>
      <w:lvlText w:val="(%1)"/>
      <w:numFmt w:val="lowerLetter"/>
      <w:start w:val="2"/>
    </w:lvl>
  </w:abstractNum>
  <w:abstractNum w:abstractNumId="147">
    <w:nsid w:val="1F461B51"/>
    <w:multiLevelType w:val="hybridMultilevel"/>
    <w:lvl w:ilvl="0">
      <w:lvlJc w:val="left"/>
      <w:lvlText w:val="(%1)"/>
      <w:numFmt w:val="lowerLetter"/>
      <w:start w:val="11"/>
    </w:lvl>
  </w:abstractNum>
  <w:abstractNum w:abstractNumId="148">
    <w:nsid w:val="29BACF25"/>
    <w:multiLevelType w:val="hybridMultilevel"/>
    <w:lvl w:ilvl="0">
      <w:lvlJc w:val="left"/>
      <w:lvlText w:val="%1."/>
      <w:numFmt w:val="decimal"/>
      <w:start w:val="1"/>
    </w:lvl>
  </w:abstractNum>
  <w:abstractNum w:abstractNumId="149">
    <w:nsid w:val="5D5BABB3"/>
    <w:multiLevelType w:val="hybridMultilevel"/>
    <w:lvl w:ilvl="0">
      <w:lvlJc w:val="left"/>
      <w:lvlText w:val="%1."/>
      <w:numFmt w:val="decimal"/>
      <w:start w:val="2"/>
    </w:lvl>
  </w:abstractNum>
  <w:abstractNum w:abstractNumId="150">
    <w:nsid w:val="51BF6B48"/>
    <w:multiLevelType w:val="hybridMultilevel"/>
    <w:lvl w:ilvl="0">
      <w:lvlJc w:val="left"/>
      <w:lvlText w:val="%1."/>
      <w:numFmt w:val="decimal"/>
      <w:start w:val="4"/>
    </w:lvl>
  </w:abstractNum>
  <w:abstractNum w:abstractNumId="151">
    <w:nsid w:val="7E0F6384"/>
    <w:multiLevelType w:val="hybridMultilevel"/>
    <w:lvl w:ilvl="0">
      <w:lvlJc w:val="left"/>
      <w:lvlText w:val="(%1)"/>
      <w:numFmt w:val="lowerRoman"/>
      <w:start w:val="2"/>
    </w:lvl>
  </w:abstractNum>
  <w:abstractNum w:abstractNumId="152">
    <w:nsid w:val="2B4B8B5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3">
    <w:nsid w:val="72E3413A"/>
    <w:multiLevelType w:val="hybridMultilevel"/>
    <w:lvl w:ilvl="0">
      <w:lvlJc w:val="left"/>
      <w:lvlText w:val="(%1)"/>
      <w:numFmt w:val="lowerLetter"/>
      <w:start w:val="3"/>
    </w:lvl>
    <w:lvl w:ilvl="1">
      <w:lvlJc w:val="left"/>
      <w:lvlText w:val="%2."/>
      <w:numFmt w:val="decimal"/>
      <w:start w:val="2"/>
    </w:lvl>
    <w:lvl w:ilvl="2">
      <w:lvlJc w:val="left"/>
      <w:lvlText w:val="(%3)"/>
      <w:numFmt w:val="lowerLetter"/>
      <w:start w:val="1"/>
    </w:lvl>
  </w:abstractNum>
  <w:abstractNum w:abstractNumId="154">
    <w:nsid w:val="116AE494"/>
    <w:multiLevelType w:val="hybridMultilevel"/>
    <w:lvl w:ilvl="0">
      <w:lvlJc w:val="left"/>
      <w:lvlText w:val="%1"/>
      <w:numFmt w:val="decimal"/>
      <w:start w:val="1"/>
    </w:lvl>
    <w:lvl w:ilvl="1">
      <w:lvlJc w:val="left"/>
      <w:lvlText w:val="(%2)"/>
      <w:numFmt w:val="lowerLetter"/>
      <w:start w:val="2"/>
    </w:lvl>
  </w:abstractNum>
  <w:abstractNum w:abstractNumId="155">
    <w:nsid w:val="3494B2FB"/>
    <w:multiLevelType w:val="hybridMultilevel"/>
    <w:lvl w:ilvl="0">
      <w:lvlJc w:val="left"/>
      <w:lvlText w:val="%1."/>
      <w:numFmt w:val="decimal"/>
      <w:start w:val="5"/>
    </w:lvl>
    <w:lvl w:ilvl="1">
      <w:lvlJc w:val="left"/>
      <w:lvlText w:val="%2"/>
      <w:numFmt w:val="lowerLetter"/>
      <w:start w:val="1"/>
    </w:lvl>
  </w:abstractNum>
  <w:abstractNum w:abstractNumId="156">
    <w:nsid w:val="B13A31"/>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lvl w:ilvl="3">
      <w:lvlJc w:val="left"/>
      <w:lvlText w:val="%4"/>
      <w:numFmt w:val="lowerLetter"/>
      <w:start w:val="1"/>
    </w:lvl>
  </w:abstractNum>
  <w:abstractNum w:abstractNumId="157">
    <w:nsid w:val="64429599"/>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158">
    <w:nsid w:val="631F1690"/>
    <w:multiLevelType w:val="hybridMultilevel"/>
    <w:lvl w:ilvl="0">
      <w:lvlJc w:val="left"/>
      <w:lvlText w:val="%1"/>
      <w:numFmt w:val="decimal"/>
      <w:start w:val="1"/>
    </w:lvl>
    <w:lvl w:ilvl="1">
      <w:lvlJc w:val="left"/>
      <w:lvlText w:val="(%2)"/>
      <w:numFmt w:val="lowerLetter"/>
      <w:start w:val="2"/>
    </w:lvl>
  </w:abstractNum>
  <w:abstractNum w:abstractNumId="159">
    <w:nsid w:val="25973E32"/>
    <w:multiLevelType w:val="hybridMultilevel"/>
    <w:lvl w:ilvl="0">
      <w:lvlJc w:val="left"/>
      <w:lvlText w:val="%1."/>
      <w:numFmt w:val="decimal"/>
      <w:start w:val="8"/>
    </w:lvl>
    <w:lvl w:ilvl="1">
      <w:lvlJc w:val="left"/>
      <w:lvlText w:val="%2"/>
      <w:numFmt w:val="lowerLetter"/>
      <w:start w:val="1"/>
    </w:lvl>
  </w:abstractNum>
  <w:abstractNum w:abstractNumId="160">
    <w:nsid w:val="EAD6F57"/>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61">
    <w:nsid w:val="6EC9D84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62">
    <w:nsid w:val="5C49EAEE"/>
    <w:multiLevelType w:val="hybridMultilevel"/>
    <w:lvl w:ilvl="0">
      <w:lvlJc w:val="left"/>
      <w:lvlText w:val="(%1)"/>
      <w:numFmt w:val="lowerLetter"/>
      <w:start w:val="8"/>
    </w:lvl>
  </w:abstractNum>
  <w:abstractNum w:abstractNumId="163">
    <w:nsid w:val="64AF49B"/>
    <w:multiLevelType w:val="hybridMultilevel"/>
    <w:lvl w:ilvl="0">
      <w:lvlJc w:val="left"/>
      <w:lvlText w:val="(%1)"/>
      <w:numFmt w:val="lowerLetter"/>
      <w:start w:val="1"/>
    </w:lvl>
  </w:abstractNum>
  <w:abstractNum w:abstractNumId="164">
    <w:nsid w:val="397C46BC"/>
    <w:multiLevelType w:val="hybridMultilevel"/>
    <w:lvl w:ilvl="0">
      <w:lvlJc w:val="left"/>
      <w:lvlText w:val="(%1)"/>
      <w:numFmt w:val="lowerLetter"/>
      <w:start w:val="2"/>
    </w:lvl>
  </w:abstractNum>
  <w:abstractNum w:abstractNumId="165">
    <w:nsid w:val="7E448DE9"/>
    <w:multiLevelType w:val="hybridMultilevel"/>
    <w:lvl w:ilvl="0">
      <w:lvlJc w:val="left"/>
      <w:lvlText w:val="(%1)"/>
      <w:numFmt w:val="lowerLetter"/>
      <w:start w:val="1"/>
    </w:lvl>
  </w:abstractNum>
  <w:abstractNum w:abstractNumId="166">
    <w:nsid w:val="5A9CC3E5"/>
    <w:multiLevelType w:val="hybridMultilevel"/>
    <w:lvl w:ilvl="0">
      <w:lvlJc w:val="left"/>
      <w:lvlText w:val="(%1)"/>
      <w:numFmt w:val="lowerLetter"/>
      <w:start w:val="5"/>
    </w:lvl>
  </w:abstractNum>
  <w:abstractNum w:abstractNumId="167">
    <w:nsid w:val="1AFE3625"/>
    <w:multiLevelType w:val="hybridMultilevel"/>
    <w:lvl w:ilvl="0">
      <w:lvlJc w:val="left"/>
      <w:lvlText w:val="(%1)"/>
      <w:numFmt w:val="lowerLetter"/>
      <w:start w:val="1"/>
    </w:lvl>
    <w:lvl w:ilvl="1">
      <w:lvlJc w:val="left"/>
      <w:lvlText w:val="(%2)"/>
      <w:numFmt w:val="lowerLetter"/>
      <w:start w:val="11"/>
    </w:lvl>
  </w:abstractNum>
  <w:abstractNum w:abstractNumId="168">
    <w:nsid w:val="3CA88ECF"/>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169">
    <w:nsid w:val="6EBE4208"/>
    <w:multiLevelType w:val="hybridMultilevel"/>
    <w:lvl w:ilvl="0">
      <w:lvlJc w:val="left"/>
      <w:lvlText w:val="%1"/>
      <w:numFmt w:val="decimal"/>
      <w:start w:val="100"/>
    </w:lvl>
    <w:lvl w:ilvl="1">
      <w:lvlJc w:val="left"/>
      <w:lvlText w:val="%2"/>
      <w:numFmt w:val="upperLetter"/>
      <w:start w:val="1"/>
    </w:lvl>
    <w:lvl w:ilvl="2">
      <w:lvlJc w:val="left"/>
      <w:lvlText w:val="%3."/>
      <w:numFmt w:val="upperLetter"/>
      <w:start w:val="2"/>
    </w:lvl>
  </w:abstractNum>
  <w:abstractNum w:abstractNumId="170">
    <w:nsid w:val="C058DF5"/>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171">
    <w:nsid w:val="CBE5BE9"/>
    <w:multiLevelType w:val="hybridMultilevel"/>
    <w:lvl w:ilvl="0">
      <w:lvlJc w:val="left"/>
      <w:lvlText w:val="%1."/>
      <w:numFmt w:val="upperLetter"/>
      <w:start w:val="3"/>
    </w:lvl>
  </w:abstractNum>
  <w:abstractNum w:abstractNumId="172">
    <w:nsid w:val="3102BBE2"/>
    <w:multiLevelType w:val="hybridMultilevel"/>
    <w:lvl w:ilvl="0">
      <w:lvlJc w:val="left"/>
      <w:lvlText w:val="%1."/>
      <w:numFmt w:val="upperLetter"/>
      <w:start w:val="4"/>
    </w:lvl>
  </w:abstractNum>
  <w:abstractNum w:abstractNumId="173">
    <w:nsid w:val="26A02C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74">
    <w:nsid w:val="541C8153"/>
    <w:multiLevelType w:val="hybridMultilevel"/>
    <w:lvl w:ilvl="0">
      <w:lvlJc w:val="left"/>
      <w:lvlText w:val="%1"/>
      <w:numFmt w:val="decimal"/>
      <w:start w:val="1"/>
    </w:lvl>
    <w:lvl w:ilvl="1">
      <w:lvlJc w:val="left"/>
      <w:lvlText w:val="%2."/>
      <w:numFmt w:val="lowerLetter"/>
      <w:start w:val="3"/>
    </w:lvl>
  </w:abstractNum>
  <w:abstractNum w:abstractNumId="175">
    <w:nsid w:val="67906F60"/>
    <w:multiLevelType w:val="hybridMultilevel"/>
    <w:lvl w:ilvl="0">
      <w:lvlJc w:val="left"/>
      <w:lvlText w:val="%1."/>
      <w:numFmt w:val="decimal"/>
      <w:start w:val="2"/>
    </w:lvl>
    <w:lvl w:ilvl="1">
      <w:lvlJc w:val="left"/>
      <w:lvlText w:val="%2"/>
      <w:numFmt w:val="lowerLetter"/>
      <w:start w:val="1"/>
    </w:lvl>
  </w:abstractNum>
  <w:abstractNum w:abstractNumId="176">
    <w:nsid w:val="10DB9DAA"/>
    <w:multiLevelType w:val="hybridMultilevel"/>
    <w:lvl w:ilvl="0">
      <w:lvlJc w:val="left"/>
      <w:lvlText w:val="%1."/>
      <w:numFmt w:val="lowerLetter"/>
      <w:start w:val="1"/>
    </w:lvl>
  </w:abstractNum>
  <w:abstractNum w:abstractNumId="177">
    <w:nsid w:val="697D2D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78">
    <w:nsid w:val="6D68AB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9">
    <w:nsid w:val="3A966CD0"/>
    <w:multiLevelType w:val="hybridMultilevel"/>
    <w:lvl w:ilvl="0">
      <w:lvlJc w:val="left"/>
      <w:lvlText w:val="%1."/>
      <w:numFmt w:val="decimal"/>
      <w:start w:val="4"/>
    </w:lvl>
  </w:abstractNum>
  <w:abstractNum w:abstractNumId="180">
    <w:nsid w:val="63F37E85"/>
    <w:multiLevelType w:val="hybridMultilevel"/>
    <w:lvl w:ilvl="0">
      <w:lvlJc w:val="left"/>
      <w:lvlText w:val="%1."/>
      <w:numFmt w:val="decimal"/>
      <w:start w:val="5"/>
    </w:lvl>
  </w:abstractNum>
  <w:abstractNum w:abstractNumId="181">
    <w:nsid w:val="5895F5FA"/>
    <w:multiLevelType w:val="hybridMultilevel"/>
    <w:lvl w:ilvl="0">
      <w:lvlJc w:val="left"/>
      <w:lvlText w:val="%1."/>
      <w:numFmt w:val="decimal"/>
      <w:start w:val="6"/>
    </w:lvl>
  </w:abstractNum>
  <w:abstractNum w:abstractNumId="182">
    <w:nsid w:val="38A5D054"/>
    <w:multiLevelType w:val="hybridMultilevel"/>
    <w:lvl w:ilvl="0">
      <w:lvlJc w:val="left"/>
      <w:lvlText w:val="%1."/>
      <w:numFmt w:val="decimal"/>
      <w:start w:val="7"/>
    </w:lvl>
  </w:abstractNum>
  <w:abstractNum w:abstractNumId="183">
    <w:nsid w:val="F3F09D8"/>
    <w:multiLevelType w:val="hybridMultilevel"/>
    <w:lvl w:ilvl="0">
      <w:lvlJc w:val="left"/>
      <w:lvlText w:val="%1."/>
      <w:numFmt w:val="decimal"/>
      <w:start w:val="8"/>
    </w:lvl>
  </w:abstractNum>
  <w:abstractNum w:abstractNumId="184">
    <w:nsid w:val="4B793735"/>
    <w:multiLevelType w:val="hybridMultilevel"/>
    <w:lvl w:ilvl="0">
      <w:lvlJc w:val="left"/>
      <w:lvlText w:val="%1."/>
      <w:numFmt w:val="decimal"/>
      <w:start w:val="9"/>
    </w:lvl>
  </w:abstractNum>
  <w:abstractNum w:abstractNumId="185">
    <w:nsid w:val="4A10B4E8"/>
    <w:multiLevelType w:val="hybridMultilevel"/>
    <w:lvl w:ilvl="0">
      <w:lvlJc w:val="left"/>
      <w:lvlText w:val="%1."/>
      <w:numFmt w:val="upperLetter"/>
      <w:start w:val="1"/>
    </w:lvl>
  </w:abstractNum>
  <w:abstractNum w:abstractNumId="186">
    <w:nsid w:val="43D3BCD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87">
    <w:nsid w:val="4C2A7166"/>
    <w:multiLevelType w:val="hybridMultilevel"/>
    <w:lvl w:ilvl="0">
      <w:lvlJc w:val="left"/>
      <w:lvlText w:val="%1."/>
      <w:numFmt w:val="decimal"/>
      <w:start w:val="2"/>
    </w:lvl>
  </w:abstractNum>
  <w:abstractNum w:abstractNumId="188">
    <w:nsid w:val="2E534A82"/>
    <w:multiLevelType w:val="hybridMultilevel"/>
    <w:lvl w:ilvl="0">
      <w:lvlJc w:val="left"/>
      <w:lvlText w:val="%1."/>
      <w:numFmt w:val="decimal"/>
      <w:start w:val="3"/>
    </w:lvl>
  </w:abstractNum>
  <w:abstractNum w:abstractNumId="189">
    <w:nsid w:val="26F2D364"/>
    <w:multiLevelType w:val="hybridMultilevel"/>
    <w:lvl w:ilvl="0">
      <w:lvlJc w:val="left"/>
      <w:lvlText w:val="%1."/>
      <w:numFmt w:val="lowerLetter"/>
      <w:start w:val="5"/>
    </w:lvl>
  </w:abstractNum>
  <w:abstractNum w:abstractNumId="190">
    <w:nsid w:val="71C1AF98"/>
    <w:multiLevelType w:val="hybridMultilevel"/>
    <w:lvl w:ilvl="0">
      <w:lvlJc w:val="left"/>
      <w:lvlText w:val="%1."/>
      <w:numFmt w:val="lowerLetter"/>
      <w:start w:val="13"/>
    </w:lvl>
  </w:abstractNum>
  <w:abstractNum w:abstractNumId="191">
    <w:nsid w:val="3D00B9D9"/>
    <w:multiLevelType w:val="hybridMultilevel"/>
    <w:lvl w:ilvl="0">
      <w:lvlJc w:val="left"/>
      <w:lvlText w:val="%1."/>
      <w:numFmt w:val="upperLetter"/>
      <w:start w:val="3"/>
    </w:lvl>
  </w:abstractNum>
  <w:abstractNum w:abstractNumId="192">
    <w:nsid w:val="15BCABA8"/>
    <w:multiLevelType w:val="hybridMultilevel"/>
    <w:lvl w:ilvl="0">
      <w:lvlJc w:val="left"/>
      <w:lvlText w:val="%1."/>
      <w:numFmt w:val="upperLetter"/>
      <w:start w:val="4"/>
    </w:lvl>
  </w:abstractNum>
  <w:abstractNum w:abstractNumId="193">
    <w:nsid w:val="4E0B9A87"/>
    <w:multiLevelType w:val="hybridMultilevel"/>
    <w:lvl w:ilvl="0">
      <w:lvlJc w:val="left"/>
      <w:lvlText w:val="%1."/>
      <w:numFmt w:val="decimal"/>
      <w:start w:val="4"/>
    </w:lvl>
  </w:abstractNum>
  <w:abstractNum w:abstractNumId="194">
    <w:nsid w:val="434BAE75"/>
    <w:multiLevelType w:val="hybridMultilevel"/>
    <w:lvl w:ilvl="0">
      <w:lvlJc w:val="left"/>
      <w:lvlText w:val="%1."/>
      <w:numFmt w:val="upperLetter"/>
      <w:start w:val="5"/>
    </w:lvl>
    <w:lvl w:ilvl="1">
      <w:lvlJc w:val="left"/>
      <w:lvlText w:val="%2."/>
      <w:numFmt w:val="decimal"/>
      <w:start w:val="8"/>
    </w:lvl>
  </w:abstractNum>
  <w:abstractNum w:abstractNumId="195">
    <w:nsid w:val="4F38F265"/>
    <w:multiLevelType w:val="hybridMultilevel"/>
    <w:lvl w:ilvl="0">
      <w:lvlJc w:val="left"/>
      <w:lvlText w:val="%1"/>
      <w:numFmt w:val="upperLetter"/>
      <w:start w:val="1"/>
    </w:lvl>
    <w:lvl w:ilvl="1">
      <w:lvlJc w:val="left"/>
      <w:lvlText w:val="%2."/>
      <w:numFmt w:val="decimal"/>
      <w:start w:val="9"/>
    </w:lvl>
  </w:abstractNum>
  <w:abstractNum w:abstractNumId="196">
    <w:nsid w:val="4C502870"/>
    <w:multiLevelType w:val="hybridMultilevel"/>
    <w:lvl w:ilvl="0">
      <w:lvlJc w:val="left"/>
      <w:lvlText w:val="%1."/>
      <w:numFmt w:val="upperLetter"/>
      <w:start w:val="6"/>
    </w:lvl>
    <w:lvl w:ilvl="1">
      <w:lvlJc w:val="left"/>
      <w:lvlText w:val="%2"/>
      <w:numFmt w:val="decimal"/>
      <w:start w:val="1"/>
    </w:lvl>
  </w:abstractNum>
  <w:abstractNum w:abstractNumId="197">
    <w:nsid w:val="1DE8725A"/>
    <w:multiLevelType w:val="hybridMultilevel"/>
    <w:lvl w:ilvl="0">
      <w:lvlJc w:val="left"/>
      <w:lvlText w:val="%1."/>
      <w:numFmt w:val="decimal"/>
      <w:start w:val="11"/>
    </w:lvl>
  </w:abstractNum>
  <w:abstractNum w:abstractNumId="198">
    <w:nsid w:val="6A37288A"/>
    <w:multiLevelType w:val="hybridMultilevel"/>
    <w:lvl w:ilvl="0">
      <w:lvlJc w:val="left"/>
      <w:lvlText w:val="%1"/>
      <w:numFmt w:val="upperLetter"/>
      <w:start w:val="1"/>
    </w:lvl>
    <w:lvl w:ilvl="1">
      <w:lvlJc w:val="left"/>
      <w:lvlText w:val="%2."/>
      <w:numFmt w:val="decimal"/>
      <w:start w:val="13"/>
    </w:lvl>
  </w:abstractNum>
  <w:abstractNum w:abstractNumId="199">
    <w:nsid w:val="8F8B73F"/>
    <w:multiLevelType w:val="hybridMultilevel"/>
    <w:lvl w:ilvl="0">
      <w:lvlJc w:val="left"/>
      <w:lvlText w:val="%1."/>
      <w:numFmt w:val="upperLetter"/>
      <w:start w:val="7"/>
    </w:lvl>
    <w:lvl w:ilvl="1">
      <w:lvlJc w:val="left"/>
      <w:lvlText w:val="%2"/>
      <w:numFmt w:val="decimal"/>
      <w:start w:val="1"/>
    </w:lvl>
  </w:abstractNum>
  <w:abstractNum w:abstractNumId="200">
    <w:nsid w:val="CA6B462"/>
    <w:multiLevelType w:val="hybridMultilevel"/>
    <w:lvl w:ilvl="0">
      <w:lvlJc w:val="left"/>
      <w:lvlText w:val="%1."/>
      <w:numFmt w:val="upperLetter"/>
      <w:start w:val="8"/>
    </w:lvl>
  </w:abstractNum>
  <w:abstractNum w:abstractNumId="201">
    <w:nsid w:val="763CB680"/>
    <w:multiLevelType w:val="hybridMultilevel"/>
    <w:lvl w:ilvl="0">
      <w:lvlJc w:val="left"/>
      <w:lvlText w:val="%1."/>
      <w:numFmt w:val="decimal"/>
      <w:start w:val="15"/>
    </w:lvl>
  </w:abstractNum>
  <w:abstractNum w:abstractNumId="202">
    <w:nsid w:val="15B71329"/>
    <w:multiLevelType w:val="hybridMultilevel"/>
    <w:lvl w:ilvl="0">
      <w:lvlJc w:val="left"/>
      <w:lvlText w:val="%1."/>
      <w:numFmt w:val="decimal"/>
      <w:start w:val="16"/>
    </w:lvl>
  </w:abstractNum>
  <w:abstractNum w:abstractNumId="203">
    <w:nsid w:val="3DA97044"/>
    <w:multiLevelType w:val="hybridMultilevel"/>
    <w:lvl w:ilvl="0">
      <w:lvlJc w:val="left"/>
      <w:lvlText w:val="%1."/>
      <w:numFmt w:val="decimal"/>
      <w:start w:val="17"/>
    </w:lvl>
  </w:abstractNum>
  <w:abstractNum w:abstractNumId="204">
    <w:nsid w:val="1CDCE2DE"/>
    <w:multiLevelType w:val="hybridMultilevel"/>
    <w:lvl w:ilvl="0">
      <w:lvlJc w:val="left"/>
      <w:lvlText w:val="%1."/>
      <w:numFmt w:val="upperLetter"/>
      <w:start w:val="9"/>
    </w:lvl>
  </w:abstractNum>
  <w:abstractNum w:abstractNumId="205">
    <w:nsid w:val="69D3947C"/>
    <w:multiLevelType w:val="hybridMultilevel"/>
    <w:lvl w:ilvl="0">
      <w:lvlJc w:val="left"/>
      <w:lvlText w:val="%1."/>
      <w:numFmt w:val="upperLetter"/>
      <w:start w:val="10"/>
    </w:lvl>
  </w:abstractNum>
  <w:abstractNum w:abstractNumId="206">
    <w:nsid w:val="2539DFA5"/>
    <w:multiLevelType w:val="hybridMultilevel"/>
    <w:lvl w:ilvl="0">
      <w:lvlJc w:val="left"/>
      <w:lvlText w:val="%1."/>
      <w:numFmt w:val="upperLetter"/>
      <w:start w:val="11"/>
    </w:lvl>
  </w:abstractNum>
  <w:abstractNum w:abstractNumId="207">
    <w:nsid w:val="2DB88089"/>
    <w:multiLevelType w:val="hybridMultilevel"/>
    <w:lvl w:ilvl="0">
      <w:lvlJc w:val="left"/>
      <w:lvlText w:val="%1."/>
      <w:numFmt w:val="upperLetter"/>
      <w:start w:val="12"/>
    </w:lvl>
  </w:abstractNum>
  <w:abstractNum w:abstractNumId="208">
    <w:nsid w:val="706B674E"/>
    <w:multiLevelType w:val="hybridMultilevel"/>
    <w:lvl w:ilvl="0">
      <w:lvlJc w:val="left"/>
      <w:lvlText w:val="%1."/>
      <w:numFmt w:val="upperLetter"/>
      <w:start w:val="13"/>
    </w:lvl>
  </w:abstractNum>
  <w:abstractNum w:abstractNumId="209">
    <w:nsid w:val="2C106A57"/>
    <w:multiLevelType w:val="hybridMultilevel"/>
    <w:lvl w:ilvl="0">
      <w:lvlJc w:val="left"/>
      <w:lvlText w:val="%1."/>
      <w:numFmt w:val="upperLetter"/>
      <w:start w:val="14"/>
    </w:lvl>
  </w:abstractNum>
  <w:abstractNum w:abstractNumId="210">
    <w:nsid w:val="684EED5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1">
    <w:nsid w:val="545EE5D3"/>
    <w:multiLevelType w:val="hybridMultilevel"/>
    <w:lvl w:ilvl="0">
      <w:lvlJc w:val="left"/>
      <w:lvlText w:val="%1."/>
      <w:numFmt w:val="decimal"/>
      <w:start w:val="8"/>
    </w:lvl>
    <w:lvl w:ilvl="1">
      <w:lvlJc w:val="left"/>
      <w:lvlText w:val="%2."/>
      <w:numFmt w:val="lowerLetter"/>
      <w:start w:val="1"/>
    </w:lvl>
  </w:abstractNum>
  <w:abstractNum w:abstractNumId="212">
    <w:nsid w:val="4A66051"/>
    <w:multiLevelType w:val="hybridMultilevel"/>
    <w:lvl w:ilvl="0">
      <w:lvlJc w:val="left"/>
      <w:lvlText w:val="(%1)"/>
      <w:numFmt w:val="decimal"/>
      <w:start w:val="1"/>
    </w:lvl>
  </w:abstractNum>
  <w:abstractNum w:abstractNumId="213">
    <w:nsid w:val="20F4BDAD"/>
    <w:multiLevelType w:val="hybridMultilevel"/>
    <w:lvl w:ilvl="0">
      <w:lvlJc w:val="left"/>
      <w:lvlText w:val="(%1)"/>
      <w:numFmt w:val="decimal"/>
      <w:start w:val="1"/>
    </w:lvl>
    <w:lvl w:ilvl="1">
      <w:lvlJc w:val="left"/>
      <w:lvlText w:val="(%2)"/>
      <w:numFmt w:val="lowerLetter"/>
      <w:start w:val="1"/>
    </w:lvl>
  </w:abstractNum>
  <w:abstractNum w:abstractNumId="214">
    <w:nsid w:val="639DEFAC"/>
    <w:multiLevelType w:val="hybridMultilevel"/>
    <w:lvl w:ilvl="0">
      <w:lvlJc w:val="left"/>
      <w:lvlText w:val="(%1)"/>
      <w:numFmt w:val="decimal"/>
      <w:start w:val="1"/>
    </w:lvl>
    <w:lvl w:ilvl="1">
      <w:lvlJc w:val="left"/>
      <w:lvlText w:val="(%2)"/>
      <w:numFmt w:val="lowerLetter"/>
      <w:start w:val="1"/>
    </w:lvl>
  </w:abstractNum>
  <w:abstractNum w:abstractNumId="215">
    <w:nsid w:val="501F9786"/>
    <w:multiLevelType w:val="hybridMultilevel"/>
    <w:lvl w:ilvl="0">
      <w:lvlJc w:val="left"/>
      <w:lvlText w:val="(%1)"/>
      <w:numFmt w:val="decimal"/>
      <w:start w:val="1"/>
    </w:lvl>
  </w:abstractNum>
  <w:abstractNum w:abstractNumId="216">
    <w:nsid w:val="6B0572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85" Type="http://schemas.openxmlformats.org/officeDocument/2006/relationships/image" Target="media/image368.png"/><Relationship Id="rId386" Type="http://schemas.openxmlformats.org/officeDocument/2006/relationships/image" Target="media/image369.png"/><Relationship Id="rId395" Type="http://schemas.openxmlformats.org/officeDocument/2006/relationships/image" Target="media/image370.png"/><Relationship Id="rId396" Type="http://schemas.openxmlformats.org/officeDocument/2006/relationships/image" Target="media/image371.png"/><Relationship Id="rId412" Type="http://schemas.openxmlformats.org/officeDocument/2006/relationships/image" Target="media/image372.png"/><Relationship Id="rId415" Type="http://schemas.openxmlformats.org/officeDocument/2006/relationships/image" Target="media/image373.png"/><Relationship Id="rId416" Type="http://schemas.openxmlformats.org/officeDocument/2006/relationships/image" Target="media/image374.png"/><Relationship Id="rId417" Type="http://schemas.openxmlformats.org/officeDocument/2006/relationships/image" Target="media/image375.png"/><Relationship Id="rId418" Type="http://schemas.openxmlformats.org/officeDocument/2006/relationships/image" Target="media/image376.png"/><Relationship Id="rId419" Type="http://schemas.openxmlformats.org/officeDocument/2006/relationships/image" Target="media/image377.png"/><Relationship Id="rId420" Type="http://schemas.openxmlformats.org/officeDocument/2006/relationships/image" Target="media/image378.png"/><Relationship Id="rId421" Type="http://schemas.openxmlformats.org/officeDocument/2006/relationships/image" Target="media/image379.png"/><Relationship Id="rId422" Type="http://schemas.openxmlformats.org/officeDocument/2006/relationships/image" Target="media/image380.png"/><Relationship Id="rId423" Type="http://schemas.openxmlformats.org/officeDocument/2006/relationships/image" Target="media/image381.png"/><Relationship Id="rId424" Type="http://schemas.openxmlformats.org/officeDocument/2006/relationships/image" Target="media/image382.png"/><Relationship Id="rId425" Type="http://schemas.openxmlformats.org/officeDocument/2006/relationships/image" Target="media/image383.png"/><Relationship Id="rId426" Type="http://schemas.openxmlformats.org/officeDocument/2006/relationships/image" Target="media/image384.png"/><Relationship Id="rId427" Type="http://schemas.openxmlformats.org/officeDocument/2006/relationships/image" Target="media/image385.png"/><Relationship Id="rId428" Type="http://schemas.openxmlformats.org/officeDocument/2006/relationships/image" Target="media/image386.png"/><Relationship Id="rId429" Type="http://schemas.openxmlformats.org/officeDocument/2006/relationships/image" Target="media/image387.png"/><Relationship Id="rId430" Type="http://schemas.openxmlformats.org/officeDocument/2006/relationships/image" Target="media/image388.png"/><Relationship Id="rId431" Type="http://schemas.openxmlformats.org/officeDocument/2006/relationships/image" Target="media/image389.png"/><Relationship Id="rId432" Type="http://schemas.openxmlformats.org/officeDocument/2006/relationships/image" Target="media/image390.png"/><Relationship Id="rId433" Type="http://schemas.openxmlformats.org/officeDocument/2006/relationships/image" Target="media/image391.png"/><Relationship Id="rId434" Type="http://schemas.openxmlformats.org/officeDocument/2006/relationships/image" Target="media/image392.png"/><Relationship Id="rId435" Type="http://schemas.openxmlformats.org/officeDocument/2006/relationships/image" Target="media/image393.png"/><Relationship Id="rId436" Type="http://schemas.openxmlformats.org/officeDocument/2006/relationships/image" Target="media/image394.png"/><Relationship Id="rId437" Type="http://schemas.openxmlformats.org/officeDocument/2006/relationships/image" Target="media/image395.png"/><Relationship Id="rId438" Type="http://schemas.openxmlformats.org/officeDocument/2006/relationships/image" Target="media/image396.png"/><Relationship Id="rId439" Type="http://schemas.openxmlformats.org/officeDocument/2006/relationships/image" Target="media/image397.png"/><Relationship Id="rId440" Type="http://schemas.openxmlformats.org/officeDocument/2006/relationships/image" Target="media/image398.png"/><Relationship Id="rId441" Type="http://schemas.openxmlformats.org/officeDocument/2006/relationships/image" Target="media/image399.png"/><Relationship Id="rId442" Type="http://schemas.openxmlformats.org/officeDocument/2006/relationships/image" Target="media/image400.png"/><Relationship Id="rId443" Type="http://schemas.openxmlformats.org/officeDocument/2006/relationships/image" Target="media/image401.png"/><Relationship Id="rId444" Type="http://schemas.openxmlformats.org/officeDocument/2006/relationships/image" Target="media/image402.png"/><Relationship Id="rId445" Type="http://schemas.openxmlformats.org/officeDocument/2006/relationships/image" Target="media/image403.png"/><Relationship Id="rId446" Type="http://schemas.openxmlformats.org/officeDocument/2006/relationships/image" Target="media/image404.png"/><Relationship Id="rId447" Type="http://schemas.openxmlformats.org/officeDocument/2006/relationships/image" Target="media/image405.png"/><Relationship Id="rId448" Type="http://schemas.openxmlformats.org/officeDocument/2006/relationships/image" Target="media/image406.png"/><Relationship Id="rId449" Type="http://schemas.openxmlformats.org/officeDocument/2006/relationships/image" Target="media/image407.png"/><Relationship Id="rId450" Type="http://schemas.openxmlformats.org/officeDocument/2006/relationships/image" Target="media/image408.png"/><Relationship Id="rId451" Type="http://schemas.openxmlformats.org/officeDocument/2006/relationships/image" Target="media/image409.png"/><Relationship Id="rId452" Type="http://schemas.openxmlformats.org/officeDocument/2006/relationships/image" Target="media/image410.png"/><Relationship Id="rId453" Type="http://schemas.openxmlformats.org/officeDocument/2006/relationships/image" Target="media/image411.png"/><Relationship Id="rId454" Type="http://schemas.openxmlformats.org/officeDocument/2006/relationships/image" Target="media/image412.png"/><Relationship Id="rId455" Type="http://schemas.openxmlformats.org/officeDocument/2006/relationships/image" Target="media/image413.png"/><Relationship Id="rId456" Type="http://schemas.openxmlformats.org/officeDocument/2006/relationships/image" Target="media/image414.png"/><Relationship Id="rId457" Type="http://schemas.openxmlformats.org/officeDocument/2006/relationships/image" Target="media/image415.png"/><Relationship Id="rId458" Type="http://schemas.openxmlformats.org/officeDocument/2006/relationships/image" Target="media/image416.png"/><Relationship Id="rId459" Type="http://schemas.openxmlformats.org/officeDocument/2006/relationships/image" Target="media/image417.png"/><Relationship Id="rId460" Type="http://schemas.openxmlformats.org/officeDocument/2006/relationships/image" Target="media/image418.png"/><Relationship Id="rId461" Type="http://schemas.openxmlformats.org/officeDocument/2006/relationships/image" Target="media/image419.png"/><Relationship Id="rId462" Type="http://schemas.openxmlformats.org/officeDocument/2006/relationships/image" Target="media/image420.png"/><Relationship Id="rId463" Type="http://schemas.openxmlformats.org/officeDocument/2006/relationships/image" Target="media/image421.png"/><Relationship Id="rId464" Type="http://schemas.openxmlformats.org/officeDocument/2006/relationships/image" Target="media/image422.png"/><Relationship Id="rId465" Type="http://schemas.openxmlformats.org/officeDocument/2006/relationships/image" Target="media/image423.png"/><Relationship Id="rId466" Type="http://schemas.openxmlformats.org/officeDocument/2006/relationships/image" Target="media/image424.png"/><Relationship Id="rId467" Type="http://schemas.openxmlformats.org/officeDocument/2006/relationships/image" Target="media/image425.png"/><Relationship Id="rId468" Type="http://schemas.openxmlformats.org/officeDocument/2006/relationships/image" Target="media/image426.png"/><Relationship Id="rId469" Type="http://schemas.openxmlformats.org/officeDocument/2006/relationships/image" Target="media/image427.png"/><Relationship Id="rId470" Type="http://schemas.openxmlformats.org/officeDocument/2006/relationships/image" Target="media/image428.png"/><Relationship Id="rId471" Type="http://schemas.openxmlformats.org/officeDocument/2006/relationships/image" Target="media/image429.png"/><Relationship Id="rId472" Type="http://schemas.openxmlformats.org/officeDocument/2006/relationships/image" Target="media/image430.png"/><Relationship Id="rId473" Type="http://schemas.openxmlformats.org/officeDocument/2006/relationships/image" Target="media/image431.png"/><Relationship Id="rId474" Type="http://schemas.openxmlformats.org/officeDocument/2006/relationships/image" Target="media/image432.png"/><Relationship Id="rId475" Type="http://schemas.openxmlformats.org/officeDocument/2006/relationships/image" Target="media/image433.png"/><Relationship Id="rId476" Type="http://schemas.openxmlformats.org/officeDocument/2006/relationships/image" Target="media/image434.png"/><Relationship Id="rId477" Type="http://schemas.openxmlformats.org/officeDocument/2006/relationships/image" Target="media/image435.png"/><Relationship Id="rId478" Type="http://schemas.openxmlformats.org/officeDocument/2006/relationships/image" Target="media/image436.png"/><Relationship Id="rId479" Type="http://schemas.openxmlformats.org/officeDocument/2006/relationships/image" Target="media/image437.png"/><Relationship Id="rId480" Type="http://schemas.openxmlformats.org/officeDocument/2006/relationships/image" Target="media/image438.png"/><Relationship Id="rId481" Type="http://schemas.openxmlformats.org/officeDocument/2006/relationships/image" Target="media/image439.png"/><Relationship Id="rId482" Type="http://schemas.openxmlformats.org/officeDocument/2006/relationships/image" Target="media/image440.png"/><Relationship Id="rId483" Type="http://schemas.openxmlformats.org/officeDocument/2006/relationships/image" Target="media/image441.png"/><Relationship Id="rId484" Type="http://schemas.openxmlformats.org/officeDocument/2006/relationships/image" Target="media/image442.png"/><Relationship Id="rId485" Type="http://schemas.openxmlformats.org/officeDocument/2006/relationships/image" Target="media/image443.png"/><Relationship Id="rId486" Type="http://schemas.openxmlformats.org/officeDocument/2006/relationships/image" Target="media/image444.png"/><Relationship Id="rId487" Type="http://schemas.openxmlformats.org/officeDocument/2006/relationships/image" Target="media/image445.png"/><Relationship Id="rId488" Type="http://schemas.openxmlformats.org/officeDocument/2006/relationships/image" Target="media/image446.png"/><Relationship Id="rId489" Type="http://schemas.openxmlformats.org/officeDocument/2006/relationships/image" Target="media/image447.png"/><Relationship Id="rId490" Type="http://schemas.openxmlformats.org/officeDocument/2006/relationships/image" Target="media/image448.png"/><Relationship Id="rId491" Type="http://schemas.openxmlformats.org/officeDocument/2006/relationships/image" Target="media/image449.png"/><Relationship Id="rId492" Type="http://schemas.openxmlformats.org/officeDocument/2006/relationships/image" Target="media/image450.png"/><Relationship Id="rId493" Type="http://schemas.openxmlformats.org/officeDocument/2006/relationships/image" Target="media/image451.png"/><Relationship Id="rId494" Type="http://schemas.openxmlformats.org/officeDocument/2006/relationships/image" Target="media/image452.png"/><Relationship Id="rId495" Type="http://schemas.openxmlformats.org/officeDocument/2006/relationships/image" Target="media/image453.png"/><Relationship Id="rId496" Type="http://schemas.openxmlformats.org/officeDocument/2006/relationships/image" Target="media/image454.png"/><Relationship Id="rId497" Type="http://schemas.openxmlformats.org/officeDocument/2006/relationships/image" Target="media/image455.png"/><Relationship Id="rId498" Type="http://schemas.openxmlformats.org/officeDocument/2006/relationships/image" Target="media/image456.png"/><Relationship Id="rId499" Type="http://schemas.openxmlformats.org/officeDocument/2006/relationships/image" Target="media/image457.png"/><Relationship Id="rId500" Type="http://schemas.openxmlformats.org/officeDocument/2006/relationships/image" Target="media/image458.png"/><Relationship Id="rId501" Type="http://schemas.openxmlformats.org/officeDocument/2006/relationships/image" Target="media/image459.png"/><Relationship Id="rId502" Type="http://schemas.openxmlformats.org/officeDocument/2006/relationships/image" Target="media/image460.png"/><Relationship Id="rId503" Type="http://schemas.openxmlformats.org/officeDocument/2006/relationships/image" Target="media/image461.png"/><Relationship Id="rId504" Type="http://schemas.openxmlformats.org/officeDocument/2006/relationships/image" Target="media/image462.png"/><Relationship Id="rId505" Type="http://schemas.openxmlformats.org/officeDocument/2006/relationships/image" Target="media/image463.png"/><Relationship Id="rId506" Type="http://schemas.openxmlformats.org/officeDocument/2006/relationships/image" Target="media/image464.png"/><Relationship Id="rId507" Type="http://schemas.openxmlformats.org/officeDocument/2006/relationships/image" Target="media/image465.png"/><Relationship Id="rId508" Type="http://schemas.openxmlformats.org/officeDocument/2006/relationships/image" Target="media/image466.png"/><Relationship Id="rId509" Type="http://schemas.openxmlformats.org/officeDocument/2006/relationships/image" Target="media/image467.png"/><Relationship Id="rId510" Type="http://schemas.openxmlformats.org/officeDocument/2006/relationships/image" Target="media/image468.png"/><Relationship Id="rId511" Type="http://schemas.openxmlformats.org/officeDocument/2006/relationships/image" Target="media/image469.png"/><Relationship Id="rId512" Type="http://schemas.openxmlformats.org/officeDocument/2006/relationships/image" Target="media/image470.png"/><Relationship Id="rId513" Type="http://schemas.openxmlformats.org/officeDocument/2006/relationships/image" Target="media/image471.png"/><Relationship Id="rId514" Type="http://schemas.openxmlformats.org/officeDocument/2006/relationships/image" Target="media/image472.png"/><Relationship Id="rId515" Type="http://schemas.openxmlformats.org/officeDocument/2006/relationships/image" Target="media/image473.png"/><Relationship Id="rId516" Type="http://schemas.openxmlformats.org/officeDocument/2006/relationships/image" Target="media/image474.jpeg"/><Relationship Id="rId517" Type="http://schemas.openxmlformats.org/officeDocument/2006/relationships/image" Target="media/image475.png"/><Relationship Id="rId518" Type="http://schemas.openxmlformats.org/officeDocument/2006/relationships/image" Target="media/image476.jpeg"/><Relationship Id="rId519" Type="http://schemas.openxmlformats.org/officeDocument/2006/relationships/image" Target="media/image477.png"/><Relationship Id="rId520" Type="http://schemas.openxmlformats.org/officeDocument/2006/relationships/image" Target="media/image478.png"/><Relationship Id="rId521" Type="http://schemas.openxmlformats.org/officeDocument/2006/relationships/image" Target="media/image479.png"/><Relationship Id="rId522" Type="http://schemas.openxmlformats.org/officeDocument/2006/relationships/image" Target="media/image480.png"/><Relationship Id="rId523" Type="http://schemas.openxmlformats.org/officeDocument/2006/relationships/image" Target="media/image481.png"/><Relationship Id="rId524" Type="http://schemas.openxmlformats.org/officeDocument/2006/relationships/image" Target="media/image482.png"/><Relationship Id="rId525" Type="http://schemas.openxmlformats.org/officeDocument/2006/relationships/image" Target="media/image483.png"/><Relationship Id="rId526" Type="http://schemas.openxmlformats.org/officeDocument/2006/relationships/image" Target="media/image484.png"/><Relationship Id="rId527" Type="http://schemas.openxmlformats.org/officeDocument/2006/relationships/image" Target="media/image485.png"/><Relationship Id="rId528" Type="http://schemas.openxmlformats.org/officeDocument/2006/relationships/image" Target="media/image486.png"/><Relationship Id="rId529" Type="http://schemas.openxmlformats.org/officeDocument/2006/relationships/image" Target="media/image487.png"/><Relationship Id="rId530" Type="http://schemas.openxmlformats.org/officeDocument/2006/relationships/image" Target="media/image488.png"/><Relationship Id="rId531" Type="http://schemas.openxmlformats.org/officeDocument/2006/relationships/image" Target="media/image489.png"/><Relationship Id="rId532" Type="http://schemas.openxmlformats.org/officeDocument/2006/relationships/image" Target="media/image490.png"/><Relationship Id="rId533" Type="http://schemas.openxmlformats.org/officeDocument/2006/relationships/image" Target="media/image491.jpeg"/><Relationship Id="rId534" Type="http://schemas.openxmlformats.org/officeDocument/2006/relationships/image" Target="media/image492.png"/><Relationship Id="rId535" Type="http://schemas.openxmlformats.org/officeDocument/2006/relationships/image" Target="media/image493.png"/><Relationship Id="rId536" Type="http://schemas.openxmlformats.org/officeDocument/2006/relationships/image" Target="media/image494.png"/><Relationship Id="rId537" Type="http://schemas.openxmlformats.org/officeDocument/2006/relationships/image" Target="media/image495.png"/><Relationship Id="rId538" Type="http://schemas.openxmlformats.org/officeDocument/2006/relationships/image" Target="media/image496.png"/><Relationship Id="rId539" Type="http://schemas.openxmlformats.org/officeDocument/2006/relationships/image" Target="media/image497.png"/><Relationship Id="rId540" Type="http://schemas.openxmlformats.org/officeDocument/2006/relationships/image" Target="media/image498.png"/><Relationship Id="rId541" Type="http://schemas.openxmlformats.org/officeDocument/2006/relationships/image" Target="media/image499.png"/><Relationship Id="rId542" Type="http://schemas.openxmlformats.org/officeDocument/2006/relationships/image" Target="media/image500.png"/><Relationship Id="rId543" Type="http://schemas.openxmlformats.org/officeDocument/2006/relationships/image" Target="media/image501.png"/><Relationship Id="rId544" Type="http://schemas.openxmlformats.org/officeDocument/2006/relationships/image" Target="media/image502.png"/><Relationship Id="rId545" Type="http://schemas.openxmlformats.org/officeDocument/2006/relationships/image" Target="media/image503.png"/><Relationship Id="rId546" Type="http://schemas.openxmlformats.org/officeDocument/2006/relationships/image" Target="media/image504.png"/><Relationship Id="rId547" Type="http://schemas.openxmlformats.org/officeDocument/2006/relationships/image" Target="media/image505.png"/><Relationship Id="rId375" Type="http://schemas.openxmlformats.org/officeDocument/2006/relationships/hyperlink" Target="https://www.sec.gov/Archives/edgar/data/1111485/000095017023039081/rxst-ex3_1.htm" TargetMode="External"/><Relationship Id="rId376" Type="http://schemas.openxmlformats.org/officeDocument/2006/relationships/hyperlink" Target="https://www.sec.gov/Archives/edgar/data/1111485/000095017022026362/rxst-ex3_1.htm" TargetMode="External"/><Relationship Id="rId377" Type="http://schemas.openxmlformats.org/officeDocument/2006/relationships/hyperlink" Target="https://www.sec.gov/Archives/edgar/data/0001111485/000119312521223690/d237930dex42.htm" TargetMode="External"/><Relationship Id="rId378" Type="http://schemas.openxmlformats.org/officeDocument/2006/relationships/hyperlink" Target="https://www.sec.gov/Archives/edgar/data/0001111485/000119312521211793/d237930dex101.htm" TargetMode="External"/><Relationship Id="rId379" Type="http://schemas.openxmlformats.org/officeDocument/2006/relationships/hyperlink" Target="https://www.sec.gov/Archives/edgar/data/0001111485/000119312521223690/d237930dex102.htm" TargetMode="External"/><Relationship Id="rId380" Type="http://schemas.openxmlformats.org/officeDocument/2006/relationships/hyperlink" Target="https://www.sec.gov/Archives/edgar/data/1111485/000095017021004155/rxst-ex10_3.htm" TargetMode="External"/><Relationship Id="rId381" Type="http://schemas.openxmlformats.org/officeDocument/2006/relationships/hyperlink" Target="https://www.sec.gov/Archives/edgar/data/0001111485/000119312521211793/d237930dex106.htm" TargetMode="External"/><Relationship Id="rId382" Type="http://schemas.openxmlformats.org/officeDocument/2006/relationships/hyperlink" Target="https://www.sec.gov/Archives/edgar/data/0001111485/000119312521211793/d237930dex108.htm" TargetMode="External"/><Relationship Id="rId383" Type="http://schemas.openxmlformats.org/officeDocument/2006/relationships/hyperlink" Target="https://www.sec.gov/Archives/edgar/data/0001111485/000119312521211793/d237930dex109.htm" TargetMode="External"/><Relationship Id="rId384" Type="http://schemas.openxmlformats.org/officeDocument/2006/relationships/hyperlink" Target="https://www.sec.gov/Archives/edgar/data/1111485/000119312521211793/d237930dex1010.htm" TargetMode="External"/><Relationship Id="rId387" Type="http://schemas.openxmlformats.org/officeDocument/2006/relationships/hyperlink" Target="https://www.sec.gov/Archives/edgar/data/1111485/000095017024090770/rxst-ex10_1.htm" TargetMode="External"/><Relationship Id="rId388" Type="http://schemas.openxmlformats.org/officeDocument/2006/relationships/hyperlink" Target="https://www.sec.gov/Archives/edgar/data/0001111485/000119312521211793/d237930dex1011.htm" TargetMode="External"/><Relationship Id="rId389" Type="http://schemas.openxmlformats.org/officeDocument/2006/relationships/hyperlink" Target="https://www.sec.gov/Archives/edgar/data/1111485/000095017024090770/rxst-ex10_4.htm" TargetMode="External"/><Relationship Id="rId390" Type="http://schemas.openxmlformats.org/officeDocument/2006/relationships/hyperlink" Target="https://www.sec.gov/Archives/edgar/data/1111485/000095017024090770/rxst-ex10_5.htm" TargetMode="External"/><Relationship Id="rId391" Type="http://schemas.openxmlformats.org/officeDocument/2006/relationships/hyperlink" Target="https://www.sec.gov/Archives/edgar/data/0001111485/000119312521211793/d237930dex1012.htm" TargetMode="External"/><Relationship Id="rId392" Type="http://schemas.openxmlformats.org/officeDocument/2006/relationships/hyperlink" Target="https://www.sec.gov/Archives/edgar/data/0001111485/000119312521211793/d237930dex1013.htm" TargetMode="External"/><Relationship Id="rId393" Type="http://schemas.openxmlformats.org/officeDocument/2006/relationships/hyperlink" Target="https://www.sec.gov/Archives/edgar/data/1111485/000095017022007878/rxst-ex10_2.htm" TargetMode="External"/><Relationship Id="rId394" Type="http://schemas.openxmlformats.org/officeDocument/2006/relationships/hyperlink" Target="https://www.sec.gov/Archives/edgar/data/1111485/000095017024090770/rxst-ex10_2.htm" TargetMode="External"/><Relationship Id="rId397" Type="http://schemas.openxmlformats.org/officeDocument/2006/relationships/hyperlink" Target="https://www.sec.gov/Archives/edgar/data/1111485/000095017024090770/rxst-ex10_3.htm" TargetMode="External"/><Relationship Id="rId398" Type="http://schemas.openxmlformats.org/officeDocument/2006/relationships/hyperlink" Target="https://www.sec.gov/Archives/edgar/data/1111485/000095017022007878/rxst-ex10_1.htm" TargetMode="External"/><Relationship Id="rId399" Type="http://schemas.openxmlformats.org/officeDocument/2006/relationships/hyperlink" Target="https://www.sec.gov/Archives/edgar/data/1111485/000095017022015528/rxst-ex10_1.htm" TargetMode="External"/><Relationship Id="rId400" Type="http://schemas.openxmlformats.org/officeDocument/2006/relationships/hyperlink" Target="https://www.sec.gov/Archives/edgar/data/1111485/000095017023006237/rxst-ex10_18.htm" TargetMode="External"/><Relationship Id="rId401" Type="http://schemas.openxmlformats.org/officeDocument/2006/relationships/hyperlink" Target="https://www.sec.gov/Archives/edgar/data/1111485/000095017024123368/rxst-ex10_1.htm" TargetMode="External"/><Relationship Id="rId402" Type="http://schemas.openxmlformats.org/officeDocument/2006/relationships/hyperlink" Target="https://www.sec.gov/Archives/edgar/data/0001111485/000119312521211793/d237930dex1014.htm" TargetMode="External"/><Relationship Id="rId403" Type="http://schemas.openxmlformats.org/officeDocument/2006/relationships/hyperlink" Target="https://www.sec.gov/Archives/edgar/data/0001111485/000119312521211793/d237930dex1015.htm" TargetMode="External"/><Relationship Id="rId404" Type="http://schemas.openxmlformats.org/officeDocument/2006/relationships/hyperlink" Target="https://www.sec.gov/Archives/edgar/data/0001111485/000119312521211793/d237930dex1016.htm" TargetMode="External"/><Relationship Id="rId405" Type="http://schemas.openxmlformats.org/officeDocument/2006/relationships/hyperlink" Target="https://www.sec.gov/Archives/edgar/data/0001111485/000119312521211793/d237930dex1017.htm" TargetMode="External"/><Relationship Id="rId406" Type="http://schemas.openxmlformats.org/officeDocument/2006/relationships/hyperlink" Target="https://www.sec.gov/Archives/edgar/data/0001111485/000119312521211793/d237930dex1018.htm" TargetMode="External"/><Relationship Id="rId407" Type="http://schemas.openxmlformats.org/officeDocument/2006/relationships/hyperlink" Target="https://www.sec.gov/Archives/edgar/data/0001111485/000119312521211793/d237930dex1019.htm" TargetMode="External"/><Relationship Id="rId408" Type="http://schemas.openxmlformats.org/officeDocument/2006/relationships/hyperlink" Target="https://www.sec.gov/Archives/edgar/data/0001111485/000119312521211793/d237930dex1020.htm" TargetMode="External"/><Relationship Id="rId409" Type="http://schemas.openxmlformats.org/officeDocument/2006/relationships/hyperlink" Target="https://www.sec.gov/Archives/edgar/data/0001111485/000119312521211793/d237930dex1021.htm" TargetMode="External"/><Relationship Id="rId410" Type="http://schemas.openxmlformats.org/officeDocument/2006/relationships/hyperlink" Target="https://www.sec.gov/Archives/edgar/data/1111485/000119312522214924/d383901dex12.htm" TargetMode="External"/><Relationship Id="rId411" Type="http://schemas.openxmlformats.org/officeDocument/2006/relationships/hyperlink" Target="https://www.sec.gov/Archives/edgar/data/1111485/000095017023006237/rxst-ex10_35.htm" TargetMode="External"/><Relationship Id="rId413" Type="http://schemas.openxmlformats.org/officeDocument/2006/relationships/hyperlink" Target="https://www.sec.gov/Archives/edgar/data/1111485/000095017022003135/rxst-ex21_1.htm" TargetMode="External"/><Relationship Id="rId414" Type="http://schemas.openxmlformats.org/officeDocument/2006/relationships/hyperlink" Target="https://www.sec.gov/Archives/edgar/data/1111485/000095017024022073/rxs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2025-02-25T15:56:11Z</dcterms:created>
  <dcterms:modified xsi:type="dcterms:W3CDTF">2025-02-25T15:56:11Z</dcterms:modified>
</cp:coreProperties>
</file>