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7046595" cy="45669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566920"/>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Kurtz Ronald M MD</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RXSIGHT,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100 COLUMBIA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RxSight,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RXST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02/27/2026</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997"/>
        <w:spacing w:after="0"/>
        <w:rPr>
          <w:sz w:val="20"/>
          <w:szCs w:val="20"/>
          <w:color w:val="auto"/>
        </w:rPr>
      </w:pPr>
      <w:r>
        <w:rPr>
          <w:rFonts w:ascii="Times New Roman" w:cs="Times New Roman" w:eastAsia="Times New Roman" w:hAnsi="Times New Roman"/>
          <w:sz w:val="17"/>
          <w:szCs w:val="17"/>
          <w:color w:val="0000FF"/>
        </w:rPr>
        <w:t>President &amp; CEO</w:t>
      </w:r>
    </w:p>
    <w:p>
      <w:pPr>
        <w:spacing w:after="0" w:line="411" w:lineRule="exact"/>
        <w:rPr>
          <w:sz w:val="24"/>
          <w:szCs w:val="24"/>
          <w:color w:val="auto"/>
        </w:rPr>
      </w:pPr>
    </w:p>
    <w:p>
      <w:pPr>
        <w:sectPr>
          <w:pgSz w:w="11900" w:h="16838" w:orient="portrait"/>
          <w:cols w:equalWidth="0" w:num="3">
            <w:col w:w="3180" w:space="720"/>
            <w:col w:w="3103" w:space="720"/>
            <w:col w:w="3357"/>
          </w:cols>
          <w:pgMar w:left="460" w:top="217" w:right="359" w:bottom="1440" w:gutter="0" w:footer="0" w:header="0"/>
          <w:type w:val="continuous"/>
        </w:sectPr>
      </w:pPr>
    </w:p>
    <w:p>
      <w:pPr>
        <w:spacing w:after="0" w:line="206"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ALISO VIEJO</w:t>
            </w:r>
          </w:p>
        </w:tc>
        <w:tc>
          <w:tcPr>
            <w:tcW w:w="92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92656</w:t>
            </w:r>
          </w:p>
        </w:tc>
      </w:tr>
      <w:tr>
        <w:trPr>
          <w:trHeight w:val="149"/>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67" w:lineRule="exact"/>
        <w:rPr>
          <w:sz w:val="24"/>
          <w:szCs w:val="24"/>
          <w:color w:val="auto"/>
        </w:rPr>
      </w:pPr>
    </w:p>
    <w:p>
      <w:pPr>
        <w:sectPr>
          <w:pgSz w:w="11900" w:h="16838" w:orient="portrait"/>
          <w:cols w:equalWidth="0" w:num="2">
            <w:col w:w="3740" w:space="16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232"/>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02/27/2026</w:t>
            </w:r>
          </w:p>
        </w:tc>
        <w:tc>
          <w:tcPr>
            <w:tcW w:w="1100" w:type="dxa"/>
            <w:vAlign w:val="bottom"/>
          </w:tcPr>
          <w:p>
            <w:pPr>
              <w:spacing w:after="0"/>
              <w:rPr>
                <w:sz w:val="20"/>
                <w:szCs w:val="20"/>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80,545</w:t>
            </w:r>
          </w:p>
        </w:tc>
        <w:tc>
          <w:tcPr>
            <w:tcW w:w="300" w:type="dxa"/>
            <w:vAlign w:val="bottom"/>
          </w:tcPr>
          <w:p>
            <w:pPr>
              <w:spacing w:after="0"/>
              <w:rPr>
                <w:sz w:val="20"/>
                <w:szCs w:val="20"/>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jc w:val="right"/>
              <w:ind w:right="223"/>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20"/>
                <w:szCs w:val="20"/>
                <w:color w:val="auto"/>
              </w:rPr>
            </w:pPr>
            <w:r>
              <w:rPr>
                <w:rFonts w:ascii="Times New Roman" w:cs="Times New Roman" w:eastAsia="Times New Roman" w:hAnsi="Times New Roman"/>
                <w:sz w:val="17"/>
                <w:szCs w:val="17"/>
                <w:color w:val="0000FF"/>
              </w:rPr>
              <w:t>80,545</w:t>
            </w: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80,545</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20"/>
                <w:szCs w:val="20"/>
                <w:color w:val="auto"/>
              </w:rPr>
            </w:pPr>
          </w:p>
        </w:tc>
      </w:tr>
      <w:tr>
        <w:trPr>
          <w:trHeight w:val="16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the Issuer's Common Stock.</w:t>
      </w:r>
    </w:p>
    <w:p>
      <w:pPr>
        <w:spacing w:after="0" w:line="44" w:lineRule="exact"/>
        <w:rPr>
          <w:rFonts w:ascii="Times New Roman" w:cs="Times New Roman" w:eastAsia="Times New Roman" w:hAnsi="Times New Roman"/>
          <w:sz w:val="13"/>
          <w:szCs w:val="13"/>
          <w:color w:val="008000"/>
        </w:rPr>
      </w:pPr>
    </w:p>
    <w:p>
      <w:pPr>
        <w:ind w:left="40" w:right="30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Subject to the Reporting Person continuing to be a Service Provider (as defined in the Issuer's 2021 Equity Incentive Plan (the "Plan")) through each applicable date, one-sixth (1/6th) of the RSUs subject to the award shall vest on the first Trading Day (as defined in the Plan) on or after each of August 31, 2026, February 28, 2027, August 31, 2027, February 28, 2028, August 31, 2028 and February 28, 2029.</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24 - Power of Attorney</w:t>
      </w:r>
    </w:p>
    <w:p>
      <w:pPr>
        <w:spacing w:after="0" w:line="35"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Jim Schindler, as Attorney-</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03/03/2026</w:t>
            </w:r>
          </w:p>
        </w:tc>
        <w:tc>
          <w:tcPr>
            <w:tcW w:w="0" w:type="dxa"/>
            <w:vAlign w:val="bottom"/>
          </w:tcPr>
          <w:p>
            <w:pPr>
              <w:spacing w:after="0"/>
              <w:rPr>
                <w:sz w:val="1"/>
                <w:szCs w:val="1"/>
                <w:color w:val="auto"/>
              </w:rPr>
            </w:pPr>
          </w:p>
        </w:tc>
      </w:tr>
      <w:tr>
        <w:trPr>
          <w:trHeight w:val="88"/>
        </w:trPr>
        <w:tc>
          <w:tcPr>
            <w:tcW w:w="480" w:type="dxa"/>
            <w:vAlign w:val="bottom"/>
            <w:vMerge w:val="restart"/>
          </w:tcPr>
          <w:p>
            <w:pPr>
              <w:spacing w:after="0" w:line="187" w:lineRule="exact"/>
              <w:rPr>
                <w:sz w:val="20"/>
                <w:szCs w:val="20"/>
                <w:color w:val="auto"/>
              </w:rPr>
            </w:pPr>
            <w:r>
              <w:rPr>
                <w:rFonts w:ascii="Times New Roman" w:cs="Times New Roman" w:eastAsia="Times New Roman" w:hAnsi="Times New Roman"/>
                <w:sz w:val="17"/>
                <w:szCs w:val="17"/>
                <w:color w:val="0000FF"/>
                <w:w w:val="95"/>
              </w:rPr>
              <w:t>in-Fact</w:t>
            </w:r>
          </w:p>
        </w:tc>
        <w:tc>
          <w:tcPr>
            <w:tcW w:w="172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480" w:type="dxa"/>
            <w:vAlign w:val="bottom"/>
            <w:tcBorders>
              <w:bottom w:val="single" w:sz="8" w:color="auto"/>
            </w:tcBorders>
            <w:vMerge w:val="continue"/>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95" w:lineRule="exact"/>
        <w:rPr>
          <w:sz w:val="20"/>
          <w:szCs w:val="20"/>
          <w:color w:val="auto"/>
        </w:rPr>
      </w:pPr>
    </w:p>
    <w:p>
      <w:pPr>
        <w:jc w:val="both"/>
        <w:ind w:right="20" w:firstLine="732"/>
        <w:spacing w:after="0" w:line="250" w:lineRule="auto"/>
        <w:rPr>
          <w:sz w:val="20"/>
          <w:szCs w:val="20"/>
          <w:color w:val="auto"/>
        </w:rPr>
      </w:pPr>
      <w:r>
        <w:rPr>
          <w:rFonts w:ascii="Times New Roman" w:cs="Times New Roman" w:eastAsia="Times New Roman" w:hAnsi="Times New Roman"/>
          <w:sz w:val="18"/>
          <w:szCs w:val="18"/>
          <w:color w:val="auto"/>
        </w:rPr>
        <w:t>Know all by these presents, that the undersigned hereby constitutes and appoints each of Mark Wilterding, Jim Schindler, Glebb Popov, Martin J. Waters, Robert L. Wernli, Jr., Bridget Balisy and Trevor Dorne, or either of them acting singly, and with full power of substitution and re-substitution, the undersigned’s true and lawful attorney-in-fact (each of such persons and their substitutes being referred to herein as the "Attorney-in-Fact"), with full power to act for the undersigned and in the undersigned's name, place and stead, in any and all capacities, to:</w:t>
      </w:r>
    </w:p>
    <w:p>
      <w:pPr>
        <w:spacing w:after="0" w:line="132" w:lineRule="exact"/>
        <w:rPr>
          <w:sz w:val="20"/>
          <w:szCs w:val="20"/>
          <w:color w:val="auto"/>
        </w:rPr>
      </w:pPr>
    </w:p>
    <w:p>
      <w:pPr>
        <w:jc w:val="both"/>
        <w:ind w:firstLine="735"/>
        <w:spacing w:after="0" w:line="247" w:lineRule="auto"/>
        <w:tabs>
          <w:tab w:leader="none" w:pos="9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execute and submit to the Securities and Exchange Commission ("SEC"), RxSight, Inc. (the “Company”), and/or any national securities exchange on which the Company’s securities are listed any and all reports (including any amendments thereto) the undersigned is required to file with the SEC, or which the Attorney-in-Fact considers it advisable to file with the SEC, under Section 13 or Section 16 of the Securities Exchange Act of 1934 (the "Exchange Act") or any rule or regulation thereunder, or under Rule 144 under the Securities Act of 1933 (“Rule 144”), with respect to any security of the Company, including Forms 3, 4 and 5, Schedules 13D and 13G, and Forms 144; and</w:t>
      </w:r>
    </w:p>
    <w:p>
      <w:pPr>
        <w:spacing w:after="0" w:line="122" w:lineRule="exact"/>
        <w:rPr>
          <w:rFonts w:ascii="Times New Roman" w:cs="Times New Roman" w:eastAsia="Times New Roman" w:hAnsi="Times New Roman"/>
          <w:sz w:val="18"/>
          <w:szCs w:val="18"/>
          <w:color w:val="auto"/>
        </w:rPr>
      </w:pPr>
    </w:p>
    <w:p>
      <w:pPr>
        <w:jc w:val="both"/>
        <w:ind w:firstLine="735"/>
        <w:spacing w:after="0" w:line="255" w:lineRule="auto"/>
        <w:tabs>
          <w:tab w:leader="none" w:pos="9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line="12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The undersigned acknowledges that:</w:t>
      </w:r>
    </w:p>
    <w:p>
      <w:pPr>
        <w:spacing w:after="0" w:line="167" w:lineRule="exact"/>
        <w:rPr>
          <w:sz w:val="20"/>
          <w:szCs w:val="20"/>
          <w:color w:val="auto"/>
        </w:rPr>
      </w:pPr>
    </w:p>
    <w:p>
      <w:pPr>
        <w:ind w:right="20" w:firstLine="735"/>
        <w:spacing w:after="0" w:line="272" w:lineRule="auto"/>
        <w:tabs>
          <w:tab w:leader="none" w:pos="9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Power of Attorney authorizes, but does not require, the Attorney-in-Fact to act in his or her discretion on information provided to such Attorney-in-Fact without independent verification of such information;</w:t>
      </w:r>
    </w:p>
    <w:p>
      <w:pPr>
        <w:spacing w:after="0" w:line="111" w:lineRule="exact"/>
        <w:rPr>
          <w:rFonts w:ascii="Times New Roman" w:cs="Times New Roman" w:eastAsia="Times New Roman" w:hAnsi="Times New Roman"/>
          <w:sz w:val="18"/>
          <w:szCs w:val="18"/>
          <w:color w:val="auto"/>
        </w:rPr>
      </w:pPr>
    </w:p>
    <w:p>
      <w:pPr>
        <w:ind w:right="20" w:firstLine="735"/>
        <w:spacing w:after="0" w:line="272" w:lineRule="auto"/>
        <w:tabs>
          <w:tab w:leader="none" w:pos="9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documents prepared or executed by the Attorney-in-Fact on behalf of the undersigned pursuant to this Power of Attorney will be in such form and will contain such information as the Attorney-in-Fact, in his or her discretion, deems necessary or desirable;</w:t>
      </w:r>
    </w:p>
    <w:p>
      <w:pPr>
        <w:spacing w:after="0" w:line="98" w:lineRule="exact"/>
        <w:rPr>
          <w:rFonts w:ascii="Times New Roman" w:cs="Times New Roman" w:eastAsia="Times New Roman" w:hAnsi="Times New Roman"/>
          <w:sz w:val="18"/>
          <w:szCs w:val="18"/>
          <w:color w:val="auto"/>
        </w:rPr>
      </w:pPr>
    </w:p>
    <w:p>
      <w:pPr>
        <w:jc w:val="both"/>
        <w:ind w:firstLine="735"/>
        <w:spacing w:after="0" w:line="255" w:lineRule="auto"/>
        <w:tabs>
          <w:tab w:leader="none" w:pos="9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spacing w:after="0" w:line="127" w:lineRule="exact"/>
        <w:rPr>
          <w:rFonts w:ascii="Times New Roman" w:cs="Times New Roman" w:eastAsia="Times New Roman" w:hAnsi="Times New Roman"/>
          <w:sz w:val="18"/>
          <w:szCs w:val="18"/>
          <w:color w:val="auto"/>
        </w:rPr>
      </w:pPr>
    </w:p>
    <w:p>
      <w:pPr>
        <w:jc w:val="both"/>
        <w:ind w:firstLine="735"/>
        <w:spacing w:after="0" w:line="255" w:lineRule="auto"/>
        <w:tabs>
          <w:tab w:leader="none" w:pos="9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spacing w:after="0" w:line="128" w:lineRule="exact"/>
        <w:rPr>
          <w:sz w:val="20"/>
          <w:szCs w:val="20"/>
          <w:color w:val="auto"/>
        </w:rPr>
      </w:pPr>
    </w:p>
    <w:p>
      <w:pPr>
        <w:jc w:val="both"/>
        <w:ind w:firstLine="732"/>
        <w:spacing w:after="0" w:line="250" w:lineRule="auto"/>
        <w:rPr>
          <w:sz w:val="20"/>
          <w:szCs w:val="20"/>
          <w:color w:val="auto"/>
        </w:rPr>
      </w:pPr>
      <w:r>
        <w:rPr>
          <w:rFonts w:ascii="Times New Roman" w:cs="Times New Roman" w:eastAsia="Times New Roman" w:hAnsi="Times New Roman"/>
          <w:sz w:val="18"/>
          <w:szCs w:val="18"/>
          <w:color w:val="auto"/>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spacing w:after="0" w:line="132" w:lineRule="exact"/>
        <w:rPr>
          <w:sz w:val="20"/>
          <w:szCs w:val="20"/>
          <w:color w:val="auto"/>
        </w:rPr>
      </w:pPr>
    </w:p>
    <w:p>
      <w:pPr>
        <w:jc w:val="both"/>
        <w:ind w:firstLine="732"/>
        <w:spacing w:after="0" w:line="250"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This Power of Attorney revokes all previous powers of attorney with respect to the subject matter of this 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882650</wp:posOffset>
            </wp:positionV>
            <wp:extent cx="69932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93255" cy="41910"/>
                    </a:xfrm>
                    <a:prstGeom prst="rect">
                      <a:avLst/>
                    </a:prstGeom>
                    <a:noFill/>
                  </pic:spPr>
                </pic:pic>
              </a:graphicData>
            </a:graphic>
          </wp:anchor>
        </w:drawing>
      </w:r>
    </w:p>
    <w:p>
      <w:pPr>
        <w:sectPr>
          <w:pgSz w:w="11900" w:h="16838" w:orient="portrait"/>
          <w:cols w:equalWidth="0" w:num="1">
            <w:col w:w="10980"/>
          </w:cols>
          <w:pgMar w:left="460" w:top="1440" w:right="459" w:bottom="1440" w:gutter="0" w:footer="0" w:header="0"/>
        </w:sectPr>
      </w:pPr>
    </w:p>
    <w:bookmarkStart w:id="2" w:name="page3"/>
    <w:bookmarkEnd w:id="2"/>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on February 23, 2026</w:t>
      </w:r>
    </w:p>
    <w:p>
      <w:pPr>
        <w:sectPr>
          <w:pgSz w:w="11900" w:h="16838" w:orient="portrait"/>
          <w:cols w:equalWidth="0" w:num="1">
            <w:col w:w="9339"/>
          </w:cols>
          <w:pgMar w:left="1120" w:top="1440" w:right="1440" w:bottom="1440" w:gutter="0" w:footer="0" w:header="0"/>
        </w:sectPr>
      </w:pPr>
    </w:p>
    <w:p>
      <w:pPr>
        <w:spacing w:after="0" w:line="200" w:lineRule="exact"/>
        <w:rPr>
          <w:sz w:val="20"/>
          <w:szCs w:val="20"/>
          <w:color w:val="auto"/>
        </w:rPr>
      </w:pPr>
    </w:p>
    <w:p>
      <w:pPr>
        <w:spacing w:after="0" w:line="251"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Signature: /s/ Ron Kurtz</w:t>
      </w:r>
    </w:p>
    <w:p>
      <w:pPr>
        <w:spacing w:after="0" w:line="167"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Print Name: Ron Kurtz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2430145</wp:posOffset>
            </wp:positionV>
            <wp:extent cx="69932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93255" cy="41910"/>
                    </a:xfrm>
                    <a:prstGeom prst="rect">
                      <a:avLst/>
                    </a:prstGeom>
                    <a:noFill/>
                  </pic:spPr>
                </pic:pic>
              </a:graphicData>
            </a:graphic>
          </wp:anchor>
        </w:drawing>
      </w:r>
    </w:p>
    <w:sectPr>
      <w:pgSz w:w="11900" w:h="16838" w:orient="portrait"/>
      <w:cols w:equalWidth="0" w:num="1">
        <w:col w:w="9339"/>
      </w:cols>
      <w:pgMar w:left="1120" w:top="144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5"/>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295469" TargetMode="External"/><Relationship Id="rId14" Type="http://schemas.openxmlformats.org/officeDocument/2006/relationships/hyperlink" Target="http://www.sec.gov/cgi-bin/browse-edgar?action=getcompany&amp;CIK=00011114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2026-03-03T19:21:32Z</dcterms:created>
  <dcterms:modified xsi:type="dcterms:W3CDTF">2026-03-03T19:21:32Z</dcterms:modified>
</cp:coreProperties>
</file>