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RxSight,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78349D107</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40" w:hanging="20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92"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Rule 13d-1(d)</w:t>
      </w:r>
    </w:p>
    <w:p>
      <w:pPr>
        <w:spacing w:after="0" w:line="284" w:lineRule="exact"/>
        <w:rPr>
          <w:sz w:val="24"/>
          <w:szCs w:val="24"/>
          <w:color w:val="auto"/>
        </w:rPr>
      </w:pPr>
    </w:p>
    <w:p>
      <w:pPr>
        <w:ind w:left="420" w:hanging="432"/>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2 of 7</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CUSIP No. 78349D107</w:t>
      </w:r>
    </w:p>
    <w:p>
      <w:pPr>
        <w:spacing w:after="0" w:line="144"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5467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54672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RxSight I, LLC – 81-5132686</w:t>
            </w: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3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1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8"/>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Delaware</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8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80" w:type="dxa"/>
            <w:vAlign w:val="bottom"/>
            <w:tcBorders>
              <w:right w:val="single" w:sz="8" w:color="auto"/>
            </w:tcBorders>
            <w:gridSpan w:val="3"/>
            <w:vMerge w:val="continue"/>
          </w:tcPr>
          <w:p>
            <w:pPr>
              <w:spacing w:after="0"/>
              <w:rPr>
                <w:sz w:val="4"/>
                <w:szCs w:val="4"/>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246"/>
              <w:spacing w:after="0"/>
              <w:rPr>
                <w:sz w:val="20"/>
                <w:szCs w:val="20"/>
                <w:color w:val="auto"/>
              </w:rPr>
            </w:pPr>
            <w:r>
              <w:rPr>
                <w:rFonts w:ascii="Arial" w:cs="Arial" w:eastAsia="Arial" w:hAnsi="Arial"/>
                <w:sz w:val="18"/>
                <w:szCs w:val="18"/>
                <w:color w:val="auto"/>
                <w:w w:val="81"/>
              </w:rPr>
              <w:t>shares</w:t>
            </w:r>
          </w:p>
        </w:tc>
        <w:tc>
          <w:tcPr>
            <w:tcW w:w="44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820" w:type="dxa"/>
            <w:vAlign w:val="bottom"/>
            <w:tcBorders>
              <w:right w:val="single" w:sz="8" w:color="auto"/>
            </w:tcBorders>
            <w:gridSpan w:val="2"/>
            <w:vMerge w:val="continue"/>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4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2,016,778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30"/>
        </w:trPr>
        <w:tc>
          <w:tcPr>
            <w:tcW w:w="12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06"/>
              <w:spacing w:after="0" w:line="182" w:lineRule="exact"/>
              <w:rPr>
                <w:sz w:val="20"/>
                <w:szCs w:val="20"/>
                <w:color w:val="auto"/>
              </w:rPr>
            </w:pPr>
            <w:r>
              <w:rPr>
                <w:rFonts w:ascii="Arial" w:cs="Arial" w:eastAsia="Arial" w:hAnsi="Arial"/>
                <w:sz w:val="18"/>
                <w:szCs w:val="18"/>
                <w:color w:val="auto"/>
                <w:w w:val="81"/>
              </w:rPr>
              <w:t>each</w:t>
            </w:r>
          </w:p>
        </w:tc>
        <w:tc>
          <w:tcPr>
            <w:tcW w:w="4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820" w:type="dxa"/>
            <w:vAlign w:val="bottom"/>
            <w:tcBorders>
              <w:right w:val="single" w:sz="8" w:color="auto"/>
            </w:tcBorders>
            <w:gridSpan w:val="2"/>
          </w:tcPr>
          <w:p>
            <w:pPr>
              <w:jc w:val="center"/>
              <w:ind w:right="246"/>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20"/>
                <w:szCs w:val="20"/>
                <w:color w:val="auto"/>
              </w:rPr>
            </w:pPr>
          </w:p>
        </w:tc>
        <w:tc>
          <w:tcPr>
            <w:tcW w:w="91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306"/>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6"/>
                <w:szCs w:val="6"/>
                <w:color w:val="auto"/>
              </w:rPr>
            </w:pPr>
          </w:p>
        </w:tc>
        <w:tc>
          <w:tcPr>
            <w:tcW w:w="9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2,016,778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2,016,778</w:t>
            </w:r>
            <w:r>
              <w:rPr>
                <w:rFonts w:ascii="Arial" w:cs="Arial" w:eastAsia="Arial" w:hAnsi="Arial"/>
                <w:sz w:val="30"/>
                <w:szCs w:val="30"/>
                <w:color w:val="auto"/>
                <w:w w:val="88"/>
                <w:vertAlign w:val="superscript"/>
              </w:rPr>
              <w:t>(1)</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5"/>
        </w:trPr>
        <w:tc>
          <w:tcPr>
            <w:tcW w:w="520" w:type="dxa"/>
            <w:vAlign w:val="bottom"/>
            <w:tcBorders>
              <w:bottom w:val="single" w:sz="8" w:color="auto"/>
              <w:right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485" w:lineRule="exact"/>
              <w:rPr>
                <w:sz w:val="20"/>
                <w:szCs w:val="20"/>
                <w:color w:val="auto"/>
              </w:rPr>
            </w:pPr>
            <w:r>
              <w:rPr>
                <w:rFonts w:ascii="Arial" w:cs="Arial" w:eastAsia="Arial" w:hAnsi="Arial"/>
                <w:sz w:val="43"/>
                <w:szCs w:val="43"/>
                <w:color w:val="auto"/>
                <w:w w:val="91"/>
                <w:vertAlign w:val="subscript"/>
              </w:rPr>
              <w:t>7.60%</w:t>
            </w:r>
            <w:r>
              <w:rPr>
                <w:rFonts w:ascii="Arial" w:cs="Arial" w:eastAsia="Arial" w:hAnsi="Arial"/>
                <w:sz w:val="15"/>
                <w:szCs w:val="15"/>
                <w:color w:val="auto"/>
                <w:w w:val="91"/>
              </w:rPr>
              <w:t>(1)(2)</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4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3 of 7</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CUSIP No. 78349D107</w:t>
      </w:r>
    </w:p>
    <w:p>
      <w:pPr>
        <w:spacing w:after="0" w:line="171" w:lineRule="exact"/>
        <w:rPr>
          <w:sz w:val="20"/>
          <w:szCs w:val="20"/>
          <w:color w:val="auto"/>
        </w:rPr>
      </w:pPr>
    </w:p>
    <w:p>
      <w:pPr>
        <w:ind w:left="240"/>
        <w:spacing w:after="0"/>
        <w:tabs>
          <w:tab w:leader="none" w:pos="5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26580" cy="5546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54672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William J. Link, Ph.D.</w:t>
            </w:r>
          </w:p>
        </w:tc>
        <w:tc>
          <w:tcPr>
            <w:tcW w:w="0" w:type="dxa"/>
            <w:vAlign w:val="bottom"/>
          </w:tcPr>
          <w:p>
            <w:pPr>
              <w:spacing w:after="0"/>
              <w:rPr>
                <w:sz w:val="1"/>
                <w:szCs w:val="1"/>
                <w:color w:val="auto"/>
              </w:rPr>
            </w:pPr>
          </w:p>
        </w:tc>
      </w:tr>
      <w:tr>
        <w:trPr>
          <w:trHeight w:val="164"/>
        </w:trPr>
        <w:tc>
          <w:tcPr>
            <w:tcW w:w="4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60" w:type="dxa"/>
            <w:vAlign w:val="bottom"/>
          </w:tcPr>
          <w:p>
            <w:pPr>
              <w:spacing w:after="0"/>
              <w:rPr>
                <w:sz w:val="14"/>
                <w:szCs w:val="14"/>
                <w:color w:val="auto"/>
              </w:rPr>
            </w:pPr>
          </w:p>
        </w:tc>
        <w:tc>
          <w:tcPr>
            <w:tcW w:w="10380" w:type="dxa"/>
            <w:vAlign w:val="bottom"/>
            <w:gridSpan w:val="3"/>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(b)</w:t>
            </w:r>
          </w:p>
        </w:tc>
        <w:tc>
          <w:tcPr>
            <w:tcW w:w="918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spacing w:after="0"/>
              <w:rPr>
                <w:sz w:val="20"/>
                <w:szCs w:val="20"/>
                <w:color w:val="auto"/>
              </w:rPr>
            </w:pPr>
          </w:p>
        </w:tc>
        <w:tc>
          <w:tcPr>
            <w:tcW w:w="9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w w:val="98"/>
              </w:rPr>
              <w:t>SEC use only</w:t>
            </w:r>
          </w:p>
        </w:tc>
        <w:tc>
          <w:tcPr>
            <w:tcW w:w="9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3"/>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United States of America</w:t>
            </w:r>
          </w:p>
        </w:tc>
        <w:tc>
          <w:tcPr>
            <w:tcW w:w="0" w:type="dxa"/>
            <w:vAlign w:val="bottom"/>
          </w:tcPr>
          <w:p>
            <w:pPr>
              <w:spacing w:after="0"/>
              <w:rPr>
                <w:sz w:val="1"/>
                <w:szCs w:val="1"/>
                <w:color w:val="auto"/>
              </w:rPr>
            </w:pPr>
          </w:p>
        </w:tc>
      </w:tr>
      <w:tr>
        <w:trPr>
          <w:trHeight w:val="226"/>
        </w:trPr>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91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3"/>
        </w:trPr>
        <w:tc>
          <w:tcPr>
            <w:tcW w:w="1280" w:type="dxa"/>
            <w:vAlign w:val="bottom"/>
            <w:tcBorders>
              <w:right w:val="single" w:sz="8" w:color="auto"/>
            </w:tcBorders>
            <w:gridSpan w:val="3"/>
            <w:vMerge w:val="restart"/>
          </w:tcPr>
          <w:p>
            <w:pPr>
              <w:jc w:val="center"/>
              <w:ind w:left="50"/>
              <w:spacing w:after="0"/>
              <w:rPr>
                <w:sz w:val="20"/>
                <w:szCs w:val="20"/>
                <w:color w:val="auto"/>
              </w:rPr>
            </w:pPr>
            <w:r>
              <w:rPr>
                <w:rFonts w:ascii="Arial" w:cs="Arial" w:eastAsia="Arial" w:hAnsi="Arial"/>
                <w:sz w:val="18"/>
                <w:szCs w:val="18"/>
                <w:color w:val="auto"/>
                <w:w w:val="92"/>
              </w:rPr>
              <w:t>Number of</w:t>
            </w:r>
          </w:p>
        </w:tc>
        <w:tc>
          <w:tcPr>
            <w:tcW w:w="4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280" w:type="dxa"/>
            <w:vAlign w:val="bottom"/>
            <w:tcBorders>
              <w:right w:val="single" w:sz="8" w:color="auto"/>
            </w:tcBorders>
            <w:gridSpan w:val="3"/>
            <w:vMerge w:val="continue"/>
          </w:tcPr>
          <w:p>
            <w:pPr>
              <w:spacing w:after="0"/>
              <w:rPr>
                <w:sz w:val="4"/>
                <w:szCs w:val="4"/>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(6)</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820" w:type="dxa"/>
            <w:vAlign w:val="bottom"/>
            <w:tcBorders>
              <w:right w:val="single" w:sz="8" w:color="auto"/>
            </w:tcBorders>
            <w:gridSpan w:val="2"/>
            <w:vMerge w:val="restart"/>
          </w:tcPr>
          <w:p>
            <w:pPr>
              <w:jc w:val="center"/>
              <w:ind w:right="246"/>
              <w:spacing w:after="0"/>
              <w:rPr>
                <w:sz w:val="20"/>
                <w:szCs w:val="20"/>
                <w:color w:val="auto"/>
              </w:rPr>
            </w:pPr>
            <w:r>
              <w:rPr>
                <w:rFonts w:ascii="Arial" w:cs="Arial" w:eastAsia="Arial" w:hAnsi="Arial"/>
                <w:sz w:val="18"/>
                <w:szCs w:val="18"/>
                <w:color w:val="auto"/>
                <w:w w:val="81"/>
              </w:rPr>
              <w:t>shares</w:t>
            </w:r>
          </w:p>
        </w:tc>
        <w:tc>
          <w:tcPr>
            <w:tcW w:w="440" w:type="dxa"/>
            <w:vAlign w:val="bottom"/>
            <w:tcBorders>
              <w:right w:val="single" w:sz="8" w:color="auto"/>
            </w:tcBorders>
            <w:vMerge w:val="continue"/>
          </w:tcPr>
          <w:p>
            <w:pPr>
              <w:spacing w:after="0"/>
              <w:rPr>
                <w:sz w:val="15"/>
                <w:szCs w:val="15"/>
                <w:color w:val="auto"/>
              </w:rPr>
            </w:pPr>
          </w:p>
        </w:tc>
        <w:tc>
          <w:tcPr>
            <w:tcW w:w="9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60" w:type="dxa"/>
            <w:vAlign w:val="bottom"/>
          </w:tcPr>
          <w:p>
            <w:pPr>
              <w:spacing w:after="0"/>
              <w:rPr>
                <w:sz w:val="3"/>
                <w:szCs w:val="3"/>
                <w:color w:val="auto"/>
              </w:rPr>
            </w:pPr>
          </w:p>
        </w:tc>
        <w:tc>
          <w:tcPr>
            <w:tcW w:w="820" w:type="dxa"/>
            <w:vAlign w:val="bottom"/>
            <w:tcBorders>
              <w:right w:val="single" w:sz="8" w:color="auto"/>
            </w:tcBorders>
            <w:gridSpan w:val="2"/>
            <w:vMerge w:val="continue"/>
          </w:tcPr>
          <w:p>
            <w:pPr>
              <w:spacing w:after="0"/>
              <w:rPr>
                <w:sz w:val="3"/>
                <w:szCs w:val="3"/>
                <w:color w:val="auto"/>
              </w:rPr>
            </w:pPr>
          </w:p>
        </w:tc>
        <w:tc>
          <w:tcPr>
            <w:tcW w:w="440" w:type="dxa"/>
            <w:vAlign w:val="bottom"/>
            <w:tcBorders>
              <w:right w:val="single" w:sz="8" w:color="auto"/>
            </w:tcBorders>
          </w:tcPr>
          <w:p>
            <w:pPr>
              <w:spacing w:after="0"/>
              <w:rPr>
                <w:sz w:val="3"/>
                <w:szCs w:val="3"/>
                <w:color w:val="auto"/>
              </w:rPr>
            </w:pPr>
          </w:p>
        </w:tc>
        <w:tc>
          <w:tcPr>
            <w:tcW w:w="9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28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4"/>
              </w:rPr>
              <w:t>beneficially</w:t>
            </w:r>
          </w:p>
        </w:tc>
        <w:tc>
          <w:tcPr>
            <w:tcW w:w="440" w:type="dxa"/>
            <w:vAlign w:val="bottom"/>
            <w:tcBorders>
              <w:right w:val="single" w:sz="8" w:color="auto"/>
            </w:tcBorders>
          </w:tcPr>
          <w:p>
            <w:pPr>
              <w:spacing w:after="0"/>
              <w:rPr>
                <w:sz w:val="18"/>
                <w:szCs w:val="18"/>
                <w:color w:val="auto"/>
              </w:rPr>
            </w:pPr>
          </w:p>
        </w:tc>
        <w:tc>
          <w:tcPr>
            <w:tcW w:w="9180" w:type="dxa"/>
            <w:vAlign w:val="bottom"/>
            <w:vMerge w:val="restart"/>
          </w:tcPr>
          <w:p>
            <w:pPr>
              <w:ind w:left="100"/>
              <w:spacing w:after="0"/>
              <w:rPr>
                <w:sz w:val="20"/>
                <w:szCs w:val="20"/>
                <w:color w:val="auto"/>
              </w:rPr>
            </w:pPr>
            <w:r>
              <w:rPr>
                <w:rFonts w:ascii="Arial" w:cs="Arial" w:eastAsia="Arial" w:hAnsi="Arial"/>
                <w:sz w:val="22"/>
                <w:szCs w:val="22"/>
                <w:color w:val="auto"/>
              </w:rPr>
              <w:t>2,016,778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30"/>
        </w:trPr>
        <w:tc>
          <w:tcPr>
            <w:tcW w:w="12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0"/>
              </w:rPr>
              <w:t>owned by</w:t>
            </w:r>
          </w:p>
        </w:tc>
        <w:tc>
          <w:tcPr>
            <w:tcW w:w="440" w:type="dxa"/>
            <w:vAlign w:val="bottom"/>
            <w:tcBorders>
              <w:bottom w:val="single" w:sz="8" w:color="auto"/>
              <w:right w:val="single" w:sz="8" w:color="auto"/>
            </w:tcBorders>
          </w:tcPr>
          <w:p>
            <w:pPr>
              <w:spacing w:after="0"/>
              <w:rPr>
                <w:sz w:val="20"/>
                <w:szCs w:val="20"/>
                <w:color w:val="auto"/>
              </w:rPr>
            </w:pPr>
          </w:p>
        </w:tc>
        <w:tc>
          <w:tcPr>
            <w:tcW w:w="91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right w:val="single" w:sz="8" w:color="auto"/>
            </w:tcBorders>
          </w:tcPr>
          <w:p>
            <w:pPr>
              <w:jc w:val="center"/>
              <w:ind w:right="306"/>
              <w:spacing w:after="0" w:line="182" w:lineRule="exact"/>
              <w:rPr>
                <w:sz w:val="20"/>
                <w:szCs w:val="20"/>
                <w:color w:val="auto"/>
              </w:rPr>
            </w:pPr>
            <w:r>
              <w:rPr>
                <w:rFonts w:ascii="Arial" w:cs="Arial" w:eastAsia="Arial" w:hAnsi="Arial"/>
                <w:sz w:val="18"/>
                <w:szCs w:val="18"/>
                <w:color w:val="auto"/>
                <w:w w:val="81"/>
              </w:rPr>
              <w:t>each</w:t>
            </w:r>
          </w:p>
        </w:tc>
        <w:tc>
          <w:tcPr>
            <w:tcW w:w="440" w:type="dxa"/>
            <w:vAlign w:val="bottom"/>
            <w:tcBorders>
              <w:right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180" w:type="dxa"/>
            <w:vAlign w:val="bottom"/>
          </w:tcPr>
          <w:p>
            <w:pPr>
              <w:ind w:left="10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2"/>
              </w:rPr>
              <w:t>reporting</w:t>
            </w:r>
          </w:p>
        </w:tc>
        <w:tc>
          <w:tcPr>
            <w:tcW w:w="440" w:type="dxa"/>
            <w:vAlign w:val="bottom"/>
            <w:tcBorders>
              <w:right w:val="single" w:sz="8" w:color="auto"/>
            </w:tcBorders>
          </w:tcPr>
          <w:p>
            <w:pPr>
              <w:spacing w:after="0"/>
              <w:rPr>
                <w:sz w:val="18"/>
                <w:szCs w:val="18"/>
                <w:color w:val="auto"/>
              </w:rPr>
            </w:pPr>
          </w:p>
        </w:tc>
        <w:tc>
          <w:tcPr>
            <w:tcW w:w="9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0" w:type="dxa"/>
            <w:vAlign w:val="bottom"/>
          </w:tcPr>
          <w:p>
            <w:pPr>
              <w:spacing w:after="0"/>
              <w:rPr>
                <w:sz w:val="20"/>
                <w:szCs w:val="20"/>
                <w:color w:val="auto"/>
              </w:rPr>
            </w:pPr>
          </w:p>
        </w:tc>
        <w:tc>
          <w:tcPr>
            <w:tcW w:w="820" w:type="dxa"/>
            <w:vAlign w:val="bottom"/>
            <w:tcBorders>
              <w:right w:val="single" w:sz="8" w:color="auto"/>
            </w:tcBorders>
            <w:gridSpan w:val="2"/>
          </w:tcPr>
          <w:p>
            <w:pPr>
              <w:jc w:val="center"/>
              <w:ind w:right="246"/>
              <w:spacing w:after="0"/>
              <w:rPr>
                <w:sz w:val="20"/>
                <w:szCs w:val="20"/>
                <w:color w:val="auto"/>
              </w:rPr>
            </w:pPr>
            <w:r>
              <w:rPr>
                <w:rFonts w:ascii="Arial" w:cs="Arial" w:eastAsia="Arial" w:hAnsi="Arial"/>
                <w:sz w:val="18"/>
                <w:szCs w:val="18"/>
                <w:color w:val="auto"/>
                <w:w w:val="87"/>
              </w:rPr>
              <w:t>person</w:t>
            </w:r>
          </w:p>
        </w:tc>
        <w:tc>
          <w:tcPr>
            <w:tcW w:w="440" w:type="dxa"/>
            <w:vAlign w:val="bottom"/>
            <w:tcBorders>
              <w:right w:val="single" w:sz="8" w:color="auto"/>
            </w:tcBorders>
          </w:tcPr>
          <w:p>
            <w:pPr>
              <w:spacing w:after="0"/>
              <w:rPr>
                <w:sz w:val="20"/>
                <w:szCs w:val="20"/>
                <w:color w:val="auto"/>
              </w:rPr>
            </w:pPr>
          </w:p>
        </w:tc>
        <w:tc>
          <w:tcPr>
            <w:tcW w:w="9180" w:type="dxa"/>
            <w:vAlign w:val="bottom"/>
          </w:tcPr>
          <w:p>
            <w:pPr>
              <w:ind w:left="1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right w:val="single" w:sz="8" w:color="auto"/>
            </w:tcBorders>
            <w:vMerge w:val="restart"/>
          </w:tcPr>
          <w:p>
            <w:pPr>
              <w:jc w:val="center"/>
              <w:ind w:right="306"/>
              <w:spacing w:after="0"/>
              <w:rPr>
                <w:sz w:val="20"/>
                <w:szCs w:val="20"/>
                <w:color w:val="auto"/>
              </w:rPr>
            </w:pPr>
            <w:r>
              <w:rPr>
                <w:rFonts w:ascii="Arial" w:cs="Arial" w:eastAsia="Arial" w:hAnsi="Arial"/>
                <w:sz w:val="18"/>
                <w:szCs w:val="18"/>
                <w:color w:val="auto"/>
                <w:w w:val="97"/>
              </w:rPr>
              <w:t>with:</w:t>
            </w:r>
          </w:p>
        </w:tc>
        <w:tc>
          <w:tcPr>
            <w:tcW w:w="440" w:type="dxa"/>
            <w:vAlign w:val="bottom"/>
            <w:tcBorders>
              <w:bottom w:val="single" w:sz="8" w:color="auto"/>
              <w:right w:val="single" w:sz="8" w:color="auto"/>
            </w:tcBorders>
          </w:tcPr>
          <w:p>
            <w:pPr>
              <w:spacing w:after="0"/>
              <w:rPr>
                <w:sz w:val="6"/>
                <w:szCs w:val="6"/>
                <w:color w:val="auto"/>
              </w:rPr>
            </w:pPr>
          </w:p>
        </w:tc>
        <w:tc>
          <w:tcPr>
            <w:tcW w:w="91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(8)</w:t>
            </w:r>
          </w:p>
        </w:tc>
        <w:tc>
          <w:tcPr>
            <w:tcW w:w="91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440" w:type="dxa"/>
            <w:vAlign w:val="bottom"/>
            <w:tcBorders>
              <w:right w:val="single" w:sz="8" w:color="auto"/>
            </w:tcBorders>
            <w:vMerge w:val="continue"/>
          </w:tcPr>
          <w:p>
            <w:pPr>
              <w:spacing w:after="0"/>
              <w:rPr>
                <w:sz w:val="8"/>
                <w:szCs w:val="8"/>
                <w:color w:val="auto"/>
              </w:rPr>
            </w:pPr>
          </w:p>
        </w:tc>
        <w:tc>
          <w:tcPr>
            <w:tcW w:w="9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918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2,016,778</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88"/>
              </w:rPr>
              <w:t>2,016,778</w:t>
            </w:r>
            <w:r>
              <w:rPr>
                <w:rFonts w:ascii="Arial" w:cs="Arial" w:eastAsia="Arial" w:hAnsi="Arial"/>
                <w:sz w:val="30"/>
                <w:szCs w:val="30"/>
                <w:color w:val="auto"/>
                <w:w w:val="88"/>
                <w:vertAlign w:val="superscript"/>
              </w:rPr>
              <w:t>(1)</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485"/>
        </w:trPr>
        <w:tc>
          <w:tcPr>
            <w:tcW w:w="520" w:type="dxa"/>
            <w:vAlign w:val="bottom"/>
            <w:tcBorders>
              <w:bottom w:val="single" w:sz="8" w:color="auto"/>
              <w:right w:val="single" w:sz="8" w:color="auto"/>
            </w:tcBorders>
            <w:gridSpan w:val="2"/>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5"/>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tcBorders>
            <w:gridSpan w:val="2"/>
          </w:tcPr>
          <w:p>
            <w:pPr>
              <w:ind w:left="80"/>
              <w:spacing w:after="0" w:line="485" w:lineRule="exact"/>
              <w:rPr>
                <w:sz w:val="20"/>
                <w:szCs w:val="20"/>
                <w:color w:val="auto"/>
              </w:rPr>
            </w:pPr>
            <w:r>
              <w:rPr>
                <w:rFonts w:ascii="Arial" w:cs="Arial" w:eastAsia="Arial" w:hAnsi="Arial"/>
                <w:sz w:val="43"/>
                <w:szCs w:val="43"/>
                <w:color w:val="auto"/>
                <w:w w:val="91"/>
                <w:vertAlign w:val="subscript"/>
              </w:rPr>
              <w:t>7.60%</w:t>
            </w:r>
            <w:r>
              <w:rPr>
                <w:rFonts w:ascii="Arial" w:cs="Arial" w:eastAsia="Arial" w:hAnsi="Arial"/>
                <w:sz w:val="15"/>
                <w:szCs w:val="15"/>
                <w:color w:val="auto"/>
                <w:w w:val="91"/>
              </w:rPr>
              <w:t>(1)(2)</w:t>
            </w: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right w:val="single" w:sz="8" w:color="auto"/>
            </w:tcBorders>
          </w:tcPr>
          <w:p>
            <w:pPr>
              <w:spacing w:after="0"/>
              <w:rPr>
                <w:sz w:val="19"/>
                <w:szCs w:val="19"/>
                <w:color w:val="auto"/>
              </w:rPr>
            </w:pPr>
          </w:p>
        </w:tc>
        <w:tc>
          <w:tcPr>
            <w:tcW w:w="1038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3"/>
        </w:trPr>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IN</w:t>
            </w:r>
          </w:p>
        </w:tc>
        <w:tc>
          <w:tcPr>
            <w:tcW w:w="440" w:type="dxa"/>
            <w:vAlign w:val="bottom"/>
            <w:tcBorders>
              <w:bottom w:val="single" w:sz="8" w:color="auto"/>
            </w:tcBorders>
          </w:tcPr>
          <w:p>
            <w:pPr>
              <w:spacing w:after="0"/>
              <w:rPr>
                <w:sz w:val="24"/>
                <w:szCs w:val="24"/>
                <w:color w:val="auto"/>
              </w:rPr>
            </w:pPr>
          </w:p>
        </w:tc>
        <w:tc>
          <w:tcPr>
            <w:tcW w:w="9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4 of 7</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13G</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Item 1(a) Name of issuer: </w:t>
      </w:r>
      <w:r>
        <w:rPr>
          <w:rFonts w:ascii="Arial" w:cs="Arial" w:eastAsia="Arial" w:hAnsi="Arial"/>
          <w:sz w:val="18"/>
          <w:szCs w:val="18"/>
          <w:color w:val="auto"/>
        </w:rPr>
        <w:t>RxSight,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 xml:space="preserve">Item 1(b) Address of issuer’s principal executive offices: </w:t>
      </w:r>
      <w:r>
        <w:rPr>
          <w:rFonts w:ascii="Arial" w:cs="Arial" w:eastAsia="Arial" w:hAnsi="Arial"/>
          <w:sz w:val="18"/>
          <w:szCs w:val="18"/>
          <w:color w:val="auto"/>
        </w:rPr>
        <w:t>100 Columbia, Aliso Viejo, CA 92656</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2(a) Name of person filing:</w:t>
      </w:r>
    </w:p>
    <w:p>
      <w:pPr>
        <w:spacing w:after="0" w:line="117" w:lineRule="exact"/>
        <w:rPr>
          <w:sz w:val="20"/>
          <w:szCs w:val="20"/>
          <w:color w:val="auto"/>
        </w:rPr>
      </w:pPr>
    </w:p>
    <w:p>
      <w:pPr>
        <w:ind w:left="4" w:right="800"/>
        <w:spacing w:after="0" w:line="277" w:lineRule="auto"/>
        <w:rPr>
          <w:sz w:val="20"/>
          <w:szCs w:val="20"/>
          <w:color w:val="auto"/>
        </w:rPr>
      </w:pPr>
      <w:r>
        <w:rPr>
          <w:rFonts w:ascii="Arial" w:cs="Arial" w:eastAsia="Arial" w:hAnsi="Arial"/>
          <w:sz w:val="18"/>
          <w:szCs w:val="18"/>
          <w:color w:val="auto"/>
        </w:rPr>
        <w:t>This Schedule 13G is being jointly filed by each of the following persons pursuant to Rule 13d-1 promulgated by the Securities and Exchange Commission pursuant to Section 13 of the Act:</w:t>
      </w:r>
    </w:p>
    <w:p>
      <w:pPr>
        <w:spacing w:after="0" w:line="76" w:lineRule="exact"/>
        <w:rPr>
          <w:sz w:val="20"/>
          <w:szCs w:val="20"/>
          <w:color w:val="auto"/>
        </w:rPr>
      </w:pPr>
    </w:p>
    <w:p>
      <w:pPr>
        <w:ind w:left="964" w:hanging="532"/>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RxSight I, LLC, a Delaware limited liability company (“RxSight I”);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
        </w:numPr>
        <w:rPr>
          <w:rFonts w:ascii="Arial" w:cs="Arial" w:eastAsia="Arial" w:hAnsi="Arial"/>
          <w:sz w:val="18"/>
          <w:szCs w:val="18"/>
          <w:color w:val="auto"/>
        </w:rPr>
      </w:pPr>
      <w:r>
        <w:rPr>
          <w:rFonts w:ascii="Arial" w:cs="Arial" w:eastAsia="Arial" w:hAnsi="Arial"/>
          <w:sz w:val="18"/>
          <w:szCs w:val="18"/>
          <w:color w:val="auto"/>
        </w:rPr>
        <w:t>William J. Link, Ph.D., who is a managing member of RxSight I.</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RxSight I and Mr. Link are hereinafter collectively referred to as the “Reporting Persons.”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2(b) Address or principal business office or, if none, residence:</w:t>
      </w:r>
    </w:p>
    <w:p>
      <w:pPr>
        <w:spacing w:after="0" w:line="11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The business address of RxSight I is 11 Linda Isle, Newport Beach, CA 92660. The business address of Mr. Link is C/O RxSight, Inc., 100 Columbia, Aliso Viejo, CA 92656.</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2(c) Citizenship: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Item 2(a) above and Item 4 of each cover page.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2(d) Title of class of securities: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2(e) CUSIP No.: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78349D107</w:t>
      </w:r>
    </w:p>
    <w:p>
      <w:pPr>
        <w:spacing w:after="0" w:line="374"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3.</w:t>
      </w:r>
      <w:r>
        <w:rPr>
          <w:sz w:val="20"/>
          <w:szCs w:val="20"/>
          <w:color w:val="auto"/>
        </w:rPr>
        <w:tab/>
      </w:r>
      <w:r>
        <w:rPr>
          <w:rFonts w:ascii="Arial" w:cs="Arial" w:eastAsia="Arial" w:hAnsi="Arial"/>
          <w:sz w:val="15"/>
          <w:szCs w:val="15"/>
          <w:b w:val="1"/>
          <w:bCs w:val="1"/>
          <w:i w:val="1"/>
          <w:iCs w:val="1"/>
          <w:color w:val="auto"/>
        </w:rPr>
        <w:t>If this statement is filed pursuant to §§240.13d–1(b) or 240.13d–2(b) or (c), check whether the person filing is a:</w:t>
      </w:r>
    </w:p>
    <w:p>
      <w:pPr>
        <w:spacing w:after="0" w:line="219" w:lineRule="exact"/>
        <w:rPr>
          <w:sz w:val="20"/>
          <w:szCs w:val="20"/>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664" w:right="220" w:hanging="664"/>
        <w:spacing w:after="0" w:line="239"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344" w:hanging="344"/>
        <w:spacing w:after="0" w:line="207" w:lineRule="exact"/>
        <w:tabs>
          <w:tab w:leader="none" w:pos="344"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117" w:lineRule="exact"/>
        <w:rPr>
          <w:rFonts w:ascii="Arial" w:cs="Arial" w:eastAsia="Arial" w:hAnsi="Arial"/>
          <w:sz w:val="18"/>
          <w:szCs w:val="18"/>
          <w:color w:val="auto"/>
        </w:rPr>
      </w:pPr>
    </w:p>
    <w:p>
      <w:pPr>
        <w:ind w:left="664" w:right="40" w:hanging="664"/>
        <w:spacing w:after="0" w:line="239" w:lineRule="exact"/>
        <w:tabs>
          <w:tab w:leader="none" w:pos="340" w:val="left"/>
        </w:tabs>
        <w:numPr>
          <w:ilvl w:val="0"/>
          <w:numId w:val="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§240.13d–1(b)(1)(ii)(K). If filing as a non-U.S. institution in accordance with§240.13d–1(b)(1)(ii)(J),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1461135</wp:posOffset>
            </wp:positionH>
            <wp:positionV relativeFrom="paragraph">
              <wp:posOffset>-24130</wp:posOffset>
            </wp:positionV>
            <wp:extent cx="5715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31"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i w:val="1"/>
          <w:iCs w:val="1"/>
          <w:color w:val="auto"/>
        </w:rPr>
        <w:t>Item 4.</w:t>
      </w:r>
      <w:r>
        <w:rPr>
          <w:sz w:val="20"/>
          <w:szCs w:val="20"/>
          <w:color w:val="auto"/>
        </w:rPr>
        <w:tab/>
      </w:r>
      <w:r>
        <w:rPr>
          <w:rFonts w:ascii="Arial" w:cs="Arial" w:eastAsia="Arial" w:hAnsi="Arial"/>
          <w:sz w:val="15"/>
          <w:szCs w:val="15"/>
          <w:b w:val="1"/>
          <w:bCs w:val="1"/>
          <w:i w:val="1"/>
          <w:iCs w:val="1"/>
          <w:color w:val="auto"/>
        </w:rPr>
        <w:t>Ownership</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142"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2,016,778</w:t>
      </w:r>
      <w:r>
        <w:rPr>
          <w:rFonts w:ascii="Arial" w:cs="Arial" w:eastAsia="Arial" w:hAnsi="Arial"/>
          <w:sz w:val="15"/>
          <w:szCs w:val="15"/>
          <w:color w:val="auto"/>
        </w:rPr>
        <w:t>(1)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7.60%</w:t>
      </w:r>
      <w:r>
        <w:rPr>
          <w:rFonts w:ascii="Arial" w:cs="Arial" w:eastAsia="Arial" w:hAnsi="Arial"/>
          <w:sz w:val="15"/>
          <w:szCs w:val="15"/>
          <w:color w:val="auto"/>
        </w:rPr>
        <w:t>(1)(2)</w:t>
      </w:r>
    </w:p>
    <w:p>
      <w:pPr>
        <w:sectPr>
          <w:pgSz w:w="11900" w:h="16838" w:orient="portrait"/>
          <w:cols w:equalWidth="0" w:num="1">
            <w:col w:w="11024"/>
          </w:cols>
          <w:pgMar w:left="436"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5 of 7</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2,016,778</w:t>
      </w:r>
      <w:r>
        <w:rPr>
          <w:rFonts w:ascii="Arial" w:cs="Arial" w:eastAsia="Arial" w:hAnsi="Arial"/>
          <w:sz w:val="18"/>
          <w:szCs w:val="18"/>
          <w:color w:val="auto"/>
          <w:vertAlign w:val="superscript"/>
        </w:rPr>
        <w:t>(1)</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2,016,778</w:t>
      </w:r>
      <w:r>
        <w:rPr>
          <w:rFonts w:ascii="Arial" w:cs="Arial" w:eastAsia="Arial" w:hAnsi="Arial"/>
          <w:sz w:val="18"/>
          <w:szCs w:val="18"/>
          <w:color w:val="auto"/>
          <w:vertAlign w:val="superscript"/>
        </w:rPr>
        <w:t>(1)</w:t>
      </w:r>
    </w:p>
    <w:p>
      <w:pPr>
        <w:spacing w:after="0" w:line="131" w:lineRule="exact"/>
        <w:rPr>
          <w:sz w:val="20"/>
          <w:szCs w:val="20"/>
          <w:color w:val="auto"/>
        </w:rPr>
      </w:pPr>
    </w:p>
    <w:p>
      <w:pPr>
        <w:ind w:left="964" w:right="180" w:hanging="532"/>
        <w:spacing w:after="0" w:line="259"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Common Stock of the Issuer (“Common Stock”) held by the Reporting Persons. The Reporting Persons obtained the Common Stock in connection with the initial public offering of the Common Stock (“IPO”), pursuant to which shares of the Issuer’s Series H Preferred Stock, par value $0.001 per share, held by the Reporting Persons were automatically converted on a one-for-one basis to shares of Common Stock prior to the closing of the IPO.</w:t>
      </w:r>
    </w:p>
    <w:p>
      <w:pPr>
        <w:spacing w:after="0" w:line="92" w:lineRule="exact"/>
        <w:rPr>
          <w:rFonts w:ascii="Arial" w:cs="Arial" w:eastAsia="Arial" w:hAnsi="Arial"/>
          <w:sz w:val="18"/>
          <w:szCs w:val="18"/>
          <w:color w:val="auto"/>
        </w:rPr>
      </w:pPr>
    </w:p>
    <w:p>
      <w:pPr>
        <w:ind w:left="964" w:right="640" w:hanging="532"/>
        <w:spacing w:after="0" w:line="277" w:lineRule="auto"/>
        <w:tabs>
          <w:tab w:leader="none" w:pos="964"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reason of the provisions of Rule 13d-3 of the Act, each of the Reporting Persons may be deemed to beneficially own the shares disclosed in this Schedule 13G.</w:t>
      </w:r>
    </w:p>
    <w:p>
      <w:pPr>
        <w:spacing w:after="0" w:line="319" w:lineRule="exact"/>
        <w:rPr>
          <w:sz w:val="20"/>
          <w:szCs w:val="20"/>
          <w:color w:val="auto"/>
        </w:rPr>
      </w:pPr>
    </w:p>
    <w:p>
      <w:pPr>
        <w:ind w:left="1084" w:right="540" w:hanging="1092"/>
        <w:spacing w:after="0" w:line="234" w:lineRule="exact"/>
        <w:tabs>
          <w:tab w:leader="none" w:pos="1064" w:val="left"/>
        </w:tabs>
        <w:rPr>
          <w:sz w:val="20"/>
          <w:szCs w:val="20"/>
          <w:color w:val="auto"/>
        </w:rPr>
      </w:pPr>
      <w:r>
        <w:rPr>
          <w:rFonts w:ascii="Arial" w:cs="Arial" w:eastAsia="Arial" w:hAnsi="Arial"/>
          <w:sz w:val="18"/>
          <w:szCs w:val="18"/>
          <w:b w:val="1"/>
          <w:bCs w:val="1"/>
          <w:i w:val="1"/>
          <w:iCs w:val="1"/>
          <w:color w:val="auto"/>
        </w:rPr>
        <w:t>Item 5.</w:t>
      </w:r>
      <w:r>
        <w:rPr>
          <w:sz w:val="20"/>
          <w:szCs w:val="20"/>
          <w:color w:val="auto"/>
        </w:rPr>
        <w:tab/>
      </w:r>
      <w:r>
        <w:rPr>
          <w:rFonts w:ascii="Arial" w:cs="Arial" w:eastAsia="Arial" w:hAnsi="Arial"/>
          <w:sz w:val="16"/>
          <w:szCs w:val="16"/>
          <w:b w:val="1"/>
          <w:bCs w:val="1"/>
          <w:i w:val="1"/>
          <w:iCs w:val="1"/>
          <w:color w:val="auto"/>
        </w:rPr>
        <w:t xml:space="preserve">Ownership of 5 Percent or Less of a Class. </w:t>
      </w:r>
      <w:r>
        <w:rPr>
          <w:rFonts w:ascii="Arial" w:cs="Arial" w:eastAsia="Arial" w:hAnsi="Arial"/>
          <w:sz w:val="16"/>
          <w:szCs w:val="16"/>
          <w:i w:val="1"/>
          <w:iCs w:val="1"/>
          <w:color w:val="auto"/>
        </w:rPr>
        <w:t>If this statement is being filed to report the fact that as of the date hereof the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 xml:space="preserve">person has ceased to be the beneficial owner of more than 5 percent of the class of securities, check the following </w:t>
      </w:r>
      <w:r>
        <w:rPr>
          <w:rFonts w:ascii="MS PGothic" w:cs="MS PGothic" w:eastAsia="MS PGothic" w:hAnsi="MS PGothic"/>
          <w:sz w:val="16"/>
          <w:szCs w:val="16"/>
          <w:color w:val="auto"/>
        </w:rPr>
        <w:t>☐</w:t>
      </w:r>
      <w:r>
        <w:rPr>
          <w:rFonts w:ascii="Arial" w:cs="Arial" w:eastAsia="Arial" w:hAnsi="Arial"/>
          <w:sz w:val="16"/>
          <w:szCs w:val="16"/>
          <w:b w:val="1"/>
          <w:bCs w:val="1"/>
          <w:color w:val="auto"/>
        </w:rPr>
        <w:t>.</w:t>
      </w:r>
    </w:p>
    <w:p>
      <w:pPr>
        <w:spacing w:after="0" w:line="74" w:lineRule="exact"/>
        <w:rPr>
          <w:sz w:val="20"/>
          <w:szCs w:val="20"/>
          <w:color w:val="auto"/>
        </w:rPr>
      </w:pPr>
    </w:p>
    <w:p>
      <w:pPr>
        <w:ind w:left="1104"/>
        <w:spacing w:after="0"/>
        <w:rPr>
          <w:sz w:val="20"/>
          <w:szCs w:val="20"/>
          <w:color w:val="auto"/>
        </w:rPr>
      </w:pPr>
      <w:r>
        <w:rPr>
          <w:rFonts w:ascii="Arial" w:cs="Arial" w:eastAsia="Arial" w:hAnsi="Arial"/>
          <w:sz w:val="18"/>
          <w:szCs w:val="18"/>
          <w:i w:val="1"/>
          <w:iCs w:val="1"/>
          <w:color w:val="auto"/>
        </w:rPr>
        <w:t>Dissolution of a group requires a response to this item.</w:t>
      </w:r>
    </w:p>
    <w:p>
      <w:pPr>
        <w:spacing w:after="0" w:line="11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6.</w:t>
      </w:r>
      <w:r>
        <w:rPr>
          <w:sz w:val="20"/>
          <w:szCs w:val="20"/>
          <w:color w:val="auto"/>
        </w:rPr>
        <w:tab/>
      </w:r>
      <w:r>
        <w:rPr>
          <w:rFonts w:ascii="Arial" w:cs="Arial" w:eastAsia="Arial" w:hAnsi="Arial"/>
          <w:sz w:val="15"/>
          <w:szCs w:val="15"/>
          <w:b w:val="1"/>
          <w:bCs w:val="1"/>
          <w:i w:val="1"/>
          <w:iCs w:val="1"/>
          <w:color w:val="auto"/>
        </w:rPr>
        <w:t>Ownership of More than 5 Percent on Behalf of Another Person.</w:t>
      </w:r>
    </w:p>
    <w:p>
      <w:pPr>
        <w:spacing w:after="0" w:line="11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1084" w:right="160" w:hanging="1092"/>
        <w:spacing w:after="0" w:line="277" w:lineRule="auto"/>
        <w:tabs>
          <w:tab w:leader="none" w:pos="1064" w:val="left"/>
        </w:tabs>
        <w:rPr>
          <w:sz w:val="20"/>
          <w:szCs w:val="20"/>
          <w:color w:val="auto"/>
        </w:rPr>
      </w:pPr>
      <w:r>
        <w:rPr>
          <w:rFonts w:ascii="Arial" w:cs="Arial" w:eastAsia="Arial" w:hAnsi="Arial"/>
          <w:sz w:val="18"/>
          <w:szCs w:val="18"/>
          <w:b w:val="1"/>
          <w:bCs w:val="1"/>
          <w:i w:val="1"/>
          <w:iCs w:val="1"/>
          <w:color w:val="auto"/>
        </w:rPr>
        <w:t>Item 7.</w:t>
      </w:r>
      <w:r>
        <w:rPr>
          <w:sz w:val="20"/>
          <w:szCs w:val="20"/>
          <w:color w:val="auto"/>
        </w:rPr>
        <w:tab/>
      </w:r>
      <w:r>
        <w:rPr>
          <w:rFonts w:ascii="Arial" w:cs="Arial" w:eastAsia="Arial" w:hAnsi="Arial"/>
          <w:sz w:val="18"/>
          <w:szCs w:val="18"/>
          <w:b w:val="1"/>
          <w:bCs w:val="1"/>
          <w:i w:val="1"/>
          <w:iCs w:val="1"/>
          <w:color w:val="auto"/>
        </w:rPr>
        <w:t>Identification and Classification of the Subsidiary Which Acquired the Security Being Reported on by the Parent Holding Company or Control Person.</w:t>
      </w:r>
    </w:p>
    <w:p>
      <w:pPr>
        <w:spacing w:after="0" w:line="62"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8.</w:t>
      </w:r>
      <w:r>
        <w:rPr>
          <w:sz w:val="20"/>
          <w:szCs w:val="20"/>
          <w:color w:val="auto"/>
        </w:rPr>
        <w:tab/>
      </w:r>
      <w:r>
        <w:rPr>
          <w:rFonts w:ascii="Arial" w:cs="Arial" w:eastAsia="Arial" w:hAnsi="Arial"/>
          <w:sz w:val="15"/>
          <w:szCs w:val="15"/>
          <w:b w:val="1"/>
          <w:bCs w:val="1"/>
          <w:i w:val="1"/>
          <w:iCs w:val="1"/>
          <w:color w:val="auto"/>
        </w:rPr>
        <w:t>Identification and Classification of Members of the Group.</w:t>
      </w:r>
    </w:p>
    <w:p>
      <w:pPr>
        <w:spacing w:after="0" w:line="11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9.</w:t>
      </w:r>
      <w:r>
        <w:rPr>
          <w:sz w:val="20"/>
          <w:szCs w:val="20"/>
          <w:color w:val="auto"/>
        </w:rPr>
        <w:tab/>
      </w:r>
      <w:r>
        <w:rPr>
          <w:rFonts w:ascii="Arial" w:cs="Arial" w:eastAsia="Arial" w:hAnsi="Arial"/>
          <w:sz w:val="15"/>
          <w:szCs w:val="15"/>
          <w:b w:val="1"/>
          <w:bCs w:val="1"/>
          <w:i w:val="1"/>
          <w:iCs w:val="1"/>
          <w:color w:val="auto"/>
        </w:rPr>
        <w:t>Notice of Dissolution of Group.</w:t>
      </w:r>
    </w:p>
    <w:p>
      <w:pPr>
        <w:spacing w:after="0" w:line="117" w:lineRule="exact"/>
        <w:rPr>
          <w:sz w:val="20"/>
          <w:szCs w:val="20"/>
          <w:color w:val="auto"/>
        </w:rPr>
      </w:pPr>
    </w:p>
    <w:p>
      <w:pPr>
        <w:ind w:left="1104"/>
        <w:spacing w:after="0"/>
        <w:rPr>
          <w:sz w:val="20"/>
          <w:szCs w:val="20"/>
          <w:color w:val="auto"/>
        </w:rPr>
      </w:pPr>
      <w:r>
        <w:rPr>
          <w:rFonts w:ascii="Arial" w:cs="Arial" w:eastAsia="Arial" w:hAnsi="Arial"/>
          <w:sz w:val="18"/>
          <w:szCs w:val="18"/>
          <w:color w:val="auto"/>
        </w:rPr>
        <w:t>Not applicable.</w:t>
      </w:r>
    </w:p>
    <w:p>
      <w:pPr>
        <w:spacing w:after="0" w:line="374"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i w:val="1"/>
          <w:iCs w:val="1"/>
          <w:color w:val="auto"/>
        </w:rPr>
        <w:t>Item 10.</w:t>
      </w:r>
      <w:r>
        <w:rPr>
          <w:sz w:val="20"/>
          <w:szCs w:val="20"/>
          <w:color w:val="auto"/>
        </w:rPr>
        <w:tab/>
      </w:r>
      <w:r>
        <w:rPr>
          <w:rFonts w:ascii="Arial" w:cs="Arial" w:eastAsia="Arial" w:hAnsi="Arial"/>
          <w:sz w:val="15"/>
          <w:szCs w:val="15"/>
          <w:b w:val="1"/>
          <w:bCs w:val="1"/>
          <w:i w:val="1"/>
          <w:iCs w:val="1"/>
          <w:color w:val="auto"/>
        </w:rPr>
        <w:t>Certifications</w:t>
      </w:r>
    </w:p>
    <w:p>
      <w:pPr>
        <w:spacing w:after="0" w:line="117"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4"/>
          </w:cols>
          <w:pgMar w:left="436"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Page 6 of 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February 14, 2022</w:t>
            </w:r>
          </w:p>
        </w:tc>
        <w:tc>
          <w:tcPr>
            <w:tcW w:w="2820" w:type="dxa"/>
            <w:vAlign w:val="bottom"/>
          </w:tcPr>
          <w:p>
            <w:pPr>
              <w:ind w:left="1820"/>
              <w:spacing w:after="0"/>
              <w:rPr>
                <w:sz w:val="20"/>
                <w:szCs w:val="20"/>
                <w:color w:val="auto"/>
              </w:rPr>
            </w:pPr>
            <w:r>
              <w:rPr>
                <w:rFonts w:ascii="Arial" w:cs="Arial" w:eastAsia="Arial" w:hAnsi="Arial"/>
                <w:sz w:val="18"/>
                <w:szCs w:val="18"/>
                <w:color w:val="auto"/>
              </w:rPr>
              <w:t>Signature:</w:t>
            </w:r>
          </w:p>
        </w:tc>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J. Link, Ph.D.</w:t>
            </w:r>
          </w:p>
        </w:tc>
      </w:tr>
      <w:tr>
        <w:trPr>
          <w:trHeight w:val="209"/>
        </w:trPr>
        <w:tc>
          <w:tcPr>
            <w:tcW w:w="3580" w:type="dxa"/>
            <w:vAlign w:val="bottom"/>
          </w:tcPr>
          <w:p>
            <w:pPr>
              <w:spacing w:after="0"/>
              <w:rPr>
                <w:sz w:val="18"/>
                <w:szCs w:val="18"/>
                <w:color w:val="auto"/>
              </w:rPr>
            </w:pPr>
          </w:p>
        </w:tc>
        <w:tc>
          <w:tcPr>
            <w:tcW w:w="2820" w:type="dxa"/>
            <w:vAlign w:val="bottom"/>
          </w:tcPr>
          <w:p>
            <w:pPr>
              <w:ind w:left="1820"/>
              <w:spacing w:after="0"/>
              <w:rPr>
                <w:sz w:val="20"/>
                <w:szCs w:val="20"/>
                <w:color w:val="auto"/>
              </w:rPr>
            </w:pPr>
            <w:r>
              <w:rPr>
                <w:rFonts w:ascii="Arial" w:cs="Arial" w:eastAsia="Arial" w:hAnsi="Arial"/>
                <w:sz w:val="18"/>
                <w:szCs w:val="18"/>
                <w:color w:val="auto"/>
              </w:rPr>
              <w:t>Name:</w:t>
            </w:r>
          </w:p>
        </w:tc>
        <w:tc>
          <w:tcPr>
            <w:tcW w:w="4620" w:type="dxa"/>
            <w:vAlign w:val="bottom"/>
          </w:tcPr>
          <w:p>
            <w:pPr>
              <w:spacing w:after="0"/>
              <w:rPr>
                <w:sz w:val="20"/>
                <w:szCs w:val="20"/>
                <w:color w:val="auto"/>
              </w:rPr>
            </w:pPr>
            <w:r>
              <w:rPr>
                <w:rFonts w:ascii="Arial" w:cs="Arial" w:eastAsia="Arial" w:hAnsi="Arial"/>
                <w:sz w:val="18"/>
                <w:szCs w:val="18"/>
                <w:color w:val="auto"/>
              </w:rPr>
              <w:t>William J. Link, Ph.D.</w:t>
            </w:r>
          </w:p>
        </w:tc>
      </w:tr>
      <w:tr>
        <w:trPr>
          <w:trHeight w:val="216"/>
        </w:trPr>
        <w:tc>
          <w:tcPr>
            <w:tcW w:w="3580" w:type="dxa"/>
            <w:vAlign w:val="bottom"/>
          </w:tcPr>
          <w:p>
            <w:pPr>
              <w:spacing w:after="0"/>
              <w:rPr>
                <w:sz w:val="18"/>
                <w:szCs w:val="18"/>
                <w:color w:val="auto"/>
              </w:rPr>
            </w:pPr>
          </w:p>
        </w:tc>
        <w:tc>
          <w:tcPr>
            <w:tcW w:w="2820" w:type="dxa"/>
            <w:vAlign w:val="bottom"/>
          </w:tcPr>
          <w:p>
            <w:pPr>
              <w:ind w:left="1820"/>
              <w:spacing w:after="0"/>
              <w:rPr>
                <w:sz w:val="20"/>
                <w:szCs w:val="20"/>
                <w:color w:val="auto"/>
              </w:rPr>
            </w:pPr>
            <w:r>
              <w:rPr>
                <w:rFonts w:ascii="Arial" w:cs="Arial" w:eastAsia="Arial" w:hAnsi="Arial"/>
                <w:sz w:val="18"/>
                <w:szCs w:val="18"/>
                <w:color w:val="auto"/>
              </w:rPr>
              <w:t>Title:</w:t>
            </w:r>
          </w:p>
        </w:tc>
        <w:tc>
          <w:tcPr>
            <w:tcW w:w="4620" w:type="dxa"/>
            <w:vAlign w:val="bottom"/>
          </w:tcPr>
          <w:p>
            <w:pPr>
              <w:spacing w:after="0"/>
              <w:rPr>
                <w:sz w:val="20"/>
                <w:szCs w:val="20"/>
                <w:color w:val="auto"/>
              </w:rPr>
            </w:pPr>
            <w:r>
              <w:rPr>
                <w:rFonts w:ascii="Arial" w:cs="Arial" w:eastAsia="Arial" w:hAnsi="Arial"/>
                <w:sz w:val="18"/>
                <w:szCs w:val="18"/>
                <w:color w:val="auto"/>
              </w:rPr>
              <w:t>Individually and as a managing member of</w:t>
            </w:r>
          </w:p>
        </w:tc>
      </w:tr>
      <w:tr>
        <w:trPr>
          <w:trHeight w:val="230"/>
        </w:trPr>
        <w:tc>
          <w:tcPr>
            <w:tcW w:w="3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RxSight I, LLC</w:t>
            </w:r>
          </w:p>
        </w:tc>
      </w:tr>
    </w:tbl>
    <w:p>
      <w:pPr>
        <w:sectPr>
          <w:pgSz w:w="11900" w:h="16838" w:orient="portrait"/>
          <w:cols w:equalWidth="0" w:num="1">
            <w:col w:w="11020"/>
          </w:cols>
          <w:pgMar w:left="440" w:top="270"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Page 7 of 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00" w:type="dxa"/>
            <w:vAlign w:val="bottom"/>
          </w:tcPr>
          <w:p>
            <w:pPr>
              <w:ind w:left="2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5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700" w:type="dxa"/>
            <w:vAlign w:val="bottom"/>
            <w:gridSpan w:val="3"/>
          </w:tcPr>
          <w:p>
            <w:pPr>
              <w:ind w:left="540"/>
              <w:spacing w:after="0"/>
              <w:rPr>
                <w:sz w:val="20"/>
                <w:szCs w:val="20"/>
                <w:color w:val="auto"/>
              </w:rPr>
            </w:pPr>
            <w:r>
              <w:rPr>
                <w:rFonts w:ascii="Arial" w:cs="Arial" w:eastAsia="Arial" w:hAnsi="Arial"/>
                <w:sz w:val="18"/>
                <w:szCs w:val="18"/>
                <w:color w:val="auto"/>
              </w:rPr>
              <w:t>Joint Filing Agreement dated as of February 14, 2022.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OF JOINT FILING</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Common Stock, par value $0.001 per share, of RxSight, Inc., a Delaware corporation, and that this agreement may be included as an exhibit to such joint filing.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Pr>
          <w:p>
            <w:pPr>
              <w:spacing w:after="0"/>
              <w:rPr>
                <w:sz w:val="20"/>
                <w:szCs w:val="20"/>
                <w:color w:val="auto"/>
              </w:rPr>
            </w:pPr>
            <w:r>
              <w:rPr>
                <w:rFonts w:ascii="Arial" w:cs="Arial" w:eastAsia="Arial" w:hAnsi="Arial"/>
                <w:sz w:val="18"/>
                <w:szCs w:val="18"/>
                <w:color w:val="auto"/>
              </w:rPr>
              <w:t>Dated: February 14, 2022</w:t>
            </w:r>
          </w:p>
        </w:tc>
        <w:tc>
          <w:tcPr>
            <w:tcW w:w="7340" w:type="dxa"/>
            <w:vAlign w:val="bottom"/>
            <w:gridSpan w:val="2"/>
          </w:tcPr>
          <w:p>
            <w:pPr>
              <w:ind w:left="1840"/>
              <w:spacing w:after="0"/>
              <w:rPr>
                <w:sz w:val="20"/>
                <w:szCs w:val="20"/>
                <w:color w:val="auto"/>
              </w:rPr>
            </w:pPr>
            <w:r>
              <w:rPr>
                <w:rFonts w:ascii="Arial" w:cs="Arial" w:eastAsia="Arial" w:hAnsi="Arial"/>
                <w:sz w:val="18"/>
                <w:szCs w:val="18"/>
                <w:b w:val="1"/>
                <w:bCs w:val="1"/>
                <w:color w:val="auto"/>
              </w:rPr>
              <w:t>RxSIGHT I, LLC</w:t>
            </w:r>
            <w:r>
              <w:rPr>
                <w:rFonts w:ascii="Arial" w:cs="Arial" w:eastAsia="Arial" w:hAnsi="Arial"/>
                <w:sz w:val="18"/>
                <w:szCs w:val="18"/>
                <w:color w:val="auto"/>
              </w:rPr>
              <w:t>,</w:t>
            </w:r>
          </w:p>
        </w:tc>
      </w:tr>
      <w:tr>
        <w:trPr>
          <w:trHeight w:val="230"/>
        </w:trPr>
        <w:tc>
          <w:tcPr>
            <w:tcW w:w="3680" w:type="dxa"/>
            <w:vAlign w:val="bottom"/>
          </w:tcPr>
          <w:p>
            <w:pPr>
              <w:spacing w:after="0"/>
              <w:rPr>
                <w:sz w:val="20"/>
                <w:szCs w:val="20"/>
                <w:color w:val="auto"/>
              </w:rPr>
            </w:pPr>
          </w:p>
        </w:tc>
        <w:tc>
          <w:tcPr>
            <w:tcW w:w="7340" w:type="dxa"/>
            <w:vAlign w:val="bottom"/>
            <w:gridSpan w:val="2"/>
          </w:tcPr>
          <w:p>
            <w:pPr>
              <w:ind w:left="1840"/>
              <w:spacing w:after="0"/>
              <w:rPr>
                <w:sz w:val="20"/>
                <w:szCs w:val="20"/>
                <w:color w:val="auto"/>
              </w:rPr>
            </w:pPr>
            <w:r>
              <w:rPr>
                <w:rFonts w:ascii="Arial" w:cs="Arial" w:eastAsia="Arial" w:hAnsi="Arial"/>
                <w:sz w:val="18"/>
                <w:szCs w:val="18"/>
                <w:color w:val="auto"/>
              </w:rPr>
              <w:t>a Delaware limited liability company</w:t>
            </w:r>
          </w:p>
        </w:tc>
      </w:tr>
      <w:tr>
        <w:trPr>
          <w:trHeight w:val="445"/>
        </w:trPr>
        <w:tc>
          <w:tcPr>
            <w:tcW w:w="3680" w:type="dxa"/>
            <w:vAlign w:val="bottom"/>
          </w:tcPr>
          <w:p>
            <w:pPr>
              <w:spacing w:after="0"/>
              <w:rPr>
                <w:sz w:val="24"/>
                <w:szCs w:val="24"/>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William J. Link, Ph.D.</w:t>
            </w:r>
          </w:p>
        </w:tc>
      </w:tr>
      <w:tr>
        <w:trPr>
          <w:trHeight w:val="209"/>
        </w:trPr>
        <w:tc>
          <w:tcPr>
            <w:tcW w:w="368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William J. Link, Ph.D.</w:t>
            </w:r>
          </w:p>
        </w:tc>
      </w:tr>
      <w:tr>
        <w:trPr>
          <w:trHeight w:val="230"/>
        </w:trPr>
        <w:tc>
          <w:tcPr>
            <w:tcW w:w="368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5520"/>
        <w:spacing w:after="0"/>
        <w:rPr>
          <w:sz w:val="20"/>
          <w:szCs w:val="20"/>
          <w:color w:val="auto"/>
        </w:rPr>
      </w:pPr>
      <w:r>
        <w:rPr>
          <w:rFonts w:ascii="Arial" w:cs="Arial" w:eastAsia="Arial" w:hAnsi="Arial"/>
          <w:sz w:val="18"/>
          <w:szCs w:val="18"/>
          <w:i w:val="1"/>
          <w:iCs w:val="1"/>
          <w:color w:val="auto"/>
        </w:rPr>
        <w:t>/s/ William J. Link,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3503295</wp:posOffset>
            </wp:positionH>
            <wp:positionV relativeFrom="paragraph">
              <wp:posOffset>14605</wp:posOffset>
            </wp:positionV>
            <wp:extent cx="3488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William J. Link, Ph.D.</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2022-02-14T17:22:16Z</dcterms:created>
  <dcterms:modified xsi:type="dcterms:W3CDTF">2022-02-14T17:22:16Z</dcterms:modified>
</cp:coreProperties>
</file>