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945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9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RxSight I, LLC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RxSight, Inc.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RXST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 LINDA ISLE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1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NEWPORT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92660</w:t>
            </w:r>
          </w:p>
        </w:tc>
      </w:tr>
      <w:tr>
        <w:trPr>
          <w:trHeight w:val="248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BEACH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Series H Preferred Stock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2,016,778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 w:right="6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All shares of the Series H Preferred Stock, par value $0.001 per share, of the Issuer will automatically be converted on a one-for-one basis to shares of the Issuer's common stock, par value $0.001 per share ("Common Stock") prior to the closing of the Issuer's initial public offering of its Common Stock.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/s/ William Link, Manager 07/29/2021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-15240</wp:posOffset>
            </wp:positionV>
            <wp:extent cx="1955800" cy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0" Type="http://schemas.openxmlformats.org/officeDocument/2006/relationships/hyperlink" Target="http://www.sec.gov/cgi-bin/browse-edgar?action=getcompany&amp;CIK=0001697042" TargetMode="External"/><Relationship Id="rId11" Type="http://schemas.openxmlformats.org/officeDocument/2006/relationships/hyperlink" Target="http://www.sec.gov/cgi-bin/browse-edgar?action=getcompany&amp;CIK=00011114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2021-07-29T09:58:28Z</dcterms:created>
  <dcterms:modified xsi:type="dcterms:W3CDTF">2021-07-29T09:58:28Z</dcterms:modified>
</cp:coreProperties>
</file>