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Filed Pursuant to Rule 424(b)(4)</w:t>
      </w:r>
    </w:p>
    <w:p>
      <w:pPr>
        <w:spacing w:after="0" w:line="6" w:lineRule="exact"/>
        <w:rPr>
          <w:sz w:val="24"/>
          <w:szCs w:val="24"/>
          <w:color w:val="auto"/>
        </w:rPr>
      </w:pPr>
    </w:p>
    <w:p>
      <w:pPr>
        <w:jc w:val="right"/>
        <w:spacing w:after="0"/>
        <w:rPr>
          <w:sz w:val="20"/>
          <w:szCs w:val="20"/>
          <w:color w:val="auto"/>
        </w:rPr>
      </w:pPr>
      <w:r>
        <w:rPr>
          <w:rFonts w:ascii="Arial" w:cs="Arial" w:eastAsia="Arial" w:hAnsi="Arial"/>
          <w:sz w:val="16"/>
          <w:szCs w:val="16"/>
          <w:color w:val="auto"/>
        </w:rPr>
        <w:t>Registration No. 333-257790</w:t>
      </w:r>
    </w:p>
    <w:p>
      <w:pPr>
        <w:spacing w:after="0" w:line="6"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8B3F4E"/>
        </w:rPr>
        <w:t>Prospectus</w:t>
      </w:r>
    </w:p>
    <w:p>
      <w:pPr>
        <w:spacing w:after="0" w:line="70" w:lineRule="exact"/>
        <w:rPr>
          <w:sz w:val="24"/>
          <w:szCs w:val="24"/>
          <w:color w:val="auto"/>
        </w:rPr>
      </w:pPr>
    </w:p>
    <w:p>
      <w:pPr>
        <w:ind w:left="460"/>
        <w:spacing w:after="0"/>
        <w:rPr>
          <w:sz w:val="20"/>
          <w:szCs w:val="20"/>
          <w:color w:val="auto"/>
        </w:rPr>
      </w:pPr>
      <w:r>
        <w:rPr>
          <w:rFonts w:ascii="Arial" w:cs="Arial" w:eastAsia="Arial" w:hAnsi="Arial"/>
          <w:sz w:val="30"/>
          <w:szCs w:val="30"/>
          <w:b w:val="1"/>
          <w:bCs w:val="1"/>
          <w:i w:val="1"/>
          <w:iCs w:val="1"/>
          <w:color w:val="auto"/>
        </w:rPr>
        <w:t>7,350,000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wp:posOffset>
            </wp:positionH>
            <wp:positionV relativeFrom="paragraph">
              <wp:posOffset>27940</wp:posOffset>
            </wp:positionV>
            <wp:extent cx="1714500" cy="6197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6197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left="460"/>
        <w:spacing w:after="0"/>
        <w:rPr>
          <w:sz w:val="20"/>
          <w:szCs w:val="20"/>
          <w:color w:val="auto"/>
        </w:rPr>
      </w:pPr>
      <w:r>
        <w:rPr>
          <w:rFonts w:ascii="Arial" w:cs="Arial" w:eastAsia="Arial" w:hAnsi="Arial"/>
          <w:sz w:val="30"/>
          <w:szCs w:val="30"/>
          <w:b w:val="1"/>
          <w:bCs w:val="1"/>
          <w:i w:val="1"/>
          <w:iCs w:val="1"/>
          <w:color w:val="auto"/>
        </w:rPr>
        <w:t>Common stock</w:t>
      </w:r>
    </w:p>
    <w:p>
      <w:pPr>
        <w:spacing w:after="0" w:line="149" w:lineRule="exact"/>
        <w:rPr>
          <w:sz w:val="24"/>
          <w:szCs w:val="24"/>
          <w:color w:val="auto"/>
        </w:rPr>
      </w:pPr>
    </w:p>
    <w:p>
      <w:pPr>
        <w:ind w:left="460" w:right="80"/>
        <w:spacing w:after="0" w:line="265" w:lineRule="auto"/>
        <w:rPr>
          <w:sz w:val="20"/>
          <w:szCs w:val="20"/>
          <w:color w:val="auto"/>
        </w:rPr>
      </w:pPr>
      <w:r>
        <w:rPr>
          <w:rFonts w:ascii="Arial" w:cs="Arial" w:eastAsia="Arial" w:hAnsi="Arial"/>
          <w:sz w:val="16"/>
          <w:szCs w:val="16"/>
          <w:color w:val="auto"/>
        </w:rPr>
        <w:t>This is the initial public offering of shares of common stock by RxSight, Inc. We are offering 7,350,000 shares of our common stock to be sold in this offering.</w:t>
      </w:r>
    </w:p>
    <w:p>
      <w:pPr>
        <w:spacing w:after="0" w:line="75" w:lineRule="exact"/>
        <w:rPr>
          <w:sz w:val="24"/>
          <w:szCs w:val="24"/>
          <w:color w:val="auto"/>
        </w:rPr>
      </w:pPr>
    </w:p>
    <w:p>
      <w:pPr>
        <w:ind w:left="460" w:right="360"/>
        <w:spacing w:after="0" w:line="265" w:lineRule="auto"/>
        <w:rPr>
          <w:sz w:val="20"/>
          <w:szCs w:val="20"/>
          <w:color w:val="auto"/>
        </w:rPr>
      </w:pPr>
      <w:r>
        <w:rPr>
          <w:rFonts w:ascii="Arial" w:cs="Arial" w:eastAsia="Arial" w:hAnsi="Arial"/>
          <w:sz w:val="16"/>
          <w:szCs w:val="16"/>
          <w:color w:val="auto"/>
        </w:rPr>
        <w:t>Prior to this offering, there has been no public market for our common stock. Our common stock has been approved for listing on Nasdaq Global Market under the symbol “RXST.”</w:t>
      </w:r>
    </w:p>
    <w:p>
      <w:pPr>
        <w:spacing w:after="0" w:line="75" w:lineRule="exact"/>
        <w:rPr>
          <w:sz w:val="24"/>
          <w:szCs w:val="24"/>
          <w:color w:val="auto"/>
        </w:rPr>
      </w:pPr>
    </w:p>
    <w:p>
      <w:pPr>
        <w:ind w:left="460" w:right="640"/>
        <w:spacing w:after="0" w:line="265" w:lineRule="auto"/>
        <w:rPr>
          <w:sz w:val="20"/>
          <w:szCs w:val="20"/>
          <w:color w:val="auto"/>
        </w:rPr>
      </w:pPr>
      <w:r>
        <w:rPr>
          <w:rFonts w:ascii="Arial" w:cs="Arial" w:eastAsia="Arial" w:hAnsi="Arial"/>
          <w:sz w:val="16"/>
          <w:szCs w:val="16"/>
          <w:color w:val="auto"/>
        </w:rPr>
        <w:t>We are an “emerging growth company” as defined under the federal securities laws and, as such, have elected to comply with certain reduced reporting requirements for this prospectus and may elect to do so in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wp:posOffset>
            </wp:positionH>
            <wp:positionV relativeFrom="paragraph">
              <wp:posOffset>53975</wp:posOffset>
            </wp:positionV>
            <wp:extent cx="6569075"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50"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56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2"/>
          </w:tcPr>
          <w:p>
            <w:pPr>
              <w:ind w:left="2480"/>
              <w:spacing w:after="0"/>
              <w:rPr>
                <w:sz w:val="20"/>
                <w:szCs w:val="20"/>
                <w:color w:val="auto"/>
              </w:rPr>
            </w:pPr>
            <w:r>
              <w:rPr>
                <w:rFonts w:ascii="Arial" w:cs="Arial" w:eastAsia="Arial" w:hAnsi="Arial"/>
                <w:sz w:val="16"/>
                <w:szCs w:val="16"/>
                <w:b w:val="1"/>
                <w:bCs w:val="1"/>
                <w:color w:val="auto"/>
              </w:rPr>
              <w:t>Per Share</w:t>
            </w: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Total</w:t>
            </w:r>
          </w:p>
        </w:tc>
      </w:tr>
      <w:tr>
        <w:trPr>
          <w:trHeight w:val="107"/>
        </w:trPr>
        <w:tc>
          <w:tcPr>
            <w:tcW w:w="56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90"/>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Initial public offering price</w:t>
            </w:r>
          </w:p>
        </w:tc>
        <w:tc>
          <w:tcPr>
            <w:tcW w:w="2700" w:type="dxa"/>
            <w:vAlign w:val="bottom"/>
            <w:shd w:val="clear" w:color="auto" w:fill="CCEEFF"/>
          </w:tcPr>
          <w:p>
            <w:pPr>
              <w:ind w:left="24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16.00</w:t>
            </w:r>
          </w:p>
        </w:tc>
        <w:tc>
          <w:tcPr>
            <w:tcW w:w="2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117,600,000</w:t>
            </w:r>
          </w:p>
        </w:tc>
      </w:tr>
      <w:tr>
        <w:trPr>
          <w:trHeight w:val="327"/>
        </w:trPr>
        <w:tc>
          <w:tcPr>
            <w:tcW w:w="5660" w:type="dxa"/>
            <w:vAlign w:val="bottom"/>
          </w:tcPr>
          <w:p>
            <w:pPr>
              <w:spacing w:after="0"/>
              <w:rPr>
                <w:sz w:val="20"/>
                <w:szCs w:val="20"/>
                <w:color w:val="auto"/>
              </w:rPr>
            </w:pPr>
            <w:r>
              <w:rPr>
                <w:rFonts w:ascii="Arial" w:cs="Arial" w:eastAsia="Arial" w:hAnsi="Arial"/>
                <w:sz w:val="16"/>
                <w:szCs w:val="16"/>
                <w:color w:val="auto"/>
              </w:rPr>
              <w:t>Underwriting discounts and commissions(1)</w:t>
            </w:r>
          </w:p>
        </w:tc>
        <w:tc>
          <w:tcPr>
            <w:tcW w:w="2700" w:type="dxa"/>
            <w:vAlign w:val="bottom"/>
          </w:tcPr>
          <w:p>
            <w:pPr>
              <w:ind w:left="24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98"/>
              <w:spacing w:after="0"/>
              <w:rPr>
                <w:sz w:val="20"/>
                <w:szCs w:val="20"/>
                <w:color w:val="auto"/>
              </w:rPr>
            </w:pPr>
            <w:r>
              <w:rPr>
                <w:rFonts w:ascii="Arial" w:cs="Arial" w:eastAsia="Arial" w:hAnsi="Arial"/>
                <w:sz w:val="16"/>
                <w:szCs w:val="16"/>
                <w:color w:val="auto"/>
              </w:rPr>
              <w:t>1.12</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8,232,000</w:t>
            </w:r>
          </w:p>
        </w:tc>
      </w:tr>
      <w:tr>
        <w:trPr>
          <w:trHeight w:val="117"/>
        </w:trPr>
        <w:tc>
          <w:tcPr>
            <w:tcW w:w="56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90"/>
        </w:trPr>
        <w:tc>
          <w:tcPr>
            <w:tcW w:w="5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Proceeds, before expenses, to us</w:t>
            </w:r>
          </w:p>
        </w:tc>
        <w:tc>
          <w:tcPr>
            <w:tcW w:w="2700" w:type="dxa"/>
            <w:vAlign w:val="bottom"/>
            <w:tcBorders>
              <w:bottom w:val="single" w:sz="8" w:color="auto"/>
            </w:tcBorders>
            <w:shd w:val="clear" w:color="auto" w:fill="CCEEFF"/>
          </w:tcPr>
          <w:p>
            <w:pPr>
              <w:ind w:left="24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14.88</w:t>
            </w:r>
          </w:p>
        </w:tc>
        <w:tc>
          <w:tcPr>
            <w:tcW w:w="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109,368,000</w:t>
            </w:r>
          </w:p>
        </w:tc>
      </w:tr>
    </w:tbl>
    <w:p>
      <w:pPr>
        <w:spacing w:after="0" w:line="63" w:lineRule="exact"/>
        <w:rPr>
          <w:sz w:val="24"/>
          <w:szCs w:val="24"/>
          <w:color w:val="auto"/>
        </w:rPr>
      </w:pPr>
    </w:p>
    <w:p>
      <w:pPr>
        <w:ind w:left="760" w:hanging="309"/>
        <w:spacing w:after="0"/>
        <w:tabs>
          <w:tab w:leader="none" w:pos="7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See the section titled “Underwriting” for a description of the compensation payable to the underwriters.</w:t>
      </w:r>
    </w:p>
    <w:p>
      <w:pPr>
        <w:spacing w:after="0" w:line="95" w:lineRule="exact"/>
        <w:rPr>
          <w:sz w:val="24"/>
          <w:szCs w:val="24"/>
          <w:color w:val="auto"/>
        </w:rPr>
      </w:pPr>
    </w:p>
    <w:p>
      <w:pPr>
        <w:ind w:left="460" w:right="180"/>
        <w:spacing w:after="0" w:line="256" w:lineRule="auto"/>
        <w:rPr>
          <w:sz w:val="20"/>
          <w:szCs w:val="20"/>
          <w:color w:val="auto"/>
        </w:rPr>
      </w:pPr>
      <w:r>
        <w:rPr>
          <w:rFonts w:ascii="Arial" w:cs="Arial" w:eastAsia="Arial" w:hAnsi="Arial"/>
          <w:sz w:val="16"/>
          <w:szCs w:val="16"/>
          <w:color w:val="auto"/>
        </w:rPr>
        <w:t>We have granted the underwriters an option for a period of 30 days after the date of this prospectus to purchase, from time to time, in whole or in part, up to an aggregate of 1,102,500 additional shares of common stock at the public offering price less underwriting discounts and commissions.</w:t>
      </w:r>
    </w:p>
    <w:p>
      <w:pPr>
        <w:spacing w:after="0" w:line="83"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underwriters expect to deliver the shares of common stock to purchasers on or about August 3, 2021.</w:t>
      </w:r>
    </w:p>
    <w:p>
      <w:pPr>
        <w:spacing w:after="0" w:line="88" w:lineRule="exact"/>
        <w:rPr>
          <w:sz w:val="24"/>
          <w:szCs w:val="24"/>
          <w:color w:val="auto"/>
        </w:rPr>
      </w:pPr>
    </w:p>
    <w:p>
      <w:pPr>
        <w:ind w:left="460" w:right="80"/>
        <w:spacing w:after="0" w:line="291"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common stock involves risks. See the section titled “</w:t>
      </w:r>
      <w:hyperlink w:anchor="page22">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17 to read about factors you should consider before buying shares of our common stock.</w:t>
      </w:r>
    </w:p>
    <w:p>
      <w:pPr>
        <w:spacing w:after="0" w:line="36" w:lineRule="exact"/>
        <w:rPr>
          <w:sz w:val="24"/>
          <w:szCs w:val="24"/>
          <w:color w:val="auto"/>
        </w:rPr>
      </w:pPr>
    </w:p>
    <w:p>
      <w:pPr>
        <w:ind w:left="460" w:right="180"/>
        <w:spacing w:after="0" w:line="291" w:lineRule="auto"/>
        <w:rPr>
          <w:sz w:val="20"/>
          <w:szCs w:val="20"/>
          <w:color w:val="auto"/>
        </w:rPr>
      </w:pPr>
      <w:r>
        <w:rPr>
          <w:rFonts w:ascii="Arial" w:cs="Arial" w:eastAsia="Arial" w:hAnsi="Arial"/>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ectPr>
          <w:pgSz w:w="11900" w:h="16838" w:orient="portrait"/>
          <w:cols w:equalWidth="0" w:num="1">
            <w:col w:w="10800"/>
          </w:cols>
          <w:pgMar w:left="320" w:top="225" w:right="779" w:bottom="1440" w:gutter="0" w:footer="0" w:header="0"/>
        </w:sectPr>
      </w:pPr>
    </w:p>
    <w:p>
      <w:pPr>
        <w:spacing w:after="0" w:line="31" w:lineRule="exact"/>
        <w:rPr>
          <w:sz w:val="24"/>
          <w:szCs w:val="24"/>
          <w:color w:val="auto"/>
        </w:rPr>
      </w:pPr>
    </w:p>
    <w:p>
      <w:pPr>
        <w:ind w:left="460"/>
        <w:spacing w:after="0"/>
        <w:rPr>
          <w:sz w:val="20"/>
          <w:szCs w:val="20"/>
          <w:color w:val="auto"/>
        </w:rPr>
      </w:pPr>
      <w:r>
        <w:rPr>
          <w:rFonts w:ascii="Arial" w:cs="Arial" w:eastAsia="Arial" w:hAnsi="Arial"/>
          <w:sz w:val="29"/>
          <w:szCs w:val="29"/>
          <w:b w:val="1"/>
          <w:bCs w:val="1"/>
          <w:color w:val="auto"/>
        </w:rPr>
        <w:t>J.P. Morgan</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30"/>
          <w:szCs w:val="30"/>
          <w:b w:val="1"/>
          <w:bCs w:val="1"/>
          <w:color w:val="auto"/>
        </w:rPr>
        <w:t>BofA Securities</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30"/>
          <w:szCs w:val="30"/>
          <w:b w:val="1"/>
          <w:bCs w:val="1"/>
          <w:color w:val="auto"/>
        </w:rPr>
        <w:t>SVB Leerink</w:t>
      </w:r>
    </w:p>
    <w:p>
      <w:pPr>
        <w:spacing w:after="0" w:line="124" w:lineRule="exact"/>
        <w:rPr>
          <w:sz w:val="24"/>
          <w:szCs w:val="24"/>
          <w:color w:val="auto"/>
        </w:rPr>
      </w:pPr>
    </w:p>
    <w:p>
      <w:pPr>
        <w:sectPr>
          <w:pgSz w:w="11900" w:h="16838" w:orient="portrait"/>
          <w:cols w:equalWidth="0" w:num="3">
            <w:col w:w="3960" w:space="720"/>
            <w:col w:w="3600" w:space="720"/>
            <w:col w:w="1800"/>
          </w:cols>
          <w:pgMar w:left="320" w:top="225" w:right="779" w:bottom="1440" w:gutter="0" w:footer="0" w:header="0"/>
          <w:type w:val="continuous"/>
        </w:sectPr>
      </w:pPr>
    </w:p>
    <w:p>
      <w:pPr>
        <w:ind w:left="460"/>
        <w:spacing w:after="0"/>
        <w:rPr>
          <w:sz w:val="20"/>
          <w:szCs w:val="20"/>
          <w:color w:val="auto"/>
        </w:rPr>
      </w:pPr>
      <w:r>
        <w:rPr>
          <w:rFonts w:ascii="Arial" w:cs="Arial" w:eastAsia="Arial" w:hAnsi="Arial"/>
          <w:sz w:val="30"/>
          <w:szCs w:val="30"/>
          <w:b w:val="1"/>
          <w:bCs w:val="1"/>
          <w:color w:val="auto"/>
        </w:rPr>
        <w:t>Wells Fargo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30"/>
          <w:szCs w:val="30"/>
          <w:b w:val="1"/>
          <w:bCs w:val="1"/>
          <w:color w:val="auto"/>
        </w:rPr>
        <w:t>BTIG</w:t>
      </w:r>
    </w:p>
    <w:p>
      <w:pPr>
        <w:spacing w:after="0" w:line="129" w:lineRule="exact"/>
        <w:rPr>
          <w:sz w:val="24"/>
          <w:szCs w:val="24"/>
          <w:color w:val="auto"/>
        </w:rPr>
      </w:pPr>
    </w:p>
    <w:p>
      <w:pPr>
        <w:sectPr>
          <w:pgSz w:w="11900" w:h="16838" w:orient="portrait"/>
          <w:cols w:equalWidth="0" w:num="2">
            <w:col w:w="9340" w:space="720"/>
            <w:col w:w="740"/>
          </w:cols>
          <w:pgMar w:left="320" w:top="225" w:right="77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The date of this prospectus is July 29, 2021.</w:t>
      </w:r>
    </w:p>
    <w:p>
      <w:pPr>
        <w:sectPr>
          <w:pgSz w:w="11900" w:h="16838" w:orient="portrait"/>
          <w:cols w:equalWidth="0" w:num="1">
            <w:col w:w="10800"/>
          </w:cols>
          <w:pgMar w:left="320" w:top="225" w:right="77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213995</wp:posOffset>
            </wp:positionV>
            <wp:extent cx="5916930" cy="7728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16930" cy="7728585"/>
                    </a:xfrm>
                    <a:prstGeom prst="rect">
                      <a:avLst/>
                    </a:prstGeom>
                    <a:noFill/>
                  </pic:spPr>
                </pic:pic>
              </a:graphicData>
            </a:graphic>
          </wp:anchor>
        </w:drawing>
      </w:r>
    </w:p>
    <w:p>
      <w:pPr>
        <w:sectPr>
          <w:pgSz w:w="11900" w:h="16838" w:orient="portrait"/>
          <w:cols w:equalWidth="0" w:num="1">
            <w:col w:w="10460"/>
          </w:cols>
          <w:pgMar w:left="320" w:top="441"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60"/>
        <w:spacing w:after="0"/>
        <w:rPr>
          <w:sz w:val="20"/>
          <w:szCs w:val="20"/>
          <w:color w:val="auto"/>
        </w:rPr>
      </w:pPr>
      <w:r>
        <w:rPr>
          <w:rFonts w:ascii="Arial" w:cs="Arial" w:eastAsia="Arial" w:hAnsi="Arial"/>
          <w:sz w:val="13"/>
          <w:szCs w:val="13"/>
          <w:color w:val="FFFFFF"/>
        </w:rPr>
        <w:t>Adjustable</w:t>
      </w:r>
    </w:p>
    <w:p>
      <w:pPr>
        <w:ind w:left="460"/>
        <w:spacing w:after="0" w:line="198" w:lineRule="auto"/>
        <w:rPr>
          <w:sz w:val="20"/>
          <w:szCs w:val="20"/>
          <w:color w:val="auto"/>
        </w:rPr>
      </w:pPr>
      <w:r>
        <w:rPr>
          <w:rFonts w:ascii="Arial" w:cs="Arial" w:eastAsia="Arial" w:hAnsi="Arial"/>
          <w:sz w:val="4"/>
          <w:szCs w:val="4"/>
          <w:color w:val="FFFFFF"/>
        </w:rPr>
        <w:t>for every patient.</w:t>
      </w:r>
    </w:p>
    <w:p>
      <w:pPr>
        <w:ind w:left="460"/>
        <w:spacing w:after="0" w:line="183" w:lineRule="auto"/>
        <w:rPr>
          <w:sz w:val="20"/>
          <w:szCs w:val="20"/>
          <w:color w:val="auto"/>
        </w:rPr>
      </w:pPr>
      <w:r>
        <w:rPr>
          <w:rFonts w:ascii="Arial" w:cs="Arial" w:eastAsia="Arial" w:hAnsi="Arial"/>
          <w:sz w:val="13"/>
          <w:szCs w:val="13"/>
          <w:color w:val="FFFFFF"/>
        </w:rPr>
        <w:t>BetterTheLightMedicine.AdjustableBetterLens™Business.is</w:t>
      </w:r>
    </w:p>
    <w:p>
      <w:pPr>
        <w:ind w:left="460"/>
        <w:spacing w:after="0" w:line="199" w:lineRule="auto"/>
        <w:rPr>
          <w:sz w:val="20"/>
          <w:szCs w:val="20"/>
          <w:color w:val="auto"/>
        </w:rPr>
      </w:pPr>
      <w:r>
        <w:rPr>
          <w:rFonts w:ascii="Arial" w:cs="Arial" w:eastAsia="Arial" w:hAnsi="Arial"/>
          <w:sz w:val="2"/>
          <w:szCs w:val="2"/>
          <w:color w:val="FFFFFF"/>
        </w:rPr>
        <w:t>intraocularthefirstand</w:t>
      </w:r>
      <w:r>
        <w:rPr>
          <w:rFonts w:ascii="Arial" w:cs="Arial" w:eastAsia="Arial" w:hAnsi="Arial"/>
          <w:sz w:val="4"/>
          <w:szCs w:val="4"/>
          <w:color w:val="FFFFFF"/>
          <w:vertAlign w:val="subscript"/>
        </w:rPr>
        <w:t>after</w:t>
      </w:r>
      <w:r>
        <w:rPr>
          <w:rFonts w:ascii="Arial" w:cs="Arial" w:eastAsia="Arial" w:hAnsi="Arial"/>
          <w:sz w:val="2"/>
          <w:szCs w:val="2"/>
          <w:color w:val="FFFFFF"/>
        </w:rPr>
        <w:t>lonlynsthatimplantablecanbe</w:t>
      </w:r>
    </w:p>
    <w:p>
      <w:pPr>
        <w:ind w:left="460"/>
        <w:spacing w:after="0" w:line="198" w:lineRule="auto"/>
        <w:tabs>
          <w:tab w:leader="none" w:pos="1240" w:val="left"/>
        </w:tabs>
        <w:rPr>
          <w:sz w:val="20"/>
          <w:szCs w:val="20"/>
          <w:color w:val="auto"/>
        </w:rPr>
      </w:pPr>
      <w:r>
        <w:rPr>
          <w:rFonts w:ascii="Arial" w:cs="Arial" w:eastAsia="Arial" w:hAnsi="Arial"/>
          <w:sz w:val="4"/>
          <w:szCs w:val="4"/>
          <w:color w:val="FFFFFF"/>
        </w:rPr>
        <w:t>adjusted</w:t>
      </w:r>
      <w:r>
        <w:rPr>
          <w:sz w:val="20"/>
          <w:szCs w:val="20"/>
          <w:color w:val="auto"/>
        </w:rPr>
        <w:tab/>
      </w:r>
      <w:r>
        <w:rPr>
          <w:rFonts w:ascii="Arial" w:cs="Arial" w:eastAsia="Arial" w:hAnsi="Arial"/>
          <w:sz w:val="4"/>
          <w:szCs w:val="4"/>
          <w:color w:val="FFFFFF"/>
        </w:rPr>
        <w:t>cataract surgery.</w:t>
      </w:r>
    </w:p>
    <w:p>
      <w:pPr>
        <w:ind w:left="460"/>
        <w:spacing w:after="0" w:line="199" w:lineRule="auto"/>
        <w:rPr>
          <w:sz w:val="20"/>
          <w:szCs w:val="20"/>
          <w:color w:val="auto"/>
        </w:rPr>
      </w:pPr>
      <w:r>
        <w:rPr>
          <w:rFonts w:ascii="Arial" w:cs="Arial" w:eastAsia="Arial" w:hAnsi="Arial"/>
          <w:sz w:val="4"/>
          <w:szCs w:val="4"/>
          <w:color w:val="FFFFFF"/>
        </w:rPr>
        <w:t>©2021 RxSIGHT. All Rights Reserved. COM 0072</w:t>
      </w:r>
    </w:p>
    <w:p>
      <w:pPr>
        <w:ind w:left="460"/>
        <w:spacing w:after="0"/>
        <w:rPr>
          <w:sz w:val="20"/>
          <w:szCs w:val="20"/>
          <w:color w:val="auto"/>
        </w:rPr>
      </w:pPr>
      <w:r>
        <w:rPr>
          <w:rFonts w:ascii="Arial" w:cs="Arial" w:eastAsia="Arial" w:hAnsi="Arial"/>
          <w:sz w:val="8"/>
          <w:szCs w:val="8"/>
          <w:color w:val="FFFFFF"/>
        </w:rPr>
        <w:t>A cataract is the clouding and hardening of the eye’s natural lens. To treat them, a surgeon removes the cloudy lens and replaces it with an intraocular lens (IOL). Nearly 30 million global cataract surgeries are performed each year.</w:t>
      </w:r>
    </w:p>
    <w:p>
      <w:pPr>
        <w:ind w:left="460"/>
        <w:spacing w:after="0" w:line="209" w:lineRule="auto"/>
        <w:rPr>
          <w:sz w:val="20"/>
          <w:szCs w:val="20"/>
          <w:color w:val="auto"/>
        </w:rPr>
      </w:pPr>
      <w:r>
        <w:rPr>
          <w:rFonts w:ascii="Arial" w:cs="Arial" w:eastAsia="Arial" w:hAnsi="Arial"/>
          <w:sz w:val="3"/>
          <w:szCs w:val="3"/>
          <w:color w:val="FFFFFF"/>
        </w:rPr>
        <w:t>or</w:t>
      </w:r>
      <w:r>
        <w:rPr>
          <w:rFonts w:ascii="Arial" w:cs="Arial" w:eastAsia="Arial" w:hAnsi="Arial"/>
          <w:sz w:val="6"/>
          <w:szCs w:val="6"/>
          <w:color w:val="FFFFFF"/>
          <w:vertAlign w:val="subscript"/>
        </w:rPr>
        <w:t>predict</w:t>
      </w:r>
      <w:r>
        <w:rPr>
          <w:rFonts w:ascii="Arial" w:cs="Arial" w:eastAsia="Arial" w:hAnsi="Arial"/>
          <w:sz w:val="3"/>
          <w:szCs w:val="3"/>
          <w:color w:val="FFFFFF"/>
        </w:rPr>
        <w:t>Currenttheir patients.IOLoptionsThisforis cataractbecausesurgerynon-adjustableoftenfaillensestomeetrelytheondemandspre-operativeofophthalmologistsestimatesto</w:t>
      </w:r>
    </w:p>
    <w:p>
      <w:pPr>
        <w:ind w:left="860"/>
        <w:spacing w:after="0"/>
        <w:rPr>
          <w:sz w:val="20"/>
          <w:szCs w:val="20"/>
          <w:color w:val="auto"/>
        </w:rPr>
      </w:pPr>
      <w:r>
        <w:rPr>
          <w:rFonts w:ascii="Arial" w:cs="Arial" w:eastAsia="Arial" w:hAnsi="Arial"/>
          <w:sz w:val="13"/>
          <w:szCs w:val="13"/>
          <w:color w:val="FFFFFF"/>
        </w:rPr>
        <w:t>vision outcomes.</w:t>
      </w:r>
    </w:p>
    <w:p>
      <w:pPr>
        <w:sectPr>
          <w:pgSz w:w="11900" w:h="16838" w:orient="portrait"/>
          <w:cols w:equalWidth="0" w:num="1">
            <w:col w:w="10460"/>
          </w:cols>
          <w:pgMar w:left="320" w:top="441" w:right="1119" w:bottom="1440" w:gutter="0" w:footer="0" w:header="0"/>
          <w:type w:val="continuous"/>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191770</wp:posOffset>
            </wp:positionV>
            <wp:extent cx="6569075" cy="4338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9075" cy="433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60"/>
        <w:spacing w:after="0"/>
        <w:rPr>
          <w:sz w:val="20"/>
          <w:szCs w:val="20"/>
          <w:color w:val="auto"/>
        </w:rPr>
      </w:pPr>
      <w:r>
        <w:rPr>
          <w:rFonts w:ascii="Arial" w:cs="Arial" w:eastAsia="Arial" w:hAnsi="Arial"/>
          <w:sz w:val="10"/>
          <w:szCs w:val="10"/>
          <w:color w:val="FFFFFF"/>
        </w:rPr>
        <w:t>intraocularTheRxSightlensLightthatAdjustablecanbeadjustedLens® (LAL)aftercataractisthefirstsurgery.andonly implantable</w:t>
      </w:r>
    </w:p>
    <w:p>
      <w:pPr>
        <w:ind w:left="460"/>
        <w:spacing w:after="0" w:line="198" w:lineRule="auto"/>
        <w:rPr>
          <w:sz w:val="20"/>
          <w:szCs w:val="20"/>
          <w:color w:val="auto"/>
        </w:rPr>
      </w:pPr>
      <w:r>
        <w:rPr>
          <w:rFonts w:ascii="Arial" w:cs="Arial" w:eastAsia="Arial" w:hAnsi="Arial"/>
          <w:sz w:val="8"/>
          <w:szCs w:val="8"/>
          <w:color w:val="FFFFFF"/>
        </w:rPr>
        <w:t>The revolutionary LAL can be optimized and adjusted after surgery using the</w:t>
      </w:r>
    </w:p>
    <w:p>
      <w:pPr>
        <w:ind w:left="460"/>
        <w:spacing w:after="0" w:line="199" w:lineRule="auto"/>
        <w:rPr>
          <w:sz w:val="20"/>
          <w:szCs w:val="20"/>
          <w:color w:val="auto"/>
        </w:rPr>
      </w:pPr>
      <w:r>
        <w:rPr>
          <w:rFonts w:ascii="Arial" w:cs="Arial" w:eastAsia="Arial" w:hAnsi="Arial"/>
          <w:sz w:val="4"/>
          <w:szCs w:val="4"/>
          <w:color w:val="FFFFFF"/>
        </w:rPr>
        <w:t>theRxSightlens,LightcreatingDeliveryafullyDevicecustomized(LDD).lensTheforadjustmenteachpatient.beam from the LDD reshapes</w:t>
      </w:r>
    </w:p>
    <w:p>
      <w:pPr>
        <w:ind w:left="460"/>
        <w:spacing w:after="0" w:line="198" w:lineRule="auto"/>
        <w:rPr>
          <w:sz w:val="20"/>
          <w:szCs w:val="20"/>
          <w:color w:val="auto"/>
        </w:rPr>
      </w:pPr>
      <w:r>
        <w:rPr>
          <w:rFonts w:ascii="Arial" w:cs="Arial" w:eastAsia="Arial" w:hAnsi="Arial"/>
          <w:sz w:val="4"/>
          <w:szCs w:val="4"/>
          <w:color w:val="FFFFFF"/>
        </w:rPr>
        <w:t>Adjustment Beam</w:t>
      </w:r>
    </w:p>
    <w:p>
      <w:pPr>
        <w:ind w:left="460"/>
        <w:spacing w:after="0" w:line="199" w:lineRule="auto"/>
        <w:rPr>
          <w:sz w:val="20"/>
          <w:szCs w:val="20"/>
          <w:color w:val="auto"/>
        </w:rPr>
      </w:pPr>
      <w:r>
        <w:rPr>
          <w:rFonts w:ascii="Arial" w:cs="Arial" w:eastAsia="Arial" w:hAnsi="Arial"/>
          <w:sz w:val="4"/>
          <w:szCs w:val="4"/>
          <w:color w:val="FFFFFF"/>
        </w:rPr>
        <w:t>Shape Change</w:t>
      </w:r>
    </w:p>
    <w:p>
      <w:pPr>
        <w:ind w:left="460"/>
        <w:spacing w:after="0" w:line="198" w:lineRule="auto"/>
        <w:rPr>
          <w:sz w:val="20"/>
          <w:szCs w:val="20"/>
          <w:color w:val="auto"/>
        </w:rPr>
      </w:pPr>
      <w:r>
        <w:rPr>
          <w:rFonts w:ascii="Arial" w:cs="Arial" w:eastAsia="Arial" w:hAnsi="Arial"/>
          <w:sz w:val="4"/>
          <w:szCs w:val="4"/>
          <w:color w:val="FFFFFF"/>
        </w:rPr>
        <w:t>Custom Vision</w:t>
      </w:r>
    </w:p>
    <w:p>
      <w:pPr>
        <w:ind w:left="460"/>
        <w:spacing w:after="0" w:line="199" w:lineRule="auto"/>
        <w:rPr>
          <w:sz w:val="20"/>
          <w:szCs w:val="20"/>
          <w:color w:val="auto"/>
        </w:rPr>
      </w:pPr>
      <w:r>
        <w:rPr>
          <w:rFonts w:ascii="Arial" w:cs="Arial" w:eastAsia="Arial" w:hAnsi="Arial"/>
          <w:sz w:val="4"/>
          <w:szCs w:val="4"/>
          <w:color w:val="FFFFFF"/>
        </w:rPr>
        <w:t>LASIK-like accuracy in cataract surgery</w:t>
      </w:r>
    </w:p>
    <w:p>
      <w:pPr>
        <w:ind w:left="460"/>
        <w:spacing w:after="0"/>
        <w:rPr>
          <w:sz w:val="20"/>
          <w:szCs w:val="20"/>
          <w:color w:val="auto"/>
        </w:rPr>
      </w:pPr>
      <w:r>
        <w:rPr>
          <w:rFonts w:ascii="Arial" w:cs="Arial" w:eastAsia="Arial" w:hAnsi="Arial"/>
          <w:sz w:val="12"/>
          <w:szCs w:val="12"/>
          <w:color w:val="FFFFFF"/>
        </w:rPr>
        <w:t>Patients are approximately 2x more likely to achieve 20/20 vision or better without glasses at 6 months.1</w:t>
      </w:r>
    </w:p>
    <w:p>
      <w:pPr>
        <w:sectPr>
          <w:pgSz w:w="11900" w:h="16838" w:orient="portrait"/>
          <w:cols w:equalWidth="0" w:num="1">
            <w:col w:w="10139"/>
          </w:cols>
          <w:pgMar w:left="320" w:top="441" w:right="1440"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TABLE OF CONTENTS</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6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216"/>
        </w:trPr>
        <w:tc>
          <w:tcPr>
            <w:tcW w:w="6920" w:type="dxa"/>
            <w:vAlign w:val="bottom"/>
            <w:gridSpan w:val="23"/>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Prospectus Summary</w:t>
              </w:r>
            </w:hyperlink>
          </w:p>
        </w:tc>
        <w:tc>
          <w:tcPr>
            <w:tcW w:w="33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4"/>
        </w:trPr>
        <w:tc>
          <w:tcPr>
            <w:tcW w:w="1560" w:type="dxa"/>
            <w:vAlign w:val="bottom"/>
            <w:tcBorders>
              <w:top w:val="single" w:sz="8" w:color="0000EE"/>
            </w:tcBorders>
            <w:gridSpan w:val="10"/>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The Offering</w:t>
              </w:r>
            </w:hyperlink>
          </w:p>
        </w:tc>
        <w:tc>
          <w:tcPr>
            <w:tcW w:w="5360" w:type="dxa"/>
            <w:vAlign w:val="bottom"/>
            <w:gridSpan w:val="13"/>
          </w:tcPr>
          <w:p>
            <w:pPr>
              <w:spacing w:after="0"/>
              <w:rPr>
                <w:sz w:val="20"/>
                <w:szCs w:val="20"/>
                <w:color w:val="auto"/>
              </w:rPr>
            </w:pPr>
          </w:p>
        </w:tc>
        <w:tc>
          <w:tcPr>
            <w:tcW w:w="33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0"/>
        </w:trPr>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34"/>
        </w:trPr>
        <w:tc>
          <w:tcPr>
            <w:tcW w:w="1800" w:type="dxa"/>
            <w:vAlign w:val="bottom"/>
            <w:tcBorders>
              <w:bottom w:val="single" w:sz="8" w:color="0000EE"/>
            </w:tcBorders>
            <w:gridSpan w:val="13"/>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Summary Financial Data</w:t>
              </w:r>
            </w:hyperlink>
          </w:p>
        </w:tc>
        <w:tc>
          <w:tcPr>
            <w:tcW w:w="5120" w:type="dxa"/>
            <w:vAlign w:val="bottom"/>
            <w:gridSpan w:val="10"/>
          </w:tcPr>
          <w:p>
            <w:pPr>
              <w:spacing w:after="0"/>
              <w:rPr>
                <w:sz w:val="20"/>
                <w:szCs w:val="20"/>
                <w:color w:val="auto"/>
              </w:rPr>
            </w:pPr>
          </w:p>
        </w:tc>
        <w:tc>
          <w:tcPr>
            <w:tcW w:w="33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4"/>
        </w:trPr>
        <w:tc>
          <w:tcPr>
            <w:tcW w:w="6920" w:type="dxa"/>
            <w:vAlign w:val="bottom"/>
            <w:gridSpan w:val="23"/>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Risk Factors</w:t>
              </w:r>
            </w:hyperlink>
          </w:p>
        </w:tc>
        <w:tc>
          <w:tcPr>
            <w:tcW w:w="33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0"/>
        </w:trPr>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34"/>
        </w:trPr>
        <w:tc>
          <w:tcPr>
            <w:tcW w:w="3900" w:type="dxa"/>
            <w:vAlign w:val="bottom"/>
            <w:tcBorders>
              <w:bottom w:val="single" w:sz="8" w:color="0000EE"/>
            </w:tcBorders>
            <w:gridSpan w:val="20"/>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Special Note Regarding Forward-Looking Statements</w:t>
              </w:r>
            </w:hyperlink>
          </w:p>
        </w:tc>
        <w:tc>
          <w:tcPr>
            <w:tcW w:w="3020" w:type="dxa"/>
            <w:vAlign w:val="bottom"/>
            <w:gridSpan w:val="3"/>
          </w:tcPr>
          <w:p>
            <w:pPr>
              <w:spacing w:after="0"/>
              <w:rPr>
                <w:sz w:val="20"/>
                <w:szCs w:val="20"/>
                <w:color w:val="auto"/>
              </w:rPr>
            </w:pPr>
          </w:p>
        </w:tc>
        <w:tc>
          <w:tcPr>
            <w:tcW w:w="336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34"/>
        </w:trPr>
        <w:tc>
          <w:tcPr>
            <w:tcW w:w="6920" w:type="dxa"/>
            <w:vAlign w:val="bottom"/>
            <w:gridSpan w:val="23"/>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Market, Industry And Other Data</w:t>
              </w:r>
            </w:hyperlink>
          </w:p>
        </w:tc>
        <w:tc>
          <w:tcPr>
            <w:tcW w:w="33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34"/>
        </w:trPr>
        <w:tc>
          <w:tcPr>
            <w:tcW w:w="2360" w:type="dxa"/>
            <w:vAlign w:val="bottom"/>
            <w:tcBorders>
              <w:top w:val="single" w:sz="8" w:color="0000EE"/>
            </w:tcBorders>
            <w:gridSpan w:val="18"/>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Use Of Proceeds</w:t>
              </w:r>
            </w:hyperlink>
          </w:p>
        </w:tc>
        <w:tc>
          <w:tcPr>
            <w:tcW w:w="4560" w:type="dxa"/>
            <w:vAlign w:val="bottom"/>
            <w:gridSpan w:val="5"/>
          </w:tcPr>
          <w:p>
            <w:pPr>
              <w:spacing w:after="0"/>
              <w:rPr>
                <w:sz w:val="20"/>
                <w:szCs w:val="20"/>
                <w:color w:val="auto"/>
              </w:rPr>
            </w:pPr>
          </w:p>
        </w:tc>
        <w:tc>
          <w:tcPr>
            <w:tcW w:w="336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34"/>
        </w:trPr>
        <w:tc>
          <w:tcPr>
            <w:tcW w:w="1120" w:type="dxa"/>
            <w:vAlign w:val="bottom"/>
            <w:tcBorders>
              <w:top w:val="single" w:sz="8" w:color="0000EE"/>
              <w:bottom w:val="single" w:sz="8" w:color="0000EE"/>
            </w:tcBorders>
            <w:gridSpan w:val="8"/>
          </w:tcPr>
          <w:p>
            <w:pPr>
              <w:spacing w:after="0"/>
              <w:rPr>
                <w:rFonts w:ascii="Arial" w:cs="Arial" w:eastAsia="Arial" w:hAnsi="Arial"/>
                <w:sz w:val="16"/>
                <w:szCs w:val="16"/>
                <w:color w:val="0000EE"/>
              </w:rPr>
            </w:pPr>
            <w:hyperlink w:anchor="page95">
              <w:r>
                <w:rPr>
                  <w:rFonts w:ascii="Arial" w:cs="Arial" w:eastAsia="Arial" w:hAnsi="Arial"/>
                  <w:sz w:val="16"/>
                  <w:szCs w:val="16"/>
                  <w:color w:val="0000EE"/>
                </w:rPr>
                <w:t>Dividend Policy</w:t>
              </w:r>
            </w:hyperlink>
          </w:p>
        </w:tc>
        <w:tc>
          <w:tcPr>
            <w:tcW w:w="120" w:type="dxa"/>
            <w:vAlign w:val="bottom"/>
            <w:tcBorders>
              <w:top w:val="single" w:sz="8" w:color="0000EE"/>
            </w:tcBorders>
          </w:tcPr>
          <w:p>
            <w:pPr>
              <w:spacing w:after="0"/>
              <w:rPr>
                <w:sz w:val="20"/>
                <w:szCs w:val="20"/>
                <w:color w:val="auto"/>
              </w:rPr>
            </w:pPr>
          </w:p>
        </w:tc>
        <w:tc>
          <w:tcPr>
            <w:tcW w:w="5680" w:type="dxa"/>
            <w:vAlign w:val="bottom"/>
            <w:gridSpan w:val="14"/>
          </w:tcPr>
          <w:p>
            <w:pPr>
              <w:spacing w:after="0"/>
              <w:rPr>
                <w:sz w:val="20"/>
                <w:szCs w:val="20"/>
                <w:color w:val="auto"/>
              </w:rPr>
            </w:pPr>
          </w:p>
        </w:tc>
        <w:tc>
          <w:tcPr>
            <w:tcW w:w="336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34"/>
        </w:trPr>
        <w:tc>
          <w:tcPr>
            <w:tcW w:w="6920" w:type="dxa"/>
            <w:vAlign w:val="bottom"/>
            <w:gridSpan w:val="23"/>
          </w:tcPr>
          <w:p>
            <w:pPr>
              <w:spacing w:after="0"/>
              <w:rPr>
                <w:rFonts w:ascii="Arial" w:cs="Arial" w:eastAsia="Arial" w:hAnsi="Arial"/>
                <w:sz w:val="16"/>
                <w:szCs w:val="16"/>
                <w:color w:val="0000EE"/>
              </w:rPr>
            </w:pPr>
            <w:hyperlink w:anchor="page96">
              <w:r>
                <w:rPr>
                  <w:rFonts w:ascii="Arial" w:cs="Arial" w:eastAsia="Arial" w:hAnsi="Arial"/>
                  <w:sz w:val="16"/>
                  <w:szCs w:val="16"/>
                  <w:color w:val="0000EE"/>
                </w:rPr>
                <w:t>Capitalization</w:t>
              </w:r>
            </w:hyperlink>
          </w:p>
        </w:tc>
        <w:tc>
          <w:tcPr>
            <w:tcW w:w="33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34"/>
        </w:trPr>
        <w:tc>
          <w:tcPr>
            <w:tcW w:w="980" w:type="dxa"/>
            <w:vAlign w:val="bottom"/>
            <w:tcBorders>
              <w:top w:val="single" w:sz="8" w:color="0000EE"/>
            </w:tcBorders>
            <w:gridSpan w:val="7"/>
          </w:tcPr>
          <w:p>
            <w:pPr>
              <w:spacing w:after="0"/>
              <w:rPr>
                <w:rFonts w:ascii="Arial" w:cs="Arial" w:eastAsia="Arial" w:hAnsi="Arial"/>
                <w:sz w:val="16"/>
                <w:szCs w:val="16"/>
                <w:color w:val="0000EE"/>
              </w:rPr>
            </w:pPr>
            <w:hyperlink w:anchor="page98">
              <w:r>
                <w:rPr>
                  <w:rFonts w:ascii="Arial" w:cs="Arial" w:eastAsia="Arial" w:hAnsi="Arial"/>
                  <w:sz w:val="16"/>
                  <w:szCs w:val="16"/>
                  <w:color w:val="0000EE"/>
                </w:rPr>
                <w:t>Dilution</w:t>
              </w:r>
            </w:hyperlink>
          </w:p>
        </w:tc>
        <w:tc>
          <w:tcPr>
            <w:tcW w:w="5940" w:type="dxa"/>
            <w:vAlign w:val="bottom"/>
            <w:gridSpan w:val="16"/>
          </w:tcPr>
          <w:p>
            <w:pPr>
              <w:spacing w:after="0"/>
              <w:rPr>
                <w:sz w:val="20"/>
                <w:szCs w:val="20"/>
                <w:color w:val="auto"/>
              </w:rPr>
            </w:pPr>
          </w:p>
        </w:tc>
        <w:tc>
          <w:tcPr>
            <w:tcW w:w="336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0"/>
        </w:trPr>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34"/>
        </w:trPr>
        <w:tc>
          <w:tcPr>
            <w:tcW w:w="1740" w:type="dxa"/>
            <w:vAlign w:val="bottom"/>
            <w:tcBorders>
              <w:bottom w:val="single" w:sz="8" w:color="0000EE"/>
            </w:tcBorders>
            <w:gridSpan w:val="12"/>
          </w:tcPr>
          <w:p>
            <w:pPr>
              <w:spacing w:after="0"/>
              <w:rPr>
                <w:rFonts w:ascii="Arial" w:cs="Arial" w:eastAsia="Arial" w:hAnsi="Arial"/>
                <w:sz w:val="16"/>
                <w:szCs w:val="16"/>
                <w:color w:val="0000EE"/>
              </w:rPr>
            </w:pPr>
            <w:hyperlink w:anchor="page101">
              <w:r>
                <w:rPr>
                  <w:rFonts w:ascii="Arial" w:cs="Arial" w:eastAsia="Arial" w:hAnsi="Arial"/>
                  <w:sz w:val="16"/>
                  <w:szCs w:val="16"/>
                  <w:color w:val="0000EE"/>
                </w:rPr>
                <w:t>Selected Financial Data</w:t>
              </w:r>
            </w:hyperlink>
          </w:p>
        </w:tc>
        <w:tc>
          <w:tcPr>
            <w:tcW w:w="5180" w:type="dxa"/>
            <w:vAlign w:val="bottom"/>
            <w:gridSpan w:val="11"/>
          </w:tcPr>
          <w:p>
            <w:pPr>
              <w:spacing w:after="0"/>
              <w:rPr>
                <w:sz w:val="20"/>
                <w:szCs w:val="20"/>
                <w:color w:val="auto"/>
              </w:rPr>
            </w:pPr>
          </w:p>
        </w:tc>
        <w:tc>
          <w:tcPr>
            <w:tcW w:w="336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34"/>
        </w:trPr>
        <w:tc>
          <w:tcPr>
            <w:tcW w:w="6920" w:type="dxa"/>
            <w:vAlign w:val="bottom"/>
            <w:gridSpan w:val="23"/>
          </w:tcPr>
          <w:p>
            <w:pPr>
              <w:spacing w:after="0"/>
              <w:rPr>
                <w:rFonts w:ascii="Arial" w:cs="Arial" w:eastAsia="Arial" w:hAnsi="Arial"/>
                <w:sz w:val="16"/>
                <w:szCs w:val="16"/>
                <w:color w:val="0000EE"/>
              </w:rPr>
            </w:pPr>
            <w:hyperlink w:anchor="page104">
              <w:r>
                <w:rPr>
                  <w:rFonts w:ascii="Arial" w:cs="Arial" w:eastAsia="Arial" w:hAnsi="Arial"/>
                  <w:sz w:val="16"/>
                  <w:szCs w:val="16"/>
                  <w:color w:val="0000EE"/>
                </w:rPr>
                <w:t>Management’s Discussion And Analysis Of Financial Condition And Results Of Operations</w:t>
              </w:r>
            </w:hyperlink>
          </w:p>
        </w:tc>
        <w:tc>
          <w:tcPr>
            <w:tcW w:w="336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34"/>
        </w:trPr>
        <w:tc>
          <w:tcPr>
            <w:tcW w:w="6580" w:type="dxa"/>
            <w:vAlign w:val="bottom"/>
            <w:tcBorders>
              <w:top w:val="single" w:sz="8" w:color="0000EE"/>
            </w:tcBorders>
            <w:gridSpan w:val="22"/>
          </w:tcPr>
          <w:p>
            <w:pPr>
              <w:spacing w:after="0"/>
              <w:rPr>
                <w:rFonts w:ascii="Arial" w:cs="Arial" w:eastAsia="Arial" w:hAnsi="Arial"/>
                <w:sz w:val="16"/>
                <w:szCs w:val="16"/>
                <w:color w:val="0000EE"/>
              </w:rPr>
            </w:pPr>
            <w:hyperlink w:anchor="page127">
              <w:r>
                <w:rPr>
                  <w:rFonts w:ascii="Arial" w:cs="Arial" w:eastAsia="Arial" w:hAnsi="Arial"/>
                  <w:sz w:val="16"/>
                  <w:szCs w:val="16"/>
                  <w:color w:val="0000EE"/>
                </w:rPr>
                <w:t>Business</w:t>
              </w:r>
            </w:hyperlink>
          </w:p>
        </w:tc>
        <w:tc>
          <w:tcPr>
            <w:tcW w:w="340" w:type="dxa"/>
            <w:vAlign w:val="bottom"/>
          </w:tcPr>
          <w:p>
            <w:pPr>
              <w:spacing w:after="0"/>
              <w:rPr>
                <w:sz w:val="20"/>
                <w:szCs w:val="20"/>
                <w:color w:val="auto"/>
              </w:rPr>
            </w:pPr>
          </w:p>
        </w:tc>
        <w:tc>
          <w:tcPr>
            <w:tcW w:w="336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34"/>
        </w:trPr>
        <w:tc>
          <w:tcPr>
            <w:tcW w:w="960" w:type="dxa"/>
            <w:vAlign w:val="bottom"/>
            <w:tcBorders>
              <w:bottom w:val="single" w:sz="8" w:color="0000EE"/>
            </w:tcBorders>
            <w:gridSpan w:val="6"/>
          </w:tcPr>
          <w:p>
            <w:pPr>
              <w:spacing w:after="0"/>
              <w:rPr>
                <w:rFonts w:ascii="Arial" w:cs="Arial" w:eastAsia="Arial" w:hAnsi="Arial"/>
                <w:sz w:val="16"/>
                <w:szCs w:val="16"/>
                <w:color w:val="0000EE"/>
              </w:rPr>
            </w:pPr>
            <w:hyperlink w:anchor="page167">
              <w:r>
                <w:rPr>
                  <w:rFonts w:ascii="Arial" w:cs="Arial" w:eastAsia="Arial" w:hAnsi="Arial"/>
                  <w:sz w:val="16"/>
                  <w:szCs w:val="16"/>
                  <w:color w:val="0000EE"/>
                </w:rPr>
                <w:t>Management</w:t>
              </w:r>
            </w:hyperlink>
          </w:p>
        </w:tc>
        <w:tc>
          <w:tcPr>
            <w:tcW w:w="5960" w:type="dxa"/>
            <w:vAlign w:val="bottom"/>
            <w:gridSpan w:val="17"/>
          </w:tcPr>
          <w:p>
            <w:pPr>
              <w:spacing w:after="0"/>
              <w:rPr>
                <w:sz w:val="20"/>
                <w:szCs w:val="20"/>
                <w:color w:val="auto"/>
              </w:rPr>
            </w:pPr>
          </w:p>
        </w:tc>
        <w:tc>
          <w:tcPr>
            <w:tcW w:w="336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34"/>
        </w:trPr>
        <w:tc>
          <w:tcPr>
            <w:tcW w:w="1820" w:type="dxa"/>
            <w:vAlign w:val="bottom"/>
            <w:tcBorders>
              <w:bottom w:val="single" w:sz="8" w:color="0000EE"/>
            </w:tcBorders>
            <w:gridSpan w:val="14"/>
          </w:tcPr>
          <w:p>
            <w:pPr>
              <w:spacing w:after="0"/>
              <w:rPr>
                <w:rFonts w:ascii="Arial" w:cs="Arial" w:eastAsia="Arial" w:hAnsi="Arial"/>
                <w:sz w:val="16"/>
                <w:szCs w:val="16"/>
                <w:color w:val="0000EE"/>
              </w:rPr>
            </w:pPr>
            <w:hyperlink w:anchor="page179">
              <w:r>
                <w:rPr>
                  <w:rFonts w:ascii="Arial" w:cs="Arial" w:eastAsia="Arial" w:hAnsi="Arial"/>
                  <w:sz w:val="16"/>
                  <w:szCs w:val="16"/>
                  <w:color w:val="0000EE"/>
                </w:rPr>
                <w:t>Executive Compensation</w:t>
              </w:r>
            </w:hyperlink>
          </w:p>
        </w:tc>
        <w:tc>
          <w:tcPr>
            <w:tcW w:w="5100" w:type="dxa"/>
            <w:vAlign w:val="bottom"/>
            <w:gridSpan w:val="9"/>
          </w:tcPr>
          <w:p>
            <w:pPr>
              <w:spacing w:after="0"/>
              <w:rPr>
                <w:sz w:val="20"/>
                <w:szCs w:val="20"/>
                <w:color w:val="auto"/>
              </w:rPr>
            </w:pPr>
          </w:p>
        </w:tc>
        <w:tc>
          <w:tcPr>
            <w:tcW w:w="336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234"/>
        </w:trPr>
        <w:tc>
          <w:tcPr>
            <w:tcW w:w="6920" w:type="dxa"/>
            <w:vAlign w:val="bottom"/>
            <w:gridSpan w:val="23"/>
          </w:tcPr>
          <w:p>
            <w:pPr>
              <w:spacing w:after="0"/>
              <w:rPr>
                <w:rFonts w:ascii="Arial" w:cs="Arial" w:eastAsia="Arial" w:hAnsi="Arial"/>
                <w:sz w:val="16"/>
                <w:szCs w:val="16"/>
                <w:color w:val="0000EE"/>
              </w:rPr>
            </w:pPr>
            <w:hyperlink w:anchor="page195">
              <w:r>
                <w:rPr>
                  <w:rFonts w:ascii="Arial" w:cs="Arial" w:eastAsia="Arial" w:hAnsi="Arial"/>
                  <w:sz w:val="16"/>
                  <w:szCs w:val="16"/>
                  <w:color w:val="0000EE"/>
                </w:rPr>
                <w:t>Certain Relationships And Related Party Transactions</w:t>
              </w:r>
            </w:hyperlink>
          </w:p>
        </w:tc>
        <w:tc>
          <w:tcPr>
            <w:tcW w:w="336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234"/>
        </w:trPr>
        <w:tc>
          <w:tcPr>
            <w:tcW w:w="3920" w:type="dxa"/>
            <w:vAlign w:val="bottom"/>
            <w:tcBorders>
              <w:top w:val="single" w:sz="8" w:color="0000EE"/>
            </w:tcBorders>
            <w:gridSpan w:val="21"/>
          </w:tcPr>
          <w:p>
            <w:pPr>
              <w:spacing w:after="0"/>
              <w:rPr>
                <w:rFonts w:ascii="Arial" w:cs="Arial" w:eastAsia="Arial" w:hAnsi="Arial"/>
                <w:sz w:val="16"/>
                <w:szCs w:val="16"/>
                <w:color w:val="0000EE"/>
              </w:rPr>
            </w:pPr>
            <w:hyperlink w:anchor="page197">
              <w:r>
                <w:rPr>
                  <w:rFonts w:ascii="Arial" w:cs="Arial" w:eastAsia="Arial" w:hAnsi="Arial"/>
                  <w:sz w:val="16"/>
                  <w:szCs w:val="16"/>
                  <w:color w:val="0000EE"/>
                </w:rPr>
                <w:t>Principal Stockholders</w:t>
              </w:r>
            </w:hyperlink>
          </w:p>
        </w:tc>
        <w:tc>
          <w:tcPr>
            <w:tcW w:w="3000" w:type="dxa"/>
            <w:vAlign w:val="bottom"/>
            <w:gridSpan w:val="2"/>
          </w:tcPr>
          <w:p>
            <w:pPr>
              <w:spacing w:after="0"/>
              <w:rPr>
                <w:sz w:val="20"/>
                <w:szCs w:val="20"/>
                <w:color w:val="auto"/>
              </w:rPr>
            </w:pPr>
          </w:p>
        </w:tc>
        <w:tc>
          <w:tcPr>
            <w:tcW w:w="336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34"/>
        </w:trPr>
        <w:tc>
          <w:tcPr>
            <w:tcW w:w="2060" w:type="dxa"/>
            <w:vAlign w:val="bottom"/>
            <w:tcBorders>
              <w:bottom w:val="single" w:sz="8" w:color="0000EE"/>
            </w:tcBorders>
            <w:gridSpan w:val="15"/>
          </w:tcPr>
          <w:p>
            <w:pPr>
              <w:spacing w:after="0"/>
              <w:rPr>
                <w:rFonts w:ascii="Arial" w:cs="Arial" w:eastAsia="Arial" w:hAnsi="Arial"/>
                <w:sz w:val="16"/>
                <w:szCs w:val="16"/>
                <w:color w:val="0000EE"/>
              </w:rPr>
            </w:pPr>
            <w:hyperlink w:anchor="page200">
              <w:r>
                <w:rPr>
                  <w:rFonts w:ascii="Arial" w:cs="Arial" w:eastAsia="Arial" w:hAnsi="Arial"/>
                  <w:sz w:val="16"/>
                  <w:szCs w:val="16"/>
                  <w:color w:val="0000EE"/>
                </w:rPr>
                <w:t>Description Of Capital Stock</w:t>
              </w:r>
            </w:hyperlink>
          </w:p>
        </w:tc>
        <w:tc>
          <w:tcPr>
            <w:tcW w:w="4860" w:type="dxa"/>
            <w:vAlign w:val="bottom"/>
            <w:gridSpan w:val="8"/>
          </w:tcPr>
          <w:p>
            <w:pPr>
              <w:spacing w:after="0"/>
              <w:rPr>
                <w:sz w:val="20"/>
                <w:szCs w:val="20"/>
                <w:color w:val="auto"/>
              </w:rPr>
            </w:pPr>
          </w:p>
        </w:tc>
        <w:tc>
          <w:tcPr>
            <w:tcW w:w="336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34"/>
        </w:trPr>
        <w:tc>
          <w:tcPr>
            <w:tcW w:w="6920" w:type="dxa"/>
            <w:vAlign w:val="bottom"/>
            <w:gridSpan w:val="23"/>
          </w:tcPr>
          <w:p>
            <w:pPr>
              <w:spacing w:after="0"/>
              <w:rPr>
                <w:rFonts w:ascii="Arial" w:cs="Arial" w:eastAsia="Arial" w:hAnsi="Arial"/>
                <w:sz w:val="16"/>
                <w:szCs w:val="16"/>
                <w:color w:val="0000EE"/>
              </w:rPr>
            </w:pPr>
            <w:hyperlink w:anchor="page206">
              <w:r>
                <w:rPr>
                  <w:rFonts w:ascii="Arial" w:cs="Arial" w:eastAsia="Arial" w:hAnsi="Arial"/>
                  <w:sz w:val="16"/>
                  <w:szCs w:val="16"/>
                  <w:color w:val="0000EE"/>
                </w:rPr>
                <w:t>Shares Eligible For Future Sale</w:t>
              </w:r>
            </w:hyperlink>
          </w:p>
        </w:tc>
        <w:tc>
          <w:tcPr>
            <w:tcW w:w="3360" w:type="dxa"/>
            <w:vAlign w:val="bottom"/>
          </w:tcPr>
          <w:p>
            <w:pPr>
              <w:jc w:val="right"/>
              <w:spacing w:after="0"/>
              <w:rPr>
                <w:sz w:val="20"/>
                <w:szCs w:val="20"/>
                <w:color w:val="auto"/>
              </w:rPr>
            </w:pPr>
            <w:r>
              <w:rPr>
                <w:rFonts w:ascii="Arial" w:cs="Arial" w:eastAsia="Arial" w:hAnsi="Arial"/>
                <w:sz w:val="16"/>
                <w:szCs w:val="16"/>
                <w:color w:val="auto"/>
              </w:rPr>
              <w:t>201</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20" w:type="dxa"/>
            <w:vAlign w:val="bottom"/>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34"/>
        </w:trPr>
        <w:tc>
          <w:tcPr>
            <w:tcW w:w="6920" w:type="dxa"/>
            <w:vAlign w:val="bottom"/>
            <w:tcBorders>
              <w:bottom w:val="single" w:sz="8" w:color="0000EE"/>
            </w:tcBorders>
            <w:gridSpan w:val="23"/>
          </w:tcPr>
          <w:p>
            <w:pPr>
              <w:spacing w:after="0"/>
              <w:rPr>
                <w:rFonts w:ascii="Arial" w:cs="Arial" w:eastAsia="Arial" w:hAnsi="Arial"/>
                <w:sz w:val="16"/>
                <w:szCs w:val="16"/>
                <w:color w:val="0000EE"/>
              </w:rPr>
            </w:pPr>
            <w:hyperlink w:anchor="page209">
              <w:r>
                <w:rPr>
                  <w:rFonts w:ascii="Arial" w:cs="Arial" w:eastAsia="Arial" w:hAnsi="Arial"/>
                  <w:sz w:val="16"/>
                  <w:szCs w:val="16"/>
                  <w:color w:val="0000EE"/>
                </w:rPr>
                <w:t>Material U.S. Federal Income Tax Considerations For Non-U.S. Holders Of Our Common Stock</w:t>
              </w:r>
            </w:hyperlink>
          </w:p>
        </w:tc>
        <w:tc>
          <w:tcPr>
            <w:tcW w:w="336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234"/>
        </w:trPr>
        <w:tc>
          <w:tcPr>
            <w:tcW w:w="920" w:type="dxa"/>
            <w:vAlign w:val="bottom"/>
            <w:tcBorders>
              <w:bottom w:val="single" w:sz="8" w:color="0000EE"/>
            </w:tcBorders>
            <w:gridSpan w:val="5"/>
          </w:tcPr>
          <w:p>
            <w:pPr>
              <w:spacing w:after="0"/>
              <w:rPr>
                <w:rFonts w:ascii="Arial" w:cs="Arial" w:eastAsia="Arial" w:hAnsi="Arial"/>
                <w:sz w:val="16"/>
                <w:szCs w:val="16"/>
                <w:color w:val="0000EE"/>
              </w:rPr>
            </w:pPr>
            <w:hyperlink w:anchor="page214">
              <w:r>
                <w:rPr>
                  <w:rFonts w:ascii="Arial" w:cs="Arial" w:eastAsia="Arial" w:hAnsi="Arial"/>
                  <w:sz w:val="16"/>
                  <w:szCs w:val="16"/>
                  <w:color w:val="0000EE"/>
                </w:rPr>
                <w:t>Underwriting</w:t>
              </w:r>
            </w:hyperlink>
          </w:p>
        </w:tc>
        <w:tc>
          <w:tcPr>
            <w:tcW w:w="6000" w:type="dxa"/>
            <w:vAlign w:val="bottom"/>
            <w:gridSpan w:val="18"/>
          </w:tcPr>
          <w:p>
            <w:pPr>
              <w:spacing w:after="0"/>
              <w:rPr>
                <w:sz w:val="20"/>
                <w:szCs w:val="20"/>
                <w:color w:val="auto"/>
              </w:rPr>
            </w:pPr>
          </w:p>
        </w:tc>
        <w:tc>
          <w:tcPr>
            <w:tcW w:w="336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34"/>
        </w:trPr>
        <w:tc>
          <w:tcPr>
            <w:tcW w:w="6920" w:type="dxa"/>
            <w:vAlign w:val="bottom"/>
            <w:gridSpan w:val="23"/>
          </w:tcPr>
          <w:p>
            <w:pPr>
              <w:spacing w:after="0"/>
              <w:rPr>
                <w:rFonts w:ascii="Arial" w:cs="Arial" w:eastAsia="Arial" w:hAnsi="Arial"/>
                <w:sz w:val="16"/>
                <w:szCs w:val="16"/>
                <w:color w:val="0000EE"/>
              </w:rPr>
            </w:pPr>
            <w:hyperlink w:anchor="page226">
              <w:r>
                <w:rPr>
                  <w:rFonts w:ascii="Arial" w:cs="Arial" w:eastAsia="Arial" w:hAnsi="Arial"/>
                  <w:sz w:val="16"/>
                  <w:szCs w:val="16"/>
                  <w:color w:val="0000EE"/>
                </w:rPr>
                <w:t>Legal Matters</w:t>
              </w:r>
            </w:hyperlink>
          </w:p>
        </w:tc>
        <w:tc>
          <w:tcPr>
            <w:tcW w:w="336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34"/>
        </w:trPr>
        <w:tc>
          <w:tcPr>
            <w:tcW w:w="56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99"/>
              </w:rPr>
            </w:pPr>
            <w:hyperlink w:anchor="page226">
              <w:r>
                <w:rPr>
                  <w:rFonts w:ascii="Arial" w:cs="Arial" w:eastAsia="Arial" w:hAnsi="Arial"/>
                  <w:sz w:val="16"/>
                  <w:szCs w:val="16"/>
                  <w:color w:val="0000EE"/>
                  <w:w w:val="99"/>
                </w:rPr>
                <w:t>Experts</w:t>
              </w:r>
            </w:hyperlink>
          </w:p>
        </w:tc>
        <w:tc>
          <w:tcPr>
            <w:tcW w:w="420" w:type="dxa"/>
            <w:vAlign w:val="bottom"/>
            <w:tcBorders>
              <w:top w:val="single" w:sz="8" w:color="0000EE"/>
            </w:tcBorders>
            <w:gridSpan w:val="5"/>
          </w:tcPr>
          <w:p>
            <w:pPr>
              <w:spacing w:after="0"/>
              <w:rPr>
                <w:sz w:val="20"/>
                <w:szCs w:val="20"/>
                <w:color w:val="auto"/>
              </w:rPr>
            </w:pPr>
          </w:p>
        </w:tc>
        <w:tc>
          <w:tcPr>
            <w:tcW w:w="5940" w:type="dxa"/>
            <w:vAlign w:val="bottom"/>
            <w:gridSpan w:val="16"/>
          </w:tcPr>
          <w:p>
            <w:pPr>
              <w:spacing w:after="0"/>
              <w:rPr>
                <w:sz w:val="20"/>
                <w:szCs w:val="20"/>
                <w:color w:val="auto"/>
              </w:rPr>
            </w:pPr>
          </w:p>
        </w:tc>
        <w:tc>
          <w:tcPr>
            <w:tcW w:w="336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34"/>
        </w:trPr>
        <w:tc>
          <w:tcPr>
            <w:tcW w:w="3160" w:type="dxa"/>
            <w:vAlign w:val="bottom"/>
            <w:tcBorders>
              <w:bottom w:val="single" w:sz="8" w:color="0000EE"/>
            </w:tcBorders>
            <w:gridSpan w:val="19"/>
          </w:tcPr>
          <w:p>
            <w:pPr>
              <w:spacing w:after="0"/>
              <w:rPr>
                <w:rFonts w:ascii="Arial" w:cs="Arial" w:eastAsia="Arial" w:hAnsi="Arial"/>
                <w:sz w:val="16"/>
                <w:szCs w:val="16"/>
                <w:color w:val="0000EE"/>
              </w:rPr>
            </w:pPr>
            <w:hyperlink w:anchor="page226">
              <w:r>
                <w:rPr>
                  <w:rFonts w:ascii="Arial" w:cs="Arial" w:eastAsia="Arial" w:hAnsi="Arial"/>
                  <w:sz w:val="16"/>
                  <w:szCs w:val="16"/>
                  <w:color w:val="0000EE"/>
                </w:rPr>
                <w:t>Where You Can Find Additional Information</w:t>
              </w:r>
            </w:hyperlink>
          </w:p>
        </w:tc>
        <w:tc>
          <w:tcPr>
            <w:tcW w:w="3760" w:type="dxa"/>
            <w:vAlign w:val="bottom"/>
            <w:gridSpan w:val="4"/>
          </w:tcPr>
          <w:p>
            <w:pPr>
              <w:spacing w:after="0"/>
              <w:rPr>
                <w:sz w:val="20"/>
                <w:szCs w:val="20"/>
                <w:color w:val="auto"/>
              </w:rPr>
            </w:pPr>
          </w:p>
        </w:tc>
        <w:tc>
          <w:tcPr>
            <w:tcW w:w="336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34"/>
        </w:trPr>
        <w:tc>
          <w:tcPr>
            <w:tcW w:w="2200" w:type="dxa"/>
            <w:vAlign w:val="bottom"/>
            <w:tcBorders>
              <w:bottom w:val="single" w:sz="8" w:color="0000EE"/>
            </w:tcBorders>
            <w:gridSpan w:val="16"/>
          </w:tcPr>
          <w:p>
            <w:pPr>
              <w:spacing w:after="0"/>
              <w:rPr>
                <w:rFonts w:ascii="Arial" w:cs="Arial" w:eastAsia="Arial" w:hAnsi="Arial"/>
                <w:sz w:val="16"/>
                <w:szCs w:val="16"/>
                <w:color w:val="0000EE"/>
              </w:rPr>
            </w:pPr>
            <w:hyperlink w:anchor="page227">
              <w:r>
                <w:rPr>
                  <w:rFonts w:ascii="Arial" w:cs="Arial" w:eastAsia="Arial" w:hAnsi="Arial"/>
                  <w:sz w:val="16"/>
                  <w:szCs w:val="16"/>
                  <w:color w:val="0000EE"/>
                </w:rPr>
                <w:t>Index To Financial Statements</w:t>
              </w:r>
            </w:hyperlink>
          </w:p>
        </w:tc>
        <w:tc>
          <w:tcPr>
            <w:tcW w:w="4720" w:type="dxa"/>
            <w:vAlign w:val="bottom"/>
            <w:gridSpan w:val="7"/>
          </w:tcPr>
          <w:p>
            <w:pPr>
              <w:spacing w:after="0"/>
              <w:rPr>
                <w:sz w:val="20"/>
                <w:szCs w:val="20"/>
                <w:color w:val="auto"/>
              </w:rPr>
            </w:pPr>
          </w:p>
        </w:tc>
        <w:tc>
          <w:tcPr>
            <w:tcW w:w="3360" w:type="dxa"/>
            <w:vAlign w:val="bottom"/>
          </w:tcPr>
          <w:p>
            <w:pPr>
              <w:jc w:val="right"/>
              <w:spacing w:after="0"/>
              <w:rPr>
                <w:sz w:val="20"/>
                <w:szCs w:val="20"/>
                <w:color w:val="auto"/>
              </w:rPr>
            </w:pPr>
            <w:r>
              <w:rPr>
                <w:rFonts w:ascii="Arial" w:cs="Arial" w:eastAsia="Arial" w:hAnsi="Arial"/>
                <w:sz w:val="16"/>
                <w:szCs w:val="16"/>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2882900</wp:posOffset>
            </wp:positionH>
            <wp:positionV relativeFrom="paragraph">
              <wp:posOffset>137160</wp:posOffset>
            </wp:positionV>
            <wp:extent cx="13766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6680" cy="8255"/>
                    </a:xfrm>
                    <a:prstGeom prst="rect">
                      <a:avLst/>
                    </a:prstGeom>
                    <a:noFill/>
                  </pic:spPr>
                </pic:pic>
              </a:graphicData>
            </a:graphic>
          </wp:anchor>
        </w:drawing>
      </w:r>
    </w:p>
    <w:p>
      <w:pPr>
        <w:spacing w:after="0" w:line="293" w:lineRule="exact"/>
        <w:rPr>
          <w:sz w:val="20"/>
          <w:szCs w:val="20"/>
          <w:color w:val="auto"/>
        </w:rPr>
      </w:pPr>
    </w:p>
    <w:p>
      <w:pPr>
        <w:ind w:left="460" w:right="240"/>
        <w:spacing w:after="0" w:line="269" w:lineRule="auto"/>
        <w:rPr>
          <w:sz w:val="20"/>
          <w:szCs w:val="20"/>
          <w:color w:val="auto"/>
        </w:rPr>
      </w:pPr>
      <w:r>
        <w:rPr>
          <w:rFonts w:ascii="Arial" w:cs="Arial" w:eastAsia="Arial" w:hAnsi="Arial"/>
          <w:sz w:val="16"/>
          <w:szCs w:val="16"/>
          <w:b w:val="1"/>
          <w:bCs w:val="1"/>
          <w:color w:val="auto"/>
        </w:rPr>
        <w:t>Through and including August 23,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2882900</wp:posOffset>
            </wp:positionH>
            <wp:positionV relativeFrom="paragraph">
              <wp:posOffset>100965</wp:posOffset>
            </wp:positionV>
            <wp:extent cx="1376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6680" cy="8255"/>
                    </a:xfrm>
                    <a:prstGeom prst="rect">
                      <a:avLst/>
                    </a:prstGeom>
                    <a:noFill/>
                  </pic:spPr>
                </pic:pic>
              </a:graphicData>
            </a:graphic>
          </wp:anchor>
        </w:drawing>
      </w:r>
    </w:p>
    <w:p>
      <w:pPr>
        <w:spacing w:after="0" w:line="256"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We and the underwriters have not authorized anyone to provide you any information other than that contained in this prospectus or in any free writing prospectus prepared by or on behalf of us or to which we have referred you. We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w:t>
      </w:r>
    </w:p>
    <w:p>
      <w:pPr>
        <w:spacing w:after="0" w:line="1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0780"/>
          </w:cols>
          <w:pgMar w:left="320" w:top="441" w:right="79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80"/>
        <w:spacing w:after="0" w:line="265" w:lineRule="auto"/>
        <w:rPr>
          <w:sz w:val="20"/>
          <w:szCs w:val="20"/>
          <w:color w:val="auto"/>
        </w:rPr>
      </w:pPr>
      <w:r>
        <w:rPr>
          <w:rFonts w:ascii="Arial" w:cs="Arial" w:eastAsia="Arial" w:hAnsi="Arial"/>
          <w:sz w:val="16"/>
          <w:szCs w:val="16"/>
          <w:color w:val="auto"/>
        </w:rPr>
        <w:t>prospectus is accurate only as of the date on the front cover of this prospectus. Our business, financial condition, results of operations and prospects may have changed since that date.</w:t>
      </w:r>
    </w:p>
    <w:p>
      <w:pPr>
        <w:spacing w:after="0" w:line="75" w:lineRule="exact"/>
        <w:rPr>
          <w:sz w:val="20"/>
          <w:szCs w:val="20"/>
          <w:color w:val="auto"/>
        </w:rPr>
      </w:pPr>
    </w:p>
    <w:p>
      <w:pPr>
        <w:ind w:left="460" w:right="160"/>
        <w:spacing w:after="0" w:line="250" w:lineRule="auto"/>
        <w:rPr>
          <w:sz w:val="20"/>
          <w:szCs w:val="20"/>
          <w:color w:val="auto"/>
        </w:rPr>
      </w:pPr>
      <w:r>
        <w:rPr>
          <w:rFonts w:ascii="Arial" w:cs="Arial" w:eastAsia="Arial" w:hAnsi="Arial"/>
          <w:sz w:val="16"/>
          <w:szCs w:val="16"/>
          <w:color w:val="auto"/>
        </w:rPr>
        <w:t>This prospectus includes industry and market data that we obtained from industry publications, third-party studies and surveys, filings of public companies in our industry and internal company surveys. These sources may include government and industry sources. Although we believe the industry and market data to be reliable as of the date of this prospectus,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the sources relied upon or cited herein.</w:t>
      </w:r>
    </w:p>
    <w:p>
      <w:pPr>
        <w:spacing w:after="0" w:line="91"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26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0800"/>
          </w:cols>
          <w:pgMar w:left="320" w:top="441" w:right="77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73520" cy="5044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73520" cy="504444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20"/>
        <w:spacing w:after="0"/>
        <w:rPr>
          <w:sz w:val="20"/>
          <w:szCs w:val="20"/>
          <w:color w:val="auto"/>
        </w:rPr>
      </w:pPr>
      <w:r>
        <w:rPr>
          <w:rFonts w:ascii="Arial" w:cs="Arial" w:eastAsia="Arial" w:hAnsi="Arial"/>
          <w:sz w:val="30"/>
          <w:szCs w:val="30"/>
          <w:b w:val="1"/>
          <w:bCs w:val="1"/>
          <w:color w:val="auto"/>
        </w:rPr>
        <w:t>Prospectus summary</w:t>
      </w:r>
    </w:p>
    <w:p>
      <w:pPr>
        <w:spacing w:after="0" w:line="133" w:lineRule="exact"/>
        <w:rPr>
          <w:sz w:val="20"/>
          <w:szCs w:val="20"/>
          <w:color w:val="auto"/>
        </w:rPr>
      </w:pPr>
    </w:p>
    <w:p>
      <w:pPr>
        <w:ind w:left="620" w:right="140"/>
        <w:spacing w:after="0" w:line="256"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and is qualified in its entirety by the more detailed information and financial statements included elsewhere in this prospectus. It does not contain all of the information that may be important to you and your investment decision. You should carefully read this entire prospectus, including the sections titled “Risk Factors,” “Management’s Discussion and Analysis of Financial Condition and Results of Operations” and our financial statements and related notes. In this prospectus, unless context requires otherwise, references to “we,” “us,” “our,” “RxSight,” or “the Company” refer to RxSight, Inc.</w:t>
      </w:r>
    </w:p>
    <w:p>
      <w:pPr>
        <w:spacing w:after="0" w:line="346"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Overview</w:t>
      </w:r>
    </w:p>
    <w:p>
      <w:pPr>
        <w:spacing w:after="0" w:line="133" w:lineRule="exact"/>
        <w:rPr>
          <w:sz w:val="20"/>
          <w:szCs w:val="20"/>
          <w:color w:val="auto"/>
        </w:rPr>
      </w:pPr>
    </w:p>
    <w:p>
      <w:pPr>
        <w:ind w:left="620"/>
        <w:spacing w:after="0" w:line="249" w:lineRule="auto"/>
        <w:rPr>
          <w:sz w:val="20"/>
          <w:szCs w:val="20"/>
          <w:color w:val="auto"/>
        </w:rPr>
      </w:pPr>
      <w:r>
        <w:rPr>
          <w:rFonts w:ascii="Arial" w:cs="Arial" w:eastAsia="Arial" w:hAnsi="Arial"/>
          <w:sz w:val="16"/>
          <w:szCs w:val="16"/>
          <w:color w:val="auto"/>
        </w:rPr>
        <w:t>We are a commercial-stage medical technology company dedicated to improving the vision of patients following cataract surgery. Our proprietary RxSight Light Adjustable Lens system (“RxSight system”), comprised of our RxSight Light Adjustable Lens (“LAL”), RxSight Light Delivery Device (“LDD”) and accessories, is the first and only commercially available intraocular lens (“IOL”) technology that enables doctors to customize and optimize visual acuity for patients after cataract surgery. Our LAL is made of proprietary photosensitive material that changes shape in response to specific patterns of ultraviolet (“UV”) light generated by our LDD. With the RxSight system, the surgeon performs a standard cataract procedure to implant the LAL, determines refractive error with patient input after healing is complete, and then uses the LDD to modify the lens with the exact amount of visual correction needed to achieve the patient’s desired vision outcomes. Alternative IOL technologies, in contrast, are not adjustable following the surgery and therefore require patients to make pre-operative choices about their visual preferences, which can often result in patient dissatisfaction when visual outcomes fail to meet expectations. We designed our system to maximize patient and doctor satisfaction through superior visual outcomes. In the pivotal study that formed the basis for our U.S. Food and Drug Administration, or FDA, approval, the observed rate of eyes with 20/20 or better uncorrected distance visual acuity for our LAL was 70.1%. This compares favorably to the results of pivotal studies with similar study designs and patient populations that supported FDA approval of Alcon’s Acrysof Toric (38.4%), and J&amp;J’s Tecnis Toric (43.6%). We began commercializing our solution in the United States in the third quarter of 2019 and are focused on establishing the RxSight system as the standard of care for premium IOL procedures. As of March 31, 2021, we had an installed base of 105 LDDs in ophthalmology practices, and since our inception, surgeons have performed over 10,000 surgeries with our RxSight system.</w:t>
      </w:r>
    </w:p>
    <w:p>
      <w:pPr>
        <w:spacing w:after="0" w:line="90" w:lineRule="exact"/>
        <w:rPr>
          <w:sz w:val="20"/>
          <w:szCs w:val="20"/>
          <w:color w:val="auto"/>
        </w:rPr>
      </w:pPr>
    </w:p>
    <w:p>
      <w:pPr>
        <w:ind w:left="620" w:right="20"/>
        <w:spacing w:after="0" w:line="249" w:lineRule="auto"/>
        <w:rPr>
          <w:sz w:val="20"/>
          <w:szCs w:val="20"/>
          <w:color w:val="auto"/>
        </w:rPr>
      </w:pPr>
      <w:r>
        <w:rPr>
          <w:rFonts w:ascii="Arial" w:cs="Arial" w:eastAsia="Arial" w:hAnsi="Arial"/>
          <w:sz w:val="16"/>
          <w:szCs w:val="16"/>
          <w:color w:val="auto"/>
        </w:rPr>
        <w:t>Cataract surgery is the most common surgical procedure in the world, with approximately 22 million cataract surgeries performed worldwide in 2020, including 3.7 million in the United States. A cataract is a loss of transparency in the normally clear lens of the eye that can cause blurry or hazy vision, significantly interfering with daily activities and affecting quality of life. Cataracts increase in prevalence with age and develop in approximately 50% of individuals by age 60, affecting both eyes 80 to 90% of the time, and requiring surgery to restore vision in most cases. During cataract surgery, the patient’s natural lens is replaced with a clear artificial lens called an intraocular lens. There are two broad categories of IOLs: conventional IOLs and premium IOLs. Based on the category of IOL used, cataract surgeries can be differentiated as either conventional or premium procedures. In conventional cataract surgery, patients receive conventional monofocal IOLs that are designed to provide vision at one distance, and do not correct for corneal astigmatism and presbyopia. Nearly all conventional IOL patients therefore will need spectacles to attain their best vision after surgery. With premium cataract surgery, patients receive premium IOLs designed to correct for corneal astigmatism and/or presbyopia and therefore to provide for reduced spectacle dependence. Because 60% of cataracts patients rate being spectacle free after cataract surgery as extremely important, we believe the premium IOL market is underpenetrated as only 11% and 16% of total procedures worldwide and in the United States in 2020,</w:t>
      </w:r>
    </w:p>
    <w:p>
      <w:pPr>
        <w:spacing w:after="0" w:line="33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600"/>
          </w:cols>
          <w:pgMar w:left="320" w:top="441" w:right="97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73520" cy="4786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73520" cy="478663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620" w:right="80"/>
        <w:spacing w:after="0" w:line="250" w:lineRule="auto"/>
        <w:rPr>
          <w:sz w:val="20"/>
          <w:szCs w:val="20"/>
          <w:color w:val="auto"/>
        </w:rPr>
      </w:pPr>
      <w:r>
        <w:rPr>
          <w:rFonts w:ascii="Arial" w:cs="Arial" w:eastAsia="Arial" w:hAnsi="Arial"/>
          <w:sz w:val="16"/>
          <w:szCs w:val="16"/>
          <w:color w:val="auto"/>
        </w:rPr>
        <w:t>respectively, were premium procedures. However, according to MarketScope, the premium IOL market represented 37% of the total IOL market for 2020, due to higher lens pricing, and is projected to grow significantly faster. According to MarketScope, the premium IOL market was an approximately $1.4 billion market worldwide in 2020, and while total worldwide cataract procedure volumes were down approximately 25% due to the COVID-19 pandemic, the total revenue from premium IOLs to manufacturers was unchanged from 2019. This market is expected to grow at a compound annual growth rate (“CAGR”) of 14% from 2020 to 2026, relative to an approximately $2.3 billion market in 2020 and a 10.5% CAGR for the conventional IOL market. Premium cataract procedures are between 10 and 15 times more profitable for doctors and ophthalmology practices than conventional cataract procedures. The premium IOL market is also less impacted by changes in reimbursement because patients are required to pay out-of-pocket to cover the full or incremental costs of premium cataract procedures (depending on the country), while healthcare payors typically cover the full cost of conventional cataract procedures.</w:t>
      </w:r>
    </w:p>
    <w:p>
      <w:pPr>
        <w:spacing w:after="0" w:line="278" w:lineRule="exact"/>
        <w:rPr>
          <w:sz w:val="20"/>
          <w:szCs w:val="20"/>
          <w:color w:val="auto"/>
        </w:rPr>
      </w:pPr>
    </w:p>
    <w:p>
      <w:pPr>
        <w:ind w:left="620" w:right="80"/>
        <w:spacing w:after="0" w:line="250" w:lineRule="auto"/>
        <w:rPr>
          <w:sz w:val="20"/>
          <w:szCs w:val="20"/>
          <w:color w:val="auto"/>
        </w:rPr>
      </w:pPr>
      <w:r>
        <w:rPr>
          <w:rFonts w:ascii="Arial" w:cs="Arial" w:eastAsia="Arial" w:hAnsi="Arial"/>
          <w:sz w:val="16"/>
          <w:szCs w:val="16"/>
          <w:color w:val="auto"/>
        </w:rPr>
        <w:t>We believe that the premium IOL market remains underpenetrated due to doctors’ reluctance to recommend premium IOL offerings to the full universe of eligible patients and patients’ confusion in assessing the tradeoffs associated with the wide range of commercially available premium IOL offerings. We believe current premium IOL offerings often cannot deliver on patient expectations with respect to the patient’s ability to see at near, intermediate and far distances without reliance on spectacles. Once a patient has selected a premium IOL, the surgeon must rely on a series of pre-operative diagnostic tests and predictive formulae to choose a lens that delivers the accuracy and outcomes desired by the patient. According to published clinical data from the pivotal studies of alternative premium IOL technologies, the percentage of patients that achieved 20/20 vision with both eyes at all distances was only 40%. As a result, doctors often lack confidence in current premium IOL offerings given their inability to meet patients’ expectations consistently.</w:t>
      </w:r>
    </w:p>
    <w:p>
      <w:pPr>
        <w:spacing w:after="0" w:line="90" w:lineRule="exact"/>
        <w:rPr>
          <w:sz w:val="20"/>
          <w:szCs w:val="20"/>
          <w:color w:val="auto"/>
        </w:rPr>
      </w:pPr>
    </w:p>
    <w:p>
      <w:pPr>
        <w:ind w:left="620" w:right="20"/>
        <w:spacing w:after="0" w:line="249" w:lineRule="auto"/>
        <w:rPr>
          <w:sz w:val="20"/>
          <w:szCs w:val="20"/>
          <w:color w:val="auto"/>
        </w:rPr>
      </w:pPr>
      <w:r>
        <w:rPr>
          <w:rFonts w:ascii="Arial" w:cs="Arial" w:eastAsia="Arial" w:hAnsi="Arial"/>
          <w:sz w:val="16"/>
          <w:szCs w:val="16"/>
          <w:color w:val="auto"/>
        </w:rPr>
        <w:t>We designed our RxSight system to address the shortcomings of existing premium IOL technologies and provide a solution that doctors can trust to improve visual outcomes. In contrast to alternative premium IOL solutions, for which patients are required (before surgery) to specify their visual priorities and willingness to accept optical trade-offs associated with those choices, our RxSight system offers peace of mind that patients can iterate their final vision characteristics with customized post-surgical adjustments. The surgeon first performs a standard cataract implant procedure, replacing the patient’s natural lens with the LAL. Approximately three weeks post cataract surgery, after healing has occurred, the patient undergoes a standard post-operative refraction to determine the refractive error and the prescription required to give the patient the best vision. This prescription is much like that used for spectacle lenses, but instead is used as an input to the LDD. To adjust the LAL, the patient is positioned at the LDD for a treatment that lasts between approximately 30 seconds and 2.5 minutes, depending on the required prescription. The patient returns after approximately three to five days, at which time they can undergo another refraction and adjustment, if needed, to “dial in” their best vision. Once the patient and the doctor are satisfied, then the adjustment is locked in for life with another light treatment. While up to three post-surgical adjustment visits are offered by the doctor, in our pivotal clinical study, patients had an average of 1.6 adjustments. While many patients choose to have both eyes corrected for distance, approximately 80% elect for what is called a blended vision approach that takes advantage of the LAL’s depth of focus to deliver a customized blended vision solution. By titrating the correction for near, intermediate or far in each eye, this approach provides excellent vision with both eyes at all distances.</w:t>
      </w:r>
    </w:p>
    <w:p>
      <w:pPr>
        <w:spacing w:after="0" w:line="282" w:lineRule="exact"/>
        <w:rPr>
          <w:sz w:val="20"/>
          <w:szCs w:val="20"/>
          <w:color w:val="auto"/>
        </w:rPr>
      </w:pPr>
    </w:p>
    <w:p>
      <w:pPr>
        <w:ind w:left="620"/>
        <w:spacing w:after="0" w:line="253" w:lineRule="auto"/>
        <w:rPr>
          <w:sz w:val="20"/>
          <w:szCs w:val="20"/>
          <w:color w:val="auto"/>
        </w:rPr>
      </w:pPr>
      <w:r>
        <w:rPr>
          <w:rFonts w:ascii="Arial" w:cs="Arial" w:eastAsia="Arial" w:hAnsi="Arial"/>
          <w:sz w:val="16"/>
          <w:szCs w:val="16"/>
          <w:color w:val="auto"/>
        </w:rPr>
        <w:t>Our RxSight system has FDA approval for the reduction of residual astigmatism to improve uncorrected visual acuity after removal of the cataractous natural lens by phacoemulsification and implantation of the intraocular lens in the capsular bag, in adult patients with pre-existing corneal astigmatism of &gt; 0.75 diopters and without pre-existing macular disease. Our system has also received the CE mark and marketing approval in Mexico for</w:t>
      </w:r>
    </w:p>
    <w:p>
      <w:pPr>
        <w:spacing w:after="0" w:line="137"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600"/>
          </w:cols>
          <w:pgMar w:left="320" w:top="441" w:right="97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73520" cy="50685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73520" cy="506857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620"/>
        <w:spacing w:after="0" w:line="249" w:lineRule="auto"/>
        <w:rPr>
          <w:sz w:val="20"/>
          <w:szCs w:val="20"/>
          <w:color w:val="auto"/>
        </w:rPr>
      </w:pPr>
      <w:r>
        <w:rPr>
          <w:rFonts w:ascii="Arial" w:cs="Arial" w:eastAsia="Arial" w:hAnsi="Arial"/>
          <w:sz w:val="16"/>
          <w:szCs w:val="16"/>
          <w:color w:val="auto"/>
        </w:rPr>
        <w:t>improving uncorrected visual acuity by adjusting the LAL power to correct residual postoperative refractive error, including for -2.0 to + 2.0 diopters of sphere and -3.0 to -0.50 diopters of cylinder and by changing lens curvature to introduce controlled amounts of spherical aberration (+/- 1 micron) and center near add (up to 2.0 diopters). We are currently focusing our commercial efforts in the United States. Our commercial strategy is focused on a “land and expand” model through which we aim to drive new customer adoption, which generally begins with the sale of an LDD, and then helps the customer incorporate the LAL into their practice to drive utilization and premium procedure growth. We believe this commercial strategy, over time, may provide a degree of predictability in terms of our commercial growth and a consumable revenue stream from sales of our LALs. We are currently focused on driving adoption with ophthalmology practices performing a high volume of premium cataract procedures. MarketScope estimates that there are approximately 4,000 surgeons that perform cataract surgeries in the United States, and we estimate approximately 1,600 surgeons performed approximately 70 to 80% of the premium procedures in the United States in 2020. We believe this provides an attractive and concentrated market opportunity addressable with a focused sales force. We currently employ a sales team that, as of March 2021 includes 6 sales directors, and a group of over 40 clinical specialists, field service and customer service personnel. While we intend to initially focus our growing commercial efforts in the United States, in the future, we may selectively pursue commercial expansion in Japan, Europe, Australia or other geographies with significant market opportunity for premium IOLs.</w:t>
      </w:r>
    </w:p>
    <w:p>
      <w:pPr>
        <w:spacing w:after="0" w:line="91" w:lineRule="exact"/>
        <w:rPr>
          <w:sz w:val="20"/>
          <w:szCs w:val="20"/>
          <w:color w:val="auto"/>
        </w:rPr>
      </w:pPr>
    </w:p>
    <w:p>
      <w:pPr>
        <w:ind w:left="620"/>
        <w:spacing w:after="0" w:line="253" w:lineRule="auto"/>
        <w:rPr>
          <w:sz w:val="20"/>
          <w:szCs w:val="20"/>
          <w:color w:val="auto"/>
        </w:rPr>
      </w:pPr>
      <w:r>
        <w:rPr>
          <w:rFonts w:ascii="Arial" w:cs="Arial" w:eastAsia="Arial" w:hAnsi="Arial"/>
          <w:sz w:val="16"/>
          <w:szCs w:val="16"/>
          <w:color w:val="auto"/>
        </w:rPr>
        <w:t>Our near-term research and development activities are focused on enhancements to the RxSight system to improve the patient and doctor experience, expand the range of patients that can be treated, as well as expand its indications. We believe that over time, our adjustable lens solution can be used to address a broad range of cataract surgery patients, including those that would otherwise elect for a conventional cataract procedure today.</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Our success factors</w:t>
      </w:r>
    </w:p>
    <w:p>
      <w:pPr>
        <w:spacing w:after="0" w:line="13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believe the following factors differentiate our company and will continue to be significant components of our success and growth:</w:t>
      </w:r>
    </w:p>
    <w:p>
      <w:pPr>
        <w:spacing w:after="0" w:line="120" w:lineRule="exact"/>
        <w:rPr>
          <w:sz w:val="20"/>
          <w:szCs w:val="20"/>
          <w:color w:val="auto"/>
        </w:rPr>
      </w:pPr>
    </w:p>
    <w:p>
      <w:pPr>
        <w:ind w:left="800" w:hanging="177"/>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first and only commercially available IOL technology that allows customization and optimization of patient vision after surgery;</w:t>
      </w:r>
    </w:p>
    <w:p>
      <w:pPr>
        <w:spacing w:after="0" w:line="120" w:lineRule="exact"/>
        <w:rPr>
          <w:rFonts w:ascii="Arial" w:cs="Arial" w:eastAsia="Arial" w:hAnsi="Arial"/>
          <w:sz w:val="16"/>
          <w:szCs w:val="16"/>
          <w:color w:val="auto"/>
        </w:rPr>
      </w:pPr>
    </w:p>
    <w:p>
      <w:pPr>
        <w:ind w:left="800" w:hanging="177"/>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superior visual outcomes and premium IOL experience for patients;</w:t>
      </w:r>
    </w:p>
    <w:p>
      <w:pPr>
        <w:spacing w:after="0" w:line="120" w:lineRule="exact"/>
        <w:rPr>
          <w:rFonts w:ascii="Arial" w:cs="Arial" w:eastAsia="Arial" w:hAnsi="Arial"/>
          <w:sz w:val="16"/>
          <w:szCs w:val="16"/>
          <w:color w:val="auto"/>
        </w:rPr>
      </w:pPr>
    </w:p>
    <w:p>
      <w:pPr>
        <w:ind w:left="800" w:hanging="177"/>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large and growing premium IOL market underpenetrated within broader IOL industry;</w:t>
      </w:r>
    </w:p>
    <w:p>
      <w:pPr>
        <w:spacing w:after="0" w:line="120" w:lineRule="exact"/>
        <w:rPr>
          <w:rFonts w:ascii="Arial" w:cs="Arial" w:eastAsia="Arial" w:hAnsi="Arial"/>
          <w:sz w:val="16"/>
          <w:szCs w:val="16"/>
          <w:color w:val="auto"/>
        </w:rPr>
      </w:pPr>
    </w:p>
    <w:p>
      <w:pPr>
        <w:ind w:left="800" w:hanging="177"/>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primarily out-of-pocket, cash-pay procedure, which we believe makes the premium IOL market less sensitive to reimbursement;</w:t>
      </w:r>
    </w:p>
    <w:p>
      <w:pPr>
        <w:spacing w:after="0" w:line="120" w:lineRule="exact"/>
        <w:rPr>
          <w:rFonts w:ascii="Arial" w:cs="Arial" w:eastAsia="Arial" w:hAnsi="Arial"/>
          <w:sz w:val="16"/>
          <w:szCs w:val="16"/>
          <w:color w:val="auto"/>
        </w:rPr>
      </w:pPr>
    </w:p>
    <w:p>
      <w:pPr>
        <w:ind w:left="800" w:hanging="177"/>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concentrated potential customer base, addressable with a focused commercial organization; and</w:t>
      </w:r>
    </w:p>
    <w:p>
      <w:pPr>
        <w:spacing w:after="0" w:line="120" w:lineRule="exact"/>
        <w:rPr>
          <w:rFonts w:ascii="Arial" w:cs="Arial" w:eastAsia="Arial" w:hAnsi="Arial"/>
          <w:sz w:val="16"/>
          <w:szCs w:val="16"/>
          <w:color w:val="auto"/>
        </w:rPr>
      </w:pPr>
    </w:p>
    <w:p>
      <w:pPr>
        <w:ind w:left="800" w:hanging="177"/>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proven management team with a track record of establishing adoption of multiple innovative technology platforms in ophthalmology.</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Our growth strategies</w:t>
      </w:r>
    </w:p>
    <w:p>
      <w:pPr>
        <w:spacing w:after="0" w:line="133" w:lineRule="exact"/>
        <w:rPr>
          <w:sz w:val="20"/>
          <w:szCs w:val="20"/>
          <w:color w:val="auto"/>
        </w:rPr>
      </w:pPr>
    </w:p>
    <w:p>
      <w:pPr>
        <w:ind w:left="620" w:right="120"/>
        <w:spacing w:after="0" w:line="256" w:lineRule="auto"/>
        <w:rPr>
          <w:sz w:val="20"/>
          <w:szCs w:val="20"/>
          <w:color w:val="auto"/>
        </w:rPr>
      </w:pPr>
      <w:r>
        <w:rPr>
          <w:rFonts w:ascii="Arial" w:cs="Arial" w:eastAsia="Arial" w:hAnsi="Arial"/>
          <w:sz w:val="16"/>
          <w:szCs w:val="16"/>
          <w:color w:val="auto"/>
        </w:rPr>
        <w:t>Our vision is that a majority of the patients and surgeons that undergo or perform a cataract surgery procedure, will elect to use our RxSight technology that provides a customizable solution delivering better visual outcomes. Our growth strategies to achieve this vision include:</w:t>
      </w:r>
    </w:p>
    <w:p>
      <w:pPr>
        <w:spacing w:after="0" w:line="96" w:lineRule="exact"/>
        <w:rPr>
          <w:sz w:val="20"/>
          <w:szCs w:val="20"/>
          <w:color w:val="auto"/>
        </w:rPr>
      </w:pPr>
    </w:p>
    <w:p>
      <w:pPr>
        <w:ind w:left="800" w:hanging="177"/>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strategically expanding our salesforce and marketing activities;</w:t>
      </w:r>
    </w:p>
    <w:p>
      <w:pPr>
        <w:spacing w:after="0" w:line="120" w:lineRule="exact"/>
        <w:rPr>
          <w:rFonts w:ascii="Arial" w:cs="Arial" w:eastAsia="Arial" w:hAnsi="Arial"/>
          <w:sz w:val="16"/>
          <w:szCs w:val="16"/>
          <w:color w:val="auto"/>
        </w:rPr>
      </w:pPr>
    </w:p>
    <w:p>
      <w:pPr>
        <w:ind w:left="5580" w:right="4780" w:hanging="4957"/>
        <w:spacing w:after="0" w:line="351" w:lineRule="auto"/>
        <w:tabs>
          <w:tab w:leader="none" w:pos="802"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establishing new customers and growing our installed base of LDDs; 3</w:t>
      </w:r>
    </w:p>
    <w:p>
      <w:pPr>
        <w:sectPr>
          <w:pgSz w:w="11900" w:h="16838" w:orient="portrait"/>
          <w:cols w:equalWidth="0" w:num="1">
            <w:col w:w="10580"/>
          </w:cols>
          <w:pgMar w:left="320" w:top="441" w:right="99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73520" cy="51809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73520" cy="518096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800" w:hanging="177"/>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increasing the utilization of our LALs by empowering doctors to grow their practices;</w:t>
      </w:r>
    </w:p>
    <w:p>
      <w:pPr>
        <w:spacing w:after="0" w:line="120" w:lineRule="exact"/>
        <w:rPr>
          <w:rFonts w:ascii="Arial" w:cs="Arial" w:eastAsia="Arial" w:hAnsi="Arial"/>
          <w:sz w:val="16"/>
          <w:szCs w:val="16"/>
          <w:color w:val="auto"/>
        </w:rPr>
      </w:pPr>
    </w:p>
    <w:p>
      <w:pPr>
        <w:ind w:left="800" w:hanging="177"/>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investing in platform enhancements to meet the evolving needs of doctors and patients;</w:t>
      </w:r>
    </w:p>
    <w:p>
      <w:pPr>
        <w:spacing w:after="0" w:line="120" w:lineRule="exact"/>
        <w:rPr>
          <w:rFonts w:ascii="Arial" w:cs="Arial" w:eastAsia="Arial" w:hAnsi="Arial"/>
          <w:sz w:val="16"/>
          <w:szCs w:val="16"/>
          <w:color w:val="auto"/>
        </w:rPr>
      </w:pPr>
    </w:p>
    <w:p>
      <w:pPr>
        <w:ind w:left="800" w:hanging="177"/>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expanding the RxSight system’s indications to address additional patients and procedures;</w:t>
      </w:r>
    </w:p>
    <w:p>
      <w:pPr>
        <w:spacing w:after="0" w:line="120" w:lineRule="exact"/>
        <w:rPr>
          <w:rFonts w:ascii="Arial" w:cs="Arial" w:eastAsia="Arial" w:hAnsi="Arial"/>
          <w:sz w:val="16"/>
          <w:szCs w:val="16"/>
          <w:color w:val="auto"/>
        </w:rPr>
      </w:pPr>
    </w:p>
    <w:p>
      <w:pPr>
        <w:ind w:left="800" w:hanging="177"/>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growing our commercial operations in international markets; and</w:t>
      </w:r>
    </w:p>
    <w:p>
      <w:pPr>
        <w:spacing w:after="0" w:line="120" w:lineRule="exact"/>
        <w:rPr>
          <w:rFonts w:ascii="Arial" w:cs="Arial" w:eastAsia="Arial" w:hAnsi="Arial"/>
          <w:sz w:val="16"/>
          <w:szCs w:val="16"/>
          <w:color w:val="auto"/>
        </w:rPr>
      </w:pPr>
    </w:p>
    <w:p>
      <w:pPr>
        <w:ind w:left="800" w:hanging="177"/>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scaling our business to achieve cost and production efficiencies.</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Our market</w:t>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Our market opportunity</w:t>
      </w:r>
    </w:p>
    <w:p>
      <w:pPr>
        <w:spacing w:after="0" w:line="128" w:lineRule="exact"/>
        <w:rPr>
          <w:sz w:val="20"/>
          <w:szCs w:val="20"/>
          <w:color w:val="auto"/>
        </w:rPr>
      </w:pPr>
    </w:p>
    <w:p>
      <w:pPr>
        <w:ind w:left="620"/>
        <w:spacing w:after="0" w:line="249" w:lineRule="auto"/>
        <w:rPr>
          <w:sz w:val="20"/>
          <w:szCs w:val="20"/>
          <w:color w:val="auto"/>
        </w:rPr>
      </w:pPr>
      <w:r>
        <w:rPr>
          <w:rFonts w:ascii="Arial" w:cs="Arial" w:eastAsia="Arial" w:hAnsi="Arial"/>
          <w:sz w:val="16"/>
          <w:szCs w:val="16"/>
          <w:color w:val="auto"/>
        </w:rPr>
        <w:t>In 2020, conventional cataract surgery represented 89% of procedures worldwide and 84% of procedures in the United States; however, the premium IOL market is approximately 37% of the total IOL market today, due to higher lens pricing, and is expected to grow significantly faster. According to MarketScope, the conventional IOL market was approximately $2.3 billion worldwide in 2020 and is expected to grow at a CAGR of 10.5% between 2020 and 2026. Premium IOL revenue was approximately $450 million in the United States and $1.4 billion worldwide in 2020, and is expected to grow at a CAGR of 14% and 14%, respectively, through 2026. The premium cataract surgery market is expected to grow at a meaningfully higher rate than the conventional cataract surgery market due to a number of factors including the growing number of patients who prefer to be spectacle-free post-surgery, technological innovations in premium IOLs, increased access to healthcare and rising disposable income. Premium cataract procedures are also between 10 and 15 times more profitable for doctors and ophthalmology practices than conventional cataract procedures and less impacted by changes in reimbursement because patients are required to pay out-of-pocket to cover the full or incremental costs of premium cataract procedures (depending on the country), while healthcare payors typically cover the full cost of conventional cataract procedures.</w:t>
      </w:r>
    </w:p>
    <w:p>
      <w:pPr>
        <w:spacing w:after="0" w:line="94" w:lineRule="exact"/>
        <w:rPr>
          <w:sz w:val="20"/>
          <w:szCs w:val="20"/>
          <w:color w:val="auto"/>
        </w:rPr>
      </w:pPr>
    </w:p>
    <w:p>
      <w:pPr>
        <w:ind w:left="620" w:right="20"/>
        <w:spacing w:after="0" w:line="250" w:lineRule="auto"/>
        <w:rPr>
          <w:sz w:val="20"/>
          <w:szCs w:val="20"/>
          <w:color w:val="auto"/>
        </w:rPr>
      </w:pPr>
      <w:r>
        <w:rPr>
          <w:rFonts w:ascii="Arial" w:cs="Arial" w:eastAsia="Arial" w:hAnsi="Arial"/>
          <w:sz w:val="16"/>
          <w:szCs w:val="16"/>
          <w:color w:val="auto"/>
        </w:rPr>
        <w:t>We believe there is an opportunity to not only gain share in the premium IOL segment of the market but also increase the penetration of premium IOLs in the broader IOL market, by converting doctors and patients currently electing for conventional cataract surgery to the RxSight system. While 60% of cataracts patients rate being spectacle-free after cataract surgery as extremely important, premium IOLs represented only 11% and 16% of the procedures worldwide and in the United States, respectively, in 2020. We believe that the premium cataract surgery market remains underpenetrated due to both doctors’ reluctance to recommend premium IOL offerings to the full universe of eligible patients and patients’ confusion in assessing the tradeoffs associated with the wide range of commercially available premium IOL offerings. Furthermore, we believe current premium IOL offerings often cannot deliver on patient expectations with respect to the patient’s ability to see at near, intermediate and far distances without reliance on spectacles.</w:t>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Overview of non-adjustable premium IOLs and their limitations</w:t>
      </w:r>
    </w:p>
    <w:p>
      <w:pPr>
        <w:spacing w:after="0" w:line="128" w:lineRule="exact"/>
        <w:rPr>
          <w:sz w:val="20"/>
          <w:szCs w:val="20"/>
          <w:color w:val="auto"/>
        </w:rPr>
      </w:pPr>
    </w:p>
    <w:p>
      <w:pPr>
        <w:ind w:left="620" w:right="160"/>
        <w:spacing w:after="0" w:line="251" w:lineRule="auto"/>
        <w:rPr>
          <w:sz w:val="20"/>
          <w:szCs w:val="20"/>
          <w:color w:val="auto"/>
        </w:rPr>
      </w:pPr>
      <w:r>
        <w:rPr>
          <w:rFonts w:ascii="Arial" w:cs="Arial" w:eastAsia="Arial" w:hAnsi="Arial"/>
          <w:sz w:val="16"/>
          <w:szCs w:val="16"/>
          <w:color w:val="auto"/>
        </w:rPr>
        <w:t>Premium IOLs are designed to correct for the shortcomings of conventional monofocal lenses by correcting for the additional visual problems of astigmatism and/or presbyopia. Astigmatism occurs when there is imperfection in the curvature of the cornea, resulting in blurred distance and near vision. Presbyopia is the gradual loss of the eyes’ ability to focus on nearby objects. Individuals usually begin to experience the effects of presbyopia in their early 40s. The two primary categories of alternative premium IOLs are presbyopia-correcting IOLs, which include multifocal and extended depth of focus (“EDOF”) lenses, and astigmatism-correcting, or toric, lenses. Each type of lens offers its own unique set of benefits but also trade-offs.</w:t>
      </w:r>
    </w:p>
    <w:p>
      <w:pPr>
        <w:spacing w:after="0" w:line="88" w:lineRule="exact"/>
        <w:rPr>
          <w:sz w:val="20"/>
          <w:szCs w:val="20"/>
          <w:color w:val="auto"/>
        </w:rPr>
      </w:pPr>
    </w:p>
    <w:p>
      <w:pPr>
        <w:ind w:left="620" w:right="80"/>
        <w:spacing w:after="0" w:line="265" w:lineRule="auto"/>
        <w:rPr>
          <w:sz w:val="20"/>
          <w:szCs w:val="20"/>
          <w:color w:val="auto"/>
        </w:rPr>
      </w:pPr>
      <w:r>
        <w:rPr>
          <w:rFonts w:ascii="Arial" w:cs="Arial" w:eastAsia="Arial" w:hAnsi="Arial"/>
          <w:sz w:val="16"/>
          <w:szCs w:val="16"/>
          <w:color w:val="auto"/>
        </w:rPr>
        <w:t>A key limitation of alternative premium IOLs is that they cannot be adjusted after surgery and, as such, require the patient to commit to a desired visual outcome prior to the procedure. However, in discussing vision</w:t>
      </w:r>
    </w:p>
    <w:p>
      <w:pPr>
        <w:spacing w:after="0" w:line="126"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620"/>
          </w:cols>
          <w:pgMar w:left="320" w:top="441" w:right="95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73520" cy="43757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73520" cy="43757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620"/>
        <w:spacing w:after="0" w:line="249" w:lineRule="auto"/>
        <w:rPr>
          <w:sz w:val="20"/>
          <w:szCs w:val="20"/>
          <w:color w:val="auto"/>
        </w:rPr>
      </w:pPr>
      <w:r>
        <w:rPr>
          <w:rFonts w:ascii="Arial" w:cs="Arial" w:eastAsia="Arial" w:hAnsi="Arial"/>
          <w:sz w:val="16"/>
          <w:szCs w:val="16"/>
          <w:color w:val="auto"/>
        </w:rPr>
        <w:t>optimization options with patients ahead of the procedure, it is not easy to demonstrate different visual outcomes to patients with cataracts. Once a premium IOL is selected, another key limitation is the ability of the surgeon to implant the IOL with the level of accuracy required to deliver the patient’s expected outcome. Because the lens power of alternative premium IOLs cannot be changed after implantation, doctors typically spend a great deal of time on preoperative measurements to estimate the most suitable lens power for the patient; however, the same diagnostic tests and predictive formulae used for selecting the spherical power of the premium IOL are also used for conventional IOLs. Additionally, the incision made to remove the cloudy lens and insert the IOL along with the resultant healing process often results in the creation of additional levels of astigmatism, which cannot be predicted with precision before cataract surgery. A separate LASIK procedure is the most common surgical procedure to correct any residual visual errors following the cataract procedure. In addition, in two recently published ESCRS clinical trend surveys, 44% of surgeons and 36% of surgeons reported factors that discourage them from offering premium IOLs due to concern over nighttime vision and loss of contrast sensitivity, respectively.</w:t>
      </w:r>
    </w:p>
    <w:p>
      <w:pPr>
        <w:spacing w:after="0" w:line="94" w:lineRule="exact"/>
        <w:rPr>
          <w:sz w:val="20"/>
          <w:szCs w:val="20"/>
          <w:color w:val="auto"/>
        </w:rPr>
      </w:pPr>
    </w:p>
    <w:p>
      <w:pPr>
        <w:ind w:left="620" w:right="40"/>
        <w:spacing w:after="0" w:line="253" w:lineRule="auto"/>
        <w:rPr>
          <w:sz w:val="20"/>
          <w:szCs w:val="20"/>
          <w:color w:val="auto"/>
        </w:rPr>
      </w:pPr>
      <w:r>
        <w:rPr>
          <w:rFonts w:ascii="Arial" w:cs="Arial" w:eastAsia="Arial" w:hAnsi="Arial"/>
          <w:sz w:val="16"/>
          <w:szCs w:val="16"/>
          <w:color w:val="auto"/>
        </w:rPr>
        <w:t>We believe that the need to commit to a visual outcome before surgery combined with the limited ability to adjust following the procedure are key factors contributing to the low levels of penetration of premium cataract surgery. When expectations regarding postoperative visual acuity and spectacle independence are not met, patients are often disappointed. As a result, surgeons are often less willing to recommend existing premium IOLs to their patients.</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Our solution</w:t>
      </w:r>
    </w:p>
    <w:p>
      <w:pPr>
        <w:spacing w:after="0" w:line="133" w:lineRule="exact"/>
        <w:rPr>
          <w:sz w:val="20"/>
          <w:szCs w:val="20"/>
          <w:color w:val="auto"/>
        </w:rPr>
      </w:pPr>
    </w:p>
    <w:p>
      <w:pPr>
        <w:ind w:left="620" w:right="20"/>
        <w:spacing w:after="0" w:line="253" w:lineRule="auto"/>
        <w:rPr>
          <w:sz w:val="20"/>
          <w:szCs w:val="20"/>
          <w:color w:val="auto"/>
        </w:rPr>
      </w:pPr>
      <w:r>
        <w:rPr>
          <w:rFonts w:ascii="Arial" w:cs="Arial" w:eastAsia="Arial" w:hAnsi="Arial"/>
          <w:sz w:val="16"/>
          <w:szCs w:val="16"/>
          <w:color w:val="auto"/>
        </w:rPr>
        <w:t>We designed our RxSight Light Adjustable Lens system to address the shortcomings of existing premium IOL technologies and provide a solution that doctors can trust to improve visual outcomes. Our RxSight system is the first and only FDA-approved IOL technology that enables doctors to customize and optimize visual acuity for patients after cataract surgery. Our RxSight system is comprised of two key components, along with other intraoperative and postoperative accessories:</w:t>
      </w:r>
    </w:p>
    <w:p>
      <w:pPr>
        <w:spacing w:after="0" w:line="79" w:lineRule="exact"/>
        <w:rPr>
          <w:sz w:val="20"/>
          <w:szCs w:val="20"/>
          <w:color w:val="auto"/>
        </w:rPr>
      </w:pPr>
    </w:p>
    <w:p>
      <w:pPr>
        <w:jc w:val="both"/>
        <w:ind w:left="1900" w:right="420" w:hanging="390"/>
        <w:spacing w:after="0" w:line="269" w:lineRule="auto"/>
        <w:tabs>
          <w:tab w:leader="none" w:pos="19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RxSight Light Adjustable Lens</w:t>
      </w:r>
      <w:r>
        <w:rPr>
          <w:rFonts w:ascii="Arial" w:cs="Arial" w:eastAsia="Arial" w:hAnsi="Arial"/>
          <w:sz w:val="16"/>
          <w:szCs w:val="16"/>
          <w:color w:val="auto"/>
        </w:rPr>
        <w:t>: The LAL is our IOL that can be adjusted postoperatively to improve uncorrected</w:t>
      </w:r>
      <w:r>
        <w:rPr>
          <w:rFonts w:ascii="Arial" w:cs="Arial" w:eastAsia="Arial" w:hAnsi="Arial"/>
          <w:sz w:val="16"/>
          <w:szCs w:val="16"/>
          <w:b w:val="1"/>
          <w:bCs w:val="1"/>
          <w:color w:val="auto"/>
        </w:rPr>
        <w:t xml:space="preserve"> </w:t>
      </w:r>
      <w:r>
        <w:rPr>
          <w:rFonts w:ascii="Arial" w:cs="Arial" w:eastAsia="Arial" w:hAnsi="Arial"/>
          <w:sz w:val="16"/>
          <w:szCs w:val="16"/>
          <w:color w:val="auto"/>
        </w:rPr>
        <w:t>visual acuity. Our novel IOL is made of proprietary photosensitive material that changes shape and power when a specific pattern of UV light is delivered from the LDD.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600"/>
          </w:cols>
          <w:pgMar w:left="320" w:top="441" w:right="97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73520" cy="5318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73520" cy="531812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900" w:right="80" w:hanging="390"/>
        <w:spacing w:after="0" w:line="262" w:lineRule="auto"/>
        <w:tabs>
          <w:tab w:leader="none" w:pos="19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RxSight Light Delivery Device</w:t>
      </w:r>
      <w:r>
        <w:rPr>
          <w:rFonts w:ascii="Arial" w:cs="Arial" w:eastAsia="Arial" w:hAnsi="Arial"/>
          <w:sz w:val="16"/>
          <w:szCs w:val="16"/>
          <w:color w:val="auto"/>
        </w:rPr>
        <w:t>: The LDD is our proprietary office-based light treatment device that delivers UV light in</w:t>
      </w:r>
      <w:r>
        <w:rPr>
          <w:rFonts w:ascii="Arial" w:cs="Arial" w:eastAsia="Arial" w:hAnsi="Arial"/>
          <w:sz w:val="16"/>
          <w:szCs w:val="16"/>
          <w:b w:val="1"/>
          <w:bCs w:val="1"/>
          <w:color w:val="auto"/>
        </w:rPr>
        <w:t xml:space="preserve"> </w:t>
      </w:r>
      <w:r>
        <w:rPr>
          <w:rFonts w:ascii="Arial" w:cs="Arial" w:eastAsia="Arial" w:hAnsi="Arial"/>
          <w:sz w:val="16"/>
          <w:szCs w:val="16"/>
          <w:color w:val="auto"/>
        </w:rPr>
        <w:t>a precisely programmed pattern to induce a predictable change in the shape and refractive properties of the LAL, enabling doctors to precisely modify the LAL based on the visual correction needed to achieve the patient’s desired vision after cataract surgery.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20" w:right="400"/>
        <w:spacing w:after="0" w:line="265" w:lineRule="auto"/>
        <w:rPr>
          <w:sz w:val="20"/>
          <w:szCs w:val="20"/>
          <w:color w:val="auto"/>
        </w:rPr>
      </w:pPr>
      <w:r>
        <w:rPr>
          <w:rFonts w:ascii="Arial" w:cs="Arial" w:eastAsia="Arial" w:hAnsi="Arial"/>
          <w:sz w:val="16"/>
          <w:szCs w:val="16"/>
          <w:color w:val="auto"/>
        </w:rPr>
        <w:t>We have developed our RxSight system over the last 20 years and have incorporated expertise and proprietary technologies across multiple disciplines, including optics, material science, chemistry, software and hardware engineering.</w:t>
      </w:r>
    </w:p>
    <w:p>
      <w:pPr>
        <w:spacing w:after="0" w:line="75" w:lineRule="exact"/>
        <w:rPr>
          <w:sz w:val="20"/>
          <w:szCs w:val="20"/>
          <w:color w:val="auto"/>
        </w:rPr>
      </w:pPr>
    </w:p>
    <w:p>
      <w:pPr>
        <w:ind w:left="620"/>
        <w:spacing w:after="0" w:line="249" w:lineRule="auto"/>
        <w:rPr>
          <w:sz w:val="20"/>
          <w:szCs w:val="20"/>
          <w:color w:val="auto"/>
        </w:rPr>
      </w:pPr>
      <w:r>
        <w:rPr>
          <w:rFonts w:ascii="Arial" w:cs="Arial" w:eastAsia="Arial" w:hAnsi="Arial"/>
          <w:sz w:val="16"/>
          <w:szCs w:val="16"/>
          <w:color w:val="auto"/>
        </w:rPr>
        <w:t>The proprietary RxSight technology that enables post-operative adjustability is based on the principals of photochemistry. To create the LAL, we use a composition of silicone polymers and monomers, which we call “macromers”, mixed with photo-active molecules and other compounds. The initial composition of our lens material is a viscous liquid that is then thermally cured in a lens mold. Thermal curing and photopolymerization use temperature and ultraviolet light, respectively, to initiate and propagate a polymerization reaction. To avoid polymerizing the macromers in the composition, the thermal curing is performed at a low temperature. The partial polymerization of the LAL results in a solid but soft silicone lens, leaving the photosensitive macromers unpolymerized and distributed throughout the lens. While the resulting lens is optically clear, the macromers and photo-active molecules remain free to continuously move within the lens. When UV light is directed to a specific portion of the lens, the exposed macromers in that portion of the lens are polymerized and become stationary. This creates an excess concentration of free macromers in the unexposed portion of the lens and sets up a diffusion gradient over which the unpolymerized macromers move from the concentrated area to the less concentrated area. Over the next one to two days, the unpolymerized macromers redistribute across the lens to achieve a uniform distribution. The redistribution of the macromers causes the exposed portion of the lens to swell relative to the unexposed portion of the lens, enabling refractive power change.</w:t>
      </w:r>
    </w:p>
    <w:p>
      <w:pPr>
        <w:spacing w:after="0" w:line="283" w:lineRule="exact"/>
        <w:rPr>
          <w:sz w:val="20"/>
          <w:szCs w:val="20"/>
          <w:color w:val="auto"/>
        </w:rPr>
      </w:pPr>
    </w:p>
    <w:p>
      <w:pPr>
        <w:ind w:left="620" w:right="40"/>
        <w:spacing w:after="0" w:line="251" w:lineRule="auto"/>
        <w:rPr>
          <w:sz w:val="20"/>
          <w:szCs w:val="20"/>
          <w:color w:val="auto"/>
        </w:rPr>
      </w:pPr>
      <w:r>
        <w:rPr>
          <w:rFonts w:ascii="Arial" w:cs="Arial" w:eastAsia="Arial" w:hAnsi="Arial"/>
          <w:sz w:val="16"/>
          <w:szCs w:val="16"/>
          <w:color w:val="auto"/>
        </w:rPr>
        <w:t>To achieve the desired refractive change in the LAL, our LDD uses proprietary software and algorithms to deliver a short UV exposure treatment that polymerizes specific portions of the lens according to a predefined pattern of light. Each UV light treatment consumes only a portion of the macromers in the lens, allowing the LAL to be adjusted multiple times. This process can be repeated up to three times over a period of several weeks, until the patient and doctor are satisfied. The entire lens is then polymerized to provide a stable correction. After adjustment light treatments are completed, one or two lock-in light treatments are applied to consume all remaining macromers and photo-active compounds. After lock-in treatment, the lens power can no longer be adjusted.</w:t>
      </w:r>
    </w:p>
    <w:p>
      <w:pPr>
        <w:spacing w:after="0" w:line="13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620"/>
          </w:cols>
          <w:pgMar w:left="320" w:top="441" w:right="95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73520" cy="5607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73520" cy="56076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620"/>
        <w:spacing w:after="0" w:line="249" w:lineRule="auto"/>
        <w:rPr>
          <w:sz w:val="20"/>
          <w:szCs w:val="20"/>
          <w:color w:val="auto"/>
        </w:rPr>
      </w:pPr>
      <w:r>
        <w:rPr>
          <w:rFonts w:ascii="Arial" w:cs="Arial" w:eastAsia="Arial" w:hAnsi="Arial"/>
          <w:sz w:val="16"/>
          <w:szCs w:val="16"/>
          <w:color w:val="auto"/>
        </w:rPr>
        <w:t>With the RxSight system, the surgeon first performs a standard cataract implant procedure, replacing the patients’ natural lens with the LAL. Following the surgery, after a healing period of two to three weeks, the patient returns to the doctor’s office and undergoes a standard post-operative refraction. Using a traditional phoropter and vision chart, the clinician determines the refractive error and the prescription required to give the patient the best vision. However, rather than giving the patient a prescription for glasses, the clinician inputs the prescription into the LDD’s graphical user interface. The patient’s eye is then dilated, and a contact lens is applied to the eye when they are seated in front of the LDD for a light treatment. Based on the prescription input, the LDD generates a programmed, predetermined exposure of UV light. For a period of approximately 30 seconds to 2.5 minutes, the light painlessly and non-invasively re-shapes the LAL in the eye to correct the measured refractive error. The patient then returns approximately three to five days later for additional possible light treatments to adjust their vision as desired or to lock-in the lens. Although a patient can receive up to three adjustments, the average number of adjustments in our clinical trial was just 1.6. The RxSight system enables a fully interactive and iterative process to optimize visual acuity, with patients able to compare possible vision outcomes based on their unique preferences and lifestyle requirements before selecting a final prescription for their adjustable lens.</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Key benefits for patients</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believe RxSight offers significant patient benefits relative to other commercially available premium IOLs:</w:t>
      </w:r>
    </w:p>
    <w:p>
      <w:pPr>
        <w:spacing w:after="0" w:line="120" w:lineRule="exact"/>
        <w:rPr>
          <w:sz w:val="20"/>
          <w:szCs w:val="20"/>
          <w:color w:val="auto"/>
        </w:rPr>
      </w:pPr>
    </w:p>
    <w:p>
      <w:pPr>
        <w:ind w:left="800" w:hanging="177"/>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superior vision outcomes;</w:t>
      </w:r>
    </w:p>
    <w:p>
      <w:pPr>
        <w:spacing w:after="0" w:line="120" w:lineRule="exact"/>
        <w:rPr>
          <w:rFonts w:ascii="Arial" w:cs="Arial" w:eastAsia="Arial" w:hAnsi="Arial"/>
          <w:sz w:val="16"/>
          <w:szCs w:val="16"/>
          <w:color w:val="auto"/>
        </w:rPr>
      </w:pPr>
    </w:p>
    <w:p>
      <w:pPr>
        <w:ind w:left="800" w:hanging="177"/>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post-operative customization;</w:t>
      </w:r>
    </w:p>
    <w:p>
      <w:pPr>
        <w:spacing w:after="0" w:line="120" w:lineRule="exact"/>
        <w:rPr>
          <w:rFonts w:ascii="Arial" w:cs="Arial" w:eastAsia="Arial" w:hAnsi="Arial"/>
          <w:sz w:val="16"/>
          <w:szCs w:val="16"/>
          <w:color w:val="auto"/>
        </w:rPr>
      </w:pPr>
    </w:p>
    <w:p>
      <w:pPr>
        <w:ind w:left="800" w:hanging="177"/>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 increase in glare and halo; and</w:t>
      </w:r>
    </w:p>
    <w:p>
      <w:pPr>
        <w:spacing w:after="0" w:line="120" w:lineRule="exact"/>
        <w:rPr>
          <w:rFonts w:ascii="Arial" w:cs="Arial" w:eastAsia="Arial" w:hAnsi="Arial"/>
          <w:sz w:val="16"/>
          <w:szCs w:val="16"/>
          <w:color w:val="auto"/>
        </w:rPr>
      </w:pPr>
    </w:p>
    <w:p>
      <w:pPr>
        <w:ind w:left="620" w:right="7620" w:firstLine="3"/>
        <w:spacing w:after="0" w:line="380" w:lineRule="auto"/>
        <w:tabs>
          <w:tab w:leader="none" w:pos="798"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minimally invasive procedure. </w:t>
      </w:r>
      <w:r>
        <w:rPr>
          <w:rFonts w:ascii="Arial" w:cs="Arial" w:eastAsia="Arial" w:hAnsi="Arial"/>
          <w:sz w:val="16"/>
          <w:szCs w:val="16"/>
          <w:i w:val="1"/>
          <w:iCs w:val="1"/>
          <w:color w:val="auto"/>
        </w:rPr>
        <w:t>Key benefits for doctors</w:t>
      </w:r>
    </w:p>
    <w:p>
      <w:pPr>
        <w:spacing w:after="0" w:line="1" w:lineRule="exact"/>
        <w:rPr>
          <w:sz w:val="20"/>
          <w:szCs w:val="20"/>
          <w:color w:val="auto"/>
        </w:rPr>
      </w:pPr>
    </w:p>
    <w:p>
      <w:pPr>
        <w:ind w:left="620" w:right="200"/>
        <w:spacing w:after="0" w:line="265" w:lineRule="auto"/>
        <w:rPr>
          <w:sz w:val="20"/>
          <w:szCs w:val="20"/>
          <w:color w:val="auto"/>
        </w:rPr>
      </w:pPr>
      <w:r>
        <w:rPr>
          <w:rFonts w:ascii="Arial" w:cs="Arial" w:eastAsia="Arial" w:hAnsi="Arial"/>
          <w:sz w:val="16"/>
          <w:szCs w:val="16"/>
          <w:color w:val="auto"/>
        </w:rPr>
        <w:t>We believe RxSight offers significant benefits to doctors relative to other commercially available premium IOLs, the primary benefits of which include the following:</w:t>
      </w:r>
    </w:p>
    <w:p>
      <w:pPr>
        <w:spacing w:after="0" w:line="88" w:lineRule="exact"/>
        <w:rPr>
          <w:sz w:val="20"/>
          <w:szCs w:val="20"/>
          <w:color w:val="auto"/>
        </w:rPr>
      </w:pPr>
    </w:p>
    <w:p>
      <w:pPr>
        <w:ind w:left="800" w:hanging="177"/>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clear value proposition for patients so that doctors can build their premium cataract practices;</w:t>
      </w:r>
    </w:p>
    <w:p>
      <w:pPr>
        <w:spacing w:after="0" w:line="120" w:lineRule="exact"/>
        <w:rPr>
          <w:rFonts w:ascii="Arial" w:cs="Arial" w:eastAsia="Arial" w:hAnsi="Arial"/>
          <w:sz w:val="16"/>
          <w:szCs w:val="16"/>
          <w:color w:val="auto"/>
        </w:rPr>
      </w:pPr>
    </w:p>
    <w:p>
      <w:pPr>
        <w:ind w:left="800" w:hanging="177"/>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doctor confidence;</w:t>
      </w:r>
    </w:p>
    <w:p>
      <w:pPr>
        <w:spacing w:after="0" w:line="120" w:lineRule="exact"/>
        <w:rPr>
          <w:rFonts w:ascii="Arial" w:cs="Arial" w:eastAsia="Arial" w:hAnsi="Arial"/>
          <w:sz w:val="16"/>
          <w:szCs w:val="16"/>
          <w:color w:val="auto"/>
        </w:rPr>
      </w:pPr>
    </w:p>
    <w:p>
      <w:pPr>
        <w:ind w:left="800" w:hanging="177"/>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fewer intraoperative measurements;</w:t>
      </w:r>
    </w:p>
    <w:p>
      <w:pPr>
        <w:spacing w:after="0" w:line="120" w:lineRule="exact"/>
        <w:rPr>
          <w:rFonts w:ascii="Arial" w:cs="Arial" w:eastAsia="Arial" w:hAnsi="Arial"/>
          <w:sz w:val="16"/>
          <w:szCs w:val="16"/>
          <w:color w:val="auto"/>
        </w:rPr>
      </w:pPr>
    </w:p>
    <w:p>
      <w:pPr>
        <w:ind w:left="800" w:hanging="177"/>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broad application across different patient needs; and</w:t>
      </w:r>
    </w:p>
    <w:p>
      <w:pPr>
        <w:spacing w:after="0" w:line="120" w:lineRule="exact"/>
        <w:rPr>
          <w:rFonts w:ascii="Arial" w:cs="Arial" w:eastAsia="Arial" w:hAnsi="Arial"/>
          <w:sz w:val="16"/>
          <w:szCs w:val="16"/>
          <w:color w:val="auto"/>
        </w:rPr>
      </w:pPr>
    </w:p>
    <w:p>
      <w:pPr>
        <w:ind w:left="800" w:hanging="177"/>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satisfied patients leading to potential referrals.</w:t>
      </w:r>
    </w:p>
    <w:p>
      <w:pPr>
        <w:spacing w:after="0" w:line="108" w:lineRule="exact"/>
        <w:rPr>
          <w:sz w:val="20"/>
          <w:szCs w:val="20"/>
          <w:color w:val="auto"/>
        </w:rPr>
      </w:pPr>
    </w:p>
    <w:p>
      <w:pPr>
        <w:ind w:left="620" w:right="40"/>
        <w:spacing w:after="0" w:line="265" w:lineRule="auto"/>
        <w:rPr>
          <w:sz w:val="20"/>
          <w:szCs w:val="20"/>
          <w:color w:val="auto"/>
        </w:rPr>
      </w:pPr>
      <w:r>
        <w:rPr>
          <w:rFonts w:ascii="Arial" w:cs="Arial" w:eastAsia="Arial" w:hAnsi="Arial"/>
          <w:sz w:val="16"/>
          <w:szCs w:val="16"/>
          <w:color w:val="auto"/>
        </w:rPr>
        <w:t>We believe these compelling points of differentiation relative to other commercially available premium IOLs offer key benefits for patients and doctors that will drive broad adoption of the RxSight system.</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Recent Developments</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Preliminary financial and operating results as of and for the three months ended June 30, 2021</w:t>
      </w:r>
      <w:r>
        <w:rPr>
          <w:rFonts w:ascii="Arial" w:cs="Arial" w:eastAsia="Arial" w:hAnsi="Arial"/>
          <w:sz w:val="16"/>
          <w:szCs w:val="16"/>
          <w:color w:val="auto"/>
        </w:rPr>
        <w:t>.</w:t>
      </w:r>
    </w:p>
    <w:p>
      <w:pPr>
        <w:spacing w:after="0" w:line="124" w:lineRule="exact"/>
        <w:rPr>
          <w:sz w:val="20"/>
          <w:szCs w:val="20"/>
          <w:color w:val="auto"/>
        </w:rPr>
      </w:pPr>
    </w:p>
    <w:p>
      <w:pPr>
        <w:ind w:left="620" w:right="80"/>
        <w:spacing w:after="0" w:line="252" w:lineRule="auto"/>
        <w:rPr>
          <w:sz w:val="20"/>
          <w:szCs w:val="20"/>
          <w:color w:val="auto"/>
        </w:rPr>
      </w:pPr>
      <w:r>
        <w:rPr>
          <w:rFonts w:ascii="Arial" w:cs="Arial" w:eastAsia="Arial" w:hAnsi="Arial"/>
          <w:sz w:val="16"/>
          <w:szCs w:val="16"/>
          <w:color w:val="auto"/>
        </w:rPr>
        <w:t>On a preliminary unaudited basis, we expect our cash and cash equivalents and short-term investments to be approximately $61.7 million and our long-term loan, net, to be approximately $40.0 million as of June 30, 2021. We expect the quantity of LDDs sold to be 25 units and the quantity of LALs sold to be 1,825 units for the three months ended June 30, 2021. On a preliminary unaudited basis, we expect our sales to be between $4.8 million and $4.9 million, our gross margin to be between $(0.5) million and $(1.5) million and our operating loss to be between $13.0 million and $14.0 million for the three months ended June 30, 2021. Sales for the three months</w:t>
      </w:r>
    </w:p>
    <w:p>
      <w:pPr>
        <w:spacing w:after="0" w:line="137"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580"/>
          </w:cols>
          <w:pgMar w:left="320" w:top="441" w:right="99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73520" cy="50520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73520" cy="505206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ended June 30, 2021 increased by approximately 39% compared to the three months ended March 31, 2021 (based on the midpoint of</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range described above), due to an increase in the quantity of LDDs and LALs sold. Our gross margin for the three months ended</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June 30, 2021 is significantly lower than in the first quarter of 2021 primarily due to an inventory reserve for excess LAL inventory</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resulting from the recent introduction of an updated LAL with the addition of a photosensitive anterior layer that protects the lens from</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unwanted UV exposure (ActivShield). Our operating loss in the three months ended June 30, 2021 was approximately 21% higher than</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the three months ended March 31, 2021, as our gross margin was lower than in the three months ended March 31, 2021. On a</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preliminary unaudited basis, we expect our sales for the first six months of 2021 ended June 30, 2021 to be between $8.3 million and</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$8.4 million as compared to approximately $5.6 million in the first six months of 2020 ended June 30, 2020. As we complete our quarter-</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end financial statement close process and finalize our financial statements and accompanying notes for the three months ended June 30,</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2021, we will be required to make significant judgments in a number of areas that may result in the estimates provided herein being</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different than the final reported amounts. These preliminary estimates have been prepared by and are the responsibility of our</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management. Our independent registered public accounting firm has not audited, reviewed or performed any procedures with respect to</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these preliminary estimates or the accounting treatment thereof and does not express an opinion or any other form of assurance with</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respect thereto. We expect to complete our financial statements for the three months ended June 30, 2021 subsequent to the completion</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of this offering. It is possible that we or our independent registered public accounting firm may identify items that require us to make</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adjustments to these preliminary estimates and those changes could be material. Accordingly, undue reliance should not be placed on</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these preliminary estimates. The preliminary estimates are not necessarily indicative of any future period and should be read together</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with the sections of this prospectus titled “Risk factors”, “Special note regarding forward-looking statements”, “Management’s discussion</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and analysis of financial condition and results of operations” and the “Financial statements”.</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Risks related to our business</w:t>
      </w:r>
    </w:p>
    <w:p>
      <w:pPr>
        <w:spacing w:after="0" w:line="133" w:lineRule="exact"/>
        <w:rPr>
          <w:sz w:val="20"/>
          <w:szCs w:val="20"/>
          <w:color w:val="auto"/>
        </w:rPr>
      </w:pPr>
    </w:p>
    <w:p>
      <w:pPr>
        <w:ind w:left="620" w:right="360"/>
        <w:spacing w:after="0" w:line="265" w:lineRule="auto"/>
        <w:rPr>
          <w:sz w:val="20"/>
          <w:szCs w:val="20"/>
          <w:color w:val="auto"/>
        </w:rPr>
      </w:pPr>
      <w:r>
        <w:rPr>
          <w:rFonts w:ascii="Arial" w:cs="Arial" w:eastAsia="Arial" w:hAnsi="Arial"/>
          <w:sz w:val="16"/>
          <w:szCs w:val="16"/>
          <w:color w:val="auto"/>
        </w:rPr>
        <w:t>Our ability to execute our business strategy is subject to numerous risks, as more fully described in the section entitled “Risk factors” immediately following this prospectus summary. These risks include, among others:</w:t>
      </w:r>
    </w:p>
    <w:p>
      <w:pPr>
        <w:spacing w:after="0" w:line="88" w:lineRule="exact"/>
        <w:rPr>
          <w:sz w:val="20"/>
          <w:szCs w:val="20"/>
          <w:color w:val="auto"/>
        </w:rPr>
      </w:pPr>
    </w:p>
    <w:p>
      <w:pPr>
        <w:jc w:val="both"/>
        <w:ind w:left="800" w:right="100" w:hanging="177"/>
        <w:spacing w:after="0" w:line="256"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have a limited operating history as a commercial company and if we fail to effectively train our sales force, increase our sales and marketing capabilities or develop broad brand awareness in a cost-effective manner, our growth will be impeded and our business will suffer.</w:t>
      </w:r>
    </w:p>
    <w:p>
      <w:pPr>
        <w:spacing w:after="0" w:line="95" w:lineRule="exact"/>
        <w:rPr>
          <w:rFonts w:ascii="Arial" w:cs="Arial" w:eastAsia="Arial" w:hAnsi="Arial"/>
          <w:sz w:val="16"/>
          <w:szCs w:val="16"/>
          <w:color w:val="auto"/>
        </w:rPr>
      </w:pPr>
    </w:p>
    <w:p>
      <w:pPr>
        <w:ind w:left="800" w:right="260" w:hanging="177"/>
        <w:spacing w:after="0" w:line="265"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have a history of net losses, and we expect to continue to incur losses for the foreseeable future. If we ever achieve profitability, we may not be able to sustain it.</w:t>
      </w:r>
    </w:p>
    <w:p>
      <w:pPr>
        <w:spacing w:after="0" w:line="88" w:lineRule="exact"/>
        <w:rPr>
          <w:rFonts w:ascii="Arial" w:cs="Arial" w:eastAsia="Arial" w:hAnsi="Arial"/>
          <w:sz w:val="16"/>
          <w:szCs w:val="16"/>
          <w:color w:val="auto"/>
        </w:rPr>
      </w:pPr>
    </w:p>
    <w:p>
      <w:pPr>
        <w:ind w:left="800" w:right="640" w:hanging="177"/>
        <w:spacing w:after="0" w:line="265"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are unable to manage the anticipated growth of our business, our future revenue and operating results may be adversely affected.</w:t>
      </w:r>
    </w:p>
    <w:p>
      <w:pPr>
        <w:spacing w:after="0" w:line="88" w:lineRule="exact"/>
        <w:rPr>
          <w:rFonts w:ascii="Arial" w:cs="Arial" w:eastAsia="Arial" w:hAnsi="Arial"/>
          <w:sz w:val="16"/>
          <w:szCs w:val="16"/>
          <w:color w:val="auto"/>
        </w:rPr>
      </w:pPr>
    </w:p>
    <w:p>
      <w:pPr>
        <w:ind w:left="800" w:right="160" w:hanging="177"/>
        <w:spacing w:after="0" w:line="256"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fail to maintain FDA clearance or approval to market and sell the RxSight system, maintain FDA regulatory compliance for our commercial products, or we fail to obtain FDA clearance or approval, or such approval is delayed, suspended, revoked or not issued, for our products in development, we will be unable to commercially distribute and market these products in the United States, or U.S.</w:t>
      </w:r>
    </w:p>
    <w:p>
      <w:pPr>
        <w:spacing w:after="0" w:line="95" w:lineRule="exact"/>
        <w:rPr>
          <w:rFonts w:ascii="Arial" w:cs="Arial" w:eastAsia="Arial" w:hAnsi="Arial"/>
          <w:sz w:val="16"/>
          <w:szCs w:val="16"/>
          <w:color w:val="auto"/>
        </w:rPr>
      </w:pPr>
    </w:p>
    <w:p>
      <w:pPr>
        <w:ind w:left="800" w:right="40" w:hanging="177"/>
        <w:spacing w:after="0" w:line="253"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commercial success of our products is substantially dependent on the FDA’s clearance or approval of our products in development, as well as market acceptance in the United States for the RxSight system and other product candidates in development. Our failure or delay to receive FDA clearance or approval of these product candidates or the failure of our cleared products to gain such market acceptance will negatively impact our business.</w:t>
      </w:r>
    </w:p>
    <w:p>
      <w:pPr>
        <w:spacing w:after="0" w:line="137"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620"/>
          </w:cols>
          <w:pgMar w:left="320" w:top="441" w:right="95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73520" cy="4907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73520" cy="490728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800" w:right="120" w:hanging="177"/>
        <w:spacing w:after="0" w:line="252"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we are unable to obtain, maintain, protect and enforce patent protection or freedom to operate for any products we develop and for our technology, or if the scope of the patent protection obtained is not sufficiently broad, or if we are unable to obtain, protect, enforce and maintain our other intellectual property, our competitors could develop and commercialize products and technology similar or identical to ours, and our ability to successfully commercialize any products we may develop, and our technology and our business may be adversely affected.</w:t>
      </w:r>
    </w:p>
    <w:p>
      <w:pPr>
        <w:spacing w:after="0" w:line="99" w:lineRule="exact"/>
        <w:rPr>
          <w:rFonts w:ascii="Arial" w:cs="Arial" w:eastAsia="Arial" w:hAnsi="Arial"/>
          <w:sz w:val="16"/>
          <w:szCs w:val="16"/>
          <w:color w:val="auto"/>
        </w:rPr>
      </w:pPr>
    </w:p>
    <w:p>
      <w:pPr>
        <w:ind w:left="800" w:right="140" w:hanging="177"/>
        <w:spacing w:after="0" w:line="253"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must educate doctors on the safe and effective use of the RxSight system and our products in development once they become commercially available, and demonstrate their merits compared to the systems of our competitors. Adoption of our products depends upon appropriate training for doctors and inadequate training may lead to negative patient outcomes, affect adoption of our products and adversely affect our business.</w:t>
      </w:r>
    </w:p>
    <w:p>
      <w:pPr>
        <w:spacing w:after="0" w:line="98" w:lineRule="exact"/>
        <w:rPr>
          <w:rFonts w:ascii="Arial" w:cs="Arial" w:eastAsia="Arial" w:hAnsi="Arial"/>
          <w:sz w:val="16"/>
          <w:szCs w:val="16"/>
          <w:color w:val="auto"/>
        </w:rPr>
      </w:pPr>
    </w:p>
    <w:p>
      <w:pPr>
        <w:ind w:left="800" w:right="400" w:hanging="177"/>
        <w:spacing w:after="0" w:line="248"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face significant competition from larger, well established companies with substantially greater resources and who have a long history of competing in the intraocular lens technology markets, which we believe will</w:t>
      </w:r>
    </w:p>
    <w:p>
      <w:pPr>
        <w:ind w:left="820" w:right="120"/>
        <w:spacing w:after="0" w:line="265" w:lineRule="auto"/>
        <w:rPr>
          <w:rFonts w:ascii="Arial" w:cs="Arial" w:eastAsia="Arial" w:hAnsi="Arial"/>
          <w:sz w:val="16"/>
          <w:szCs w:val="16"/>
          <w:color w:val="auto"/>
        </w:rPr>
      </w:pPr>
      <w:r>
        <w:rPr>
          <w:rFonts w:ascii="Arial" w:cs="Arial" w:eastAsia="Arial" w:hAnsi="Arial"/>
          <w:sz w:val="16"/>
          <w:szCs w:val="16"/>
          <w:color w:val="auto"/>
        </w:rPr>
        <w:t>intensify as we continue to expand in the U.S. market and internationally. If we are unable to compete effectively, we may not be able to achieve or maintain significant market penetration or improve our results of operations.</w:t>
      </w:r>
    </w:p>
    <w:p>
      <w:pPr>
        <w:spacing w:after="0" w:line="88" w:lineRule="exact"/>
        <w:rPr>
          <w:rFonts w:ascii="Arial" w:cs="Arial" w:eastAsia="Arial" w:hAnsi="Arial"/>
          <w:sz w:val="16"/>
          <w:szCs w:val="16"/>
          <w:color w:val="auto"/>
        </w:rPr>
      </w:pPr>
    </w:p>
    <w:p>
      <w:pPr>
        <w:ind w:left="800" w:hanging="177"/>
        <w:spacing w:after="0" w:line="265"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While we have limited international operations, we intend to further expand our business internationally, which exposes us to increased market, regulatory, political, operational, financial and economic risks associated with doing business outside of the United States.</w:t>
      </w:r>
    </w:p>
    <w:p>
      <w:pPr>
        <w:spacing w:after="0" w:line="88" w:lineRule="exact"/>
        <w:rPr>
          <w:rFonts w:ascii="Arial" w:cs="Arial" w:eastAsia="Arial" w:hAnsi="Arial"/>
          <w:sz w:val="16"/>
          <w:szCs w:val="16"/>
          <w:color w:val="auto"/>
        </w:rPr>
      </w:pPr>
    </w:p>
    <w:p>
      <w:pPr>
        <w:jc w:val="both"/>
        <w:ind w:left="800" w:right="140" w:hanging="177"/>
        <w:spacing w:after="0" w:line="256"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spacing w:after="0" w:line="95" w:lineRule="exact"/>
        <w:rPr>
          <w:rFonts w:ascii="Arial" w:cs="Arial" w:eastAsia="Arial" w:hAnsi="Arial"/>
          <w:sz w:val="16"/>
          <w:szCs w:val="16"/>
          <w:color w:val="auto"/>
        </w:rPr>
      </w:pPr>
    </w:p>
    <w:p>
      <w:pPr>
        <w:ind w:left="800" w:right="100" w:hanging="177"/>
        <w:spacing w:after="0" w:line="265"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quarterly and annual results may fluctuate significantly and may not fully reflect the underlying performance of our business or be indicative of results to be expected in the future.</w:t>
      </w:r>
    </w:p>
    <w:p>
      <w:pPr>
        <w:spacing w:after="0" w:line="88" w:lineRule="exact"/>
        <w:rPr>
          <w:rFonts w:ascii="Arial" w:cs="Arial" w:eastAsia="Arial" w:hAnsi="Arial"/>
          <w:sz w:val="16"/>
          <w:szCs w:val="16"/>
          <w:color w:val="auto"/>
        </w:rPr>
      </w:pPr>
    </w:p>
    <w:p>
      <w:pPr>
        <w:ind w:left="800" w:right="660" w:hanging="177"/>
        <w:spacing w:after="0" w:line="265"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depend upon third-party suppliers, including single-source suppliers, making us vulnerable to supply disruptions and price fluctuations.</w:t>
      </w:r>
    </w:p>
    <w:p>
      <w:pPr>
        <w:spacing w:after="0" w:line="88" w:lineRule="exact"/>
        <w:rPr>
          <w:rFonts w:ascii="Arial" w:cs="Arial" w:eastAsia="Arial" w:hAnsi="Arial"/>
          <w:sz w:val="16"/>
          <w:szCs w:val="16"/>
          <w:color w:val="auto"/>
        </w:rPr>
      </w:pPr>
    </w:p>
    <w:p>
      <w:pPr>
        <w:ind w:left="800" w:hanging="177"/>
        <w:spacing w:after="0" w:line="265"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Defects or failures associated with our products could lead to recalls, safety alerts or litigation, as well as significant costs and negative publicity.</w:t>
      </w:r>
    </w:p>
    <w:p>
      <w:pPr>
        <w:spacing w:after="0" w:line="88" w:lineRule="exact"/>
        <w:rPr>
          <w:rFonts w:ascii="Arial" w:cs="Arial" w:eastAsia="Arial" w:hAnsi="Arial"/>
          <w:sz w:val="16"/>
          <w:szCs w:val="16"/>
          <w:color w:val="auto"/>
        </w:rPr>
      </w:pPr>
    </w:p>
    <w:p>
      <w:pPr>
        <w:ind w:left="800" w:right="300" w:hanging="177"/>
        <w:spacing w:after="0" w:line="265"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Coverage and adequate reimbursement may not be available for the procedures that utilize our products, which could diminish our sales or affect our ability to sell our products profitably.</w:t>
      </w:r>
    </w:p>
    <w:p>
      <w:pPr>
        <w:spacing w:after="0" w:line="88" w:lineRule="exact"/>
        <w:rPr>
          <w:rFonts w:ascii="Arial" w:cs="Arial" w:eastAsia="Arial" w:hAnsi="Arial"/>
          <w:sz w:val="16"/>
          <w:szCs w:val="16"/>
          <w:color w:val="auto"/>
        </w:rPr>
      </w:pPr>
    </w:p>
    <w:p>
      <w:pPr>
        <w:ind w:left="800" w:right="140" w:hanging="177"/>
        <w:spacing w:after="0" w:line="256"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Regulatory compliance, including compliance with U.S. federal and state fraud and abuse and other healthcare laws and regulations, is expensive, complex and uncertain, and failure to comply could lead to enforcement actions against us and other negative consequences for our business.</w:t>
      </w:r>
    </w:p>
    <w:p>
      <w:pPr>
        <w:spacing w:after="0" w:line="95" w:lineRule="exact"/>
        <w:rPr>
          <w:rFonts w:ascii="Arial" w:cs="Arial" w:eastAsia="Arial" w:hAnsi="Arial"/>
          <w:sz w:val="16"/>
          <w:szCs w:val="16"/>
          <w:color w:val="auto"/>
        </w:rPr>
      </w:pPr>
    </w:p>
    <w:p>
      <w:pPr>
        <w:ind w:left="800" w:right="120" w:hanging="177"/>
        <w:spacing w:after="0" w:line="265"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operations and financial results have been, and will continue to be, adversely impacted by the COVID-19 pandemic in the United States and the rest of the world.</w:t>
      </w:r>
    </w:p>
    <w:p>
      <w:pPr>
        <w:spacing w:after="0" w:line="88" w:lineRule="exact"/>
        <w:rPr>
          <w:rFonts w:ascii="Arial" w:cs="Arial" w:eastAsia="Arial" w:hAnsi="Arial"/>
          <w:sz w:val="16"/>
          <w:szCs w:val="16"/>
          <w:color w:val="auto"/>
        </w:rPr>
      </w:pPr>
    </w:p>
    <w:p>
      <w:pPr>
        <w:ind w:left="800" w:right="520" w:hanging="177"/>
        <w:spacing w:after="0" w:line="265"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directors, officers and principal stockholders have significant voting power and may take actions that may not be in the best interests of our other stockholders.</w:t>
      </w:r>
    </w:p>
    <w:p>
      <w:pPr>
        <w:spacing w:after="0" w:line="126"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600"/>
          </w:cols>
          <w:pgMar w:left="320" w:top="441" w:right="97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73520" cy="514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73520" cy="514858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Corporate information</w:t>
      </w:r>
    </w:p>
    <w:p>
      <w:pPr>
        <w:spacing w:after="0" w:line="133" w:lineRule="exact"/>
        <w:rPr>
          <w:sz w:val="20"/>
          <w:szCs w:val="20"/>
          <w:color w:val="auto"/>
        </w:rPr>
      </w:pPr>
    </w:p>
    <w:p>
      <w:pPr>
        <w:ind w:left="620" w:right="120"/>
        <w:spacing w:after="0" w:line="252" w:lineRule="auto"/>
        <w:rPr>
          <w:sz w:val="20"/>
          <w:szCs w:val="20"/>
          <w:color w:val="auto"/>
        </w:rPr>
      </w:pPr>
      <w:r>
        <w:rPr>
          <w:rFonts w:ascii="Arial" w:cs="Arial" w:eastAsia="Arial" w:hAnsi="Arial"/>
          <w:sz w:val="16"/>
          <w:szCs w:val="16"/>
          <w:color w:val="auto"/>
        </w:rPr>
        <w:t>We were incorporated in California on March 5, 1997 as Calhoun Vision, Inc. and changed our name to RxSight, Inc. in October 2016. We reincorporated in Delaware on July 6, 2021. Our principal executive offices are located at 100 Columbia, Aliso Viejo, CA 92656. Our telephone number is (949) 521-7830. Our website address is www.rxsight.com. Information contained on, or that may be accessed through, the website is not incorporated by reference into this prospectus and the inclusion of our website address in this prospectus is an inactive textual reference only.</w:t>
      </w:r>
    </w:p>
    <w:p>
      <w:pPr>
        <w:spacing w:after="0" w:line="66" w:lineRule="exact"/>
        <w:rPr>
          <w:sz w:val="20"/>
          <w:szCs w:val="20"/>
          <w:color w:val="auto"/>
        </w:rPr>
      </w:pPr>
    </w:p>
    <w:p>
      <w:pPr>
        <w:ind w:left="620" w:right="60"/>
        <w:spacing w:after="0" w:line="232" w:lineRule="auto"/>
        <w:rPr>
          <w:sz w:val="20"/>
          <w:szCs w:val="20"/>
          <w:color w:val="auto"/>
        </w:rPr>
      </w:pPr>
      <w:r>
        <w:rPr>
          <w:rFonts w:ascii="Arial" w:cs="Arial" w:eastAsia="Arial" w:hAnsi="Arial"/>
          <w:sz w:val="16"/>
          <w:szCs w:val="16"/>
          <w:b w:val="1"/>
          <w:bCs w:val="1"/>
          <w:color w:val="auto"/>
        </w:rPr>
        <w:t xml:space="preserve">“RxSight”, the “RxSight” logo, “LAL”, “LDD”, “RxLAL”, “ActivShield” and “RxSight Light Adjustable Lens” and our other registered or common law trademarks appearing in this prospectus are the property of RxSight, Inc. This prospectus contains references to our trademarks, trade names and service marks and to those belonging to other entities. Solely for convenience, trademarks, trade names, and service marks referred to in this prospectus, including logos, artwork and other visual displays, may appear without the </w:t>
      </w:r>
      <w:r>
        <w:rPr>
          <w:rFonts w:ascii="Arial" w:cs="Arial" w:eastAsia="Arial" w:hAnsi="Arial"/>
          <w:sz w:val="27"/>
          <w:szCs w:val="27"/>
          <w:b w:val="1"/>
          <w:bCs w:val="1"/>
          <w:color w:val="auto"/>
          <w:vertAlign w:val="superscript"/>
        </w:rPr>
        <w:t>®</w:t>
      </w:r>
      <w:r>
        <w:rPr>
          <w:rFonts w:ascii="Arial" w:cs="Arial" w:eastAsia="Arial" w:hAnsi="Arial"/>
          <w:sz w:val="16"/>
          <w:szCs w:val="16"/>
          <w:b w:val="1"/>
          <w:bCs w:val="1"/>
          <w:color w:val="auto"/>
        </w:rPr>
        <w:t xml:space="preserve"> or TM symbols, but such references are not intended to indicate in any way that we will not assert, to the fullest extent under applicable law, our rights or the rights of the applicable licensor to these trademarks, trade names and service marks. We do not intend our use or display of other entities’ trade names, trademarks or service marks to imply a relationship with, or endorsement or sponsorship of us by, any other entity.</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Implications of being an emerging growth company and a smaller reporting company</w:t>
      </w:r>
    </w:p>
    <w:p>
      <w:pPr>
        <w:spacing w:after="0" w:line="133" w:lineRule="exact"/>
        <w:rPr>
          <w:sz w:val="20"/>
          <w:szCs w:val="20"/>
          <w:color w:val="auto"/>
        </w:rPr>
      </w:pPr>
    </w:p>
    <w:p>
      <w:pPr>
        <w:ind w:left="620" w:right="60"/>
        <w:spacing w:after="0" w:line="251" w:lineRule="auto"/>
        <w:rPr>
          <w:sz w:val="20"/>
          <w:szCs w:val="20"/>
          <w:color w:val="auto"/>
        </w:rPr>
      </w:pPr>
      <w:r>
        <w:rPr>
          <w:rFonts w:ascii="Arial" w:cs="Arial" w:eastAsia="Arial" w:hAnsi="Arial"/>
          <w:sz w:val="16"/>
          <w:szCs w:val="16"/>
          <w:color w:val="auto"/>
        </w:rPr>
        <w:t>We are an “emerging growth company” as defined in the Jumpstart Our Business Startups Act of 2012, as amended (JOBS Act).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As a result of this status the reduced reporting requirements that are otherwise applicable to public companies include, but are not limited to:</w:t>
      </w:r>
    </w:p>
    <w:p>
      <w:pPr>
        <w:spacing w:after="0" w:line="101" w:lineRule="exact"/>
        <w:rPr>
          <w:sz w:val="20"/>
          <w:szCs w:val="20"/>
          <w:color w:val="auto"/>
        </w:rPr>
      </w:pPr>
    </w:p>
    <w:p>
      <w:pPr>
        <w:ind w:left="800" w:right="80" w:hanging="177"/>
        <w:spacing w:after="0" w:line="265"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Being permitted to present only two years of audited financial statements and only two years of related Management’s Discussion and Analysis of Financial Condition and Results of Operations in this prospectus;</w:t>
      </w:r>
    </w:p>
    <w:p>
      <w:pPr>
        <w:spacing w:after="0" w:line="88" w:lineRule="exact"/>
        <w:rPr>
          <w:rFonts w:ascii="Arial" w:cs="Arial" w:eastAsia="Arial" w:hAnsi="Arial"/>
          <w:sz w:val="16"/>
          <w:szCs w:val="16"/>
          <w:color w:val="auto"/>
        </w:rPr>
      </w:pPr>
    </w:p>
    <w:p>
      <w:pPr>
        <w:ind w:left="800" w:right="620" w:hanging="177"/>
        <w:spacing w:after="0" w:line="265"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on the effectiveness of our internal control over financial reporting;</w:t>
      </w:r>
    </w:p>
    <w:p>
      <w:pPr>
        <w:spacing w:after="0" w:line="88" w:lineRule="exact"/>
        <w:rPr>
          <w:rFonts w:ascii="Arial" w:cs="Arial" w:eastAsia="Arial" w:hAnsi="Arial"/>
          <w:sz w:val="16"/>
          <w:szCs w:val="16"/>
          <w:color w:val="auto"/>
        </w:rPr>
      </w:pPr>
    </w:p>
    <w:p>
      <w:pPr>
        <w:ind w:left="800" w:hanging="177"/>
        <w:spacing w:after="0" w:line="256"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w:t>
      </w:r>
    </w:p>
    <w:p>
      <w:pPr>
        <w:spacing w:after="0" w:line="95" w:lineRule="exact"/>
        <w:rPr>
          <w:rFonts w:ascii="Arial" w:cs="Arial" w:eastAsia="Arial" w:hAnsi="Arial"/>
          <w:sz w:val="16"/>
          <w:szCs w:val="16"/>
          <w:color w:val="auto"/>
        </w:rPr>
      </w:pPr>
    </w:p>
    <w:p>
      <w:pPr>
        <w:ind w:left="800" w:hanging="177"/>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arrangements; and</w:t>
      </w:r>
    </w:p>
    <w:p>
      <w:pPr>
        <w:spacing w:after="0" w:line="120" w:lineRule="exact"/>
        <w:rPr>
          <w:rFonts w:ascii="Arial" w:cs="Arial" w:eastAsia="Arial" w:hAnsi="Arial"/>
          <w:sz w:val="16"/>
          <w:szCs w:val="16"/>
          <w:color w:val="auto"/>
        </w:rPr>
      </w:pPr>
    </w:p>
    <w:p>
      <w:pPr>
        <w:ind w:left="800" w:right="100" w:hanging="177"/>
        <w:spacing w:after="0" w:line="265"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Exemptions from the requirements of holding a nonbinding advisory vote on executive compensation and stockholder approval of any golden parachute payments not previously approved.</w:t>
      </w:r>
    </w:p>
    <w:p>
      <w:pPr>
        <w:spacing w:after="0" w:line="75" w:lineRule="exact"/>
        <w:rPr>
          <w:sz w:val="20"/>
          <w:szCs w:val="20"/>
          <w:color w:val="auto"/>
        </w:rPr>
      </w:pPr>
    </w:p>
    <w:p>
      <w:pPr>
        <w:ind w:left="620" w:right="20"/>
        <w:spacing w:after="0" w:line="253" w:lineRule="auto"/>
        <w:rPr>
          <w:sz w:val="20"/>
          <w:szCs w:val="20"/>
          <w:color w:val="auto"/>
        </w:rPr>
      </w:pPr>
      <w:r>
        <w:rPr>
          <w:rFonts w:ascii="Arial" w:cs="Arial" w:eastAsia="Arial" w:hAnsi="Arial"/>
          <w:sz w:val="16"/>
          <w:szCs w:val="16"/>
          <w:color w:val="auto"/>
        </w:rPr>
        <w:t>We have taken advantage of reduced reporting requirements in this prospectus and may elect to take advantage of other reduced reporting requirements in our future filings with the SEC. In particular, in this prospectus, we have provided only two years of audited financial statements and have not included all of the executive compensation related information that would be required if we were not an emerging growth company. In addition, the JOBS Act provides that an emerging growth company can take advantage of an</w:t>
      </w:r>
    </w:p>
    <w:p>
      <w:pPr>
        <w:spacing w:after="0" w:line="13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620"/>
          </w:cols>
          <w:pgMar w:left="320" w:top="441" w:right="95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73520" cy="1518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73520" cy="15182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620"/>
        <w:spacing w:after="0" w:line="253" w:lineRule="auto"/>
        <w:rPr>
          <w:sz w:val="20"/>
          <w:szCs w:val="20"/>
          <w:color w:val="auto"/>
        </w:rPr>
      </w:pPr>
      <w:r>
        <w:rPr>
          <w:rFonts w:ascii="Arial" w:cs="Arial" w:eastAsia="Arial" w:hAnsi="Arial"/>
          <w:sz w:val="16"/>
          <w:szCs w:val="16"/>
          <w:color w:val="auto"/>
        </w:rPr>
        <w:t>extended transition period for complying with new or revised accounting standards, delaying the adoption of these accounting standards until they would apply to private companies. We have elected not to avail ourselves of this exemption and, as a result, upon completion of this offering, we will adopt new or revised accounting standards on the relevant dates on which adoption of such standards is required for other public companies that are not emerging growth companies.</w:t>
      </w:r>
    </w:p>
    <w:p>
      <w:pPr>
        <w:spacing w:after="0" w:line="86" w:lineRule="exact"/>
        <w:rPr>
          <w:sz w:val="20"/>
          <w:szCs w:val="20"/>
          <w:color w:val="auto"/>
        </w:rPr>
      </w:pPr>
    </w:p>
    <w:p>
      <w:pPr>
        <w:ind w:left="620" w:right="60"/>
        <w:spacing w:after="0" w:line="251" w:lineRule="auto"/>
        <w:rPr>
          <w:sz w:val="20"/>
          <w:szCs w:val="20"/>
          <w:color w:val="auto"/>
        </w:rPr>
      </w:pPr>
      <w:r>
        <w:rPr>
          <w:rFonts w:ascii="Arial" w:cs="Arial" w:eastAsia="Arial" w:hAnsi="Arial"/>
          <w:sz w:val="16"/>
          <w:szCs w:val="16"/>
          <w:color w:val="auto"/>
        </w:rPr>
        <w:t>We are also a “smaller reporting company” as defined in the Securities Exchange Act of 1934, as amended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32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620"/>
          </w:cols>
          <w:pgMar w:left="320" w:top="441" w:right="95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73520" cy="4617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73520" cy="46177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20"/>
        <w:spacing w:after="0"/>
        <w:rPr>
          <w:sz w:val="20"/>
          <w:szCs w:val="20"/>
          <w:color w:val="auto"/>
        </w:rPr>
      </w:pPr>
      <w:r>
        <w:rPr>
          <w:rFonts w:ascii="Arial" w:cs="Arial" w:eastAsia="Arial" w:hAnsi="Arial"/>
          <w:sz w:val="30"/>
          <w:szCs w:val="30"/>
          <w:b w:val="1"/>
          <w:bCs w:val="1"/>
          <w:color w:val="auto"/>
        </w:rPr>
        <w:t>The offering</w:t>
      </w:r>
    </w:p>
    <w:p>
      <w:pPr>
        <w:sectPr>
          <w:pgSz w:w="11900" w:h="16838" w:orient="portrait"/>
          <w:cols w:equalWidth="0" w:num="1">
            <w:col w:w="10620"/>
          </w:cols>
          <w:pgMar w:left="320" w:top="441" w:right="959" w:bottom="1440" w:gutter="0" w:footer="0" w:header="0"/>
        </w:sectPr>
      </w:pPr>
    </w:p>
    <w:p>
      <w:pPr>
        <w:spacing w:after="0" w:line="16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7,350,000 shares.</w:t>
      </w:r>
    </w:p>
    <w:p>
      <w:pPr>
        <w:spacing w:after="0" w:line="108" w:lineRule="exact"/>
        <w:rPr>
          <w:sz w:val="20"/>
          <w:szCs w:val="20"/>
          <w:color w:val="auto"/>
        </w:rPr>
      </w:pPr>
    </w:p>
    <w:p>
      <w:pPr>
        <w:sectPr>
          <w:pgSz w:w="11900" w:h="16838" w:orient="portrait"/>
          <w:cols w:equalWidth="0" w:num="2">
            <w:col w:w="3820" w:space="720"/>
            <w:col w:w="6080"/>
          </w:cols>
          <w:pgMar w:left="320" w:top="441" w:right="959" w:bottom="1440" w:gutter="0" w:footer="0" w:header="0"/>
          <w:type w:val="continuous"/>
        </w:sectPr>
      </w:pPr>
    </w:p>
    <w:p>
      <w:pPr>
        <w:ind w:left="840" w:hanging="202"/>
        <w:spacing w:after="0" w:line="265" w:lineRule="auto"/>
        <w:rPr>
          <w:sz w:val="20"/>
          <w:szCs w:val="20"/>
          <w:color w:val="auto"/>
        </w:rPr>
      </w:pPr>
      <w:r>
        <w:rPr>
          <w:rFonts w:ascii="Arial" w:cs="Arial" w:eastAsia="Arial" w:hAnsi="Arial"/>
          <w:sz w:val="16"/>
          <w:szCs w:val="16"/>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line="265" w:lineRule="auto"/>
        <w:rPr>
          <w:sz w:val="20"/>
          <w:szCs w:val="20"/>
          <w:color w:val="auto"/>
        </w:rPr>
      </w:pPr>
      <w:r>
        <w:rPr>
          <w:rFonts w:ascii="Arial" w:cs="Arial" w:eastAsia="Arial" w:hAnsi="Arial"/>
          <w:sz w:val="16"/>
          <w:szCs w:val="16"/>
          <w:color w:val="auto"/>
        </w:rPr>
        <w:t>26,520,933 shares (or 27,623,433 shares if the underwriters exercise their option to purchase additional shares in full).</w:t>
      </w:r>
    </w:p>
    <w:p>
      <w:pPr>
        <w:spacing w:after="0" w:line="88" w:lineRule="exact"/>
        <w:rPr>
          <w:sz w:val="20"/>
          <w:szCs w:val="20"/>
          <w:color w:val="auto"/>
        </w:rPr>
      </w:pPr>
    </w:p>
    <w:p>
      <w:pPr>
        <w:sectPr>
          <w:pgSz w:w="11900" w:h="16838" w:orient="portrait"/>
          <w:cols w:equalWidth="0" w:num="2">
            <w:col w:w="3960" w:space="580"/>
            <w:col w:w="6080"/>
          </w:cols>
          <w:pgMar w:left="320" w:top="441" w:right="959" w:bottom="1440" w:gutter="0" w:footer="0" w:header="0"/>
          <w:type w:val="continuous"/>
        </w:sectPr>
      </w:pPr>
    </w:p>
    <w:p>
      <w:pPr>
        <w:ind w:left="620"/>
        <w:spacing w:after="0"/>
        <w:rPr>
          <w:sz w:val="20"/>
          <w:szCs w:val="20"/>
          <w:color w:val="auto"/>
        </w:rPr>
      </w:pPr>
      <w:r>
        <w:rPr>
          <w:rFonts w:ascii="Arial" w:cs="Arial" w:eastAsia="Arial" w:hAnsi="Arial"/>
          <w:sz w:val="16"/>
          <w:szCs w:val="16"/>
          <w:color w:val="auto"/>
        </w:rPr>
        <w:t>Underwriters’ option to purchase additional shares</w:t>
      </w:r>
    </w:p>
    <w:p>
      <w:pPr>
        <w:spacing w:after="0" w:line="20" w:lineRule="exact"/>
        <w:rPr>
          <w:sz w:val="20"/>
          <w:szCs w:val="20"/>
          <w:color w:val="auto"/>
        </w:rPr>
      </w:pPr>
      <w:r>
        <w:rPr>
          <w:sz w:val="20"/>
          <w:szCs w:val="20"/>
          <w:color w:val="auto"/>
        </w:rPr>
        <w:br w:type="column"/>
      </w:r>
    </w:p>
    <w:p>
      <w:pPr>
        <w:ind w:right="60"/>
        <w:spacing w:after="0" w:line="265" w:lineRule="auto"/>
        <w:rPr>
          <w:sz w:val="20"/>
          <w:szCs w:val="20"/>
          <w:color w:val="auto"/>
        </w:rPr>
      </w:pPr>
      <w:r>
        <w:rPr>
          <w:rFonts w:ascii="Arial" w:cs="Arial" w:eastAsia="Arial" w:hAnsi="Arial"/>
          <w:sz w:val="16"/>
          <w:szCs w:val="16"/>
          <w:color w:val="auto"/>
        </w:rPr>
        <w:t>We have granted the underwriters an option for a period of 30 days to purchase up to 1,102,500 additional shares of our common stock.</w:t>
      </w:r>
    </w:p>
    <w:p>
      <w:pPr>
        <w:spacing w:after="0" w:line="88" w:lineRule="exact"/>
        <w:rPr>
          <w:sz w:val="20"/>
          <w:szCs w:val="20"/>
          <w:color w:val="auto"/>
        </w:rPr>
      </w:pPr>
    </w:p>
    <w:p>
      <w:pPr>
        <w:sectPr>
          <w:pgSz w:w="11900" w:h="16838" w:orient="portrait"/>
          <w:cols w:equalWidth="0" w:num="2">
            <w:col w:w="4300" w:space="240"/>
            <w:col w:w="6080"/>
          </w:cols>
          <w:pgMar w:left="320" w:top="441" w:right="959" w:bottom="1440" w:gutter="0" w:footer="0" w:header="0"/>
          <w:type w:val="continuous"/>
        </w:sectPr>
      </w:pPr>
    </w:p>
    <w:p>
      <w:pPr>
        <w:ind w:left="620"/>
        <w:spacing w:after="0"/>
        <w:rPr>
          <w:sz w:val="20"/>
          <w:szCs w:val="20"/>
          <w:color w:val="auto"/>
        </w:rPr>
      </w:pPr>
      <w:r>
        <w:rPr>
          <w:rFonts w:ascii="Arial" w:cs="Arial" w:eastAsia="Arial" w:hAnsi="Arial"/>
          <w:sz w:val="16"/>
          <w:szCs w:val="16"/>
          <w:color w:val="auto"/>
        </w:rPr>
        <w:t>Use of proceeds</w:t>
      </w:r>
    </w:p>
    <w:p>
      <w:pPr>
        <w:spacing w:after="0" w:line="20" w:lineRule="exact"/>
        <w:rPr>
          <w:sz w:val="20"/>
          <w:szCs w:val="20"/>
          <w:color w:val="auto"/>
        </w:rPr>
      </w:pPr>
      <w:r>
        <w:rPr>
          <w:sz w:val="20"/>
          <w:szCs w:val="20"/>
          <w:color w:val="auto"/>
        </w:rPr>
        <w:br w:type="column"/>
      </w:r>
    </w:p>
    <w:p>
      <w:pPr>
        <w:ind w:right="300"/>
        <w:spacing w:after="0" w:line="252" w:lineRule="auto"/>
        <w:rPr>
          <w:sz w:val="20"/>
          <w:szCs w:val="20"/>
          <w:color w:val="auto"/>
        </w:rPr>
      </w:pPr>
      <w:r>
        <w:rPr>
          <w:rFonts w:ascii="Arial" w:cs="Arial" w:eastAsia="Arial" w:hAnsi="Arial"/>
          <w:sz w:val="16"/>
          <w:szCs w:val="16"/>
          <w:color w:val="auto"/>
        </w:rPr>
        <w:t>We estimate that the net proceeds to us from the sale of shares of our common stock in this offering will be approximately $106.6 million (or approximately $123.0 million if the underwriters exercise their option to purchase additional shares in full) and after deducting underwriting discounts and commissions and estimated offering expenses payable by us.</w:t>
      </w:r>
    </w:p>
    <w:p>
      <w:pPr>
        <w:spacing w:after="0" w:line="124" w:lineRule="exact"/>
        <w:rPr>
          <w:sz w:val="20"/>
          <w:szCs w:val="20"/>
          <w:color w:val="auto"/>
        </w:rPr>
      </w:pPr>
    </w:p>
    <w:p>
      <w:pPr>
        <w:sectPr>
          <w:pgSz w:w="11900" w:h="16838" w:orient="portrait"/>
          <w:cols w:equalWidth="0" w:num="2">
            <w:col w:w="3820" w:space="720"/>
            <w:col w:w="6080"/>
          </w:cols>
          <w:pgMar w:left="320" w:top="441" w:right="959" w:bottom="1440" w:gutter="0" w:footer="0" w:header="0"/>
          <w:type w:val="continuous"/>
        </w:sectPr>
      </w:pPr>
    </w:p>
    <w:p>
      <w:pPr>
        <w:ind w:left="4540" w:right="80"/>
        <w:spacing w:after="0" w:line="250" w:lineRule="auto"/>
        <w:rPr>
          <w:sz w:val="20"/>
          <w:szCs w:val="20"/>
          <w:color w:val="auto"/>
        </w:rPr>
      </w:pPr>
      <w:r>
        <w:rPr>
          <w:rFonts w:ascii="Arial" w:cs="Arial" w:eastAsia="Arial" w:hAnsi="Arial"/>
          <w:sz w:val="16"/>
          <w:szCs w:val="16"/>
          <w:color w:val="auto"/>
        </w:rPr>
        <w:t>We intend to use the net proceeds from this offering to expand our sales force and customer support and operations, increase our research and development activities, conduct or sponsor clinical studies and trials, expand internationally, and provide for working capital and other general corporate purposes. We may use a portion of the net proceeds we receive from this offering to acquire businesses, products, services, or technologies. However, we do not have agreements or commitments for any such acquisitions at this time. See the section titled “Use of Proceeds” for additional information.</w:t>
      </w:r>
    </w:p>
    <w:p>
      <w:pPr>
        <w:sectPr>
          <w:pgSz w:w="11900" w:h="16838" w:orient="portrait"/>
          <w:cols w:equalWidth="0" w:num="1">
            <w:col w:w="10620"/>
          </w:cols>
          <w:pgMar w:left="320" w:top="441" w:right="959" w:bottom="1440" w:gutter="0" w:footer="0" w:header="0"/>
          <w:type w:val="continuous"/>
        </w:sectPr>
      </w:pPr>
    </w:p>
    <w:p>
      <w:pPr>
        <w:spacing w:after="0" w:line="10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both"/>
        <w:ind w:right="100"/>
        <w:spacing w:after="0" w:line="256" w:lineRule="auto"/>
        <w:rPr>
          <w:sz w:val="20"/>
          <w:szCs w:val="20"/>
          <w:color w:val="auto"/>
        </w:rPr>
      </w:pPr>
      <w:r>
        <w:rPr>
          <w:rFonts w:ascii="Arial" w:cs="Arial" w:eastAsia="Arial" w:hAnsi="Arial"/>
          <w:sz w:val="16"/>
          <w:szCs w:val="16"/>
          <w:color w:val="auto"/>
        </w:rPr>
        <w:t>See the section of this prospectus titled “Risk Factors” beginning on page 17 and other information included in this prospectus for a discussion of factors you should carefully consider before deciding to invest in shares of our common stock.</w:t>
      </w:r>
    </w:p>
    <w:p>
      <w:pPr>
        <w:spacing w:after="0" w:line="83" w:lineRule="exact"/>
        <w:rPr>
          <w:sz w:val="20"/>
          <w:szCs w:val="20"/>
          <w:color w:val="auto"/>
        </w:rPr>
      </w:pPr>
    </w:p>
    <w:p>
      <w:pPr>
        <w:sectPr>
          <w:pgSz w:w="11900" w:h="16838" w:orient="portrait"/>
          <w:cols w:equalWidth="0" w:num="2">
            <w:col w:w="3820" w:space="720"/>
            <w:col w:w="6080"/>
          </w:cols>
          <w:pgMar w:left="320" w:top="441" w:right="959" w:bottom="1440" w:gutter="0" w:footer="0" w:header="0"/>
          <w:type w:val="continuous"/>
        </w:sectPr>
      </w:pPr>
    </w:p>
    <w:p>
      <w:pPr>
        <w:ind w:left="620"/>
        <w:spacing w:after="0"/>
        <w:rPr>
          <w:sz w:val="20"/>
          <w:szCs w:val="20"/>
          <w:color w:val="auto"/>
        </w:rPr>
      </w:pPr>
      <w:r>
        <w:rPr>
          <w:rFonts w:ascii="Arial" w:cs="Arial" w:eastAsia="Arial" w:hAnsi="Arial"/>
          <w:sz w:val="16"/>
          <w:szCs w:val="16"/>
          <w:color w:val="auto"/>
        </w:rPr>
        <w:t>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“RXST”</w:t>
      </w:r>
    </w:p>
    <w:p>
      <w:pPr>
        <w:spacing w:after="0" w:line="108" w:lineRule="exact"/>
        <w:rPr>
          <w:sz w:val="20"/>
          <w:szCs w:val="20"/>
          <w:color w:val="auto"/>
        </w:rPr>
      </w:pPr>
    </w:p>
    <w:p>
      <w:pPr>
        <w:sectPr>
          <w:pgSz w:w="11900" w:h="16838" w:orient="portrait"/>
          <w:cols w:equalWidth="0" w:num="2">
            <w:col w:w="3820" w:space="720"/>
            <w:col w:w="6080"/>
          </w:cols>
          <w:pgMar w:left="320" w:top="441" w:right="959" w:bottom="1440" w:gutter="0" w:footer="0" w:header="0"/>
          <w:type w:val="continuous"/>
        </w:sectPr>
      </w:pPr>
    </w:p>
    <w:p>
      <w:pPr>
        <w:ind w:left="620" w:right="80"/>
        <w:spacing w:after="0" w:line="251" w:lineRule="auto"/>
        <w:rPr>
          <w:sz w:val="20"/>
          <w:szCs w:val="20"/>
          <w:color w:val="auto"/>
        </w:rPr>
      </w:pPr>
      <w:r>
        <w:rPr>
          <w:rFonts w:ascii="Arial" w:cs="Arial" w:eastAsia="Arial" w:hAnsi="Arial"/>
          <w:sz w:val="16"/>
          <w:szCs w:val="16"/>
          <w:color w:val="auto"/>
        </w:rPr>
        <w:t>The number of shares of our common stock to be outstanding after this offering is based on the 19,170,933 shares of our common stock outstanding as of March 31, 2021 (including 14,850,993 shares of common stock issuable upon the conversion of our outstanding convertible preferred stock as of March 31, 2021 and 225,945 shares of common stock issuable upon the exercise of warrants to purchase shares of Series H convertible preferred stock outstanding as of March 31, 2021, which will be converted into shares of our common stock following such exercise and immediately prior to the completion of this offering, at a weighted-average exercise price of $12.40 per share), and excludes the following:</w:t>
      </w:r>
    </w:p>
    <w:p>
      <w:pPr>
        <w:spacing w:after="0" w:line="101" w:lineRule="exact"/>
        <w:rPr>
          <w:sz w:val="20"/>
          <w:szCs w:val="20"/>
          <w:color w:val="auto"/>
        </w:rPr>
      </w:pPr>
    </w:p>
    <w:p>
      <w:pPr>
        <w:ind w:left="800" w:right="440" w:hanging="177"/>
        <w:spacing w:after="0" w:line="265"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4,623,643 shares of common stock issuable upon exercise of options to purchase shares of our common stock outstanding as of March 31, 2021, at a weighted-average exercise price of $10.81 per share;</w:t>
      </w:r>
    </w:p>
    <w:p>
      <w:pPr>
        <w:spacing w:after="0" w:line="12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620"/>
          </w:cols>
          <w:pgMar w:left="320" w:top="441" w:right="959" w:bottom="1440" w:gutter="0" w:footer="0" w:header="0"/>
          <w:type w:val="continuous"/>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73520" cy="39973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73520" cy="399732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800" w:right="520" w:hanging="177"/>
        <w:spacing w:after="0" w:line="265" w:lineRule="auto"/>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7,260 shares of common stock issuable upon exercise of options to purchase shares of our common stock that we granted after March 31, 2021, at a weighted-average exercise price of $19.94 per share;</w:t>
      </w:r>
    </w:p>
    <w:p>
      <w:pPr>
        <w:spacing w:after="0" w:line="88" w:lineRule="exact"/>
        <w:rPr>
          <w:rFonts w:ascii="Arial" w:cs="Arial" w:eastAsia="Arial" w:hAnsi="Arial"/>
          <w:sz w:val="16"/>
          <w:szCs w:val="16"/>
          <w:color w:val="auto"/>
        </w:rPr>
      </w:pPr>
    </w:p>
    <w:p>
      <w:pPr>
        <w:ind w:left="800" w:hanging="177"/>
        <w:spacing w:after="0" w:line="265" w:lineRule="auto"/>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125,547 shares of common stock reserved for future issuance under our 2015 Equity Incentive Plan, as amended (the “2015 Plan”), as of March 31, 2021;</w:t>
      </w:r>
    </w:p>
    <w:p>
      <w:pPr>
        <w:spacing w:after="0" w:line="88" w:lineRule="exact"/>
        <w:rPr>
          <w:rFonts w:ascii="Arial" w:cs="Arial" w:eastAsia="Arial" w:hAnsi="Arial"/>
          <w:sz w:val="16"/>
          <w:szCs w:val="16"/>
          <w:color w:val="auto"/>
        </w:rPr>
      </w:pPr>
    </w:p>
    <w:p>
      <w:pPr>
        <w:ind w:left="800" w:right="620" w:hanging="177"/>
        <w:spacing w:after="0" w:line="256" w:lineRule="auto"/>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7,260,406 shares of common stock reserved for future issuance under our 2021 Equity Incentive Plan (the “2021 Plan”), which became effective on the business day immediately prior to the date of effectiveness of the registration statement of which this prospectus forms a part; and</w:t>
      </w:r>
    </w:p>
    <w:p>
      <w:pPr>
        <w:spacing w:after="0" w:line="95" w:lineRule="exact"/>
        <w:rPr>
          <w:rFonts w:ascii="Arial" w:cs="Arial" w:eastAsia="Arial" w:hAnsi="Arial"/>
          <w:sz w:val="16"/>
          <w:szCs w:val="16"/>
          <w:color w:val="auto"/>
        </w:rPr>
      </w:pPr>
    </w:p>
    <w:p>
      <w:pPr>
        <w:ind w:left="800" w:right="340" w:hanging="177"/>
        <w:spacing w:after="0" w:line="256" w:lineRule="auto"/>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484,027 shares of common stock reserved for issuance under our 2021 Employee Stock Purchase Plan (the “2021 ESPP”), which became effective on the business day immediately prior to the date of effectiveness of the registration statement of which this prospectus forms a part.</w:t>
      </w:r>
    </w:p>
    <w:p>
      <w:pPr>
        <w:spacing w:after="0" w:line="83" w:lineRule="exact"/>
        <w:rPr>
          <w:sz w:val="20"/>
          <w:szCs w:val="20"/>
          <w:color w:val="auto"/>
        </w:rPr>
      </w:pPr>
    </w:p>
    <w:p>
      <w:pPr>
        <w:ind w:left="620" w:right="240"/>
        <w:spacing w:after="0" w:line="253" w:lineRule="auto"/>
        <w:rPr>
          <w:sz w:val="20"/>
          <w:szCs w:val="20"/>
          <w:color w:val="auto"/>
        </w:rPr>
      </w:pPr>
      <w:r>
        <w:rPr>
          <w:rFonts w:ascii="Arial" w:cs="Arial" w:eastAsia="Arial" w:hAnsi="Arial"/>
          <w:sz w:val="16"/>
          <w:szCs w:val="16"/>
          <w:color w:val="auto"/>
        </w:rPr>
        <w:t>Each of our 2021 Plan and our 2021 ESPP provides for annual automatic increases in the number of shares reserved thereunder, and our 2021 Plan also provides for increases to the number of shares that may be granted thereunder based on awards under our 2015 Plan or 2006 Stock Plan (the “2006 Plan”) that expire, are forfeited, or otherwise repurchased by us, as more fully described in the section titled “Executive Compensation—Employee Benefit and Stock Plans.”</w:t>
      </w:r>
    </w:p>
    <w:p>
      <w:pPr>
        <w:spacing w:after="0" w:line="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Unless otherwise indicated, this prospectus reflects and assumes the following:</w:t>
      </w:r>
    </w:p>
    <w:p>
      <w:pPr>
        <w:spacing w:after="0" w:line="120" w:lineRule="exact"/>
        <w:rPr>
          <w:sz w:val="20"/>
          <w:szCs w:val="20"/>
          <w:color w:val="auto"/>
        </w:rPr>
      </w:pPr>
    </w:p>
    <w:p>
      <w:pPr>
        <w:ind w:left="800" w:hanging="177"/>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1-for-10.33 reverse split of our capital stock which was effected on July 23, 2021;</w:t>
      </w:r>
    </w:p>
    <w:p>
      <w:pPr>
        <w:spacing w:after="0" w:line="120" w:lineRule="exact"/>
        <w:rPr>
          <w:rFonts w:ascii="Arial" w:cs="Arial" w:eastAsia="Arial" w:hAnsi="Arial"/>
          <w:sz w:val="16"/>
          <w:szCs w:val="16"/>
          <w:color w:val="auto"/>
        </w:rPr>
      </w:pPr>
    </w:p>
    <w:p>
      <w:pPr>
        <w:ind w:left="800" w:hanging="177"/>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reincorporation in the state of Delaware;</w:t>
      </w:r>
    </w:p>
    <w:p>
      <w:pPr>
        <w:spacing w:after="0" w:line="120" w:lineRule="exact"/>
        <w:rPr>
          <w:rFonts w:ascii="Arial" w:cs="Arial" w:eastAsia="Arial" w:hAnsi="Arial"/>
          <w:sz w:val="16"/>
          <w:szCs w:val="16"/>
          <w:color w:val="auto"/>
        </w:rPr>
      </w:pPr>
    </w:p>
    <w:p>
      <w:pPr>
        <w:ind w:left="800" w:hanging="177"/>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 exercise of outstanding options after March 31, 2021;</w:t>
      </w:r>
    </w:p>
    <w:p>
      <w:pPr>
        <w:spacing w:after="0" w:line="120" w:lineRule="exact"/>
        <w:rPr>
          <w:rFonts w:ascii="Arial" w:cs="Arial" w:eastAsia="Arial" w:hAnsi="Arial"/>
          <w:sz w:val="16"/>
          <w:szCs w:val="16"/>
          <w:color w:val="auto"/>
        </w:rPr>
      </w:pPr>
    </w:p>
    <w:p>
      <w:pPr>
        <w:ind w:left="800" w:hanging="177"/>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 exercise of the underwriters’ option to purchase additional shares of common stock from us;</w:t>
      </w:r>
    </w:p>
    <w:p>
      <w:pPr>
        <w:spacing w:after="0" w:line="120" w:lineRule="exact"/>
        <w:rPr>
          <w:rFonts w:ascii="Arial" w:cs="Arial" w:eastAsia="Arial" w:hAnsi="Arial"/>
          <w:sz w:val="16"/>
          <w:szCs w:val="16"/>
          <w:color w:val="auto"/>
        </w:rPr>
      </w:pPr>
    </w:p>
    <w:p>
      <w:pPr>
        <w:ind w:left="800" w:right="700" w:hanging="177"/>
        <w:spacing w:after="0" w:line="265" w:lineRule="auto"/>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conversion of 14,376,272 outstanding shares of our convertible preferred stock as of March 31, 2021 into an aggregate of 14,850,993 shares of our common stock, which will occur immediately prior to the completion of this offering;</w:t>
      </w:r>
    </w:p>
    <w:p>
      <w:pPr>
        <w:spacing w:after="0" w:line="88" w:lineRule="exact"/>
        <w:rPr>
          <w:rFonts w:ascii="Arial" w:cs="Arial" w:eastAsia="Arial" w:hAnsi="Arial"/>
          <w:sz w:val="16"/>
          <w:szCs w:val="16"/>
          <w:color w:val="auto"/>
        </w:rPr>
      </w:pPr>
    </w:p>
    <w:p>
      <w:pPr>
        <w:ind w:left="800" w:right="240" w:hanging="177"/>
        <w:spacing w:after="0" w:line="265" w:lineRule="auto"/>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cash exercise of 225,945 warrants to purchase Series H convertible preferred stock as of March 31, 2021 and the conversion of such shares into 225,945 shares of our common stock, which will occur immediately prior to the completion of this offering; and</w:t>
      </w:r>
    </w:p>
    <w:p>
      <w:pPr>
        <w:spacing w:after="0" w:line="88" w:lineRule="exact"/>
        <w:rPr>
          <w:rFonts w:ascii="Arial" w:cs="Arial" w:eastAsia="Arial" w:hAnsi="Arial"/>
          <w:sz w:val="16"/>
          <w:szCs w:val="16"/>
          <w:color w:val="auto"/>
        </w:rPr>
      </w:pPr>
    </w:p>
    <w:p>
      <w:pPr>
        <w:ind w:left="800" w:right="20" w:hanging="177"/>
        <w:spacing w:after="0" w:line="265" w:lineRule="auto"/>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filing and effectiveness of our amended and restated certificate of incorporation and the effectiveness of our amended and restated bylaws, which will occur immediately prior to the completion of this offering.</w:t>
      </w:r>
    </w:p>
    <w:p>
      <w:pPr>
        <w:spacing w:after="0" w:line="12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620"/>
          </w:cols>
          <w:pgMar w:left="320" w:top="441" w:right="95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73520" cy="50279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73520" cy="502793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20"/>
        <w:spacing w:after="0"/>
        <w:rPr>
          <w:sz w:val="20"/>
          <w:szCs w:val="20"/>
          <w:color w:val="auto"/>
        </w:rPr>
      </w:pPr>
      <w:r>
        <w:rPr>
          <w:rFonts w:ascii="Arial" w:cs="Arial" w:eastAsia="Arial" w:hAnsi="Arial"/>
          <w:sz w:val="30"/>
          <w:szCs w:val="30"/>
          <w:b w:val="1"/>
          <w:bCs w:val="1"/>
          <w:color w:val="auto"/>
        </w:rPr>
        <w:t>Summary financial data</w:t>
      </w:r>
    </w:p>
    <w:p>
      <w:pPr>
        <w:spacing w:after="0" w:line="149" w:lineRule="exact"/>
        <w:rPr>
          <w:sz w:val="20"/>
          <w:szCs w:val="20"/>
          <w:color w:val="auto"/>
        </w:rPr>
      </w:pPr>
    </w:p>
    <w:p>
      <w:pPr>
        <w:ind w:left="620" w:right="200"/>
        <w:spacing w:after="0" w:line="249" w:lineRule="auto"/>
        <w:rPr>
          <w:sz w:val="20"/>
          <w:szCs w:val="20"/>
          <w:color w:val="auto"/>
        </w:rPr>
      </w:pPr>
      <w:r>
        <w:rPr>
          <w:rFonts w:ascii="Arial" w:cs="Arial" w:eastAsia="Arial" w:hAnsi="Arial"/>
          <w:sz w:val="16"/>
          <w:szCs w:val="16"/>
          <w:color w:val="auto"/>
        </w:rPr>
        <w:t>The following tables summarize our financial data for the periods and as of the dates indicated. We have derived the statements of operations data for the years ended December 31, 2019 and 2020 (except for the pro forma net loss per share and the pro forma share information) from our audited financial statements and related notes included elsewhere in this prospectus. We derived the statement of operations data for the three months ended March 31, 2020 and March 31, 2021 and the balance sheet data as of March 31, 2021 from the unaudited interim financial statements included elsewhere in this prospectus. The unaudited interim financial statements have been prepared in accordance with U.S. generally accepted accounting principles on the same basis as our annual audited financial statements and, in the opinion of management, reflect all adjustments, which include only normal, recurring adjustments, that are necessary to present fairly the statement of financial position as of March 31, 2021 and our results of operations for the three months ended March 31, 2020 and 2021. Our historical results are not necessarily indicative of results that may be expected in the future, and the results for the three months ended March 31, 2021, are not necessarily indicative of results to be expected for the full year or any other period. You should read the following summary financial data together with our financial statements and the related notes appearing elsewhere in this prospectus and the information in the sections titled “Selected Financial Data” and “Management’s Discussion and Analysis of Financial Condition and Results of Operations.” The summary financial data in this section are not intended to replace the financial statements and are qualified in their entirety by the financial statements and related notes included elsewhere in this prospectus.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gridSpan w:val="5"/>
          </w:tcPr>
          <w:p>
            <w:pPr>
              <w:jc w:val="right"/>
              <w:ind w:right="280"/>
              <w:spacing w:after="0"/>
              <w:rPr>
                <w:sz w:val="20"/>
                <w:szCs w:val="20"/>
                <w:color w:val="auto"/>
              </w:rPr>
            </w:pPr>
            <w:r>
              <w:rPr>
                <w:rFonts w:ascii="Arial" w:cs="Arial" w:eastAsia="Arial" w:hAnsi="Arial"/>
                <w:sz w:val="16"/>
                <w:szCs w:val="16"/>
                <w:b w:val="1"/>
                <w:bCs w:val="1"/>
                <w:color w:val="auto"/>
              </w:rPr>
              <w:t>Three months ended</w:t>
            </w:r>
          </w:p>
        </w:tc>
      </w:tr>
      <w:tr>
        <w:trPr>
          <w:trHeight w:val="207"/>
        </w:trPr>
        <w:tc>
          <w:tcPr>
            <w:tcW w:w="1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3"/>
          </w:tcPr>
          <w:p>
            <w:pPr>
              <w:jc w:val="right"/>
              <w:ind w:right="198"/>
              <w:spacing w:after="0"/>
              <w:rPr>
                <w:sz w:val="20"/>
                <w:szCs w:val="20"/>
                <w:color w:val="auto"/>
              </w:rPr>
            </w:pPr>
            <w:r>
              <w:rPr>
                <w:rFonts w:ascii="Arial" w:cs="Arial" w:eastAsia="Arial" w:hAnsi="Arial"/>
                <w:sz w:val="16"/>
                <w:szCs w:val="16"/>
                <w:b w:val="1"/>
                <w:bCs w:val="1"/>
                <w:color w:val="auto"/>
              </w:rPr>
              <w:t>Year ended December 31,</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4"/>
          </w:tcPr>
          <w:p>
            <w:pPr>
              <w:jc w:val="right"/>
              <w:ind w:right="280"/>
              <w:spacing w:after="0"/>
              <w:rPr>
                <w:sz w:val="20"/>
                <w:szCs w:val="20"/>
                <w:color w:val="auto"/>
              </w:rPr>
            </w:pPr>
            <w:r>
              <w:rPr>
                <w:rFonts w:ascii="Arial" w:cs="Arial" w:eastAsia="Arial" w:hAnsi="Arial"/>
                <w:sz w:val="16"/>
                <w:szCs w:val="16"/>
                <w:b w:val="1"/>
                <w:bCs w:val="1"/>
                <w:color w:val="auto"/>
              </w:rPr>
              <w:t>March 31</w:t>
            </w:r>
          </w:p>
        </w:tc>
      </w:tr>
      <w:tr>
        <w:trPr>
          <w:trHeight w:val="204"/>
        </w:trPr>
        <w:tc>
          <w:tcPr>
            <w:tcW w:w="1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780" w:type="dxa"/>
            <w:vAlign w:val="bottom"/>
            <w:tcBorders>
              <w:top w:val="single" w:sz="8" w:color="auto"/>
            </w:tcBorders>
            <w:gridSpan w:val="6"/>
          </w:tcPr>
          <w:p>
            <w:pPr>
              <w:spacing w:after="0"/>
              <w:rPr>
                <w:sz w:val="20"/>
                <w:szCs w:val="20"/>
                <w:color w:val="auto"/>
              </w:rPr>
            </w:pPr>
            <w:r>
              <w:rPr>
                <w:rFonts w:ascii="Arial" w:cs="Arial" w:eastAsia="Arial" w:hAnsi="Arial"/>
                <w:sz w:val="16"/>
                <w:szCs w:val="16"/>
                <w:b w:val="1"/>
                <w:bCs w:val="1"/>
                <w:color w:val="auto"/>
              </w:rPr>
              <w:t>(in thousands, except share and per-share data)</w:t>
            </w: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7"/>
        </w:trPr>
        <w:tc>
          <w:tcPr>
            <w:tcW w:w="160" w:type="dxa"/>
            <w:vAlign w:val="bottom"/>
          </w:tcPr>
          <w:p>
            <w:pPr>
              <w:spacing w:after="0"/>
              <w:rPr>
                <w:sz w:val="18"/>
                <w:szCs w:val="18"/>
                <w:color w:val="auto"/>
              </w:rPr>
            </w:pPr>
          </w:p>
        </w:tc>
        <w:tc>
          <w:tcPr>
            <w:tcW w:w="39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r>
      <w:tr>
        <w:trPr>
          <w:trHeight w:val="221"/>
        </w:trPr>
        <w:tc>
          <w:tcPr>
            <w:tcW w:w="1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gridSpan w:val="5"/>
          </w:tcPr>
          <w:p>
            <w:pPr>
              <w:ind w:left="340"/>
              <w:spacing w:after="0"/>
              <w:rPr>
                <w:sz w:val="20"/>
                <w:szCs w:val="20"/>
                <w:color w:val="auto"/>
              </w:rPr>
            </w:pPr>
            <w:r>
              <w:rPr>
                <w:rFonts w:ascii="Arial" w:cs="Arial" w:eastAsia="Arial" w:hAnsi="Arial"/>
                <w:sz w:val="16"/>
                <w:szCs w:val="16"/>
                <w:b w:val="1"/>
                <w:bCs w:val="1"/>
                <w:color w:val="auto"/>
              </w:rPr>
              <w:t>(unaudited)</w:t>
            </w:r>
          </w:p>
        </w:tc>
      </w:tr>
      <w:tr>
        <w:trPr>
          <w:trHeight w:val="43"/>
        </w:trPr>
        <w:tc>
          <w:tcPr>
            <w:tcW w:w="160" w:type="dxa"/>
            <w:vAlign w:val="bottom"/>
          </w:tcPr>
          <w:p>
            <w:pPr>
              <w:spacing w:after="0"/>
              <w:rPr>
                <w:sz w:val="3"/>
                <w:szCs w:val="3"/>
                <w:color w:val="auto"/>
              </w:rPr>
            </w:pPr>
          </w:p>
        </w:tc>
        <w:tc>
          <w:tcPr>
            <w:tcW w:w="392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90"/>
        </w:trPr>
        <w:tc>
          <w:tcPr>
            <w:tcW w:w="160" w:type="dxa"/>
            <w:vAlign w:val="bottom"/>
          </w:tcPr>
          <w:p>
            <w:pPr>
              <w:spacing w:after="0"/>
              <w:rPr>
                <w:sz w:val="16"/>
                <w:szCs w:val="16"/>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Statements of Operations Data:</w:t>
            </w: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0"/>
        </w:trPr>
        <w:tc>
          <w:tcPr>
            <w:tcW w:w="160" w:type="dxa"/>
            <w:vAlign w:val="bottom"/>
          </w:tcPr>
          <w:p>
            <w:pPr>
              <w:spacing w:after="0"/>
              <w:rPr>
                <w:sz w:val="16"/>
                <w:szCs w:val="16"/>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Sales</w:t>
            </w:r>
          </w:p>
        </w:tc>
        <w:tc>
          <w:tcPr>
            <w:tcW w:w="1560" w:type="dxa"/>
            <w:vAlign w:val="bottom"/>
            <w:gridSpan w:val="2"/>
          </w:tcPr>
          <w:p>
            <w:pPr>
              <w:ind w:left="14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8"/>
              <w:spacing w:after="0"/>
              <w:rPr>
                <w:sz w:val="20"/>
                <w:szCs w:val="20"/>
                <w:color w:val="auto"/>
              </w:rPr>
            </w:pPr>
            <w:r>
              <w:rPr>
                <w:rFonts w:ascii="Arial" w:cs="Arial" w:eastAsia="Arial" w:hAnsi="Arial"/>
                <w:sz w:val="16"/>
                <w:szCs w:val="16"/>
                <w:color w:val="auto"/>
              </w:rPr>
              <w:t>2,241</w:t>
            </w:r>
          </w:p>
        </w:tc>
        <w:tc>
          <w:tcPr>
            <w:tcW w:w="38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8"/>
              <w:spacing w:after="0"/>
              <w:rPr>
                <w:sz w:val="20"/>
                <w:szCs w:val="20"/>
                <w:color w:val="auto"/>
              </w:rPr>
            </w:pPr>
            <w:r>
              <w:rPr>
                <w:rFonts w:ascii="Arial" w:cs="Arial" w:eastAsia="Arial" w:hAnsi="Arial"/>
                <w:sz w:val="16"/>
                <w:szCs w:val="16"/>
                <w:color w:val="auto"/>
              </w:rPr>
              <w:t>14,678</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78"/>
              <w:spacing w:after="0"/>
              <w:rPr>
                <w:sz w:val="20"/>
                <w:szCs w:val="20"/>
                <w:color w:val="auto"/>
              </w:rPr>
            </w:pPr>
            <w:r>
              <w:rPr>
                <w:rFonts w:ascii="Arial" w:cs="Arial" w:eastAsia="Arial" w:hAnsi="Arial"/>
                <w:sz w:val="16"/>
                <w:szCs w:val="16"/>
                <w:color w:val="auto"/>
              </w:rPr>
              <w:t>2,888</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3,484</w:t>
            </w:r>
          </w:p>
        </w:tc>
        <w:tc>
          <w:tcPr>
            <w:tcW w:w="180" w:type="dxa"/>
            <w:vAlign w:val="bottom"/>
          </w:tcPr>
          <w:p>
            <w:pPr>
              <w:spacing w:after="0"/>
              <w:rPr>
                <w:sz w:val="16"/>
                <w:szCs w:val="16"/>
                <w:color w:val="auto"/>
              </w:rPr>
            </w:pPr>
          </w:p>
        </w:tc>
      </w:tr>
      <w:tr>
        <w:trPr>
          <w:trHeight w:val="190"/>
        </w:trPr>
        <w:tc>
          <w:tcPr>
            <w:tcW w:w="160" w:type="dxa"/>
            <w:vAlign w:val="bottom"/>
          </w:tcPr>
          <w:p>
            <w:pPr>
              <w:spacing w:after="0"/>
              <w:rPr>
                <w:sz w:val="16"/>
                <w:szCs w:val="16"/>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14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4,060</w:t>
            </w:r>
          </w:p>
        </w:tc>
        <w:tc>
          <w:tcPr>
            <w:tcW w:w="3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rPr>
              <w:t>12,973</w:t>
            </w:r>
          </w:p>
        </w:tc>
        <w:tc>
          <w:tcPr>
            <w:tcW w:w="3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6"/>
                <w:szCs w:val="16"/>
                <w:color w:val="auto"/>
              </w:rPr>
              <w:t>2,810</w:t>
            </w: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2,365</w:t>
            </w: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6"/>
        </w:trPr>
        <w:tc>
          <w:tcPr>
            <w:tcW w:w="160" w:type="dxa"/>
            <w:vAlign w:val="bottom"/>
          </w:tcPr>
          <w:p>
            <w:pPr>
              <w:spacing w:after="0"/>
              <w:rPr>
                <w:sz w:val="17"/>
                <w:szCs w:val="17"/>
                <w:color w:val="auto"/>
              </w:rPr>
            </w:pPr>
          </w:p>
        </w:tc>
        <w:tc>
          <w:tcPr>
            <w:tcW w:w="3920" w:type="dxa"/>
            <w:vAlign w:val="bottom"/>
          </w:tcPr>
          <w:p>
            <w:pPr>
              <w:ind w:left="420"/>
              <w:spacing w:after="0"/>
              <w:rPr>
                <w:sz w:val="20"/>
                <w:szCs w:val="20"/>
                <w:color w:val="auto"/>
              </w:rPr>
            </w:pPr>
            <w:r>
              <w:rPr>
                <w:rFonts w:ascii="Arial" w:cs="Arial" w:eastAsia="Arial" w:hAnsi="Arial"/>
                <w:sz w:val="16"/>
                <w:szCs w:val="16"/>
                <w:color w:val="auto"/>
              </w:rPr>
              <w:t>Gross profit (loss)</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78"/>
              <w:spacing w:after="0"/>
              <w:rPr>
                <w:sz w:val="20"/>
                <w:szCs w:val="20"/>
                <w:color w:val="auto"/>
              </w:rPr>
            </w:pPr>
            <w:r>
              <w:rPr>
                <w:rFonts w:ascii="Arial" w:cs="Arial" w:eastAsia="Arial" w:hAnsi="Arial"/>
                <w:sz w:val="16"/>
                <w:szCs w:val="16"/>
                <w:color w:val="auto"/>
              </w:rPr>
              <w:t>(1,819)</w:t>
            </w:r>
          </w:p>
        </w:tc>
        <w:tc>
          <w:tcPr>
            <w:tcW w:w="380" w:type="dxa"/>
            <w:vAlign w:val="bottom"/>
          </w:tcPr>
          <w:p>
            <w:pPr>
              <w:spacing w:after="0"/>
              <w:rPr>
                <w:sz w:val="17"/>
                <w:szCs w:val="17"/>
                <w:color w:val="auto"/>
              </w:rPr>
            </w:pPr>
          </w:p>
        </w:tc>
        <w:tc>
          <w:tcPr>
            <w:tcW w:w="960" w:type="dxa"/>
            <w:vAlign w:val="bottom"/>
          </w:tcPr>
          <w:p>
            <w:pPr>
              <w:jc w:val="right"/>
              <w:ind w:right="198"/>
              <w:spacing w:after="0"/>
              <w:rPr>
                <w:sz w:val="20"/>
                <w:szCs w:val="20"/>
                <w:color w:val="auto"/>
              </w:rPr>
            </w:pPr>
            <w:r>
              <w:rPr>
                <w:rFonts w:ascii="Arial" w:cs="Arial" w:eastAsia="Arial" w:hAnsi="Arial"/>
                <w:sz w:val="16"/>
                <w:szCs w:val="16"/>
                <w:color w:val="auto"/>
              </w:rPr>
              <w:t>1,705</w:t>
            </w:r>
          </w:p>
        </w:tc>
        <w:tc>
          <w:tcPr>
            <w:tcW w:w="380" w:type="dxa"/>
            <w:vAlign w:val="bottom"/>
          </w:tcPr>
          <w:p>
            <w:pPr>
              <w:spacing w:after="0"/>
              <w:rPr>
                <w:sz w:val="17"/>
                <w:szCs w:val="17"/>
                <w:color w:val="auto"/>
              </w:rPr>
            </w:pPr>
          </w:p>
        </w:tc>
        <w:tc>
          <w:tcPr>
            <w:tcW w:w="940" w:type="dxa"/>
            <w:vAlign w:val="bottom"/>
          </w:tcPr>
          <w:p>
            <w:pPr>
              <w:jc w:val="right"/>
              <w:ind w:right="278"/>
              <w:spacing w:after="0"/>
              <w:rPr>
                <w:sz w:val="20"/>
                <w:szCs w:val="20"/>
                <w:color w:val="auto"/>
              </w:rPr>
            </w:pPr>
            <w:r>
              <w:rPr>
                <w:rFonts w:ascii="Arial" w:cs="Arial" w:eastAsia="Arial" w:hAnsi="Arial"/>
                <w:sz w:val="16"/>
                <w:szCs w:val="16"/>
                <w:color w:val="auto"/>
              </w:rPr>
              <w:t>78</w:t>
            </w:r>
          </w:p>
        </w:tc>
        <w:tc>
          <w:tcPr>
            <w:tcW w:w="1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1,119</w:t>
            </w:r>
          </w:p>
        </w:tc>
        <w:tc>
          <w:tcPr>
            <w:tcW w:w="180" w:type="dxa"/>
            <w:vAlign w:val="bottom"/>
          </w:tcPr>
          <w:p>
            <w:pPr>
              <w:spacing w:after="0"/>
              <w:rPr>
                <w:sz w:val="17"/>
                <w:szCs w:val="17"/>
                <w:color w:val="auto"/>
              </w:rPr>
            </w:pPr>
          </w:p>
        </w:tc>
      </w:tr>
      <w:tr>
        <w:trPr>
          <w:trHeight w:val="69"/>
        </w:trPr>
        <w:tc>
          <w:tcPr>
            <w:tcW w:w="160" w:type="dxa"/>
            <w:vAlign w:val="bottom"/>
          </w:tcPr>
          <w:p>
            <w:pPr>
              <w:spacing w:after="0"/>
              <w:rPr>
                <w:sz w:val="5"/>
                <w:szCs w:val="5"/>
                <w:color w:val="auto"/>
              </w:rPr>
            </w:pPr>
          </w:p>
        </w:tc>
        <w:tc>
          <w:tcPr>
            <w:tcW w:w="39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190"/>
        </w:trPr>
        <w:tc>
          <w:tcPr>
            <w:tcW w:w="160" w:type="dxa"/>
            <w:vAlign w:val="bottom"/>
          </w:tcPr>
          <w:p>
            <w:pPr>
              <w:spacing w:after="0"/>
              <w:rPr>
                <w:sz w:val="16"/>
                <w:szCs w:val="16"/>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0"/>
        </w:trPr>
        <w:tc>
          <w:tcPr>
            <w:tcW w:w="160" w:type="dxa"/>
            <w:vAlign w:val="bottom"/>
          </w:tcPr>
          <w:p>
            <w:pPr>
              <w:spacing w:after="0"/>
              <w:rPr>
                <w:sz w:val="16"/>
                <w:szCs w:val="16"/>
                <w:color w:val="auto"/>
              </w:rPr>
            </w:pPr>
          </w:p>
        </w:tc>
        <w:tc>
          <w:tcPr>
            <w:tcW w:w="3920" w:type="dxa"/>
            <w:vAlign w:val="bottom"/>
          </w:tcPr>
          <w:p>
            <w:pPr>
              <w:ind w:left="420"/>
              <w:spacing w:after="0"/>
              <w:rPr>
                <w:sz w:val="20"/>
                <w:szCs w:val="20"/>
                <w:color w:val="auto"/>
              </w:rPr>
            </w:pPr>
            <w:r>
              <w:rPr>
                <w:rFonts w:ascii="Arial" w:cs="Arial" w:eastAsia="Arial" w:hAnsi="Arial"/>
                <w:sz w:val="16"/>
                <w:szCs w:val="16"/>
                <w:color w:val="auto"/>
              </w:rPr>
              <w:t>Selling, general and administrative</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38"/>
              <w:spacing w:after="0"/>
              <w:rPr>
                <w:sz w:val="20"/>
                <w:szCs w:val="20"/>
                <w:color w:val="auto"/>
              </w:rPr>
            </w:pPr>
            <w:r>
              <w:rPr>
                <w:rFonts w:ascii="Arial" w:cs="Arial" w:eastAsia="Arial" w:hAnsi="Arial"/>
                <w:sz w:val="16"/>
                <w:szCs w:val="16"/>
                <w:color w:val="auto"/>
              </w:rPr>
              <w:t>15,203</w:t>
            </w:r>
          </w:p>
        </w:tc>
        <w:tc>
          <w:tcPr>
            <w:tcW w:w="380" w:type="dxa"/>
            <w:vAlign w:val="bottom"/>
          </w:tcPr>
          <w:p>
            <w:pPr>
              <w:spacing w:after="0"/>
              <w:rPr>
                <w:sz w:val="16"/>
                <w:szCs w:val="16"/>
                <w:color w:val="auto"/>
              </w:rPr>
            </w:pPr>
          </w:p>
        </w:tc>
        <w:tc>
          <w:tcPr>
            <w:tcW w:w="960" w:type="dxa"/>
            <w:vAlign w:val="bottom"/>
          </w:tcPr>
          <w:p>
            <w:pPr>
              <w:jc w:val="right"/>
              <w:ind w:right="198"/>
              <w:spacing w:after="0"/>
              <w:rPr>
                <w:sz w:val="20"/>
                <w:szCs w:val="20"/>
                <w:color w:val="auto"/>
              </w:rPr>
            </w:pPr>
            <w:r>
              <w:rPr>
                <w:rFonts w:ascii="Arial" w:cs="Arial" w:eastAsia="Arial" w:hAnsi="Arial"/>
                <w:sz w:val="16"/>
                <w:szCs w:val="16"/>
                <w:color w:val="auto"/>
              </w:rPr>
              <w:t>15,176</w:t>
            </w:r>
          </w:p>
        </w:tc>
        <w:tc>
          <w:tcPr>
            <w:tcW w:w="380" w:type="dxa"/>
            <w:vAlign w:val="bottom"/>
          </w:tcPr>
          <w:p>
            <w:pPr>
              <w:spacing w:after="0"/>
              <w:rPr>
                <w:sz w:val="16"/>
                <w:szCs w:val="16"/>
                <w:color w:val="auto"/>
              </w:rPr>
            </w:pPr>
          </w:p>
        </w:tc>
        <w:tc>
          <w:tcPr>
            <w:tcW w:w="940" w:type="dxa"/>
            <w:vAlign w:val="bottom"/>
          </w:tcPr>
          <w:p>
            <w:pPr>
              <w:jc w:val="right"/>
              <w:ind w:right="278"/>
              <w:spacing w:after="0"/>
              <w:rPr>
                <w:sz w:val="20"/>
                <w:szCs w:val="20"/>
                <w:color w:val="auto"/>
              </w:rPr>
            </w:pPr>
            <w:r>
              <w:rPr>
                <w:rFonts w:ascii="Arial" w:cs="Arial" w:eastAsia="Arial" w:hAnsi="Arial"/>
                <w:sz w:val="16"/>
                <w:szCs w:val="16"/>
                <w:color w:val="auto"/>
              </w:rPr>
              <w:t>3,698</w:t>
            </w:r>
          </w:p>
        </w:tc>
        <w:tc>
          <w:tcPr>
            <w:tcW w:w="16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5,611</w:t>
            </w:r>
          </w:p>
        </w:tc>
        <w:tc>
          <w:tcPr>
            <w:tcW w:w="180" w:type="dxa"/>
            <w:vAlign w:val="bottom"/>
          </w:tcPr>
          <w:p>
            <w:pPr>
              <w:spacing w:after="0"/>
              <w:rPr>
                <w:sz w:val="16"/>
                <w:szCs w:val="16"/>
                <w:color w:val="auto"/>
              </w:rPr>
            </w:pPr>
          </w:p>
        </w:tc>
      </w:tr>
      <w:tr>
        <w:trPr>
          <w:trHeight w:val="190"/>
        </w:trPr>
        <w:tc>
          <w:tcPr>
            <w:tcW w:w="160" w:type="dxa"/>
            <w:vAlign w:val="bottom"/>
          </w:tcPr>
          <w:p>
            <w:pPr>
              <w:spacing w:after="0"/>
              <w:rPr>
                <w:sz w:val="16"/>
                <w:szCs w:val="16"/>
                <w:color w:val="auto"/>
              </w:rPr>
            </w:pPr>
          </w:p>
        </w:tc>
        <w:tc>
          <w:tcPr>
            <w:tcW w:w="39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Research and development</w:t>
            </w: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29,569</w:t>
            </w: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21,934</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rPr>
              <w:t>5,777</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6,643</w:t>
            </w:r>
          </w:p>
        </w:tc>
        <w:tc>
          <w:tcPr>
            <w:tcW w:w="180" w:type="dxa"/>
            <w:vAlign w:val="bottom"/>
          </w:tcPr>
          <w:p>
            <w:pPr>
              <w:spacing w:after="0"/>
              <w:rPr>
                <w:sz w:val="16"/>
                <w:szCs w:val="16"/>
                <w:color w:val="auto"/>
              </w:rPr>
            </w:pPr>
          </w:p>
        </w:tc>
      </w:tr>
      <w:tr>
        <w:trPr>
          <w:trHeight w:val="196"/>
        </w:trPr>
        <w:tc>
          <w:tcPr>
            <w:tcW w:w="160" w:type="dxa"/>
            <w:vAlign w:val="bottom"/>
          </w:tcPr>
          <w:p>
            <w:pPr>
              <w:spacing w:after="0"/>
              <w:rPr>
                <w:sz w:val="17"/>
                <w:szCs w:val="17"/>
                <w:color w:val="auto"/>
              </w:rPr>
            </w:pPr>
          </w:p>
        </w:tc>
        <w:tc>
          <w:tcPr>
            <w:tcW w:w="3920" w:type="dxa"/>
            <w:vAlign w:val="bottom"/>
          </w:tcPr>
          <w:p>
            <w:pPr>
              <w:ind w:left="420"/>
              <w:spacing w:after="0"/>
              <w:rPr>
                <w:sz w:val="20"/>
                <w:szCs w:val="20"/>
                <w:color w:val="auto"/>
              </w:rPr>
            </w:pPr>
            <w:r>
              <w:rPr>
                <w:rFonts w:ascii="Arial" w:cs="Arial" w:eastAsia="Arial" w:hAnsi="Arial"/>
                <w:sz w:val="16"/>
                <w:szCs w:val="16"/>
                <w:color w:val="auto"/>
              </w:rPr>
              <w:t>(Gain) loss on sale of equipment</w:t>
            </w:r>
          </w:p>
        </w:tc>
        <w:tc>
          <w:tcPr>
            <w:tcW w:w="1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(521)</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7</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spacing w:after="0"/>
              <w:rPr>
                <w:sz w:val="17"/>
                <w:szCs w:val="17"/>
                <w:color w:val="auto"/>
              </w:rPr>
            </w:pPr>
          </w:p>
        </w:tc>
      </w:tr>
      <w:tr>
        <w:trPr>
          <w:trHeight w:val="190"/>
        </w:trPr>
        <w:tc>
          <w:tcPr>
            <w:tcW w:w="160" w:type="dxa"/>
            <w:vAlign w:val="bottom"/>
          </w:tcPr>
          <w:p>
            <w:pPr>
              <w:spacing w:after="0"/>
              <w:rPr>
                <w:sz w:val="16"/>
                <w:szCs w:val="16"/>
                <w:color w:val="auto"/>
              </w:rPr>
            </w:pPr>
          </w:p>
        </w:tc>
        <w:tc>
          <w:tcPr>
            <w:tcW w:w="39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operating expenses</w:t>
            </w:r>
          </w:p>
        </w:tc>
        <w:tc>
          <w:tcPr>
            <w:tcW w:w="14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44,251</w:t>
            </w:r>
          </w:p>
        </w:tc>
        <w:tc>
          <w:tcPr>
            <w:tcW w:w="3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rPr>
              <w:t>37,117</w:t>
            </w:r>
          </w:p>
        </w:tc>
        <w:tc>
          <w:tcPr>
            <w:tcW w:w="3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6"/>
                <w:szCs w:val="16"/>
                <w:color w:val="auto"/>
              </w:rPr>
              <w:t>9,475</w:t>
            </w: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12,254</w:t>
            </w: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201"/>
        </w:trPr>
        <w:tc>
          <w:tcPr>
            <w:tcW w:w="16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Loss from operations</w:t>
            </w:r>
          </w:p>
        </w:tc>
        <w:tc>
          <w:tcPr>
            <w:tcW w:w="14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8"/>
              <w:spacing w:after="0"/>
              <w:rPr>
                <w:sz w:val="20"/>
                <w:szCs w:val="20"/>
                <w:color w:val="auto"/>
              </w:rPr>
            </w:pPr>
            <w:r>
              <w:rPr>
                <w:rFonts w:ascii="Arial" w:cs="Arial" w:eastAsia="Arial" w:hAnsi="Arial"/>
                <w:sz w:val="16"/>
                <w:szCs w:val="16"/>
                <w:color w:val="auto"/>
              </w:rPr>
              <w:t>(46,070)</w:t>
            </w:r>
          </w:p>
        </w:tc>
        <w:tc>
          <w:tcPr>
            <w:tcW w:w="38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58"/>
              <w:spacing w:after="0"/>
              <w:rPr>
                <w:sz w:val="20"/>
                <w:szCs w:val="20"/>
                <w:color w:val="auto"/>
              </w:rPr>
            </w:pPr>
            <w:r>
              <w:rPr>
                <w:rFonts w:ascii="Arial" w:cs="Arial" w:eastAsia="Arial" w:hAnsi="Arial"/>
                <w:sz w:val="16"/>
                <w:szCs w:val="16"/>
                <w:color w:val="auto"/>
              </w:rPr>
              <w:t>(35,412)</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8"/>
              <w:spacing w:after="0"/>
              <w:rPr>
                <w:sz w:val="20"/>
                <w:szCs w:val="20"/>
                <w:color w:val="auto"/>
              </w:rPr>
            </w:pPr>
            <w:r>
              <w:rPr>
                <w:rFonts w:ascii="Arial" w:cs="Arial" w:eastAsia="Arial" w:hAnsi="Arial"/>
                <w:sz w:val="16"/>
                <w:szCs w:val="16"/>
                <w:color w:val="auto"/>
              </w:rPr>
              <w:t>(9,397)</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(11,135)</w:t>
            </w:r>
          </w:p>
        </w:tc>
        <w:tc>
          <w:tcPr>
            <w:tcW w:w="180" w:type="dxa"/>
            <w:vAlign w:val="bottom"/>
          </w:tcPr>
          <w:p>
            <w:pPr>
              <w:spacing w:after="0"/>
              <w:rPr>
                <w:sz w:val="17"/>
                <w:szCs w:val="17"/>
                <w:color w:val="auto"/>
              </w:rPr>
            </w:pPr>
          </w:p>
        </w:tc>
      </w:tr>
      <w:tr>
        <w:trPr>
          <w:trHeight w:val="190"/>
        </w:trPr>
        <w:tc>
          <w:tcPr>
            <w:tcW w:w="160" w:type="dxa"/>
            <w:vAlign w:val="bottom"/>
          </w:tcPr>
          <w:p>
            <w:pPr>
              <w:spacing w:after="0"/>
              <w:rPr>
                <w:sz w:val="16"/>
                <w:szCs w:val="16"/>
                <w:color w:val="auto"/>
              </w:rPr>
            </w:pPr>
          </w:p>
        </w:tc>
        <w:tc>
          <w:tcPr>
            <w:tcW w:w="39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Change in fair value of warrants</w:t>
            </w:r>
          </w:p>
        </w:tc>
        <w:tc>
          <w:tcPr>
            <w:tcW w:w="14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169,230</w:t>
            </w:r>
          </w:p>
        </w:tc>
        <w:tc>
          <w:tcPr>
            <w:tcW w:w="3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rPr>
              <w:t>63,011</w:t>
            </w:r>
          </w:p>
        </w:tc>
        <w:tc>
          <w:tcPr>
            <w:tcW w:w="3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rPr>
              <w:t>(7,407)</w:t>
            </w: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0"/>
        </w:trPr>
        <w:tc>
          <w:tcPr>
            <w:tcW w:w="160" w:type="dxa"/>
            <w:vAlign w:val="bottom"/>
          </w:tcPr>
          <w:p>
            <w:pPr>
              <w:spacing w:after="0"/>
              <w:rPr>
                <w:sz w:val="16"/>
                <w:szCs w:val="16"/>
                <w:color w:val="auto"/>
              </w:rPr>
            </w:pPr>
          </w:p>
        </w:tc>
        <w:tc>
          <w:tcPr>
            <w:tcW w:w="3920" w:type="dxa"/>
            <w:vAlign w:val="bottom"/>
          </w:tcPr>
          <w:p>
            <w:pPr>
              <w:ind w:left="420"/>
              <w:spacing w:after="0"/>
              <w:rPr>
                <w:sz w:val="20"/>
                <w:szCs w:val="20"/>
                <w:color w:val="auto"/>
              </w:rPr>
            </w:pPr>
            <w:r>
              <w:rPr>
                <w:rFonts w:ascii="Arial" w:cs="Arial" w:eastAsia="Arial" w:hAnsi="Arial"/>
                <w:sz w:val="16"/>
                <w:szCs w:val="16"/>
                <w:color w:val="auto"/>
              </w:rPr>
              <w:t>Expiration of warrant</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38"/>
              <w:spacing w:after="0"/>
              <w:rPr>
                <w:sz w:val="20"/>
                <w:szCs w:val="20"/>
                <w:color w:val="auto"/>
              </w:rPr>
            </w:pPr>
            <w:r>
              <w:rPr>
                <w:rFonts w:ascii="Arial" w:cs="Arial" w:eastAsia="Arial" w:hAnsi="Arial"/>
                <w:sz w:val="16"/>
                <w:szCs w:val="16"/>
                <w:color w:val="auto"/>
              </w:rPr>
              <w:t>803</w:t>
            </w:r>
          </w:p>
        </w:tc>
        <w:tc>
          <w:tcPr>
            <w:tcW w:w="380" w:type="dxa"/>
            <w:vAlign w:val="bottom"/>
          </w:tcPr>
          <w:p>
            <w:pPr>
              <w:spacing w:after="0"/>
              <w:rPr>
                <w:sz w:val="16"/>
                <w:szCs w:val="16"/>
                <w:color w:val="auto"/>
              </w:rPr>
            </w:pPr>
          </w:p>
        </w:tc>
        <w:tc>
          <w:tcPr>
            <w:tcW w:w="96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40" w:type="dxa"/>
            <w:vAlign w:val="bottom"/>
          </w:tcPr>
          <w:p>
            <w:pPr>
              <w:jc w:val="right"/>
              <w:ind w:right="278"/>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5,018</w:t>
            </w:r>
          </w:p>
        </w:tc>
        <w:tc>
          <w:tcPr>
            <w:tcW w:w="180" w:type="dxa"/>
            <w:vAlign w:val="bottom"/>
          </w:tcPr>
          <w:p>
            <w:pPr>
              <w:spacing w:after="0"/>
              <w:rPr>
                <w:sz w:val="16"/>
                <w:szCs w:val="16"/>
                <w:color w:val="auto"/>
              </w:rPr>
            </w:pPr>
          </w:p>
        </w:tc>
      </w:tr>
      <w:tr>
        <w:trPr>
          <w:trHeight w:val="190"/>
        </w:trPr>
        <w:tc>
          <w:tcPr>
            <w:tcW w:w="160" w:type="dxa"/>
            <w:vAlign w:val="bottom"/>
          </w:tcPr>
          <w:p>
            <w:pPr>
              <w:spacing w:after="0"/>
              <w:rPr>
                <w:sz w:val="16"/>
                <w:szCs w:val="16"/>
                <w:color w:val="auto"/>
              </w:rPr>
            </w:pPr>
          </w:p>
        </w:tc>
        <w:tc>
          <w:tcPr>
            <w:tcW w:w="39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Interest expense</w:t>
            </w: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(26)</w:t>
            </w: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(510)</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(698)</w:t>
            </w:r>
          </w:p>
        </w:tc>
        <w:tc>
          <w:tcPr>
            <w:tcW w:w="180" w:type="dxa"/>
            <w:vAlign w:val="bottom"/>
          </w:tcPr>
          <w:p>
            <w:pPr>
              <w:spacing w:after="0"/>
              <w:rPr>
                <w:sz w:val="16"/>
                <w:szCs w:val="16"/>
                <w:color w:val="auto"/>
              </w:rPr>
            </w:pPr>
          </w:p>
        </w:tc>
      </w:tr>
      <w:tr>
        <w:trPr>
          <w:trHeight w:val="196"/>
        </w:trPr>
        <w:tc>
          <w:tcPr>
            <w:tcW w:w="160" w:type="dxa"/>
            <w:vAlign w:val="bottom"/>
          </w:tcPr>
          <w:p>
            <w:pPr>
              <w:spacing w:after="0"/>
              <w:rPr>
                <w:sz w:val="17"/>
                <w:szCs w:val="17"/>
                <w:color w:val="auto"/>
              </w:rPr>
            </w:pPr>
          </w:p>
        </w:tc>
        <w:tc>
          <w:tcPr>
            <w:tcW w:w="3920" w:type="dxa"/>
            <w:vAlign w:val="bottom"/>
          </w:tcPr>
          <w:p>
            <w:pPr>
              <w:ind w:left="420"/>
              <w:spacing w:after="0"/>
              <w:rPr>
                <w:sz w:val="20"/>
                <w:szCs w:val="20"/>
                <w:color w:val="auto"/>
              </w:rPr>
            </w:pPr>
            <w:r>
              <w:rPr>
                <w:rFonts w:ascii="Arial" w:cs="Arial" w:eastAsia="Arial" w:hAnsi="Arial"/>
                <w:sz w:val="16"/>
                <w:szCs w:val="16"/>
                <w:color w:val="auto"/>
              </w:rPr>
              <w:t>Interest and other income, net</w:t>
            </w:r>
          </w:p>
        </w:tc>
        <w:tc>
          <w:tcPr>
            <w:tcW w:w="1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2,307</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543</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rPr>
              <w:t>312</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0"/>
        </w:trPr>
        <w:tc>
          <w:tcPr>
            <w:tcW w:w="160" w:type="dxa"/>
            <w:vAlign w:val="bottom"/>
          </w:tcPr>
          <w:p>
            <w:pPr>
              <w:spacing w:after="0"/>
              <w:rPr>
                <w:sz w:val="16"/>
                <w:szCs w:val="16"/>
                <w:color w:val="auto"/>
              </w:rPr>
            </w:pPr>
          </w:p>
        </w:tc>
        <w:tc>
          <w:tcPr>
            <w:tcW w:w="39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Income (loss) before income taxes</w:t>
            </w: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126,244</w:t>
            </w: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27,632</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(16,497)</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(6,798)</w:t>
            </w:r>
          </w:p>
        </w:tc>
        <w:tc>
          <w:tcPr>
            <w:tcW w:w="180" w:type="dxa"/>
            <w:vAlign w:val="bottom"/>
          </w:tcPr>
          <w:p>
            <w:pPr>
              <w:spacing w:after="0"/>
              <w:rPr>
                <w:sz w:val="16"/>
                <w:szCs w:val="16"/>
                <w:color w:val="auto"/>
              </w:rPr>
            </w:pPr>
          </w:p>
        </w:tc>
      </w:tr>
      <w:tr>
        <w:trPr>
          <w:trHeight w:val="190"/>
        </w:trPr>
        <w:tc>
          <w:tcPr>
            <w:tcW w:w="160" w:type="dxa"/>
            <w:vAlign w:val="bottom"/>
          </w:tcPr>
          <w:p>
            <w:pPr>
              <w:spacing w:after="0"/>
              <w:rPr>
                <w:sz w:val="16"/>
                <w:szCs w:val="16"/>
                <w:color w:val="auto"/>
              </w:rPr>
            </w:pPr>
          </w:p>
        </w:tc>
        <w:tc>
          <w:tcPr>
            <w:tcW w:w="3920" w:type="dxa"/>
            <w:vAlign w:val="bottom"/>
          </w:tcPr>
          <w:p>
            <w:pPr>
              <w:ind w:left="420"/>
              <w:spacing w:after="0"/>
              <w:rPr>
                <w:sz w:val="20"/>
                <w:szCs w:val="20"/>
                <w:color w:val="auto"/>
              </w:rPr>
            </w:pPr>
            <w:r>
              <w:rPr>
                <w:rFonts w:ascii="Arial" w:cs="Arial" w:eastAsia="Arial" w:hAnsi="Arial"/>
                <w:sz w:val="16"/>
                <w:szCs w:val="16"/>
                <w:color w:val="auto"/>
              </w:rPr>
              <w:t>Income tax expense</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38"/>
              <w:spacing w:after="0"/>
              <w:rPr>
                <w:sz w:val="20"/>
                <w:szCs w:val="20"/>
                <w:color w:val="auto"/>
              </w:rPr>
            </w:pPr>
            <w:r>
              <w:rPr>
                <w:rFonts w:ascii="Arial" w:cs="Arial" w:eastAsia="Arial" w:hAnsi="Arial"/>
                <w:sz w:val="16"/>
                <w:szCs w:val="16"/>
                <w:color w:val="auto"/>
              </w:rPr>
              <w:t>24</w:t>
            </w:r>
          </w:p>
        </w:tc>
        <w:tc>
          <w:tcPr>
            <w:tcW w:w="380" w:type="dxa"/>
            <w:vAlign w:val="bottom"/>
          </w:tcPr>
          <w:p>
            <w:pPr>
              <w:spacing w:after="0"/>
              <w:rPr>
                <w:sz w:val="16"/>
                <w:szCs w:val="16"/>
                <w:color w:val="auto"/>
              </w:rPr>
            </w:pPr>
          </w:p>
        </w:tc>
        <w:tc>
          <w:tcPr>
            <w:tcW w:w="960" w:type="dxa"/>
            <w:vAlign w:val="bottom"/>
          </w:tcPr>
          <w:p>
            <w:pPr>
              <w:jc w:val="right"/>
              <w:ind w:right="198"/>
              <w:spacing w:after="0"/>
              <w:rPr>
                <w:sz w:val="20"/>
                <w:szCs w:val="20"/>
                <w:color w:val="auto"/>
              </w:rPr>
            </w:pPr>
            <w:r>
              <w:rPr>
                <w:rFonts w:ascii="Arial" w:cs="Arial" w:eastAsia="Arial" w:hAnsi="Arial"/>
                <w:sz w:val="16"/>
                <w:szCs w:val="16"/>
                <w:color w:val="auto"/>
              </w:rPr>
              <w:t>57</w:t>
            </w:r>
          </w:p>
        </w:tc>
        <w:tc>
          <w:tcPr>
            <w:tcW w:w="380" w:type="dxa"/>
            <w:vAlign w:val="bottom"/>
          </w:tcPr>
          <w:p>
            <w:pPr>
              <w:spacing w:after="0"/>
              <w:rPr>
                <w:sz w:val="16"/>
                <w:szCs w:val="16"/>
                <w:color w:val="auto"/>
              </w:rPr>
            </w:pPr>
          </w:p>
        </w:tc>
        <w:tc>
          <w:tcPr>
            <w:tcW w:w="940" w:type="dxa"/>
            <w:vAlign w:val="bottom"/>
          </w:tcPr>
          <w:p>
            <w:pPr>
              <w:jc w:val="right"/>
              <w:ind w:right="278"/>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6"/>
                <w:szCs w:val="16"/>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336"/>
        </w:trPr>
        <w:tc>
          <w:tcPr>
            <w:tcW w:w="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20" w:type="dxa"/>
            <w:vAlign w:val="bottom"/>
          </w:tcPr>
          <w:p>
            <w:pPr>
              <w:jc w:val="right"/>
              <w:ind w:right="158"/>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800"/>
          </w:cols>
          <w:pgMar w:left="320" w:top="441" w:right="77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73520" cy="4721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73520" cy="472186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62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8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Three months ended</w:t>
            </w:r>
          </w:p>
        </w:tc>
      </w:tr>
      <w:tr>
        <w:trPr>
          <w:trHeight w:val="207"/>
        </w:trPr>
        <w:tc>
          <w:tcPr>
            <w:tcW w:w="1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3"/>
          </w:tcPr>
          <w:p>
            <w:pPr>
              <w:jc w:val="right"/>
              <w:ind w:right="358"/>
              <w:spacing w:after="0"/>
              <w:rPr>
                <w:sz w:val="20"/>
                <w:szCs w:val="20"/>
                <w:color w:val="auto"/>
              </w:rPr>
            </w:pPr>
            <w:r>
              <w:rPr>
                <w:rFonts w:ascii="Arial" w:cs="Arial" w:eastAsia="Arial" w:hAnsi="Arial"/>
                <w:sz w:val="16"/>
                <w:szCs w:val="16"/>
                <w:b w:val="1"/>
                <w:bCs w:val="1"/>
                <w:color w:val="auto"/>
              </w:rPr>
              <w:t>Years ended December 31,</w:t>
            </w: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March 31</w:t>
            </w:r>
          </w:p>
        </w:tc>
      </w:tr>
      <w:tr>
        <w:trPr>
          <w:trHeight w:val="204"/>
        </w:trPr>
        <w:tc>
          <w:tcPr>
            <w:tcW w:w="1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40" w:type="dxa"/>
            <w:vAlign w:val="bottom"/>
            <w:tcBorders>
              <w:top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(in thousands, except share and per-share data)</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11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2021</w:t>
            </w:r>
          </w:p>
        </w:tc>
      </w:tr>
      <w:tr>
        <w:trPr>
          <w:trHeight w:val="221"/>
        </w:trPr>
        <w:tc>
          <w:tcPr>
            <w:tcW w:w="110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6"/>
                <w:szCs w:val="16"/>
                <w:b w:val="1"/>
                <w:bCs w:val="1"/>
                <w:color w:val="auto"/>
              </w:rPr>
              <w:t>(unaudited)</w:t>
            </w:r>
          </w:p>
        </w:tc>
      </w:tr>
      <w:tr>
        <w:trPr>
          <w:trHeight w:val="183"/>
        </w:trPr>
        <w:tc>
          <w:tcPr>
            <w:tcW w:w="418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Net income (loss)</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38"/>
              <w:spacing w:after="0" w:line="183" w:lineRule="exact"/>
              <w:rPr>
                <w:sz w:val="20"/>
                <w:szCs w:val="20"/>
                <w:color w:val="auto"/>
              </w:rPr>
            </w:pPr>
            <w:r>
              <w:rPr>
                <w:rFonts w:ascii="Arial" w:cs="Arial" w:eastAsia="Arial" w:hAnsi="Arial"/>
                <w:sz w:val="16"/>
                <w:szCs w:val="16"/>
                <w:color w:val="auto"/>
              </w:rPr>
              <w:t>126,220</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58"/>
              <w:spacing w:after="0" w:line="183" w:lineRule="exact"/>
              <w:rPr>
                <w:sz w:val="20"/>
                <w:szCs w:val="20"/>
                <w:color w:val="auto"/>
              </w:rPr>
            </w:pPr>
            <w:r>
              <w:rPr>
                <w:rFonts w:ascii="Arial" w:cs="Arial" w:eastAsia="Arial" w:hAnsi="Arial"/>
                <w:sz w:val="16"/>
                <w:szCs w:val="16"/>
                <w:color w:val="auto"/>
              </w:rPr>
              <w:t>27,575</w:t>
            </w:r>
          </w:p>
        </w:tc>
        <w:tc>
          <w:tcPr>
            <w:tcW w:w="4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38"/>
              <w:spacing w:after="0" w:line="183" w:lineRule="exact"/>
              <w:rPr>
                <w:sz w:val="20"/>
                <w:szCs w:val="20"/>
                <w:color w:val="auto"/>
              </w:rPr>
            </w:pPr>
            <w:r>
              <w:rPr>
                <w:rFonts w:ascii="Arial" w:cs="Arial" w:eastAsia="Arial" w:hAnsi="Arial"/>
                <w:sz w:val="16"/>
                <w:szCs w:val="16"/>
                <w:color w:val="auto"/>
              </w:rPr>
              <w:t>(16,502)</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(6,805)</w:t>
            </w:r>
          </w:p>
        </w:tc>
      </w:tr>
      <w:tr>
        <w:trPr>
          <w:trHeight w:val="193"/>
        </w:trPr>
        <w:tc>
          <w:tcPr>
            <w:tcW w:w="4180" w:type="dxa"/>
            <w:vAlign w:val="bottom"/>
            <w:gridSpan w:val="2"/>
          </w:tcPr>
          <w:p>
            <w:pPr>
              <w:spacing w:after="0"/>
              <w:rPr>
                <w:sz w:val="20"/>
                <w:szCs w:val="20"/>
                <w:color w:val="auto"/>
              </w:rPr>
            </w:pPr>
            <w:r>
              <w:rPr>
                <w:rFonts w:ascii="Arial" w:cs="Arial" w:eastAsia="Arial" w:hAnsi="Arial"/>
                <w:sz w:val="16"/>
                <w:szCs w:val="16"/>
                <w:color w:val="auto"/>
              </w:rPr>
              <w:t>Accretion to redemption value of redeemable</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4180" w:type="dxa"/>
            <w:vAlign w:val="bottom"/>
            <w:gridSpan w:val="2"/>
          </w:tcPr>
          <w:p>
            <w:pPr>
              <w:ind w:left="220"/>
              <w:spacing w:after="0"/>
              <w:rPr>
                <w:sz w:val="20"/>
                <w:szCs w:val="20"/>
                <w:color w:val="auto"/>
              </w:rPr>
            </w:pPr>
            <w:r>
              <w:rPr>
                <w:rFonts w:ascii="Arial" w:cs="Arial" w:eastAsia="Arial" w:hAnsi="Arial"/>
                <w:sz w:val="16"/>
                <w:szCs w:val="16"/>
                <w:color w:val="auto"/>
              </w:rPr>
              <w:t>preferred stock and redeemable stock options</w:t>
            </w:r>
          </w:p>
        </w:tc>
        <w:tc>
          <w:tcPr>
            <w:tcW w:w="120" w:type="dxa"/>
            <w:vAlign w:val="bottom"/>
          </w:tcPr>
          <w:p>
            <w:pPr>
              <w:spacing w:after="0"/>
              <w:rPr>
                <w:sz w:val="16"/>
                <w:szCs w:val="16"/>
                <w:color w:val="auto"/>
              </w:rPr>
            </w:pPr>
          </w:p>
        </w:tc>
        <w:tc>
          <w:tcPr>
            <w:tcW w:w="1160" w:type="dxa"/>
            <w:vAlign w:val="bottom"/>
          </w:tcPr>
          <w:p>
            <w:pPr>
              <w:jc w:val="right"/>
              <w:ind w:right="178"/>
              <w:spacing w:after="0"/>
              <w:rPr>
                <w:sz w:val="20"/>
                <w:szCs w:val="20"/>
                <w:color w:val="auto"/>
              </w:rPr>
            </w:pPr>
            <w:r>
              <w:rPr>
                <w:rFonts w:ascii="Arial" w:cs="Arial" w:eastAsia="Arial" w:hAnsi="Arial"/>
                <w:sz w:val="16"/>
                <w:szCs w:val="16"/>
                <w:color w:val="auto"/>
              </w:rPr>
              <w:t>(82,121)</w:t>
            </w:r>
          </w:p>
        </w:tc>
        <w:tc>
          <w:tcPr>
            <w:tcW w:w="380" w:type="dxa"/>
            <w:vAlign w:val="bottom"/>
          </w:tcPr>
          <w:p>
            <w:pPr>
              <w:spacing w:after="0"/>
              <w:rPr>
                <w:sz w:val="16"/>
                <w:szCs w:val="16"/>
                <w:color w:val="auto"/>
              </w:rPr>
            </w:pPr>
          </w:p>
        </w:tc>
        <w:tc>
          <w:tcPr>
            <w:tcW w:w="1300" w:type="dxa"/>
            <w:vAlign w:val="bottom"/>
          </w:tcPr>
          <w:p>
            <w:pPr>
              <w:jc w:val="right"/>
              <w:ind w:right="298"/>
              <w:spacing w:after="0"/>
              <w:rPr>
                <w:sz w:val="20"/>
                <w:szCs w:val="20"/>
                <w:color w:val="auto"/>
              </w:rPr>
            </w:pPr>
            <w:r>
              <w:rPr>
                <w:rFonts w:ascii="Arial" w:cs="Arial" w:eastAsia="Arial" w:hAnsi="Arial"/>
                <w:sz w:val="16"/>
                <w:szCs w:val="16"/>
                <w:color w:val="auto"/>
              </w:rPr>
              <w:t>(24,209)</w:t>
            </w:r>
          </w:p>
        </w:tc>
        <w:tc>
          <w:tcPr>
            <w:tcW w:w="480" w:type="dxa"/>
            <w:vAlign w:val="bottom"/>
          </w:tcPr>
          <w:p>
            <w:pPr>
              <w:spacing w:after="0"/>
              <w:rPr>
                <w:sz w:val="16"/>
                <w:szCs w:val="16"/>
                <w:color w:val="auto"/>
              </w:rPr>
            </w:pPr>
          </w:p>
        </w:tc>
        <w:tc>
          <w:tcPr>
            <w:tcW w:w="1320" w:type="dxa"/>
            <w:vAlign w:val="bottom"/>
          </w:tcPr>
          <w:p>
            <w:pPr>
              <w:jc w:val="right"/>
              <w:ind w:right="438"/>
              <w:spacing w:after="0"/>
              <w:rPr>
                <w:sz w:val="20"/>
                <w:szCs w:val="20"/>
                <w:color w:val="auto"/>
              </w:rPr>
            </w:pPr>
            <w:r>
              <w:rPr>
                <w:rFonts w:ascii="Arial" w:cs="Arial" w:eastAsia="Arial" w:hAnsi="Arial"/>
                <w:sz w:val="16"/>
                <w:szCs w:val="16"/>
                <w:color w:val="auto"/>
              </w:rPr>
              <w:t>(4,246)</w:t>
            </w:r>
          </w:p>
        </w:tc>
        <w:tc>
          <w:tcPr>
            <w:tcW w:w="12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0"/>
        </w:trPr>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Earnings allocated to redeemable preferred stock</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(17,972)</w:t>
            </w: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9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3"/>
        </w:trPr>
        <w:tc>
          <w:tcPr>
            <w:tcW w:w="4180" w:type="dxa"/>
            <w:vAlign w:val="bottom"/>
            <w:gridSpan w:val="2"/>
          </w:tcPr>
          <w:p>
            <w:pPr>
              <w:spacing w:after="0"/>
              <w:rPr>
                <w:sz w:val="20"/>
                <w:szCs w:val="20"/>
                <w:color w:val="auto"/>
              </w:rPr>
            </w:pPr>
            <w:r>
              <w:rPr>
                <w:rFonts w:ascii="Arial" w:cs="Arial" w:eastAsia="Arial" w:hAnsi="Arial"/>
                <w:sz w:val="16"/>
                <w:szCs w:val="16"/>
                <w:color w:val="auto"/>
              </w:rPr>
              <w:t>Net income (loss) attributable to common</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4180" w:type="dxa"/>
            <w:vAlign w:val="bottom"/>
            <w:gridSpan w:val="2"/>
          </w:tcPr>
          <w:p>
            <w:pPr>
              <w:ind w:left="220"/>
              <w:spacing w:after="0"/>
              <w:rPr>
                <w:sz w:val="20"/>
                <w:szCs w:val="20"/>
                <w:color w:val="auto"/>
              </w:rPr>
            </w:pPr>
            <w:r>
              <w:rPr>
                <w:rFonts w:ascii="Arial" w:cs="Arial" w:eastAsia="Arial" w:hAnsi="Arial"/>
                <w:sz w:val="16"/>
                <w:szCs w:val="16"/>
                <w:color w:val="auto"/>
              </w:rPr>
              <w:t>stockholders</w:t>
            </w:r>
          </w:p>
        </w:tc>
        <w:tc>
          <w:tcPr>
            <w:tcW w:w="120" w:type="dxa"/>
            <w:vAlign w:val="bottom"/>
          </w:tcPr>
          <w:p>
            <w:pPr>
              <w:spacing w:after="0"/>
              <w:rPr>
                <w:sz w:val="16"/>
                <w:szCs w:val="16"/>
                <w:color w:val="auto"/>
              </w:rPr>
            </w:pPr>
          </w:p>
        </w:tc>
        <w:tc>
          <w:tcPr>
            <w:tcW w:w="1160" w:type="dxa"/>
            <w:vAlign w:val="bottom"/>
          </w:tcPr>
          <w:p>
            <w:pPr>
              <w:jc w:val="right"/>
              <w:ind w:right="238"/>
              <w:spacing w:after="0"/>
              <w:rPr>
                <w:sz w:val="20"/>
                <w:szCs w:val="20"/>
                <w:color w:val="auto"/>
              </w:rPr>
            </w:pPr>
            <w:r>
              <w:rPr>
                <w:rFonts w:ascii="Arial" w:cs="Arial" w:eastAsia="Arial" w:hAnsi="Arial"/>
                <w:sz w:val="16"/>
                <w:szCs w:val="16"/>
                <w:color w:val="auto"/>
              </w:rPr>
              <w:t>26,127</w:t>
            </w:r>
          </w:p>
        </w:tc>
        <w:tc>
          <w:tcPr>
            <w:tcW w:w="380" w:type="dxa"/>
            <w:vAlign w:val="bottom"/>
          </w:tcPr>
          <w:p>
            <w:pPr>
              <w:spacing w:after="0"/>
              <w:rPr>
                <w:sz w:val="16"/>
                <w:szCs w:val="16"/>
                <w:color w:val="auto"/>
              </w:rPr>
            </w:pPr>
          </w:p>
        </w:tc>
        <w:tc>
          <w:tcPr>
            <w:tcW w:w="1300" w:type="dxa"/>
            <w:vAlign w:val="bottom"/>
          </w:tcPr>
          <w:p>
            <w:pPr>
              <w:jc w:val="right"/>
              <w:ind w:right="358"/>
              <w:spacing w:after="0"/>
              <w:rPr>
                <w:sz w:val="20"/>
                <w:szCs w:val="20"/>
                <w:color w:val="auto"/>
              </w:rPr>
            </w:pPr>
            <w:r>
              <w:rPr>
                <w:rFonts w:ascii="Arial" w:cs="Arial" w:eastAsia="Arial" w:hAnsi="Arial"/>
                <w:sz w:val="16"/>
                <w:szCs w:val="16"/>
                <w:color w:val="auto"/>
              </w:rPr>
              <w:t>3,366</w:t>
            </w:r>
          </w:p>
        </w:tc>
        <w:tc>
          <w:tcPr>
            <w:tcW w:w="480" w:type="dxa"/>
            <w:vAlign w:val="bottom"/>
          </w:tcPr>
          <w:p>
            <w:pPr>
              <w:spacing w:after="0"/>
              <w:rPr>
                <w:sz w:val="16"/>
                <w:szCs w:val="16"/>
                <w:color w:val="auto"/>
              </w:rPr>
            </w:pPr>
          </w:p>
        </w:tc>
        <w:tc>
          <w:tcPr>
            <w:tcW w:w="1320" w:type="dxa"/>
            <w:vAlign w:val="bottom"/>
          </w:tcPr>
          <w:p>
            <w:pPr>
              <w:jc w:val="right"/>
              <w:ind w:right="438"/>
              <w:spacing w:after="0"/>
              <w:rPr>
                <w:sz w:val="20"/>
                <w:szCs w:val="20"/>
                <w:color w:val="auto"/>
              </w:rPr>
            </w:pPr>
            <w:r>
              <w:rPr>
                <w:rFonts w:ascii="Arial" w:cs="Arial" w:eastAsia="Arial" w:hAnsi="Arial"/>
                <w:sz w:val="16"/>
                <w:szCs w:val="16"/>
                <w:color w:val="auto"/>
              </w:rPr>
              <w:t>(20,748)</w:t>
            </w:r>
          </w:p>
        </w:tc>
        <w:tc>
          <w:tcPr>
            <w:tcW w:w="12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(6,805)</w:t>
            </w:r>
          </w:p>
        </w:tc>
      </w:tr>
      <w:tr>
        <w:trPr>
          <w:trHeight w:val="190"/>
        </w:trPr>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Unrealized gain (loss) on short-term investments</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68</w:t>
            </w: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rPr>
              <w:t>(49)</w:t>
            </w:r>
          </w:p>
        </w:tc>
        <w:tc>
          <w:tcPr>
            <w:tcW w:w="4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98"/>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w:t>
            </w:r>
          </w:p>
        </w:tc>
      </w:tr>
      <w:tr>
        <w:trPr>
          <w:trHeight w:val="190"/>
        </w:trPr>
        <w:tc>
          <w:tcPr>
            <w:tcW w:w="4180" w:type="dxa"/>
            <w:vAlign w:val="bottom"/>
            <w:gridSpan w:val="2"/>
          </w:tcPr>
          <w:p>
            <w:pPr>
              <w:spacing w:after="0"/>
              <w:rPr>
                <w:sz w:val="20"/>
                <w:szCs w:val="20"/>
                <w:color w:val="auto"/>
              </w:rPr>
            </w:pPr>
            <w:r>
              <w:rPr>
                <w:rFonts w:ascii="Arial" w:cs="Arial" w:eastAsia="Arial" w:hAnsi="Arial"/>
                <w:sz w:val="16"/>
                <w:szCs w:val="16"/>
                <w:color w:val="auto"/>
              </w:rPr>
              <w:t>Foreign currency translation gain</w:t>
            </w:r>
          </w:p>
        </w:tc>
        <w:tc>
          <w:tcPr>
            <w:tcW w:w="120" w:type="dxa"/>
            <w:vAlign w:val="bottom"/>
          </w:tcPr>
          <w:p>
            <w:pPr>
              <w:spacing w:after="0"/>
              <w:rPr>
                <w:sz w:val="16"/>
                <w:szCs w:val="16"/>
                <w:color w:val="auto"/>
              </w:rPr>
            </w:pPr>
          </w:p>
        </w:tc>
        <w:tc>
          <w:tcPr>
            <w:tcW w:w="1160" w:type="dxa"/>
            <w:vAlign w:val="bottom"/>
          </w:tcPr>
          <w:p>
            <w:pPr>
              <w:jc w:val="right"/>
              <w:ind w:right="238"/>
              <w:spacing w:after="0"/>
              <w:rPr>
                <w:sz w:val="20"/>
                <w:szCs w:val="20"/>
                <w:color w:val="auto"/>
              </w:rPr>
            </w:pPr>
            <w:r>
              <w:rPr>
                <w:rFonts w:ascii="Arial" w:cs="Arial" w:eastAsia="Arial" w:hAnsi="Arial"/>
                <w:sz w:val="16"/>
                <w:szCs w:val="16"/>
                <w:color w:val="auto"/>
              </w:rPr>
              <w:t>5</w:t>
            </w:r>
          </w:p>
        </w:tc>
        <w:tc>
          <w:tcPr>
            <w:tcW w:w="380" w:type="dxa"/>
            <w:vAlign w:val="bottom"/>
          </w:tcPr>
          <w:p>
            <w:pPr>
              <w:spacing w:after="0"/>
              <w:rPr>
                <w:sz w:val="16"/>
                <w:szCs w:val="16"/>
                <w:color w:val="auto"/>
              </w:rPr>
            </w:pPr>
          </w:p>
        </w:tc>
        <w:tc>
          <w:tcPr>
            <w:tcW w:w="1300" w:type="dxa"/>
            <w:vAlign w:val="bottom"/>
          </w:tcPr>
          <w:p>
            <w:pPr>
              <w:jc w:val="right"/>
              <w:ind w:right="358"/>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320" w:type="dxa"/>
            <w:vAlign w:val="bottom"/>
          </w:tcPr>
          <w:p>
            <w:pPr>
              <w:jc w:val="right"/>
              <w:ind w:right="438"/>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(4)</w:t>
            </w:r>
          </w:p>
        </w:tc>
      </w:tr>
      <w:tr>
        <w:trPr>
          <w:trHeight w:val="25"/>
        </w:trPr>
        <w:tc>
          <w:tcPr>
            <w:tcW w:w="1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Comprehensive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126,293</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27,526</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38"/>
              <w:spacing w:after="0"/>
              <w:rPr>
                <w:sz w:val="20"/>
                <w:szCs w:val="20"/>
                <w:color w:val="auto"/>
              </w:rPr>
            </w:pPr>
            <w:r>
              <w:rPr>
                <w:rFonts w:ascii="Arial" w:cs="Arial" w:eastAsia="Arial" w:hAnsi="Arial"/>
                <w:sz w:val="16"/>
                <w:szCs w:val="16"/>
                <w:color w:val="auto"/>
              </w:rPr>
              <w:t>(16,426)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(6,802)</w:t>
            </w:r>
          </w:p>
        </w:tc>
      </w:tr>
      <w:tr>
        <w:trPr>
          <w:trHeight w:val="259"/>
        </w:trPr>
        <w:tc>
          <w:tcPr>
            <w:tcW w:w="4180" w:type="dxa"/>
            <w:vAlign w:val="bottom"/>
            <w:gridSpan w:val="2"/>
          </w:tcPr>
          <w:p>
            <w:pPr>
              <w:spacing w:after="0"/>
              <w:rPr>
                <w:sz w:val="20"/>
                <w:szCs w:val="20"/>
                <w:color w:val="auto"/>
              </w:rPr>
            </w:pPr>
            <w:r>
              <w:rPr>
                <w:rFonts w:ascii="Arial" w:cs="Arial" w:eastAsia="Arial" w:hAnsi="Arial"/>
                <w:sz w:val="16"/>
                <w:szCs w:val="16"/>
                <w:color w:val="auto"/>
              </w:rPr>
              <w:t>Net income (loss) per share:</w:t>
            </w: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90"/>
        </w:trPr>
        <w:tc>
          <w:tcPr>
            <w:tcW w:w="41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Attributable to redeemable common stock, basic</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7.62</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0.91</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38"/>
              <w:spacing w:after="0"/>
              <w:rPr>
                <w:sz w:val="20"/>
                <w:szCs w:val="20"/>
                <w:color w:val="auto"/>
              </w:rPr>
            </w:pPr>
            <w:r>
              <w:rPr>
                <w:rFonts w:ascii="Arial" w:cs="Arial" w:eastAsia="Arial" w:hAnsi="Arial"/>
                <w:sz w:val="16"/>
                <w:szCs w:val="16"/>
                <w:color w:val="auto"/>
              </w:rPr>
              <w:t>(5.81)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3"/>
        </w:trPr>
        <w:tc>
          <w:tcPr>
            <w:tcW w:w="4180" w:type="dxa"/>
            <w:vAlign w:val="bottom"/>
            <w:gridSpan w:val="2"/>
          </w:tcPr>
          <w:p>
            <w:pPr>
              <w:ind w:left="420"/>
              <w:spacing w:after="0"/>
              <w:rPr>
                <w:sz w:val="20"/>
                <w:szCs w:val="20"/>
                <w:color w:val="auto"/>
              </w:rPr>
            </w:pPr>
            <w:r>
              <w:rPr>
                <w:rFonts w:ascii="Arial" w:cs="Arial" w:eastAsia="Arial" w:hAnsi="Arial"/>
                <w:sz w:val="16"/>
                <w:szCs w:val="16"/>
                <w:color w:val="auto"/>
              </w:rPr>
              <w:t>Attributable to redeemable common stock,</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4180" w:type="dxa"/>
            <w:vAlign w:val="bottom"/>
            <w:gridSpan w:val="2"/>
          </w:tcPr>
          <w:p>
            <w:pPr>
              <w:ind w:left="620"/>
              <w:spacing w:after="0"/>
              <w:rPr>
                <w:sz w:val="20"/>
                <w:szCs w:val="20"/>
                <w:color w:val="auto"/>
              </w:rPr>
            </w:pPr>
            <w:r>
              <w:rPr>
                <w:rFonts w:ascii="Arial" w:cs="Arial" w:eastAsia="Arial" w:hAnsi="Arial"/>
                <w:sz w:val="16"/>
                <w:szCs w:val="16"/>
                <w:color w:val="auto"/>
              </w:rPr>
              <w:t>diluted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38"/>
              <w:spacing w:after="0"/>
              <w:rPr>
                <w:sz w:val="20"/>
                <w:szCs w:val="20"/>
                <w:color w:val="auto"/>
              </w:rPr>
            </w:pPr>
            <w:r>
              <w:rPr>
                <w:rFonts w:ascii="Arial" w:cs="Arial" w:eastAsia="Arial" w:hAnsi="Arial"/>
                <w:sz w:val="16"/>
                <w:szCs w:val="16"/>
                <w:color w:val="auto"/>
              </w:rPr>
              <w:t>6.00</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58"/>
              <w:spacing w:after="0"/>
              <w:rPr>
                <w:sz w:val="20"/>
                <w:szCs w:val="20"/>
                <w:color w:val="auto"/>
              </w:rPr>
            </w:pPr>
            <w:r>
              <w:rPr>
                <w:rFonts w:ascii="Arial" w:cs="Arial" w:eastAsia="Arial" w:hAnsi="Arial"/>
                <w:sz w:val="16"/>
                <w:szCs w:val="16"/>
                <w:color w:val="auto"/>
              </w:rPr>
              <w:t>0.15</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38"/>
              <w:spacing w:after="0"/>
              <w:rPr>
                <w:sz w:val="20"/>
                <w:szCs w:val="20"/>
                <w:color w:val="auto"/>
              </w:rPr>
            </w:pPr>
            <w:r>
              <w:rPr>
                <w:rFonts w:ascii="Arial" w:cs="Arial" w:eastAsia="Arial" w:hAnsi="Arial"/>
                <w:sz w:val="16"/>
                <w:szCs w:val="16"/>
                <w:color w:val="auto"/>
              </w:rPr>
              <w:t>(5.81)</w:t>
            </w:r>
          </w:p>
        </w:tc>
        <w:tc>
          <w:tcPr>
            <w:tcW w:w="12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0"/>
        </w:trPr>
        <w:tc>
          <w:tcPr>
            <w:tcW w:w="41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Attributable to Series G common stock, basic</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0.01</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rPr>
              <w:t>(0.39)</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38"/>
              <w:spacing w:after="0"/>
              <w:rPr>
                <w:sz w:val="20"/>
                <w:szCs w:val="20"/>
                <w:color w:val="auto"/>
              </w:rPr>
            </w:pPr>
            <w:r>
              <w:rPr>
                <w:rFonts w:ascii="Arial" w:cs="Arial" w:eastAsia="Arial" w:hAnsi="Arial"/>
                <w:sz w:val="16"/>
                <w:szCs w:val="16"/>
                <w:color w:val="auto"/>
              </w:rPr>
              <w:t>(0.66)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(0.16)</w:t>
            </w:r>
          </w:p>
        </w:tc>
      </w:tr>
      <w:tr>
        <w:trPr>
          <w:trHeight w:val="190"/>
        </w:trPr>
        <w:tc>
          <w:tcPr>
            <w:tcW w:w="4180" w:type="dxa"/>
            <w:vAlign w:val="bottom"/>
            <w:gridSpan w:val="2"/>
          </w:tcPr>
          <w:p>
            <w:pPr>
              <w:ind w:left="420"/>
              <w:spacing w:after="0"/>
              <w:rPr>
                <w:sz w:val="20"/>
                <w:szCs w:val="20"/>
                <w:color w:val="auto"/>
              </w:rPr>
            </w:pPr>
            <w:r>
              <w:rPr>
                <w:rFonts w:ascii="Arial" w:cs="Arial" w:eastAsia="Arial" w:hAnsi="Arial"/>
                <w:sz w:val="16"/>
                <w:szCs w:val="16"/>
                <w:color w:val="auto"/>
              </w:rPr>
              <w:t>Attributable to Series G common stock, diluted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38"/>
              <w:spacing w:after="0"/>
              <w:rPr>
                <w:sz w:val="20"/>
                <w:szCs w:val="20"/>
                <w:color w:val="auto"/>
              </w:rPr>
            </w:pPr>
            <w:r>
              <w:rPr>
                <w:rFonts w:ascii="Arial" w:cs="Arial" w:eastAsia="Arial" w:hAnsi="Arial"/>
                <w:sz w:val="16"/>
                <w:szCs w:val="16"/>
                <w:color w:val="auto"/>
              </w:rPr>
              <w:t>0.01</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98"/>
              <w:spacing w:after="0"/>
              <w:rPr>
                <w:sz w:val="20"/>
                <w:szCs w:val="20"/>
                <w:color w:val="auto"/>
              </w:rPr>
            </w:pPr>
            <w:r>
              <w:rPr>
                <w:rFonts w:ascii="Arial" w:cs="Arial" w:eastAsia="Arial" w:hAnsi="Arial"/>
                <w:sz w:val="16"/>
                <w:szCs w:val="16"/>
                <w:color w:val="auto"/>
              </w:rPr>
              <w:t>(0.62)</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38"/>
              <w:spacing w:after="0"/>
              <w:rPr>
                <w:sz w:val="20"/>
                <w:szCs w:val="20"/>
                <w:color w:val="auto"/>
              </w:rPr>
            </w:pPr>
            <w:r>
              <w:rPr>
                <w:rFonts w:ascii="Arial" w:cs="Arial" w:eastAsia="Arial" w:hAnsi="Arial"/>
                <w:sz w:val="16"/>
                <w:szCs w:val="16"/>
                <w:color w:val="auto"/>
              </w:rPr>
              <w:t>(0.66)</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(0.16)</w:t>
            </w:r>
          </w:p>
        </w:tc>
      </w:tr>
      <w:tr>
        <w:trPr>
          <w:trHeight w:val="190"/>
        </w:trPr>
        <w:tc>
          <w:tcPr>
            <w:tcW w:w="41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Attributable to common stock, basic and diluted</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9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(1.70)</w:t>
            </w:r>
          </w:p>
        </w:tc>
      </w:tr>
      <w:tr>
        <w:trPr>
          <w:trHeight w:val="257"/>
        </w:trPr>
        <w:tc>
          <w:tcPr>
            <w:tcW w:w="4180" w:type="dxa"/>
            <w:vAlign w:val="bottom"/>
            <w:gridSpan w:val="2"/>
          </w:tcPr>
          <w:p>
            <w:pPr>
              <w:spacing w:after="0"/>
              <w:rPr>
                <w:sz w:val="20"/>
                <w:szCs w:val="20"/>
                <w:color w:val="auto"/>
              </w:rPr>
            </w:pPr>
            <w:r>
              <w:rPr>
                <w:rFonts w:ascii="Arial" w:cs="Arial" w:eastAsia="Arial" w:hAnsi="Arial"/>
                <w:sz w:val="16"/>
                <w:szCs w:val="16"/>
                <w:color w:val="auto"/>
              </w:rPr>
              <w:t>Weighted-average shares used in computing net</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87"/>
        </w:trPr>
        <w:tc>
          <w:tcPr>
            <w:tcW w:w="4180" w:type="dxa"/>
            <w:vAlign w:val="bottom"/>
            <w:gridSpan w:val="2"/>
          </w:tcPr>
          <w:p>
            <w:pPr>
              <w:ind w:left="220"/>
              <w:spacing w:after="0"/>
              <w:rPr>
                <w:sz w:val="20"/>
                <w:szCs w:val="20"/>
                <w:color w:val="auto"/>
              </w:rPr>
            </w:pPr>
            <w:r>
              <w:rPr>
                <w:rFonts w:ascii="Arial" w:cs="Arial" w:eastAsia="Arial" w:hAnsi="Arial"/>
                <w:sz w:val="16"/>
                <w:szCs w:val="16"/>
                <w:color w:val="auto"/>
              </w:rPr>
              <w:t>income (loss) per share:</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41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Attributable to redeemable common stock, basic</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3,429,975</w:t>
            </w: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3,707,207</w:t>
            </w:r>
          </w:p>
        </w:tc>
        <w:tc>
          <w:tcPr>
            <w:tcW w:w="4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98"/>
              <w:spacing w:after="0"/>
              <w:rPr>
                <w:sz w:val="20"/>
                <w:szCs w:val="20"/>
                <w:color w:val="auto"/>
              </w:rPr>
            </w:pPr>
            <w:r>
              <w:rPr>
                <w:rFonts w:ascii="Arial" w:cs="Arial" w:eastAsia="Arial" w:hAnsi="Arial"/>
                <w:sz w:val="16"/>
                <w:szCs w:val="16"/>
                <w:color w:val="auto"/>
              </w:rPr>
              <w:t>3,570,417</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3"/>
        </w:trPr>
        <w:tc>
          <w:tcPr>
            <w:tcW w:w="4180" w:type="dxa"/>
            <w:vAlign w:val="bottom"/>
            <w:gridSpan w:val="2"/>
          </w:tcPr>
          <w:p>
            <w:pPr>
              <w:ind w:left="420"/>
              <w:spacing w:after="0"/>
              <w:rPr>
                <w:sz w:val="20"/>
                <w:szCs w:val="20"/>
                <w:color w:val="auto"/>
              </w:rPr>
            </w:pPr>
            <w:r>
              <w:rPr>
                <w:rFonts w:ascii="Arial" w:cs="Arial" w:eastAsia="Arial" w:hAnsi="Arial"/>
                <w:sz w:val="16"/>
                <w:szCs w:val="16"/>
                <w:color w:val="auto"/>
              </w:rPr>
              <w:t>Attributable to redeemable common stock,</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4180" w:type="dxa"/>
            <w:vAlign w:val="bottom"/>
            <w:gridSpan w:val="2"/>
          </w:tcPr>
          <w:p>
            <w:pPr>
              <w:ind w:left="620"/>
              <w:spacing w:after="0"/>
              <w:rPr>
                <w:sz w:val="20"/>
                <w:szCs w:val="20"/>
                <w:color w:val="auto"/>
              </w:rPr>
            </w:pPr>
            <w:r>
              <w:rPr>
                <w:rFonts w:ascii="Arial" w:cs="Arial" w:eastAsia="Arial" w:hAnsi="Arial"/>
                <w:sz w:val="16"/>
                <w:szCs w:val="16"/>
                <w:color w:val="auto"/>
              </w:rPr>
              <w:t>diluted</w:t>
            </w:r>
          </w:p>
        </w:tc>
        <w:tc>
          <w:tcPr>
            <w:tcW w:w="120" w:type="dxa"/>
            <w:vAlign w:val="bottom"/>
          </w:tcPr>
          <w:p>
            <w:pPr>
              <w:spacing w:after="0"/>
              <w:rPr>
                <w:sz w:val="16"/>
                <w:szCs w:val="16"/>
                <w:color w:val="auto"/>
              </w:rPr>
            </w:pPr>
          </w:p>
        </w:tc>
        <w:tc>
          <w:tcPr>
            <w:tcW w:w="1160" w:type="dxa"/>
            <w:vAlign w:val="bottom"/>
          </w:tcPr>
          <w:p>
            <w:pPr>
              <w:jc w:val="right"/>
              <w:ind w:right="238"/>
              <w:spacing w:after="0"/>
              <w:rPr>
                <w:sz w:val="20"/>
                <w:szCs w:val="20"/>
                <w:color w:val="auto"/>
              </w:rPr>
            </w:pPr>
            <w:r>
              <w:rPr>
                <w:rFonts w:ascii="Arial" w:cs="Arial" w:eastAsia="Arial" w:hAnsi="Arial"/>
                <w:sz w:val="16"/>
                <w:szCs w:val="16"/>
                <w:color w:val="auto"/>
              </w:rPr>
              <w:t>20,580,003</w:t>
            </w:r>
          </w:p>
        </w:tc>
        <w:tc>
          <w:tcPr>
            <w:tcW w:w="380" w:type="dxa"/>
            <w:vAlign w:val="bottom"/>
          </w:tcPr>
          <w:p>
            <w:pPr>
              <w:spacing w:after="0"/>
              <w:rPr>
                <w:sz w:val="16"/>
                <w:szCs w:val="16"/>
                <w:color w:val="auto"/>
              </w:rPr>
            </w:pPr>
          </w:p>
        </w:tc>
        <w:tc>
          <w:tcPr>
            <w:tcW w:w="1300" w:type="dxa"/>
            <w:vAlign w:val="bottom"/>
          </w:tcPr>
          <w:p>
            <w:pPr>
              <w:jc w:val="right"/>
              <w:ind w:right="358"/>
              <w:spacing w:after="0"/>
              <w:rPr>
                <w:sz w:val="20"/>
                <w:szCs w:val="20"/>
                <w:color w:val="auto"/>
              </w:rPr>
            </w:pPr>
            <w:r>
              <w:rPr>
                <w:rFonts w:ascii="Arial" w:cs="Arial" w:eastAsia="Arial" w:hAnsi="Arial"/>
                <w:sz w:val="16"/>
                <w:szCs w:val="16"/>
                <w:color w:val="auto"/>
              </w:rPr>
              <w:t>5,532,305</w:t>
            </w:r>
          </w:p>
        </w:tc>
        <w:tc>
          <w:tcPr>
            <w:tcW w:w="480" w:type="dxa"/>
            <w:vAlign w:val="bottom"/>
          </w:tcPr>
          <w:p>
            <w:pPr>
              <w:spacing w:after="0"/>
              <w:rPr>
                <w:sz w:val="16"/>
                <w:szCs w:val="16"/>
                <w:color w:val="auto"/>
              </w:rPr>
            </w:pPr>
          </w:p>
        </w:tc>
        <w:tc>
          <w:tcPr>
            <w:tcW w:w="1320" w:type="dxa"/>
            <w:vAlign w:val="bottom"/>
          </w:tcPr>
          <w:p>
            <w:pPr>
              <w:jc w:val="right"/>
              <w:ind w:right="498"/>
              <w:spacing w:after="0"/>
              <w:rPr>
                <w:sz w:val="20"/>
                <w:szCs w:val="20"/>
                <w:color w:val="auto"/>
              </w:rPr>
            </w:pPr>
            <w:r>
              <w:rPr>
                <w:rFonts w:ascii="Arial" w:cs="Arial" w:eastAsia="Arial" w:hAnsi="Arial"/>
                <w:sz w:val="16"/>
                <w:szCs w:val="16"/>
                <w:color w:val="auto"/>
              </w:rPr>
              <w:t>3,570,417</w:t>
            </w:r>
          </w:p>
        </w:tc>
        <w:tc>
          <w:tcPr>
            <w:tcW w:w="12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3"/>
        </w:trPr>
        <w:tc>
          <w:tcPr>
            <w:tcW w:w="41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Attributable to Series G common stock, basic</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418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and diluted</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1</w:t>
            </w:r>
          </w:p>
        </w:tc>
        <w:tc>
          <w:tcPr>
            <w:tcW w:w="4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98"/>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r>
      <w:tr>
        <w:trPr>
          <w:trHeight w:val="190"/>
        </w:trPr>
        <w:tc>
          <w:tcPr>
            <w:tcW w:w="4180" w:type="dxa"/>
            <w:vAlign w:val="bottom"/>
            <w:gridSpan w:val="2"/>
          </w:tcPr>
          <w:p>
            <w:pPr>
              <w:ind w:left="420"/>
              <w:spacing w:after="0"/>
              <w:rPr>
                <w:sz w:val="20"/>
                <w:szCs w:val="20"/>
                <w:color w:val="auto"/>
              </w:rPr>
            </w:pPr>
            <w:r>
              <w:rPr>
                <w:rFonts w:ascii="Arial" w:cs="Arial" w:eastAsia="Arial" w:hAnsi="Arial"/>
                <w:sz w:val="16"/>
                <w:szCs w:val="16"/>
                <w:color w:val="auto"/>
              </w:rPr>
              <w:t>Attributable to common stock, basic and diluted</w:t>
            </w:r>
          </w:p>
        </w:tc>
        <w:tc>
          <w:tcPr>
            <w:tcW w:w="120" w:type="dxa"/>
            <w:vAlign w:val="bottom"/>
          </w:tcPr>
          <w:p>
            <w:pPr>
              <w:spacing w:after="0"/>
              <w:rPr>
                <w:sz w:val="16"/>
                <w:szCs w:val="16"/>
                <w:color w:val="auto"/>
              </w:rPr>
            </w:pPr>
          </w:p>
        </w:tc>
        <w:tc>
          <w:tcPr>
            <w:tcW w:w="1160" w:type="dxa"/>
            <w:vAlign w:val="bottom"/>
          </w:tcPr>
          <w:p>
            <w:pPr>
              <w:jc w:val="right"/>
              <w:ind w:right="238"/>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300" w:type="dxa"/>
            <w:vAlign w:val="bottom"/>
          </w:tcPr>
          <w:p>
            <w:pPr>
              <w:jc w:val="right"/>
              <w:ind w:right="358"/>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320" w:type="dxa"/>
            <w:vAlign w:val="bottom"/>
          </w:tcPr>
          <w:p>
            <w:pPr>
              <w:jc w:val="right"/>
              <w:ind w:right="49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3,996,173</w:t>
            </w:r>
          </w:p>
        </w:tc>
      </w:tr>
      <w:tr>
        <w:trPr>
          <w:trHeight w:val="193"/>
        </w:trPr>
        <w:tc>
          <w:tcPr>
            <w:tcW w:w="41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Pro forma net income (loss) per share, basic</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418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and diluted (unaudited)(1)(2)</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0.18</w:t>
            </w:r>
          </w:p>
        </w:tc>
        <w:tc>
          <w:tcPr>
            <w:tcW w:w="4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(0.36)</w:t>
            </w:r>
          </w:p>
        </w:tc>
      </w:tr>
      <w:tr>
        <w:trPr>
          <w:trHeight w:val="193"/>
        </w:trPr>
        <w:tc>
          <w:tcPr>
            <w:tcW w:w="4180" w:type="dxa"/>
            <w:vAlign w:val="bottom"/>
            <w:gridSpan w:val="2"/>
          </w:tcPr>
          <w:p>
            <w:pPr>
              <w:ind w:left="420"/>
              <w:spacing w:after="0"/>
              <w:rPr>
                <w:sz w:val="20"/>
                <w:szCs w:val="20"/>
                <w:color w:val="auto"/>
              </w:rPr>
            </w:pPr>
            <w:r>
              <w:rPr>
                <w:rFonts w:ascii="Arial" w:cs="Arial" w:eastAsia="Arial" w:hAnsi="Arial"/>
                <w:sz w:val="16"/>
                <w:szCs w:val="16"/>
                <w:color w:val="auto"/>
              </w:rPr>
              <w:t>Weighted-average shares used in computing</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4180" w:type="dxa"/>
            <w:vAlign w:val="bottom"/>
            <w:gridSpan w:val="2"/>
          </w:tcPr>
          <w:p>
            <w:pPr>
              <w:ind w:left="620"/>
              <w:spacing w:after="0"/>
              <w:rPr>
                <w:sz w:val="20"/>
                <w:szCs w:val="20"/>
                <w:color w:val="auto"/>
              </w:rPr>
            </w:pPr>
            <w:r>
              <w:rPr>
                <w:rFonts w:ascii="Arial" w:cs="Arial" w:eastAsia="Arial" w:hAnsi="Arial"/>
                <w:sz w:val="16"/>
                <w:szCs w:val="16"/>
                <w:color w:val="auto"/>
              </w:rPr>
              <w:t>pro forma net income (loss) per share, basic</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418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color w:val="auto"/>
              </w:rPr>
              <w:t>and diluted (unaudited)(1)(2)</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color w:val="auto"/>
              </w:rPr>
              <w:t>18,784,159</w:t>
            </w: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19,073,111</w:t>
            </w:r>
          </w:p>
        </w:tc>
        <w:tc>
          <w:tcPr>
            <w:tcW w:w="100" w:type="dxa"/>
            <w:vAlign w:val="bottom"/>
          </w:tcPr>
          <w:p>
            <w:pPr>
              <w:spacing w:after="0"/>
              <w:rPr>
                <w:sz w:val="17"/>
                <w:szCs w:val="17"/>
                <w:color w:val="auto"/>
              </w:rPr>
            </w:pPr>
          </w:p>
        </w:tc>
      </w:tr>
      <w:tr>
        <w:trPr>
          <w:trHeight w:val="70"/>
        </w:trPr>
        <w:tc>
          <w:tcPr>
            <w:tcW w:w="1100" w:type="dxa"/>
            <w:vAlign w:val="bottom"/>
            <w:tcBorders>
              <w:bottom w:val="single" w:sz="8" w:color="auto"/>
            </w:tcBorders>
          </w:tcPr>
          <w:p>
            <w:pPr>
              <w:spacing w:after="0"/>
              <w:rPr>
                <w:sz w:val="6"/>
                <w:szCs w:val="6"/>
                <w:color w:val="auto"/>
              </w:rPr>
            </w:pPr>
          </w:p>
        </w:tc>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5" w:lineRule="exact"/>
        <w:rPr>
          <w:sz w:val="20"/>
          <w:szCs w:val="20"/>
          <w:color w:val="auto"/>
        </w:rPr>
      </w:pPr>
    </w:p>
    <w:p>
      <w:pPr>
        <w:ind w:left="1000" w:right="200" w:hanging="377"/>
        <w:spacing w:after="0" w:line="234" w:lineRule="auto"/>
        <w:tabs>
          <w:tab w:leader="none" w:pos="10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See Note 2 to our audited consolidated financial statements and Note 2 to our unaudited interim condensed consolidated financial statements included elsewhere in this prospectus for an explanation of the method used to calculate basic and diluted net income (loss)</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620"/>
          </w:cols>
          <w:pgMar w:left="320" w:top="441" w:right="95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189230</wp:posOffset>
            </wp:positionV>
            <wp:extent cx="6573520" cy="58089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73520" cy="580898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1020" w:right="80"/>
        <w:spacing w:after="0" w:line="230" w:lineRule="auto"/>
        <w:rPr>
          <w:sz w:val="20"/>
          <w:szCs w:val="20"/>
          <w:color w:val="auto"/>
        </w:rPr>
      </w:pPr>
      <w:r>
        <w:rPr>
          <w:rFonts w:ascii="Arial" w:cs="Arial" w:eastAsia="Arial" w:hAnsi="Arial"/>
          <w:sz w:val="13"/>
          <w:szCs w:val="13"/>
          <w:color w:val="auto"/>
        </w:rPr>
        <w:t>per share and weighted average shares of common stock outstanding and the section titled “Management’s Discussion and Analysis of Financial Condition and Results of Operations—Unaudited Pro Forma Information” for an explanation of the calculations of our pro forma net income (loss) per share, basic and diluted and the number of shares used in the computation of the per share amounts.</w:t>
      </w:r>
    </w:p>
    <w:p>
      <w:pPr>
        <w:spacing w:after="0" w:line="14" w:lineRule="exact"/>
        <w:rPr>
          <w:sz w:val="20"/>
          <w:szCs w:val="20"/>
          <w:color w:val="auto"/>
        </w:rPr>
      </w:pPr>
    </w:p>
    <w:p>
      <w:pPr>
        <w:ind w:left="1000" w:right="60" w:hanging="377"/>
        <w:spacing w:after="0" w:line="229" w:lineRule="auto"/>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calculation of pro forma net income (loss) per share, basic and diluted gives effect to (i) the cash exercise of 225,945 warrants to purchase Series H Preferred Stock and the conversion of such shares into 225,945 shares of common stock and (ii) the conversion of all outstanding shares of our convertible preferred stock into 14,850,993 shares of common stock, as if such conversion had occurred at the beginning of the period, or the issuance date if later, for an aggregate total of 15,076,938 shares of common stock.</w:t>
      </w:r>
    </w:p>
    <w:p>
      <w:pPr>
        <w:spacing w:after="0" w:line="262"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8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As of March 31, 2021</w:t>
            </w:r>
          </w:p>
        </w:tc>
      </w:tr>
      <w:tr>
        <w:trPr>
          <w:trHeight w:val="166"/>
        </w:trPr>
        <w:tc>
          <w:tcPr>
            <w:tcW w:w="6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6"/>
                <w:szCs w:val="16"/>
                <w:b w:val="1"/>
                <w:bCs w:val="1"/>
                <w:color w:val="auto"/>
              </w:rPr>
              <w:t>Pro forma</w:t>
            </w:r>
          </w:p>
        </w:tc>
        <w:tc>
          <w:tcPr>
            <w:tcW w:w="100" w:type="dxa"/>
            <w:vAlign w:val="bottom"/>
          </w:tcPr>
          <w:p>
            <w:pPr>
              <w:spacing w:after="0"/>
              <w:rPr>
                <w:sz w:val="14"/>
                <w:szCs w:val="14"/>
                <w:color w:val="auto"/>
              </w:rPr>
            </w:pPr>
          </w:p>
        </w:tc>
      </w:tr>
      <w:tr>
        <w:trPr>
          <w:trHeight w:val="207"/>
        </w:trPr>
        <w:tc>
          <w:tcPr>
            <w:tcW w:w="6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Actual</w:t>
            </w:r>
          </w:p>
        </w:tc>
        <w:tc>
          <w:tcPr>
            <w:tcW w:w="1620" w:type="dxa"/>
            <w:vAlign w:val="bottom"/>
            <w:tcBorders>
              <w:bottom w:val="single" w:sz="8" w:color="auto"/>
            </w:tcBorders>
            <w:gridSpan w:val="3"/>
          </w:tcPr>
          <w:p>
            <w:pPr>
              <w:jc w:val="right"/>
              <w:ind w:right="438"/>
              <w:spacing w:after="0"/>
              <w:rPr>
                <w:sz w:val="20"/>
                <w:szCs w:val="20"/>
                <w:color w:val="auto"/>
              </w:rPr>
            </w:pPr>
            <w:r>
              <w:rPr>
                <w:rFonts w:ascii="Arial" w:cs="Arial" w:eastAsia="Arial" w:hAnsi="Arial"/>
                <w:sz w:val="16"/>
                <w:szCs w:val="16"/>
                <w:b w:val="1"/>
                <w:bCs w:val="1"/>
                <w:color w:val="auto"/>
              </w:rPr>
              <w:t>Pro forma(1)</w:t>
            </w:r>
          </w:p>
        </w:tc>
        <w:tc>
          <w:tcPr>
            <w:tcW w:w="13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as adjusted(2)</w:t>
            </w:r>
          </w:p>
        </w:tc>
      </w:tr>
      <w:tr>
        <w:trPr>
          <w:trHeight w:val="166"/>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20" w:type="dxa"/>
            <w:vAlign w:val="bottom"/>
            <w:gridSpan w:val="3"/>
          </w:tcPr>
          <w:p>
            <w:pPr>
              <w:jc w:val="center"/>
              <w:ind w:left="238"/>
              <w:spacing w:after="0" w:line="166" w:lineRule="exact"/>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7"/>
        </w:trPr>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center"/>
              <w:ind w:right="38"/>
              <w:spacing w:after="0"/>
              <w:rPr>
                <w:sz w:val="20"/>
                <w:szCs w:val="20"/>
                <w:color w:val="auto"/>
              </w:rPr>
            </w:pPr>
            <w:r>
              <w:rPr>
                <w:rFonts w:ascii="Arial" w:cs="Arial" w:eastAsia="Arial" w:hAnsi="Arial"/>
                <w:sz w:val="16"/>
                <w:szCs w:val="16"/>
                <w:b w:val="1"/>
                <w:bCs w:val="1"/>
                <w:color w:val="auto"/>
              </w:rPr>
              <w:t>(unaudited)</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66"/>
        </w:trPr>
        <w:tc>
          <w:tcPr>
            <w:tcW w:w="6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90"/>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61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78"/>
              <w:spacing w:after="0"/>
              <w:rPr>
                <w:sz w:val="20"/>
                <w:szCs w:val="20"/>
                <w:color w:val="auto"/>
              </w:rPr>
            </w:pPr>
            <w:r>
              <w:rPr>
                <w:rFonts w:ascii="Arial" w:cs="Arial" w:eastAsia="Arial" w:hAnsi="Arial"/>
                <w:sz w:val="16"/>
                <w:szCs w:val="16"/>
                <w:color w:val="auto"/>
              </w:rPr>
              <w:t>24,385</w:t>
            </w:r>
          </w:p>
        </w:tc>
        <w:tc>
          <w:tcPr>
            <w:tcW w:w="4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438"/>
              <w:spacing w:after="0"/>
              <w:rPr>
                <w:sz w:val="20"/>
                <w:szCs w:val="20"/>
                <w:color w:val="auto"/>
              </w:rPr>
            </w:pPr>
            <w:r>
              <w:rPr>
                <w:rFonts w:ascii="Arial" w:cs="Arial" w:eastAsia="Arial" w:hAnsi="Arial"/>
                <w:sz w:val="16"/>
                <w:szCs w:val="16"/>
                <w:color w:val="auto"/>
              </w:rPr>
              <w:t>27,187</w:t>
            </w:r>
          </w:p>
        </w:tc>
        <w:tc>
          <w:tcPr>
            <w:tcW w:w="3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134,398</w:t>
            </w:r>
          </w:p>
        </w:tc>
        <w:tc>
          <w:tcPr>
            <w:tcW w:w="100" w:type="dxa"/>
            <w:vAlign w:val="bottom"/>
          </w:tcPr>
          <w:p>
            <w:pPr>
              <w:spacing w:after="0"/>
              <w:rPr>
                <w:sz w:val="16"/>
                <w:szCs w:val="16"/>
                <w:color w:val="auto"/>
              </w:rPr>
            </w:pPr>
          </w:p>
        </w:tc>
      </w:tr>
      <w:tr>
        <w:trPr>
          <w:trHeight w:val="190"/>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Short-term investments</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39,997</w:t>
            </w:r>
          </w:p>
        </w:tc>
        <w:tc>
          <w:tcPr>
            <w:tcW w:w="4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38"/>
              <w:spacing w:after="0"/>
              <w:rPr>
                <w:sz w:val="20"/>
                <w:szCs w:val="20"/>
                <w:color w:val="auto"/>
              </w:rPr>
            </w:pPr>
            <w:r>
              <w:rPr>
                <w:rFonts w:ascii="Arial" w:cs="Arial" w:eastAsia="Arial" w:hAnsi="Arial"/>
                <w:sz w:val="16"/>
                <w:szCs w:val="16"/>
                <w:color w:val="auto"/>
              </w:rPr>
              <w:t>39,997</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39,997</w:t>
            </w:r>
          </w:p>
        </w:tc>
        <w:tc>
          <w:tcPr>
            <w:tcW w:w="100" w:type="dxa"/>
            <w:vAlign w:val="bottom"/>
            <w:shd w:val="clear" w:color="auto" w:fill="CCEEFF"/>
          </w:tcPr>
          <w:p>
            <w:pPr>
              <w:spacing w:after="0"/>
              <w:rPr>
                <w:sz w:val="16"/>
                <w:szCs w:val="16"/>
                <w:color w:val="auto"/>
              </w:rPr>
            </w:pPr>
          </w:p>
        </w:tc>
      </w:tr>
      <w:tr>
        <w:trPr>
          <w:trHeight w:val="190"/>
        </w:trPr>
        <w:tc>
          <w:tcPr>
            <w:tcW w:w="6120" w:type="dxa"/>
            <w:vAlign w:val="bottom"/>
          </w:tcPr>
          <w:p>
            <w:pPr>
              <w:spacing w:after="0"/>
              <w:rPr>
                <w:sz w:val="20"/>
                <w:szCs w:val="20"/>
                <w:color w:val="auto"/>
              </w:rPr>
            </w:pPr>
            <w:r>
              <w:rPr>
                <w:rFonts w:ascii="Arial" w:cs="Arial" w:eastAsia="Arial" w:hAnsi="Arial"/>
                <w:sz w:val="16"/>
                <w:szCs w:val="16"/>
                <w:color w:val="auto"/>
              </w:rPr>
              <w:t>Working capital(3)</w:t>
            </w:r>
          </w:p>
        </w:tc>
        <w:tc>
          <w:tcPr>
            <w:tcW w:w="100" w:type="dxa"/>
            <w:vAlign w:val="bottom"/>
          </w:tcPr>
          <w:p>
            <w:pPr>
              <w:spacing w:after="0"/>
              <w:rPr>
                <w:sz w:val="16"/>
                <w:szCs w:val="16"/>
                <w:color w:val="auto"/>
              </w:rPr>
            </w:pPr>
          </w:p>
        </w:tc>
        <w:tc>
          <w:tcPr>
            <w:tcW w:w="820" w:type="dxa"/>
            <w:vAlign w:val="bottom"/>
          </w:tcPr>
          <w:p>
            <w:pPr>
              <w:jc w:val="right"/>
              <w:ind w:right="78"/>
              <w:spacing w:after="0"/>
              <w:rPr>
                <w:sz w:val="20"/>
                <w:szCs w:val="20"/>
                <w:color w:val="auto"/>
              </w:rPr>
            </w:pPr>
            <w:r>
              <w:rPr>
                <w:rFonts w:ascii="Arial" w:cs="Arial" w:eastAsia="Arial" w:hAnsi="Arial"/>
                <w:sz w:val="16"/>
                <w:szCs w:val="16"/>
                <w:color w:val="auto"/>
              </w:rPr>
              <w:t>70,987</w:t>
            </w:r>
          </w:p>
        </w:tc>
        <w:tc>
          <w:tcPr>
            <w:tcW w:w="440" w:type="dxa"/>
            <w:vAlign w:val="bottom"/>
          </w:tcPr>
          <w:p>
            <w:pPr>
              <w:spacing w:after="0"/>
              <w:rPr>
                <w:sz w:val="16"/>
                <w:szCs w:val="16"/>
                <w:color w:val="auto"/>
              </w:rPr>
            </w:pPr>
          </w:p>
        </w:tc>
        <w:tc>
          <w:tcPr>
            <w:tcW w:w="1180" w:type="dxa"/>
            <w:vAlign w:val="bottom"/>
            <w:gridSpan w:val="2"/>
          </w:tcPr>
          <w:p>
            <w:pPr>
              <w:jc w:val="right"/>
              <w:ind w:right="438"/>
              <w:spacing w:after="0"/>
              <w:rPr>
                <w:sz w:val="20"/>
                <w:szCs w:val="20"/>
                <w:color w:val="auto"/>
              </w:rPr>
            </w:pPr>
            <w:r>
              <w:rPr>
                <w:rFonts w:ascii="Arial" w:cs="Arial" w:eastAsia="Arial" w:hAnsi="Arial"/>
                <w:sz w:val="16"/>
                <w:szCs w:val="16"/>
                <w:color w:val="auto"/>
              </w:rPr>
              <w:t>73,789</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181,000</w:t>
            </w:r>
          </w:p>
        </w:tc>
        <w:tc>
          <w:tcPr>
            <w:tcW w:w="100" w:type="dxa"/>
            <w:vAlign w:val="bottom"/>
          </w:tcPr>
          <w:p>
            <w:pPr>
              <w:spacing w:after="0"/>
              <w:rPr>
                <w:sz w:val="16"/>
                <w:szCs w:val="16"/>
                <w:color w:val="auto"/>
              </w:rPr>
            </w:pPr>
          </w:p>
        </w:tc>
      </w:tr>
      <w:tr>
        <w:trPr>
          <w:trHeight w:val="190"/>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96,291</w:t>
            </w:r>
          </w:p>
        </w:tc>
        <w:tc>
          <w:tcPr>
            <w:tcW w:w="4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38"/>
              <w:spacing w:after="0"/>
              <w:rPr>
                <w:sz w:val="20"/>
                <w:szCs w:val="20"/>
                <w:color w:val="auto"/>
              </w:rPr>
            </w:pPr>
            <w:r>
              <w:rPr>
                <w:rFonts w:ascii="Arial" w:cs="Arial" w:eastAsia="Arial" w:hAnsi="Arial"/>
                <w:sz w:val="16"/>
                <w:szCs w:val="16"/>
                <w:color w:val="auto"/>
              </w:rPr>
              <w:t>99,093</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206,304</w:t>
            </w:r>
          </w:p>
        </w:tc>
        <w:tc>
          <w:tcPr>
            <w:tcW w:w="100" w:type="dxa"/>
            <w:vAlign w:val="bottom"/>
            <w:shd w:val="clear" w:color="auto" w:fill="CCEEFF"/>
          </w:tcPr>
          <w:p>
            <w:pPr>
              <w:spacing w:after="0"/>
              <w:rPr>
                <w:sz w:val="16"/>
                <w:szCs w:val="16"/>
                <w:color w:val="auto"/>
              </w:rPr>
            </w:pPr>
          </w:p>
        </w:tc>
      </w:tr>
      <w:tr>
        <w:trPr>
          <w:trHeight w:val="190"/>
        </w:trPr>
        <w:tc>
          <w:tcPr>
            <w:tcW w:w="6120" w:type="dxa"/>
            <w:vAlign w:val="bottom"/>
          </w:tcPr>
          <w:p>
            <w:pPr>
              <w:spacing w:after="0"/>
              <w:rPr>
                <w:sz w:val="20"/>
                <w:szCs w:val="20"/>
                <w:color w:val="auto"/>
              </w:rPr>
            </w:pPr>
            <w:r>
              <w:rPr>
                <w:rFonts w:ascii="Arial" w:cs="Arial" w:eastAsia="Arial" w:hAnsi="Arial"/>
                <w:sz w:val="16"/>
                <w:szCs w:val="16"/>
                <w:color w:val="auto"/>
              </w:rPr>
              <w:t>Total liabilities</w:t>
            </w:r>
          </w:p>
        </w:tc>
        <w:tc>
          <w:tcPr>
            <w:tcW w:w="100" w:type="dxa"/>
            <w:vAlign w:val="bottom"/>
          </w:tcPr>
          <w:p>
            <w:pPr>
              <w:spacing w:after="0"/>
              <w:rPr>
                <w:sz w:val="16"/>
                <w:szCs w:val="16"/>
                <w:color w:val="auto"/>
              </w:rPr>
            </w:pPr>
          </w:p>
        </w:tc>
        <w:tc>
          <w:tcPr>
            <w:tcW w:w="820" w:type="dxa"/>
            <w:vAlign w:val="bottom"/>
          </w:tcPr>
          <w:p>
            <w:pPr>
              <w:jc w:val="right"/>
              <w:ind w:right="78"/>
              <w:spacing w:after="0"/>
              <w:rPr>
                <w:sz w:val="20"/>
                <w:szCs w:val="20"/>
                <w:color w:val="auto"/>
              </w:rPr>
            </w:pPr>
            <w:r>
              <w:rPr>
                <w:rFonts w:ascii="Arial" w:cs="Arial" w:eastAsia="Arial" w:hAnsi="Arial"/>
                <w:sz w:val="16"/>
                <w:szCs w:val="16"/>
                <w:color w:val="auto"/>
              </w:rPr>
              <w:t>44,890</w:t>
            </w:r>
          </w:p>
        </w:tc>
        <w:tc>
          <w:tcPr>
            <w:tcW w:w="440" w:type="dxa"/>
            <w:vAlign w:val="bottom"/>
          </w:tcPr>
          <w:p>
            <w:pPr>
              <w:spacing w:after="0"/>
              <w:rPr>
                <w:sz w:val="16"/>
                <w:szCs w:val="16"/>
                <w:color w:val="auto"/>
              </w:rPr>
            </w:pPr>
          </w:p>
        </w:tc>
        <w:tc>
          <w:tcPr>
            <w:tcW w:w="1180" w:type="dxa"/>
            <w:vAlign w:val="bottom"/>
            <w:gridSpan w:val="2"/>
          </w:tcPr>
          <w:p>
            <w:pPr>
              <w:jc w:val="right"/>
              <w:ind w:right="438"/>
              <w:spacing w:after="0"/>
              <w:rPr>
                <w:sz w:val="20"/>
                <w:szCs w:val="20"/>
                <w:color w:val="auto"/>
              </w:rPr>
            </w:pPr>
            <w:r>
              <w:rPr>
                <w:rFonts w:ascii="Arial" w:cs="Arial" w:eastAsia="Arial" w:hAnsi="Arial"/>
                <w:sz w:val="16"/>
                <w:szCs w:val="16"/>
                <w:color w:val="auto"/>
              </w:rPr>
              <w:t>44,890</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44,890</w:t>
            </w:r>
          </w:p>
        </w:tc>
        <w:tc>
          <w:tcPr>
            <w:tcW w:w="100" w:type="dxa"/>
            <w:vAlign w:val="bottom"/>
          </w:tcPr>
          <w:p>
            <w:pPr>
              <w:spacing w:after="0"/>
              <w:rPr>
                <w:sz w:val="16"/>
                <w:szCs w:val="16"/>
                <w:color w:val="auto"/>
              </w:rPr>
            </w:pPr>
          </w:p>
        </w:tc>
      </w:tr>
      <w:tr>
        <w:trPr>
          <w:trHeight w:val="190"/>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Redeemable common stock</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3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0"/>
        </w:trPr>
        <w:tc>
          <w:tcPr>
            <w:tcW w:w="6120" w:type="dxa"/>
            <w:vAlign w:val="bottom"/>
          </w:tcPr>
          <w:p>
            <w:pPr>
              <w:spacing w:after="0"/>
              <w:rPr>
                <w:sz w:val="20"/>
                <w:szCs w:val="20"/>
                <w:color w:val="auto"/>
              </w:rPr>
            </w:pPr>
            <w:r>
              <w:rPr>
                <w:rFonts w:ascii="Arial" w:cs="Arial" w:eastAsia="Arial" w:hAnsi="Arial"/>
                <w:sz w:val="16"/>
                <w:szCs w:val="16"/>
                <w:color w:val="auto"/>
              </w:rPr>
              <w:t>Convertible preferred stock</w:t>
            </w:r>
          </w:p>
        </w:tc>
        <w:tc>
          <w:tcPr>
            <w:tcW w:w="100" w:type="dxa"/>
            <w:vAlign w:val="bottom"/>
          </w:tcPr>
          <w:p>
            <w:pPr>
              <w:spacing w:after="0"/>
              <w:rPr>
                <w:sz w:val="16"/>
                <w:szCs w:val="16"/>
                <w:color w:val="auto"/>
              </w:rPr>
            </w:pPr>
          </w:p>
        </w:tc>
        <w:tc>
          <w:tcPr>
            <w:tcW w:w="820" w:type="dxa"/>
            <w:vAlign w:val="bottom"/>
          </w:tcPr>
          <w:p>
            <w:pPr>
              <w:jc w:val="right"/>
              <w:ind w:right="78"/>
              <w:spacing w:after="0"/>
              <w:rPr>
                <w:sz w:val="20"/>
                <w:szCs w:val="20"/>
                <w:color w:val="auto"/>
              </w:rPr>
            </w:pPr>
            <w:r>
              <w:rPr>
                <w:rFonts w:ascii="Arial" w:cs="Arial" w:eastAsia="Arial" w:hAnsi="Arial"/>
                <w:sz w:val="16"/>
                <w:szCs w:val="16"/>
                <w:color w:val="auto"/>
              </w:rPr>
              <w:t>353,300</w:t>
            </w:r>
          </w:p>
        </w:tc>
        <w:tc>
          <w:tcPr>
            <w:tcW w:w="440" w:type="dxa"/>
            <w:vAlign w:val="bottom"/>
          </w:tcPr>
          <w:p>
            <w:pPr>
              <w:spacing w:after="0"/>
              <w:rPr>
                <w:sz w:val="16"/>
                <w:szCs w:val="16"/>
                <w:color w:val="auto"/>
              </w:rPr>
            </w:pPr>
          </w:p>
        </w:tc>
        <w:tc>
          <w:tcPr>
            <w:tcW w:w="1180" w:type="dxa"/>
            <w:vAlign w:val="bottom"/>
            <w:gridSpan w:val="2"/>
          </w:tcPr>
          <w:p>
            <w:pPr>
              <w:jc w:val="right"/>
              <w:ind w:right="43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0"/>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 stock and additional paid-in capital</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136,311</w:t>
            </w:r>
          </w:p>
        </w:tc>
        <w:tc>
          <w:tcPr>
            <w:tcW w:w="4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38"/>
              <w:spacing w:after="0"/>
              <w:rPr>
                <w:sz w:val="20"/>
                <w:szCs w:val="20"/>
                <w:color w:val="auto"/>
              </w:rPr>
            </w:pPr>
            <w:r>
              <w:rPr>
                <w:rFonts w:ascii="Arial" w:cs="Arial" w:eastAsia="Arial" w:hAnsi="Arial"/>
                <w:sz w:val="16"/>
                <w:szCs w:val="16"/>
                <w:color w:val="auto"/>
              </w:rPr>
              <w:t>492,413</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598,807</w:t>
            </w:r>
          </w:p>
        </w:tc>
        <w:tc>
          <w:tcPr>
            <w:tcW w:w="100" w:type="dxa"/>
            <w:vAlign w:val="bottom"/>
            <w:shd w:val="clear" w:color="auto" w:fill="CCEEFF"/>
          </w:tcPr>
          <w:p>
            <w:pPr>
              <w:spacing w:after="0"/>
              <w:rPr>
                <w:sz w:val="16"/>
                <w:szCs w:val="16"/>
                <w:color w:val="auto"/>
              </w:rPr>
            </w:pPr>
          </w:p>
        </w:tc>
      </w:tr>
      <w:tr>
        <w:trPr>
          <w:trHeight w:val="190"/>
        </w:trPr>
        <w:tc>
          <w:tcPr>
            <w:tcW w:w="6120" w:type="dxa"/>
            <w:vAlign w:val="bottom"/>
          </w:tcPr>
          <w:p>
            <w:pPr>
              <w:spacing w:after="0"/>
              <w:rPr>
                <w:sz w:val="20"/>
                <w:szCs w:val="20"/>
                <w:color w:val="auto"/>
              </w:rPr>
            </w:pPr>
            <w:r>
              <w:rPr>
                <w:rFonts w:ascii="Arial" w:cs="Arial" w:eastAsia="Arial" w:hAnsi="Arial"/>
                <w:sz w:val="16"/>
                <w:szCs w:val="16"/>
                <w:color w:val="auto"/>
              </w:rPr>
              <w:t>Accumulated deficit</w:t>
            </w:r>
          </w:p>
        </w:tc>
        <w:tc>
          <w:tcPr>
            <w:tcW w:w="100" w:type="dxa"/>
            <w:vAlign w:val="bottom"/>
          </w:tcPr>
          <w:p>
            <w:pPr>
              <w:spacing w:after="0"/>
              <w:rPr>
                <w:sz w:val="16"/>
                <w:szCs w:val="16"/>
                <w:color w:val="auto"/>
              </w:rPr>
            </w:pPr>
          </w:p>
        </w:tc>
        <w:tc>
          <w:tcPr>
            <w:tcW w:w="820" w:type="dxa"/>
            <w:vAlign w:val="bottom"/>
          </w:tcPr>
          <w:p>
            <w:pPr>
              <w:jc w:val="right"/>
              <w:ind w:right="18"/>
              <w:spacing w:after="0"/>
              <w:rPr>
                <w:sz w:val="20"/>
                <w:szCs w:val="20"/>
                <w:color w:val="auto"/>
              </w:rPr>
            </w:pPr>
            <w:r>
              <w:rPr>
                <w:rFonts w:ascii="Arial" w:cs="Arial" w:eastAsia="Arial" w:hAnsi="Arial"/>
                <w:sz w:val="16"/>
                <w:szCs w:val="16"/>
                <w:color w:val="auto"/>
              </w:rPr>
              <w:t>(437,393)</w:t>
            </w:r>
          </w:p>
        </w:tc>
        <w:tc>
          <w:tcPr>
            <w:tcW w:w="440" w:type="dxa"/>
            <w:vAlign w:val="bottom"/>
          </w:tcPr>
          <w:p>
            <w:pPr>
              <w:spacing w:after="0"/>
              <w:rPr>
                <w:sz w:val="16"/>
                <w:szCs w:val="16"/>
                <w:color w:val="auto"/>
              </w:rPr>
            </w:pPr>
          </w:p>
        </w:tc>
        <w:tc>
          <w:tcPr>
            <w:tcW w:w="1180" w:type="dxa"/>
            <w:vAlign w:val="bottom"/>
            <w:gridSpan w:val="2"/>
          </w:tcPr>
          <w:p>
            <w:pPr>
              <w:jc w:val="right"/>
              <w:ind w:right="378"/>
              <w:spacing w:after="0"/>
              <w:rPr>
                <w:sz w:val="20"/>
                <w:szCs w:val="20"/>
                <w:color w:val="auto"/>
              </w:rPr>
            </w:pPr>
            <w:r>
              <w:rPr>
                <w:rFonts w:ascii="Arial" w:cs="Arial" w:eastAsia="Arial" w:hAnsi="Arial"/>
                <w:sz w:val="16"/>
                <w:szCs w:val="16"/>
                <w:color w:val="auto"/>
              </w:rPr>
              <w:t>(437,393)</w:t>
            </w:r>
          </w:p>
        </w:tc>
        <w:tc>
          <w:tcPr>
            <w:tcW w:w="3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(437,393)</w:t>
            </w:r>
          </w:p>
        </w:tc>
      </w:tr>
      <w:tr>
        <w:trPr>
          <w:trHeight w:val="190"/>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stockholders’ (deficit) equity</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(301,899)</w:t>
            </w:r>
          </w:p>
        </w:tc>
        <w:tc>
          <w:tcPr>
            <w:tcW w:w="4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38"/>
              <w:spacing w:after="0"/>
              <w:rPr>
                <w:sz w:val="20"/>
                <w:szCs w:val="20"/>
                <w:color w:val="auto"/>
              </w:rPr>
            </w:pPr>
            <w:r>
              <w:rPr>
                <w:rFonts w:ascii="Arial" w:cs="Arial" w:eastAsia="Arial" w:hAnsi="Arial"/>
                <w:sz w:val="16"/>
                <w:szCs w:val="16"/>
                <w:color w:val="auto"/>
              </w:rPr>
              <w:t>54,203</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161,414</w:t>
            </w:r>
          </w:p>
        </w:tc>
        <w:tc>
          <w:tcPr>
            <w:tcW w:w="100" w:type="dxa"/>
            <w:vAlign w:val="bottom"/>
            <w:shd w:val="clear" w:color="auto" w:fill="CCEEFF"/>
          </w:tcPr>
          <w:p>
            <w:pPr>
              <w:spacing w:after="0"/>
              <w:rPr>
                <w:sz w:val="16"/>
                <w:szCs w:val="16"/>
                <w:color w:val="auto"/>
              </w:rPr>
            </w:pPr>
          </w:p>
        </w:tc>
      </w:tr>
      <w:tr>
        <w:trPr>
          <w:trHeight w:val="20"/>
        </w:trPr>
        <w:tc>
          <w:tcPr>
            <w:tcW w:w="6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5"/>
        </w:trPr>
        <w:tc>
          <w:tcPr>
            <w:tcW w:w="6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gridSpan w:val="4"/>
          </w:tcPr>
          <w:p>
            <w:pPr>
              <w:spacing w:after="0"/>
              <w:rPr>
                <w:sz w:val="9"/>
                <w:szCs w:val="9"/>
                <w:color w:val="auto"/>
              </w:rPr>
            </w:pPr>
          </w:p>
        </w:tc>
        <w:tc>
          <w:tcPr>
            <w:tcW w:w="1340" w:type="dxa"/>
            <w:vAlign w:val="bottom"/>
            <w:tcBorders>
              <w:bottom w:val="single" w:sz="8" w:color="auto"/>
            </w:tcBorders>
            <w:gridSpan w:val="3"/>
          </w:tcPr>
          <w:p>
            <w:pPr>
              <w:spacing w:after="0"/>
              <w:rPr>
                <w:sz w:val="9"/>
                <w:szCs w:val="9"/>
                <w:color w:val="auto"/>
              </w:rPr>
            </w:pPr>
          </w:p>
        </w:tc>
      </w:tr>
      <w:tr>
        <w:trPr>
          <w:trHeight w:val="228"/>
        </w:trPr>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gridSpan w:val="4"/>
          </w:tcPr>
          <w:p>
            <w:pPr>
              <w:jc w:val="right"/>
              <w:ind w:right="438"/>
              <w:spacing w:after="0"/>
              <w:rPr>
                <w:sz w:val="20"/>
                <w:szCs w:val="20"/>
                <w:color w:val="auto"/>
              </w:rPr>
            </w:pPr>
            <w:r>
              <w:rPr>
                <w:rFonts w:ascii="Arial" w:cs="Arial" w:eastAsia="Arial" w:hAnsi="Arial"/>
                <w:sz w:val="16"/>
                <w:szCs w:val="16"/>
                <w:b w:val="1"/>
                <w:bCs w:val="1"/>
                <w:color w:val="auto"/>
              </w:rPr>
              <w:t>As of December 31,</w:t>
            </w:r>
          </w:p>
        </w:tc>
        <w:tc>
          <w:tcPr>
            <w:tcW w:w="13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As of March 31,</w:t>
            </w:r>
          </w:p>
        </w:tc>
      </w:tr>
      <w:tr>
        <w:trPr>
          <w:trHeight w:val="20"/>
        </w:trPr>
        <w:tc>
          <w:tcPr>
            <w:tcW w:w="6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6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438"/>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r>
      <w:tr>
        <w:trPr>
          <w:trHeight w:val="166"/>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20" w:type="dxa"/>
            <w:vAlign w:val="bottom"/>
            <w:gridSpan w:val="3"/>
          </w:tcPr>
          <w:p>
            <w:pPr>
              <w:jc w:val="center"/>
              <w:ind w:left="198"/>
              <w:spacing w:after="0" w:line="166" w:lineRule="exact"/>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7"/>
        </w:trPr>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center"/>
              <w:ind w:right="78"/>
              <w:spacing w:after="0"/>
              <w:rPr>
                <w:sz w:val="20"/>
                <w:szCs w:val="20"/>
                <w:color w:val="auto"/>
              </w:rPr>
            </w:pPr>
            <w:r>
              <w:rPr>
                <w:rFonts w:ascii="Arial" w:cs="Arial" w:eastAsia="Arial" w:hAnsi="Arial"/>
                <w:sz w:val="16"/>
                <w:szCs w:val="16"/>
                <w:b w:val="1"/>
                <w:bCs w:val="1"/>
                <w:color w:val="auto"/>
              </w:rPr>
              <w:t>(unaudited)</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66"/>
        </w:trPr>
        <w:tc>
          <w:tcPr>
            <w:tcW w:w="6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90"/>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61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118"/>
              <w:spacing w:after="0"/>
              <w:rPr>
                <w:sz w:val="20"/>
                <w:szCs w:val="20"/>
                <w:color w:val="auto"/>
              </w:rPr>
            </w:pPr>
            <w:r>
              <w:rPr>
                <w:rFonts w:ascii="Arial" w:cs="Arial" w:eastAsia="Arial" w:hAnsi="Arial"/>
                <w:sz w:val="16"/>
                <w:szCs w:val="16"/>
                <w:color w:val="auto"/>
              </w:rPr>
              <w:t>7,958</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438"/>
              <w:spacing w:after="0"/>
              <w:rPr>
                <w:sz w:val="20"/>
                <w:szCs w:val="20"/>
                <w:color w:val="auto"/>
              </w:rPr>
            </w:pPr>
            <w:r>
              <w:rPr>
                <w:rFonts w:ascii="Arial" w:cs="Arial" w:eastAsia="Arial" w:hAnsi="Arial"/>
                <w:sz w:val="16"/>
                <w:szCs w:val="16"/>
                <w:color w:val="auto"/>
              </w:rPr>
              <w:t>13,994</w:t>
            </w:r>
          </w:p>
        </w:tc>
        <w:tc>
          <w:tcPr>
            <w:tcW w:w="340" w:type="dxa"/>
            <w:vAlign w:val="bottom"/>
          </w:tcPr>
          <w:p>
            <w:pPr>
              <w:jc w:val="right"/>
              <w:ind w:right="158"/>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24,385</w:t>
            </w:r>
          </w:p>
        </w:tc>
        <w:tc>
          <w:tcPr>
            <w:tcW w:w="100" w:type="dxa"/>
            <w:vAlign w:val="bottom"/>
          </w:tcPr>
          <w:p>
            <w:pPr>
              <w:spacing w:after="0"/>
              <w:rPr>
                <w:sz w:val="16"/>
                <w:szCs w:val="16"/>
                <w:color w:val="auto"/>
              </w:rPr>
            </w:pPr>
          </w:p>
        </w:tc>
      </w:tr>
      <w:tr>
        <w:trPr>
          <w:trHeight w:val="190"/>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Short-term investments</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72,710</w:t>
            </w:r>
          </w:p>
        </w:tc>
        <w:tc>
          <w:tcPr>
            <w:tcW w:w="4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38"/>
              <w:spacing w:after="0"/>
              <w:rPr>
                <w:sz w:val="20"/>
                <w:szCs w:val="20"/>
                <w:color w:val="auto"/>
              </w:rPr>
            </w:pPr>
            <w:r>
              <w:rPr>
                <w:rFonts w:ascii="Arial" w:cs="Arial" w:eastAsia="Arial" w:hAnsi="Arial"/>
                <w:sz w:val="16"/>
                <w:szCs w:val="16"/>
                <w:color w:val="auto"/>
              </w:rPr>
              <w:t>54,981</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39,997</w:t>
            </w:r>
          </w:p>
        </w:tc>
        <w:tc>
          <w:tcPr>
            <w:tcW w:w="100" w:type="dxa"/>
            <w:vAlign w:val="bottom"/>
            <w:shd w:val="clear" w:color="auto" w:fill="CCEEFF"/>
          </w:tcPr>
          <w:p>
            <w:pPr>
              <w:spacing w:after="0"/>
              <w:rPr>
                <w:sz w:val="16"/>
                <w:szCs w:val="16"/>
                <w:color w:val="auto"/>
              </w:rPr>
            </w:pPr>
          </w:p>
        </w:tc>
      </w:tr>
      <w:tr>
        <w:trPr>
          <w:trHeight w:val="190"/>
        </w:trPr>
        <w:tc>
          <w:tcPr>
            <w:tcW w:w="6120" w:type="dxa"/>
            <w:vAlign w:val="bottom"/>
          </w:tcPr>
          <w:p>
            <w:pPr>
              <w:spacing w:after="0"/>
              <w:rPr>
                <w:sz w:val="20"/>
                <w:szCs w:val="20"/>
                <w:color w:val="auto"/>
              </w:rPr>
            </w:pPr>
            <w:r>
              <w:rPr>
                <w:rFonts w:ascii="Arial" w:cs="Arial" w:eastAsia="Arial" w:hAnsi="Arial"/>
                <w:sz w:val="16"/>
                <w:szCs w:val="16"/>
                <w:color w:val="auto"/>
              </w:rPr>
              <w:t>Working capital(3)</w:t>
            </w:r>
          </w:p>
        </w:tc>
        <w:tc>
          <w:tcPr>
            <w:tcW w:w="100" w:type="dxa"/>
            <w:vAlign w:val="bottom"/>
          </w:tcPr>
          <w:p>
            <w:pPr>
              <w:spacing w:after="0"/>
              <w:rPr>
                <w:sz w:val="16"/>
                <w:szCs w:val="16"/>
                <w:color w:val="auto"/>
              </w:rPr>
            </w:pPr>
          </w:p>
        </w:tc>
        <w:tc>
          <w:tcPr>
            <w:tcW w:w="820" w:type="dxa"/>
            <w:vAlign w:val="bottom"/>
          </w:tcPr>
          <w:p>
            <w:pPr>
              <w:jc w:val="right"/>
              <w:ind w:right="118"/>
              <w:spacing w:after="0"/>
              <w:rPr>
                <w:sz w:val="20"/>
                <w:szCs w:val="20"/>
                <w:color w:val="auto"/>
              </w:rPr>
            </w:pPr>
            <w:r>
              <w:rPr>
                <w:rFonts w:ascii="Arial" w:cs="Arial" w:eastAsia="Arial" w:hAnsi="Arial"/>
                <w:sz w:val="16"/>
                <w:szCs w:val="16"/>
                <w:color w:val="auto"/>
              </w:rPr>
              <w:t>81,742</w:t>
            </w:r>
          </w:p>
        </w:tc>
        <w:tc>
          <w:tcPr>
            <w:tcW w:w="440" w:type="dxa"/>
            <w:vAlign w:val="bottom"/>
          </w:tcPr>
          <w:p>
            <w:pPr>
              <w:spacing w:after="0"/>
              <w:rPr>
                <w:sz w:val="16"/>
                <w:szCs w:val="16"/>
                <w:color w:val="auto"/>
              </w:rPr>
            </w:pPr>
          </w:p>
        </w:tc>
        <w:tc>
          <w:tcPr>
            <w:tcW w:w="1180" w:type="dxa"/>
            <w:vAlign w:val="bottom"/>
            <w:gridSpan w:val="2"/>
          </w:tcPr>
          <w:p>
            <w:pPr>
              <w:jc w:val="right"/>
              <w:ind w:right="438"/>
              <w:spacing w:after="0"/>
              <w:rPr>
                <w:sz w:val="20"/>
                <w:szCs w:val="20"/>
                <w:color w:val="auto"/>
              </w:rPr>
            </w:pPr>
            <w:r>
              <w:rPr>
                <w:rFonts w:ascii="Arial" w:cs="Arial" w:eastAsia="Arial" w:hAnsi="Arial"/>
                <w:sz w:val="16"/>
                <w:szCs w:val="16"/>
                <w:color w:val="auto"/>
              </w:rPr>
              <w:t>69,900</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70,987</w:t>
            </w:r>
          </w:p>
        </w:tc>
        <w:tc>
          <w:tcPr>
            <w:tcW w:w="100" w:type="dxa"/>
            <w:vAlign w:val="bottom"/>
          </w:tcPr>
          <w:p>
            <w:pPr>
              <w:spacing w:after="0"/>
              <w:rPr>
                <w:sz w:val="16"/>
                <w:szCs w:val="16"/>
                <w:color w:val="auto"/>
              </w:rPr>
            </w:pPr>
          </w:p>
        </w:tc>
      </w:tr>
      <w:tr>
        <w:trPr>
          <w:trHeight w:val="190"/>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110,432</w:t>
            </w:r>
          </w:p>
        </w:tc>
        <w:tc>
          <w:tcPr>
            <w:tcW w:w="4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38"/>
              <w:spacing w:after="0"/>
              <w:rPr>
                <w:sz w:val="20"/>
                <w:szCs w:val="20"/>
                <w:color w:val="auto"/>
              </w:rPr>
            </w:pPr>
            <w:r>
              <w:rPr>
                <w:rFonts w:ascii="Arial" w:cs="Arial" w:eastAsia="Arial" w:hAnsi="Arial"/>
                <w:sz w:val="16"/>
                <w:szCs w:val="16"/>
                <w:color w:val="auto"/>
              </w:rPr>
              <w:t>100,677</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96,291</w:t>
            </w:r>
          </w:p>
        </w:tc>
        <w:tc>
          <w:tcPr>
            <w:tcW w:w="100" w:type="dxa"/>
            <w:vAlign w:val="bottom"/>
            <w:shd w:val="clear" w:color="auto" w:fill="CCEEFF"/>
          </w:tcPr>
          <w:p>
            <w:pPr>
              <w:spacing w:after="0"/>
              <w:rPr>
                <w:sz w:val="16"/>
                <w:szCs w:val="16"/>
                <w:color w:val="auto"/>
              </w:rPr>
            </w:pPr>
          </w:p>
        </w:tc>
      </w:tr>
      <w:tr>
        <w:trPr>
          <w:trHeight w:val="190"/>
        </w:trPr>
        <w:tc>
          <w:tcPr>
            <w:tcW w:w="6120" w:type="dxa"/>
            <w:vAlign w:val="bottom"/>
          </w:tcPr>
          <w:p>
            <w:pPr>
              <w:spacing w:after="0"/>
              <w:rPr>
                <w:sz w:val="20"/>
                <w:szCs w:val="20"/>
                <w:color w:val="auto"/>
              </w:rPr>
            </w:pPr>
            <w:r>
              <w:rPr>
                <w:rFonts w:ascii="Arial" w:cs="Arial" w:eastAsia="Arial" w:hAnsi="Arial"/>
                <w:sz w:val="16"/>
                <w:szCs w:val="16"/>
                <w:color w:val="auto"/>
              </w:rPr>
              <w:t>Total liabilities</w:t>
            </w:r>
          </w:p>
        </w:tc>
        <w:tc>
          <w:tcPr>
            <w:tcW w:w="100" w:type="dxa"/>
            <w:vAlign w:val="bottom"/>
          </w:tcPr>
          <w:p>
            <w:pPr>
              <w:spacing w:after="0"/>
              <w:rPr>
                <w:sz w:val="16"/>
                <w:szCs w:val="16"/>
                <w:color w:val="auto"/>
              </w:rPr>
            </w:pPr>
          </w:p>
        </w:tc>
        <w:tc>
          <w:tcPr>
            <w:tcW w:w="820" w:type="dxa"/>
            <w:vAlign w:val="bottom"/>
          </w:tcPr>
          <w:p>
            <w:pPr>
              <w:jc w:val="right"/>
              <w:ind w:right="118"/>
              <w:spacing w:after="0"/>
              <w:rPr>
                <w:sz w:val="20"/>
                <w:szCs w:val="20"/>
                <w:color w:val="auto"/>
              </w:rPr>
            </w:pPr>
            <w:r>
              <w:rPr>
                <w:rFonts w:ascii="Arial" w:cs="Arial" w:eastAsia="Arial" w:hAnsi="Arial"/>
                <w:sz w:val="16"/>
                <w:szCs w:val="16"/>
                <w:color w:val="auto"/>
              </w:rPr>
              <w:t>87,462</w:t>
            </w:r>
          </w:p>
        </w:tc>
        <w:tc>
          <w:tcPr>
            <w:tcW w:w="440" w:type="dxa"/>
            <w:vAlign w:val="bottom"/>
          </w:tcPr>
          <w:p>
            <w:pPr>
              <w:spacing w:after="0"/>
              <w:rPr>
                <w:sz w:val="16"/>
                <w:szCs w:val="16"/>
                <w:color w:val="auto"/>
              </w:rPr>
            </w:pPr>
          </w:p>
        </w:tc>
        <w:tc>
          <w:tcPr>
            <w:tcW w:w="1180" w:type="dxa"/>
            <w:vAlign w:val="bottom"/>
            <w:gridSpan w:val="2"/>
          </w:tcPr>
          <w:p>
            <w:pPr>
              <w:jc w:val="right"/>
              <w:ind w:right="438"/>
              <w:spacing w:after="0"/>
              <w:rPr>
                <w:sz w:val="20"/>
                <w:szCs w:val="20"/>
                <w:color w:val="auto"/>
              </w:rPr>
            </w:pPr>
            <w:r>
              <w:rPr>
                <w:rFonts w:ascii="Arial" w:cs="Arial" w:eastAsia="Arial" w:hAnsi="Arial"/>
                <w:sz w:val="16"/>
                <w:szCs w:val="16"/>
                <w:color w:val="auto"/>
              </w:rPr>
              <w:t>44,906</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44,890</w:t>
            </w:r>
          </w:p>
        </w:tc>
        <w:tc>
          <w:tcPr>
            <w:tcW w:w="100" w:type="dxa"/>
            <w:vAlign w:val="bottom"/>
          </w:tcPr>
          <w:p>
            <w:pPr>
              <w:spacing w:after="0"/>
              <w:rPr>
                <w:sz w:val="16"/>
                <w:szCs w:val="16"/>
                <w:color w:val="auto"/>
              </w:rPr>
            </w:pPr>
          </w:p>
        </w:tc>
      </w:tr>
      <w:tr>
        <w:trPr>
          <w:trHeight w:val="190"/>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Redeemable common stock</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56,422</w:t>
            </w:r>
          </w:p>
        </w:tc>
        <w:tc>
          <w:tcPr>
            <w:tcW w:w="4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38"/>
              <w:spacing w:after="0"/>
              <w:rPr>
                <w:sz w:val="20"/>
                <w:szCs w:val="20"/>
                <w:color w:val="auto"/>
              </w:rPr>
            </w:pPr>
            <w:r>
              <w:rPr>
                <w:rFonts w:ascii="Arial" w:cs="Arial" w:eastAsia="Arial" w:hAnsi="Arial"/>
                <w:sz w:val="16"/>
                <w:szCs w:val="16"/>
                <w:color w:val="auto"/>
              </w:rPr>
              <w:t>80,780</w:t>
            </w:r>
          </w:p>
        </w:tc>
        <w:tc>
          <w:tcPr>
            <w:tcW w:w="3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0"/>
        </w:trPr>
        <w:tc>
          <w:tcPr>
            <w:tcW w:w="6120" w:type="dxa"/>
            <w:vAlign w:val="bottom"/>
          </w:tcPr>
          <w:p>
            <w:pPr>
              <w:spacing w:after="0"/>
              <w:rPr>
                <w:sz w:val="20"/>
                <w:szCs w:val="20"/>
                <w:color w:val="auto"/>
              </w:rPr>
            </w:pPr>
            <w:r>
              <w:rPr>
                <w:rFonts w:ascii="Arial" w:cs="Arial" w:eastAsia="Arial" w:hAnsi="Arial"/>
                <w:sz w:val="16"/>
                <w:szCs w:val="16"/>
                <w:color w:val="auto"/>
              </w:rPr>
              <w:t>Redeemable convertible preferred stock</w:t>
            </w:r>
          </w:p>
        </w:tc>
        <w:tc>
          <w:tcPr>
            <w:tcW w:w="100" w:type="dxa"/>
            <w:vAlign w:val="bottom"/>
          </w:tcPr>
          <w:p>
            <w:pPr>
              <w:spacing w:after="0"/>
              <w:rPr>
                <w:sz w:val="16"/>
                <w:szCs w:val="16"/>
                <w:color w:val="auto"/>
              </w:rPr>
            </w:pPr>
          </w:p>
        </w:tc>
        <w:tc>
          <w:tcPr>
            <w:tcW w:w="820" w:type="dxa"/>
            <w:vAlign w:val="bottom"/>
          </w:tcPr>
          <w:p>
            <w:pPr>
              <w:jc w:val="right"/>
              <w:ind w:right="118"/>
              <w:spacing w:after="0"/>
              <w:rPr>
                <w:sz w:val="20"/>
                <w:szCs w:val="20"/>
                <w:color w:val="auto"/>
              </w:rPr>
            </w:pPr>
            <w:r>
              <w:rPr>
                <w:rFonts w:ascii="Arial" w:cs="Arial" w:eastAsia="Arial" w:hAnsi="Arial"/>
                <w:sz w:val="16"/>
                <w:szCs w:val="16"/>
                <w:color w:val="auto"/>
              </w:rPr>
              <w:t>327,581</w:t>
            </w:r>
          </w:p>
        </w:tc>
        <w:tc>
          <w:tcPr>
            <w:tcW w:w="440" w:type="dxa"/>
            <w:vAlign w:val="bottom"/>
          </w:tcPr>
          <w:p>
            <w:pPr>
              <w:spacing w:after="0"/>
              <w:rPr>
                <w:sz w:val="16"/>
                <w:szCs w:val="16"/>
                <w:color w:val="auto"/>
              </w:rPr>
            </w:pPr>
          </w:p>
        </w:tc>
        <w:tc>
          <w:tcPr>
            <w:tcW w:w="1180" w:type="dxa"/>
            <w:vAlign w:val="bottom"/>
            <w:gridSpan w:val="2"/>
          </w:tcPr>
          <w:p>
            <w:pPr>
              <w:jc w:val="right"/>
              <w:ind w:right="438"/>
              <w:spacing w:after="0"/>
              <w:rPr>
                <w:sz w:val="20"/>
                <w:szCs w:val="20"/>
                <w:color w:val="auto"/>
              </w:rPr>
            </w:pPr>
            <w:r>
              <w:rPr>
                <w:rFonts w:ascii="Arial" w:cs="Arial" w:eastAsia="Arial" w:hAnsi="Arial"/>
                <w:sz w:val="16"/>
                <w:szCs w:val="16"/>
                <w:color w:val="auto"/>
              </w:rPr>
              <w:t>353,300</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353,300</w:t>
            </w:r>
          </w:p>
        </w:tc>
        <w:tc>
          <w:tcPr>
            <w:tcW w:w="100" w:type="dxa"/>
            <w:vAlign w:val="bottom"/>
          </w:tcPr>
          <w:p>
            <w:pPr>
              <w:spacing w:after="0"/>
              <w:rPr>
                <w:sz w:val="16"/>
                <w:szCs w:val="16"/>
                <w:color w:val="auto"/>
              </w:rPr>
            </w:pPr>
          </w:p>
        </w:tc>
      </w:tr>
      <w:tr>
        <w:trPr>
          <w:trHeight w:val="190"/>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 stock and additional paid-in capital</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3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136,311</w:t>
            </w:r>
          </w:p>
        </w:tc>
        <w:tc>
          <w:tcPr>
            <w:tcW w:w="100" w:type="dxa"/>
            <w:vAlign w:val="bottom"/>
            <w:shd w:val="clear" w:color="auto" w:fill="CCEEFF"/>
          </w:tcPr>
          <w:p>
            <w:pPr>
              <w:spacing w:after="0"/>
              <w:rPr>
                <w:sz w:val="16"/>
                <w:szCs w:val="16"/>
                <w:color w:val="auto"/>
              </w:rPr>
            </w:pPr>
          </w:p>
        </w:tc>
      </w:tr>
      <w:tr>
        <w:trPr>
          <w:trHeight w:val="190"/>
        </w:trPr>
        <w:tc>
          <w:tcPr>
            <w:tcW w:w="6120" w:type="dxa"/>
            <w:vAlign w:val="bottom"/>
          </w:tcPr>
          <w:p>
            <w:pPr>
              <w:spacing w:after="0"/>
              <w:rPr>
                <w:sz w:val="20"/>
                <w:szCs w:val="20"/>
                <w:color w:val="auto"/>
              </w:rPr>
            </w:pPr>
            <w:r>
              <w:rPr>
                <w:rFonts w:ascii="Arial" w:cs="Arial" w:eastAsia="Arial" w:hAnsi="Arial"/>
                <w:sz w:val="16"/>
                <w:szCs w:val="16"/>
                <w:color w:val="auto"/>
              </w:rPr>
              <w:t>Accumulated deficit</w:t>
            </w:r>
          </w:p>
        </w:tc>
        <w:tc>
          <w:tcPr>
            <w:tcW w:w="920" w:type="dxa"/>
            <w:vAlign w:val="bottom"/>
            <w:gridSpan w:val="2"/>
          </w:tcPr>
          <w:p>
            <w:pPr>
              <w:jc w:val="right"/>
              <w:ind w:right="58"/>
              <w:spacing w:after="0"/>
              <w:rPr>
                <w:sz w:val="20"/>
                <w:szCs w:val="20"/>
                <w:color w:val="auto"/>
              </w:rPr>
            </w:pPr>
            <w:r>
              <w:rPr>
                <w:rFonts w:ascii="Arial" w:cs="Arial" w:eastAsia="Arial" w:hAnsi="Arial"/>
                <w:sz w:val="16"/>
                <w:szCs w:val="16"/>
                <w:color w:val="auto"/>
              </w:rPr>
              <w:t>(419,855)</w:t>
            </w:r>
          </w:p>
        </w:tc>
        <w:tc>
          <w:tcPr>
            <w:tcW w:w="440" w:type="dxa"/>
            <w:vAlign w:val="bottom"/>
          </w:tcPr>
          <w:p>
            <w:pPr>
              <w:spacing w:after="0"/>
              <w:rPr>
                <w:sz w:val="16"/>
                <w:szCs w:val="16"/>
                <w:color w:val="auto"/>
              </w:rPr>
            </w:pPr>
          </w:p>
        </w:tc>
        <w:tc>
          <w:tcPr>
            <w:tcW w:w="1180" w:type="dxa"/>
            <w:vAlign w:val="bottom"/>
            <w:gridSpan w:val="2"/>
          </w:tcPr>
          <w:p>
            <w:pPr>
              <w:jc w:val="right"/>
              <w:ind w:right="378"/>
              <w:spacing w:after="0"/>
              <w:rPr>
                <w:sz w:val="20"/>
                <w:szCs w:val="20"/>
                <w:color w:val="auto"/>
              </w:rPr>
            </w:pPr>
            <w:r>
              <w:rPr>
                <w:rFonts w:ascii="Arial" w:cs="Arial" w:eastAsia="Arial" w:hAnsi="Arial"/>
                <w:sz w:val="16"/>
                <w:szCs w:val="16"/>
                <w:color w:val="auto"/>
              </w:rPr>
              <w:t>(430,588)</w:t>
            </w:r>
          </w:p>
        </w:tc>
        <w:tc>
          <w:tcPr>
            <w:tcW w:w="3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(437,393)</w:t>
            </w:r>
          </w:p>
        </w:tc>
      </w:tr>
      <w:tr>
        <w:trPr>
          <w:trHeight w:val="190"/>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stockholders’ (deficit)</w:t>
            </w:r>
          </w:p>
        </w:tc>
        <w:tc>
          <w:tcPr>
            <w:tcW w:w="92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(419,809)</w:t>
            </w:r>
          </w:p>
        </w:tc>
        <w:tc>
          <w:tcPr>
            <w:tcW w:w="4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78"/>
              <w:spacing w:after="0"/>
              <w:rPr>
                <w:sz w:val="20"/>
                <w:szCs w:val="20"/>
                <w:color w:val="auto"/>
              </w:rPr>
            </w:pPr>
            <w:r>
              <w:rPr>
                <w:rFonts w:ascii="Arial" w:cs="Arial" w:eastAsia="Arial" w:hAnsi="Arial"/>
                <w:sz w:val="16"/>
                <w:szCs w:val="16"/>
                <w:color w:val="auto"/>
              </w:rPr>
              <w:t>(430,591)</w:t>
            </w:r>
          </w:p>
        </w:tc>
        <w:tc>
          <w:tcPr>
            <w:tcW w:w="3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(301,899)</w:t>
            </w:r>
          </w:p>
        </w:tc>
      </w:tr>
    </w:tbl>
    <w:p>
      <w:pPr>
        <w:spacing w:after="0" w:line="25" w:lineRule="exact"/>
        <w:rPr>
          <w:sz w:val="20"/>
          <w:szCs w:val="20"/>
          <w:color w:val="auto"/>
        </w:rPr>
      </w:pPr>
    </w:p>
    <w:p>
      <w:pPr>
        <w:ind w:left="900" w:right="40" w:hanging="277"/>
        <w:spacing w:after="0" w:line="229" w:lineRule="auto"/>
        <w:tabs>
          <w:tab w:leader="none" w:pos="9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table above presents the actual balance sheet at March 31, 2021 and the pro forma balance sheet data gives effect to the cash exercise of 225,945 warrants to purchase Series H Preferred Stock and the conversion of all outstanding shares of our convertible preferred stock at March 31, 2021 into an aggregate of 14,850,993 shares of common stock, which will occur immediately prior to the completion of this offering, and the filing and effectiveness of our amended and restated certificate of incorporation.</w:t>
      </w:r>
    </w:p>
    <w:p>
      <w:pPr>
        <w:spacing w:after="0" w:line="12" w:lineRule="exact"/>
        <w:rPr>
          <w:rFonts w:ascii="Arial" w:cs="Arial" w:eastAsia="Arial" w:hAnsi="Arial"/>
          <w:sz w:val="13"/>
          <w:szCs w:val="13"/>
          <w:color w:val="auto"/>
        </w:rPr>
      </w:pPr>
    </w:p>
    <w:p>
      <w:pPr>
        <w:ind w:left="900" w:right="400" w:hanging="277"/>
        <w:spacing w:after="0" w:line="230" w:lineRule="auto"/>
        <w:tabs>
          <w:tab w:leader="none" w:pos="9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Reflects the pro forma adjustments described in footnote (1) above and the receipt of estimated net proceeds of $106.6 million from the issuance and sale of shares of common stock in this offering at the initial public offering price of 16.00 per share, after deducting the underwriting discounts and commissions and estimated offering expenses payable by us.</w:t>
      </w:r>
    </w:p>
    <w:p>
      <w:pPr>
        <w:spacing w:after="0" w:line="13" w:lineRule="exact"/>
        <w:rPr>
          <w:rFonts w:ascii="Arial" w:cs="Arial" w:eastAsia="Arial" w:hAnsi="Arial"/>
          <w:sz w:val="13"/>
          <w:szCs w:val="13"/>
          <w:color w:val="auto"/>
        </w:rPr>
      </w:pPr>
    </w:p>
    <w:p>
      <w:pPr>
        <w:ind w:left="900" w:right="280" w:hanging="277"/>
        <w:spacing w:after="0" w:line="268" w:lineRule="auto"/>
        <w:tabs>
          <w:tab w:leader="none" w:pos="9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We define working capital as current assets less current liabilities. See our audited consolidated financial statements and related notes and unaudited interim condensed consolidated financial statements and related notes appearing at the end of this prospectus for further details regarding our current assets and current liabilities.</w:t>
      </w:r>
    </w:p>
    <w:p>
      <w:pPr>
        <w:spacing w:after="0" w:line="12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620"/>
          </w:cols>
          <w:pgMar w:left="320" w:top="441" w:right="95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Risk factors</w:t>
      </w:r>
    </w:p>
    <w:p>
      <w:pPr>
        <w:spacing w:after="0" w:line="133"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described below, as well as the other information in this prospectus, including our financial statements and the related notes and the section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if one or more of these risks or uncertainties actually occur, and you may lose all or part of your investment. Additional risks and uncertainties not presently known to us or that we currently deem immaterial may also impair our business operations and the market price of our common stock. Certain statements below are forward-looking statements. See the section titled “Special Note Regarding Forward-Looking Statements” appearing elsewhere in this prospectus.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Summary of principal risk factors</w:t>
      </w:r>
    </w:p>
    <w:p>
      <w:pPr>
        <w:spacing w:after="0" w:line="133" w:lineRule="exact"/>
        <w:rPr>
          <w:sz w:val="20"/>
          <w:szCs w:val="20"/>
          <w:color w:val="auto"/>
        </w:rPr>
      </w:pPr>
    </w:p>
    <w:p>
      <w:pPr>
        <w:ind w:left="460" w:right="20"/>
        <w:spacing w:after="0" w:line="265" w:lineRule="auto"/>
        <w:rPr>
          <w:sz w:val="20"/>
          <w:szCs w:val="20"/>
          <w:color w:val="auto"/>
        </w:rPr>
      </w:pPr>
      <w:r>
        <w:rPr>
          <w:rFonts w:ascii="Arial" w:cs="Arial" w:eastAsia="Arial" w:hAnsi="Arial"/>
          <w:sz w:val="16"/>
          <w:szCs w:val="16"/>
          <w:color w:val="auto"/>
        </w:rPr>
        <w:t>The following risks and uncertainties are among the most significant we face. However, the risks and uncertainties identified in this subsection are not the only ones we face and are qualified in their entirety by reference to all of the risk factors described herein.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Risks related to our business and products</w:t>
      </w:r>
    </w:p>
    <w:p>
      <w:pPr>
        <w:spacing w:after="0" w:line="145" w:lineRule="exact"/>
        <w:rPr>
          <w:sz w:val="20"/>
          <w:szCs w:val="20"/>
          <w:color w:val="auto"/>
        </w:rPr>
      </w:pPr>
    </w:p>
    <w:p>
      <w:pPr>
        <w:ind w:left="660" w:right="480" w:hanging="209"/>
        <w:spacing w:after="0" w:line="265"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have a limited operating history, and if we fail to effectively train our sales force, increase our sales and marketing capabilities, or develop broad brand awareness in a cost-effective manner, our growth will be impeded, and our business will suffer.</w:t>
      </w:r>
    </w:p>
    <w:p>
      <w:pPr>
        <w:spacing w:after="0" w:line="88" w:lineRule="exact"/>
        <w:rPr>
          <w:rFonts w:ascii="Arial" w:cs="Arial" w:eastAsia="Arial" w:hAnsi="Arial"/>
          <w:sz w:val="16"/>
          <w:szCs w:val="16"/>
          <w:color w:val="auto"/>
        </w:rPr>
      </w:pPr>
    </w:p>
    <w:p>
      <w:pPr>
        <w:ind w:left="660" w:right="700" w:hanging="209"/>
        <w:spacing w:after="0" w:line="265"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have a history of net operating losses, and we expect to continue to incur losses for the foreseeable future. If we ever achieve profitability, we may not be able to sustain it.</w:t>
      </w:r>
    </w:p>
    <w:p>
      <w:pPr>
        <w:spacing w:after="0" w:line="88" w:lineRule="exact"/>
        <w:rPr>
          <w:rFonts w:ascii="Arial" w:cs="Arial" w:eastAsia="Arial" w:hAnsi="Arial"/>
          <w:sz w:val="16"/>
          <w:szCs w:val="16"/>
          <w:color w:val="auto"/>
        </w:rPr>
      </w:pPr>
    </w:p>
    <w:p>
      <w:pPr>
        <w:ind w:left="660" w:right="560" w:hanging="209"/>
        <w:spacing w:after="0" w:line="265"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88" w:lineRule="exact"/>
        <w:rPr>
          <w:rFonts w:ascii="Arial" w:cs="Arial" w:eastAsia="Arial" w:hAnsi="Arial"/>
          <w:sz w:val="16"/>
          <w:szCs w:val="16"/>
          <w:color w:val="auto"/>
        </w:rPr>
      </w:pPr>
    </w:p>
    <w:p>
      <w:pPr>
        <w:ind w:left="660" w:right="140" w:hanging="209"/>
        <w:spacing w:after="0" w:line="265"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face significant competition, and if we are unable to compete effectively, we may not be able to achieve or maintain significant market penetration or improve our results of operations.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Risks related to intellectual property</w:t>
      </w:r>
    </w:p>
    <w:p>
      <w:pPr>
        <w:spacing w:after="0" w:line="145" w:lineRule="exact"/>
        <w:rPr>
          <w:sz w:val="20"/>
          <w:szCs w:val="20"/>
          <w:color w:val="auto"/>
        </w:rPr>
      </w:pPr>
    </w:p>
    <w:p>
      <w:pPr>
        <w:ind w:left="660" w:right="140" w:hanging="209"/>
        <w:spacing w:after="0" w:line="256"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95" w:lineRule="exact"/>
        <w:rPr>
          <w:rFonts w:ascii="Arial" w:cs="Arial" w:eastAsia="Arial" w:hAnsi="Arial"/>
          <w:sz w:val="16"/>
          <w:szCs w:val="16"/>
          <w:color w:val="auto"/>
        </w:rPr>
      </w:pPr>
    </w:p>
    <w:p>
      <w:pPr>
        <w:ind w:left="660" w:right="160" w:hanging="209"/>
        <w:spacing w:after="0" w:line="265"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we are unable to protect the confidentiality of our trade secrets and other proprietary information, our business and competitive position may be harmed.</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not be able to protect our intellectual property rights throughout the world, which could impair our business.</w:t>
      </w:r>
    </w:p>
    <w:p>
      <w:pPr>
        <w:spacing w:after="0" w:line="146"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780"/>
          </w:cols>
          <w:pgMar w:left="320" w:top="441" w:right="79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Risks related to government regulation</w:t>
      </w:r>
    </w:p>
    <w:p>
      <w:pPr>
        <w:spacing w:after="0" w:line="145" w:lineRule="exact"/>
        <w:rPr>
          <w:sz w:val="20"/>
          <w:szCs w:val="20"/>
          <w:color w:val="auto"/>
        </w:rPr>
      </w:pPr>
    </w:p>
    <w:p>
      <w:pPr>
        <w:ind w:left="660" w:right="420" w:hanging="209"/>
        <w:spacing w:after="0" w:line="265"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we fail to obtain and maintain necessary regulatory clearances or approvals for our products, or if clearances or approvals for future products and indications are delayed or not issued, our commercial operations may be harmed.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Risks related to reliance on third parties</w:t>
      </w:r>
    </w:p>
    <w:p>
      <w:pPr>
        <w:spacing w:after="0" w:line="145" w:lineRule="exact"/>
        <w:rPr>
          <w:sz w:val="20"/>
          <w:szCs w:val="20"/>
          <w:color w:val="auto"/>
        </w:rPr>
      </w:pPr>
    </w:p>
    <w:p>
      <w:pPr>
        <w:ind w:left="660" w:right="360" w:hanging="209"/>
        <w:spacing w:after="0" w:line="265"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depend on third parties, including single and sole source suppliers, to manufacture certain components and subcomponents of the RxSight system, making us vulnerable to supply disruptions and price fluctuations.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Risks related to our common stock and to this offering</w:t>
      </w:r>
    </w:p>
    <w:p>
      <w:pPr>
        <w:spacing w:after="0" w:line="145" w:lineRule="exact"/>
        <w:rPr>
          <w:sz w:val="20"/>
          <w:szCs w:val="20"/>
          <w:color w:val="auto"/>
        </w:rPr>
      </w:pPr>
    </w:p>
    <w:p>
      <w:pPr>
        <w:ind w:left="660" w:hanging="209"/>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price of our stock may be volatile, and you could lose all or part of your investment.</w:t>
      </w:r>
    </w:p>
    <w:p>
      <w:pPr>
        <w:spacing w:after="0" w:line="120" w:lineRule="exact"/>
        <w:rPr>
          <w:rFonts w:ascii="Arial" w:cs="Arial" w:eastAsia="Arial" w:hAnsi="Arial"/>
          <w:sz w:val="16"/>
          <w:szCs w:val="16"/>
          <w:color w:val="auto"/>
        </w:rPr>
      </w:pPr>
    </w:p>
    <w:p>
      <w:pPr>
        <w:ind w:left="660" w:hanging="209"/>
        <w:spacing w:after="0" w:line="256"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do not know whether an active, liquid and orderly trading market will develop for our common stock or what the market price of our common stock will be and as a result it may be difficult for you to sell your shares of our common stock or the price at which you are able to sell may not be at or above the initial public.</w:t>
      </w:r>
    </w:p>
    <w:p>
      <w:pPr>
        <w:spacing w:after="0" w:line="95" w:lineRule="exact"/>
        <w:rPr>
          <w:rFonts w:ascii="Arial" w:cs="Arial" w:eastAsia="Arial" w:hAnsi="Arial"/>
          <w:sz w:val="16"/>
          <w:szCs w:val="16"/>
          <w:color w:val="auto"/>
        </w:rPr>
      </w:pPr>
    </w:p>
    <w:p>
      <w:pPr>
        <w:ind w:left="660" w:right="400" w:hanging="209"/>
        <w:spacing w:after="0" w:line="265"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principal stockholders and management own a significant percentage of our stock and will be able to exert significant control over matters subject to stockholder approval.</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Risks related to COVID-19</w:t>
      </w:r>
    </w:p>
    <w:p>
      <w:pPr>
        <w:spacing w:after="0" w:line="145" w:lineRule="exact"/>
        <w:rPr>
          <w:sz w:val="20"/>
          <w:szCs w:val="20"/>
          <w:color w:val="auto"/>
        </w:rPr>
      </w:pPr>
    </w:p>
    <w:p>
      <w:pPr>
        <w:ind w:left="660" w:right="180" w:hanging="209"/>
        <w:spacing w:after="0" w:line="265"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business, financial condition, results of operations and growth have been harmed by the effects of the COVID-19 pandemic and may continue to be harmed.</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General risk factors</w:t>
      </w:r>
    </w:p>
    <w:p>
      <w:pPr>
        <w:spacing w:after="0" w:line="145" w:lineRule="exact"/>
        <w:rPr>
          <w:sz w:val="20"/>
          <w:szCs w:val="20"/>
          <w:color w:val="auto"/>
        </w:rPr>
      </w:pPr>
    </w:p>
    <w:p>
      <w:pPr>
        <w:ind w:left="660" w:right="40" w:hanging="209"/>
        <w:spacing w:after="0" w:line="265"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must recruit, retain, manage and motivate qualified executives as we build out the management team, and we are highly dependent on our management team.</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Future litigation proceedings may adversely affect our business.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Risks related to our business and products</w:t>
      </w:r>
    </w:p>
    <w:p>
      <w:pPr>
        <w:spacing w:after="0" w:line="113"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b w:val="1"/>
          <w:bCs w:val="1"/>
          <w:i w:val="1"/>
          <w:iCs w:val="1"/>
          <w:color w:val="auto"/>
        </w:rPr>
        <w:t>We have a limited operating history and if we fail to effectively train our sales force, increase our sales and marketing capabilities or develop broad brand awareness in a cost-effective manner, our growth will be impeded, and our business will suffer.</w:t>
      </w:r>
    </w:p>
    <w:p>
      <w:pPr>
        <w:spacing w:after="0" w:line="56"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We were incorporated in March 1997 and began commercializing our products in the second half of 2019, when we initiated a full launch of our light adjustable lenses and light delivery devices. Accordingly, our limited commercialization experience and limited number of approved or cleared products make it difficult to evaluate our current business and assess our prospects. We also currently have limited sales and marketing experience. If we are unable to establish or scale effective sales and marketing capabilities, or if we are unable to commercialize any of our products, we may not be able to generate sufficient product revenue, sustain revenue growth and compete effectively. In order to generate future growth, we plan to continue to expand and leverage our sales and marketing infrastructure to increase our customer base and grow our business.</w:t>
      </w:r>
    </w:p>
    <w:p>
      <w:pPr>
        <w:spacing w:after="0" w:line="31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780"/>
          </w:cols>
          <w:pgMar w:left="320" w:top="441" w:right="79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Identifying and recruiting qualified sales and marketing personnel and training them on our product, applicable federal and state laws and regulations, and on our internal policies and procedures requires significant time, expense and attention. It often takes several months or more before a sales representative is fully trained and productive. Our business may be harmed if our efforts to expand and train our sales force do not generate a corresponding increase in revenue, or in the event we are unable to reduce costs in the face of an unexpected decline in demand for our products. Any failure to hire, develop and retain talented sales and marketing personnel, to achieve desired productivity levels in a reasonable timeframe or timely leverage our fixed costs could have a material adverse effect on our business, financial condition and results of operations. Moreover, the members of our direct sales force are at-will employees. The loss of these personnel to competitors or otherwise could materially harm our business. If we are unable to retain our direct sales force personnel or replace them with individuals of equivalent technical expertise and qualifications, or if we are unable to successfully instill technical expertise in replacement personnel, our revenue and results of operations could be materially harmed.</w:t>
      </w:r>
    </w:p>
    <w:p>
      <w:pPr>
        <w:spacing w:after="0" w:line="94" w:lineRule="exact"/>
        <w:rPr>
          <w:sz w:val="20"/>
          <w:szCs w:val="20"/>
          <w:color w:val="auto"/>
        </w:rPr>
      </w:pPr>
    </w:p>
    <w:p>
      <w:pPr>
        <w:ind w:left="460" w:right="100"/>
        <w:spacing w:after="0" w:line="250" w:lineRule="auto"/>
        <w:rPr>
          <w:sz w:val="20"/>
          <w:szCs w:val="20"/>
          <w:color w:val="auto"/>
        </w:rPr>
      </w:pPr>
      <w:r>
        <w:rPr>
          <w:rFonts w:ascii="Arial" w:cs="Arial" w:eastAsia="Arial" w:hAnsi="Arial"/>
          <w:sz w:val="16"/>
          <w:szCs w:val="16"/>
          <w:color w:val="auto"/>
        </w:rPr>
        <w:t>Our ability to increase our customer base and achieve broader market acceptance of our products will also depend to a significant extent on our ability to expand our marketing efforts. Our business may be harmed if our marketing efforts and expenditures do not generate a corresponding increase in revenue. In addition, we believe that developing and maintaining broad awareness of our brand in a cost-effective manner is critical to achieving broad acceptance of our products and penetrating new customer accounts. Brand promotion activities may not generate patient or doctor awareness or increased revenue, and even if they do, any increase in revenue may not offset the costs and expenses we incur in building our brand. If we fail to successfully promote, maintain and protect our brand, we may fail to attract or retain the doctor acceptance necessary to realize a sufficient return on our brand building efforts, or to achieve the level of brand awareness that is critical for broad adoption of our products.</w:t>
      </w:r>
    </w:p>
    <w:p>
      <w:pPr>
        <w:spacing w:after="0" w:line="90" w:lineRule="exact"/>
        <w:rPr>
          <w:sz w:val="20"/>
          <w:szCs w:val="20"/>
          <w:color w:val="auto"/>
        </w:rPr>
      </w:pPr>
    </w:p>
    <w:p>
      <w:pPr>
        <w:ind w:left="460" w:right="140"/>
        <w:spacing w:after="0" w:line="250" w:lineRule="auto"/>
        <w:rPr>
          <w:sz w:val="20"/>
          <w:szCs w:val="20"/>
          <w:color w:val="auto"/>
        </w:rPr>
      </w:pPr>
      <w:r>
        <w:rPr>
          <w:rFonts w:ascii="Arial" w:cs="Arial" w:eastAsia="Arial" w:hAnsi="Arial"/>
          <w:sz w:val="16"/>
          <w:szCs w:val="16"/>
          <w:color w:val="auto"/>
        </w:rPr>
        <w:t>These factors also make it difficult for us to forecast our financial performance and growth, and such forecasts are subject to a number of uncertainties, including our ability to successfully develop additional products that add functionality, reduce the cost of products sold, and broaden our commercial portfolio offerings and our ability to obtain the required regulatory approvals and clearances under applicable law both domestically and internationally, including FDA 510(k) clearance or pre-market approval, or PMA, for, and successfully commercialize, market and sell, our planned or future products in the United States or in international markets.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spacing w:after="0" w:line="261"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b w:val="1"/>
          <w:bCs w:val="1"/>
          <w:i w:val="1"/>
          <w:iCs w:val="1"/>
          <w:color w:val="auto"/>
        </w:rPr>
        <w:t>We have a history of net losses, and we expect to continue to incur losses for the foreseeable future. If we ever achieve profitability, we may not be able to sustain it.</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incurred losses from operations since our inception and expect to continue to incur losses from operations for the foreseeable future.</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reported losses from operations of $46.1 million and $35.4 million for the years ended December 31, 2019 and 2020, respectively, and</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$11.1 million for the three months ended March 31, 2021. As a result of these losses, as of March 31, 2021, we had an accumulated deficit of</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$437.4 million. We expect to continue to incur significant sales and marketing, research and development, regulatory and other expenses as</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expand our marketing efforts to increase adoption of our products, expand existing relationships with our customers, obtain regulatory</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clearances or approvals for our planned or future products, conduct clinical trials on our existing and planned or future products and develop</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new products or add new features to our existing products. In addition, we expect our general and administrative expenses to increase</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this offering due to the additional costs associated with being a public company.</w:t>
      </w:r>
    </w:p>
    <w:p>
      <w:pPr>
        <w:spacing w:after="0" w:line="14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800"/>
          </w:cols>
          <w:pgMar w:left="320" w:top="441" w:right="77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left="460" w:right="40"/>
        <w:spacing w:after="0" w:line="256" w:lineRule="auto"/>
        <w:rPr>
          <w:sz w:val="20"/>
          <w:szCs w:val="20"/>
          <w:color w:val="auto"/>
        </w:rPr>
      </w:pPr>
      <w:r>
        <w:rPr>
          <w:rFonts w:ascii="Arial" w:cs="Arial" w:eastAsia="Arial" w:hAnsi="Arial"/>
          <w:sz w:val="16"/>
          <w:szCs w:val="16"/>
          <w:color w:val="auto"/>
        </w:rPr>
        <w:t>The net losses that we incur may fluctuate significantly from period to period. We will need to generate significant additional revenue in order to achieve and sustain profitability. Even if we achieve profitability, we cannot be sure that we will remain profitable for any substantial period of time.</w:t>
      </w:r>
    </w:p>
    <w:p>
      <w:pPr>
        <w:spacing w:after="0" w:line="63" w:lineRule="exact"/>
        <w:rPr>
          <w:sz w:val="20"/>
          <w:szCs w:val="20"/>
          <w:color w:val="auto"/>
        </w:rPr>
      </w:pPr>
    </w:p>
    <w:p>
      <w:pPr>
        <w:ind w:left="460" w:right="200"/>
        <w:spacing w:after="0" w:line="291" w:lineRule="auto"/>
        <w:rPr>
          <w:sz w:val="20"/>
          <w:szCs w:val="20"/>
          <w:color w:val="auto"/>
        </w:rPr>
      </w:pPr>
      <w:r>
        <w:rPr>
          <w:rFonts w:ascii="Arial" w:cs="Arial" w:eastAsia="Arial" w:hAnsi="Arial"/>
          <w:sz w:val="16"/>
          <w:szCs w:val="16"/>
          <w:b w:val="1"/>
          <w:bCs w:val="1"/>
          <w:i w:val="1"/>
          <w:iCs w:val="1"/>
          <w:color w:val="auto"/>
        </w:rPr>
        <w:t>In order to support our continued operations and the growth of our business, we may seek to raise additional capital, which may not be available to us on acceptable terms, or at all.</w:t>
      </w:r>
    </w:p>
    <w:p>
      <w:pPr>
        <w:spacing w:after="0" w:line="56" w:lineRule="exact"/>
        <w:rPr>
          <w:sz w:val="20"/>
          <w:szCs w:val="20"/>
          <w:color w:val="auto"/>
        </w:rPr>
      </w:pPr>
    </w:p>
    <w:p>
      <w:pPr>
        <w:ind w:left="460" w:right="60"/>
        <w:spacing w:after="0" w:line="250"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continue to operate our business and expand our infrastructure, commercial operations and research and development activities. Our primary uses of capital are, and we expect will continue to be, investment in our commercial organization and related expenses, clinical research and development services, laboratory and related supplies, legal and other regulatory expenses, general administrative costs and working capital. In addition, we may in the future seek to acquire or invest in additional businesses, products, services or technologies that we believe could complement or expand our product portfolio, enhance our technical capabilities or otherwise offer growth opportunities. For further information regarding our recent strategic transactions, see the section titled “Management’s Discussion and Analysis of Financial Condition and Results of Operations— Liquidity and Capital Resources.”</w:t>
      </w:r>
    </w:p>
    <w:p>
      <w:pPr>
        <w:spacing w:after="0" w:line="90" w:lineRule="exact"/>
        <w:rPr>
          <w:sz w:val="20"/>
          <w:szCs w:val="20"/>
          <w:color w:val="auto"/>
        </w:rPr>
      </w:pPr>
    </w:p>
    <w:p>
      <w:pPr>
        <w:ind w:left="460"/>
        <w:spacing w:after="0" w:line="265" w:lineRule="auto"/>
        <w:rPr>
          <w:sz w:val="20"/>
          <w:szCs w:val="20"/>
          <w:color w:val="auto"/>
        </w:rPr>
      </w:pPr>
      <w:r>
        <w:rPr>
          <w:rFonts w:ascii="Arial" w:cs="Arial" w:eastAsia="Arial" w:hAnsi="Arial"/>
          <w:sz w:val="16"/>
          <w:szCs w:val="16"/>
          <w:color w:val="auto"/>
        </w:rPr>
        <w:t>Because of these and other factors, we expect to continue to incur substantial net losses and negative cash flows from operations for at least the next several years. Our future liquidity and capital funding requirements will depend on numerous factors, including:</w:t>
      </w:r>
    </w:p>
    <w:p>
      <w:pPr>
        <w:spacing w:after="0" w:line="88" w:lineRule="exact"/>
        <w:rPr>
          <w:sz w:val="20"/>
          <w:szCs w:val="20"/>
          <w:color w:val="auto"/>
        </w:rPr>
      </w:pPr>
    </w:p>
    <w:p>
      <w:pPr>
        <w:ind w:left="660" w:hanging="209"/>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revenue growth;</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research and development efforts;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sales and marketing activities;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success in leveraging future strategic partnerships;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raise additional funds to finance our operations;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outcome, costs and timing of any clinical trial results for our current or future products;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emergence and effect of competing or complementary products;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availability and amount of reimbursement for procedures using our products;</w:t>
      </w:r>
    </w:p>
    <w:p>
      <w:pPr>
        <w:spacing w:after="0" w:line="120" w:lineRule="exact"/>
        <w:rPr>
          <w:rFonts w:ascii="Arial" w:cs="Arial" w:eastAsia="Arial" w:hAnsi="Arial"/>
          <w:sz w:val="16"/>
          <w:szCs w:val="16"/>
          <w:color w:val="auto"/>
        </w:rPr>
      </w:pPr>
    </w:p>
    <w:p>
      <w:pPr>
        <w:ind w:left="660" w:right="40" w:hanging="209"/>
        <w:spacing w:after="0" w:line="256"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95" w:lineRule="exact"/>
        <w:rPr>
          <w:rFonts w:ascii="Arial" w:cs="Arial" w:eastAsia="Arial" w:hAnsi="Arial"/>
          <w:sz w:val="16"/>
          <w:szCs w:val="16"/>
          <w:color w:val="auto"/>
        </w:rPr>
      </w:pPr>
    </w:p>
    <w:p>
      <w:pPr>
        <w:ind w:left="660" w:hanging="209"/>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retain our employees and the need and ability to hire additional management and sales, scientific and medical personnel;</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terms and timing of any collaborative, licensing or other arrangements that we have or may establish;</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debt service requirements;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extent to which we acquire or invest in businesses, products or technologies; and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impact of the COVID-19 pandemic.</w:t>
      </w:r>
    </w:p>
    <w:p>
      <w:pPr>
        <w:spacing w:after="0" w:line="285"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720"/>
          </w:cols>
          <w:pgMar w:left="320" w:top="441" w:right="85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60"/>
        <w:spacing w:after="0" w:line="250" w:lineRule="auto"/>
        <w:rPr>
          <w:sz w:val="20"/>
          <w:szCs w:val="20"/>
          <w:color w:val="auto"/>
        </w:rPr>
      </w:pPr>
      <w:r>
        <w:rPr>
          <w:rFonts w:ascii="Arial" w:cs="Arial" w:eastAsia="Arial" w:hAnsi="Arial"/>
          <w:sz w:val="16"/>
          <w:szCs w:val="16"/>
          <w:color w:val="auto"/>
        </w:rPr>
        <w:t>If we determine that we need to raise additional funds, we may do so through equity or debt financings,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w:t>
      </w:r>
    </w:p>
    <w:p>
      <w:pPr>
        <w:spacing w:after="0" w:line="90"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Moreover, in the event that we enter into collaborations or licensing arrangements to raise capital, we may be required to accept unfavorable terms. These agreements may require that we relinquish or license to a third party on unfavorable terms our rights to products or technologies we otherwise would seek to develop or commercialize ourselves, or reserve certain opportunities for future potential arrangements when we might be able to achieve more favorable terms.</w:t>
      </w:r>
    </w:p>
    <w:p>
      <w:pPr>
        <w:spacing w:after="0" w:line="86" w:lineRule="exact"/>
        <w:rPr>
          <w:sz w:val="20"/>
          <w:szCs w:val="20"/>
          <w:color w:val="auto"/>
        </w:rPr>
      </w:pPr>
    </w:p>
    <w:p>
      <w:pPr>
        <w:ind w:left="460" w:right="80"/>
        <w:spacing w:after="0" w:line="250" w:lineRule="auto"/>
        <w:rPr>
          <w:sz w:val="20"/>
          <w:szCs w:val="20"/>
          <w:color w:val="auto"/>
        </w:rPr>
      </w:pPr>
      <w:r>
        <w:rPr>
          <w:rFonts w:ascii="Arial" w:cs="Arial" w:eastAsia="Arial" w:hAnsi="Arial"/>
          <w:sz w:val="16"/>
          <w:szCs w:val="16"/>
          <w:color w:val="auto"/>
        </w:rPr>
        <w:t>As of March 31, 2021, and December 31, 2020, we had $64.4 million and $69.0 million, respectively, in cash, cash equivalents and marketable securities. While we believe the net proceeds from this offering, together with our existing cash, cash equivalents and marketable securities and anticipated cash generated from sales of our products will be sufficient to meet our anticipated cash needs for at least 12 months following the date of this prospectus, we cannot assure you that we will be able to generate sufficient liquidity as and when needed.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71" w:lineRule="exact"/>
        <w:rPr>
          <w:sz w:val="20"/>
          <w:szCs w:val="20"/>
          <w:color w:val="auto"/>
        </w:rPr>
      </w:pPr>
    </w:p>
    <w:p>
      <w:pPr>
        <w:jc w:val="both"/>
        <w:ind w:left="460"/>
        <w:spacing w:after="0" w:line="262" w:lineRule="auto"/>
        <w:rPr>
          <w:sz w:val="20"/>
          <w:szCs w:val="20"/>
          <w:color w:val="auto"/>
        </w:rPr>
      </w:pPr>
      <w:r>
        <w:rPr>
          <w:rFonts w:ascii="Arial" w:cs="Arial" w:eastAsia="Arial" w:hAnsi="Arial"/>
          <w:sz w:val="16"/>
          <w:szCs w:val="16"/>
          <w:b w:val="1"/>
          <w:bCs w:val="1"/>
          <w:i w:val="1"/>
          <w:iCs w:val="1"/>
          <w:color w:val="auto"/>
        </w:rPr>
        <w:t>The terms of our credit facility place restrictions on our operating and financial flexibility, and failure to comply with covenants or to satisfy certain conditions of the agreement governing the credit facility may result in acceleration of our repayment obligations and foreclosure on our pledged assets, which could significantly harm our liquidity, financial condition, operating results, business and prospects and cause the price of our securities to decline.</w:t>
      </w:r>
    </w:p>
    <w:p>
      <w:pPr>
        <w:spacing w:after="0" w:line="79" w:lineRule="exact"/>
        <w:rPr>
          <w:sz w:val="20"/>
          <w:szCs w:val="20"/>
          <w:color w:val="auto"/>
        </w:rPr>
      </w:pPr>
    </w:p>
    <w:p>
      <w:pPr>
        <w:ind w:left="460" w:right="20"/>
        <w:spacing w:after="0" w:line="253" w:lineRule="auto"/>
        <w:rPr>
          <w:sz w:val="20"/>
          <w:szCs w:val="20"/>
          <w:color w:val="auto"/>
        </w:rPr>
      </w:pPr>
      <w:r>
        <w:rPr>
          <w:rFonts w:ascii="Arial" w:cs="Arial" w:eastAsia="Arial" w:hAnsi="Arial"/>
          <w:sz w:val="16"/>
          <w:szCs w:val="16"/>
          <w:color w:val="auto"/>
        </w:rPr>
        <w:t>Our October 2020 loan and security agreement, or the Credit Agreement, with Oxford Finance LLC, or Oxford Finance, provides for a five-year $60.0 million term-loan facility, of which $30.0 million has been drawn as of March 31, 2021. An additional $10.0 million of the term loan facility was drawn on June 28, 2021; $10.0 million of the term-loan facility is available in additional draws during 2021 and $10.0 million will be available in the first quarter of 2022 if we reach certain revenue milestones.</w:t>
      </w:r>
    </w:p>
    <w:p>
      <w:pPr>
        <w:spacing w:after="0" w:line="86" w:lineRule="exact"/>
        <w:rPr>
          <w:sz w:val="20"/>
          <w:szCs w:val="20"/>
          <w:color w:val="auto"/>
        </w:rPr>
      </w:pPr>
    </w:p>
    <w:p>
      <w:pPr>
        <w:ind w:left="460" w:right="60"/>
        <w:spacing w:after="0" w:line="253" w:lineRule="auto"/>
        <w:rPr>
          <w:sz w:val="20"/>
          <w:szCs w:val="20"/>
          <w:color w:val="auto"/>
        </w:rPr>
      </w:pPr>
      <w:r>
        <w:rPr>
          <w:rFonts w:ascii="Arial" w:cs="Arial" w:eastAsia="Arial" w:hAnsi="Arial"/>
          <w:sz w:val="16"/>
          <w:szCs w:val="16"/>
          <w:color w:val="auto"/>
        </w:rPr>
        <w:t>Our payment obligations under the Credit Agreement reduce cash available to fund working capital, capital expenditures, research and development and general corporate needs. In addition, indebtedness under the Credit Agreement bears interest at a variable rate, making us vulnerable to increases in market interest rates. If market rates increase, we will have to pay additional interest on this indebtedness, which would further reduce cash available for our other business needs.</w:t>
      </w:r>
    </w:p>
    <w:p>
      <w:pPr>
        <w:spacing w:after="0" w:line="86" w:lineRule="exact"/>
        <w:rPr>
          <w:sz w:val="20"/>
          <w:szCs w:val="20"/>
          <w:color w:val="auto"/>
        </w:rPr>
      </w:pPr>
    </w:p>
    <w:p>
      <w:pPr>
        <w:ind w:left="460" w:right="60"/>
        <w:spacing w:after="0" w:line="256" w:lineRule="auto"/>
        <w:rPr>
          <w:sz w:val="20"/>
          <w:szCs w:val="20"/>
          <w:color w:val="auto"/>
        </w:rPr>
      </w:pPr>
      <w:r>
        <w:rPr>
          <w:rFonts w:ascii="Arial" w:cs="Arial" w:eastAsia="Arial" w:hAnsi="Arial"/>
          <w:sz w:val="16"/>
          <w:szCs w:val="16"/>
          <w:color w:val="auto"/>
        </w:rPr>
        <w:t>Commencing in 2022, the Credit Agreement requires us to achieve certain revenue levels as compared to our board approved operating plan in order to avoid a default or access additional funds. When we are subject to this covenant, there can be no assurance of our ability to maintain compliance with this covenant as of any future date.</w:t>
      </w:r>
    </w:p>
    <w:p>
      <w:pPr>
        <w:spacing w:after="0" w:line="261"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780"/>
          </w:cols>
          <w:pgMar w:left="320" w:top="441" w:right="79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Our obligations under the Credit Agreement are secured by substantially all of our assets, excluding intellectual property. The security interest granted over our assets could limit our ability to obtain additional debt financing. The Credit Agreement also requires us to comply with a number of other covenants (affirmative and negative), including restrictive covenants that limit our ability to: incur additional indebtedness; encumber the collateral securing the loan; acquire, own or make investments; repurchase or redeem any class of stock or other equity interest; declare or pay any cash dividend or make a cash distribution on any class of stock or other equity interest; dispose of a portion of our assets; acquire other businesses; and merge or consolidate with or into any other organization or otherwise suffer a change in control, in each case subject to exceptions.</w:t>
      </w:r>
    </w:p>
    <w:p>
      <w:pPr>
        <w:spacing w:after="0" w:line="91"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In addition to other specified events of default, the lenders could declare an event of default upon the occurrence of any event that they interpret as having a material impairment on their lien on the collateral under the agreement, a material adverse change in our business, operations or condition (financial or otherwise) or a material impairment in the prospect of repayment of our obligations under the agreement. If we default under the credit facility, the lenders may accelerate all of our repayment obligations and, if we are unable to access funds to meet those obligations or to renegotiate our agreement, the lenders could take control of our pledged assets and we would have to immediately cease operations. During the continuance of an event of default, the then-applicable interest rate on the then-outstanding principal balance will increase by 5.0%. Upon an event of default, the lenders could also require us to repay the loan immediately, together with a final payment charge of 5.0% of the total term loan advances we borrowed, together with other fees. If we were to renegotiate the agreement under such circumstances, the terms may be significantly less favorable to us. If we were liquidated, the lenders’ right to repayment would be senior to the rights of our stockholders to receive any proceeds from the liquidation. Any declaration by the lenders of an event of default could significantly harm our liquidity, financial condition, operating results, business, and prospects and cause the price of our securities to decline.</w:t>
      </w:r>
    </w:p>
    <w:p>
      <w:pPr>
        <w:spacing w:after="0" w:line="94" w:lineRule="exact"/>
        <w:rPr>
          <w:sz w:val="20"/>
          <w:szCs w:val="20"/>
          <w:color w:val="auto"/>
        </w:rPr>
      </w:pPr>
    </w:p>
    <w:p>
      <w:pPr>
        <w:jc w:val="both"/>
        <w:ind w:left="460" w:right="40"/>
        <w:spacing w:after="0" w:line="256" w:lineRule="auto"/>
        <w:rPr>
          <w:sz w:val="20"/>
          <w:szCs w:val="20"/>
          <w:color w:val="auto"/>
        </w:rPr>
      </w:pPr>
      <w:r>
        <w:rPr>
          <w:rFonts w:ascii="Arial" w:cs="Arial" w:eastAsia="Arial" w:hAnsi="Arial"/>
          <w:sz w:val="16"/>
          <w:szCs w:val="16"/>
          <w:color w:val="auto"/>
        </w:rPr>
        <w:t>We may incur additional indebtedness in the future. The debt instruments governing such indebtedness may contain provisions that are as, or more, restrictive than the provisions governing our existing indebtedness. If we are unable to repay, refinance or restructure our indebtedness when payment is due, the lenders could proceed against the collateral or force us into bankruptcy or liquidation.</w:t>
      </w:r>
    </w:p>
    <w:p>
      <w:pPr>
        <w:spacing w:after="0" w:line="63" w:lineRule="exact"/>
        <w:rPr>
          <w:sz w:val="20"/>
          <w:szCs w:val="20"/>
          <w:color w:val="auto"/>
        </w:rPr>
      </w:pPr>
    </w:p>
    <w:p>
      <w:pPr>
        <w:jc w:val="both"/>
        <w:ind w:left="460" w:right="40"/>
        <w:spacing w:after="0" w:line="291" w:lineRule="auto"/>
        <w:rPr>
          <w:sz w:val="20"/>
          <w:szCs w:val="20"/>
          <w:color w:val="auto"/>
        </w:rPr>
      </w:pPr>
      <w:r>
        <w:rPr>
          <w:rFonts w:ascii="Arial" w:cs="Arial" w:eastAsia="Arial" w:hAnsi="Arial"/>
          <w:sz w:val="16"/>
          <w:szCs w:val="16"/>
          <w:b w:val="1"/>
          <w:bCs w:val="1"/>
          <w:i w:val="1"/>
          <w:iCs w:val="1"/>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56" w:lineRule="exact"/>
        <w:rPr>
          <w:sz w:val="20"/>
          <w:szCs w:val="20"/>
          <w:color w:val="auto"/>
        </w:rPr>
      </w:pPr>
    </w:p>
    <w:p>
      <w:pPr>
        <w:ind w:left="460" w:right="180"/>
        <w:spacing w:after="0" w:line="256" w:lineRule="auto"/>
        <w:rPr>
          <w:sz w:val="20"/>
          <w:szCs w:val="20"/>
          <w:color w:val="auto"/>
        </w:rPr>
      </w:pPr>
      <w:r>
        <w:rPr>
          <w:rFonts w:ascii="Arial" w:cs="Arial" w:eastAsia="Arial" w:hAnsi="Arial"/>
          <w:sz w:val="16"/>
          <w:szCs w:val="16"/>
          <w:color w:val="auto"/>
        </w:rPr>
        <w:t>Our future financial success will depend substantially on our ability to effectively and profitably market and sell our RxSight system to ophthalmic practices. The commercial success of our RxSight system and any of our planned or future products will depend on a number of factors, including the following:</w:t>
      </w:r>
    </w:p>
    <w:p>
      <w:pPr>
        <w:spacing w:after="0" w:line="96" w:lineRule="exact"/>
        <w:rPr>
          <w:sz w:val="20"/>
          <w:szCs w:val="20"/>
          <w:color w:val="auto"/>
        </w:rPr>
      </w:pPr>
    </w:p>
    <w:p>
      <w:pPr>
        <w:ind w:left="660" w:hanging="209"/>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actual and perceived effectiveness and reliability of our RxSight system, especially relative to alternative products;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prevalence and severity of any adverse patient events involving our RxSight system;</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results of clinical trials relating to our RxSight system;</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sustain meaningful clinical benefits for our patients;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obtain regulatory approval to market our planned or future products for use in the United States or internationally;</w:t>
      </w:r>
    </w:p>
    <w:p>
      <w:pPr>
        <w:spacing w:after="0" w:line="120" w:lineRule="exact"/>
        <w:rPr>
          <w:rFonts w:ascii="Arial" w:cs="Arial" w:eastAsia="Arial" w:hAnsi="Arial"/>
          <w:sz w:val="16"/>
          <w:szCs w:val="16"/>
          <w:color w:val="auto"/>
        </w:rPr>
      </w:pPr>
    </w:p>
    <w:p>
      <w:pPr>
        <w:ind w:left="660" w:right="140" w:hanging="209"/>
        <w:spacing w:after="0" w:line="265"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availability, relative cost and perceived advantages and disadvantages of alternative technologies or treatment methods for conditions treated by our products;</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800"/>
          </w:cols>
          <w:pgMar w:left="320" w:top="441" w:right="77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left="660" w:right="220" w:hanging="209"/>
        <w:spacing w:after="0" w:line="256"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degree to which treatments using our products are covered and receive adequate reimbursement from third-party payors, including governmental and private insurers, as well as patient willingness to pay for the additional costs associated with our premium intraocular lens out of pocket;</w:t>
      </w:r>
    </w:p>
    <w:p>
      <w:pPr>
        <w:spacing w:after="0" w:line="95" w:lineRule="exact"/>
        <w:rPr>
          <w:rFonts w:ascii="Arial" w:cs="Arial" w:eastAsia="Arial" w:hAnsi="Arial"/>
          <w:sz w:val="16"/>
          <w:szCs w:val="16"/>
          <w:color w:val="auto"/>
        </w:rPr>
      </w:pPr>
    </w:p>
    <w:p>
      <w:pPr>
        <w:ind w:left="660" w:hanging="209"/>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degree to which doctors adopt our RxSight system;</w:t>
      </w:r>
    </w:p>
    <w:p>
      <w:pPr>
        <w:spacing w:after="0" w:line="120" w:lineRule="exact"/>
        <w:rPr>
          <w:rFonts w:ascii="Arial" w:cs="Arial" w:eastAsia="Arial" w:hAnsi="Arial"/>
          <w:sz w:val="16"/>
          <w:szCs w:val="16"/>
          <w:color w:val="auto"/>
        </w:rPr>
      </w:pPr>
    </w:p>
    <w:p>
      <w:pPr>
        <w:ind w:left="660" w:right="180" w:hanging="209"/>
        <w:spacing w:after="0" w:line="253"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fact that governmental and private health care providers and payors around the world are increasingly utilizing managed care for the delivery of health care services, centralizing purchasing, limiting the number of vendors that may participate in purchasing programs, forming group purchasing organizations and integrated health delivery networks and pursuing consolidation to improve their purchasing leverage and using competitive bid processes to procure health care products and services;</w:t>
      </w:r>
    </w:p>
    <w:p>
      <w:pPr>
        <w:spacing w:after="0" w:line="98" w:lineRule="exact"/>
        <w:rPr>
          <w:rFonts w:ascii="Arial" w:cs="Arial" w:eastAsia="Arial" w:hAnsi="Arial"/>
          <w:sz w:val="16"/>
          <w:szCs w:val="16"/>
          <w:color w:val="auto"/>
        </w:rPr>
      </w:pPr>
    </w:p>
    <w:p>
      <w:pPr>
        <w:ind w:left="660" w:hanging="209"/>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obtain, maintain, protect and enforce our intellectual property rights in and to our RxSight system;</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degree to which patients value the customized vision delivered by the RxSight system and are satisfied with their results;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achieving and maintaining compliance with regulatory requirements applicable to our products;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extent to which we are successful in educating doctors about IOLs in general, and the benefits of our RxSight system;</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reputation among doctors;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strength of our marketing and commercial organization;</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effectiveness of our marketing and sales efforts in the United States, including our efforts to build out our sales team;</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expand the commercialization of our products into international markets;</w:t>
      </w:r>
    </w:p>
    <w:p>
      <w:pPr>
        <w:spacing w:after="0" w:line="120" w:lineRule="exact"/>
        <w:rPr>
          <w:rFonts w:ascii="Arial" w:cs="Arial" w:eastAsia="Arial" w:hAnsi="Arial"/>
          <w:sz w:val="16"/>
          <w:szCs w:val="16"/>
          <w:color w:val="auto"/>
        </w:rPr>
      </w:pPr>
    </w:p>
    <w:p>
      <w:pPr>
        <w:ind w:left="660" w:right="320" w:hanging="209"/>
        <w:spacing w:after="0" w:line="265"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continue to develop, validate and maintain a commercially viable manufacturing process that is compliant with the Quality Systems Regulations, or QSR, and other applicable foreign, federal and state regulatory requirements;</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success of our ongoing or future clinical trials; and</w:t>
      </w:r>
    </w:p>
    <w:p>
      <w:pPr>
        <w:spacing w:after="0" w:line="120" w:lineRule="exact"/>
        <w:rPr>
          <w:rFonts w:ascii="Arial" w:cs="Arial" w:eastAsia="Arial" w:hAnsi="Arial"/>
          <w:sz w:val="16"/>
          <w:szCs w:val="16"/>
          <w:color w:val="auto"/>
        </w:rPr>
      </w:pPr>
    </w:p>
    <w:p>
      <w:pPr>
        <w:ind w:left="660" w:right="100" w:hanging="209"/>
        <w:spacing w:after="0" w:line="265"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whether we are required by the FDA or comparable non-U.S. regulatory authorities to conduct additional clinical trials for current or future indications.</w:t>
      </w:r>
    </w:p>
    <w:p>
      <w:pPr>
        <w:spacing w:after="0" w:line="75" w:lineRule="exact"/>
        <w:rPr>
          <w:sz w:val="20"/>
          <w:szCs w:val="20"/>
          <w:color w:val="auto"/>
        </w:rPr>
      </w:pPr>
    </w:p>
    <w:p>
      <w:pPr>
        <w:ind w:left="460" w:right="60"/>
        <w:spacing w:after="0" w:line="250" w:lineRule="auto"/>
        <w:rPr>
          <w:sz w:val="20"/>
          <w:szCs w:val="20"/>
          <w:color w:val="auto"/>
        </w:rPr>
      </w:pPr>
      <w:r>
        <w:rPr>
          <w:rFonts w:ascii="Arial" w:cs="Arial" w:eastAsia="Arial" w:hAnsi="Arial"/>
          <w:sz w:val="16"/>
          <w:szCs w:val="16"/>
          <w:color w:val="auto"/>
        </w:rPr>
        <w:t>If we fail to successfully market and sell our products, we will not be able to grow our revenue or achieve profitability, which will have a material adverse effect on our business, financial condition and results of operations. Our ability to grow our revenue in future periods will depend on our ability to successfully penetrate our target markets and increase sales of our RxSight system and any new product or product indications that we introduce, which will, in turn, depend in part on our success in growing our user base and driving increased use of our products. New products or product indications will also need to be approved or cleared by the FDA and comparable non-U.S. regulatory agencies in any international markets we target in order to commercialize them. If we cannot achieve revenue growth or achieve or sustain profitability, it could have a material adverse effect on our business, financial condition and results of operations.</w:t>
      </w:r>
    </w:p>
    <w:p>
      <w:pPr>
        <w:spacing w:after="0" w:line="185" w:lineRule="exact"/>
        <w:rPr>
          <w:sz w:val="20"/>
          <w:szCs w:val="20"/>
          <w:color w:val="auto"/>
        </w:rPr>
      </w:pPr>
    </w:p>
    <w:p>
      <w:pPr>
        <w:ind w:left="460" w:right="380"/>
        <w:spacing w:after="0" w:line="291" w:lineRule="auto"/>
        <w:rPr>
          <w:sz w:val="20"/>
          <w:szCs w:val="20"/>
          <w:color w:val="auto"/>
        </w:rPr>
      </w:pPr>
      <w:r>
        <w:rPr>
          <w:rFonts w:ascii="Arial" w:cs="Arial" w:eastAsia="Arial" w:hAnsi="Arial"/>
          <w:sz w:val="16"/>
          <w:szCs w:val="16"/>
          <w:b w:val="1"/>
          <w:bCs w:val="1"/>
          <w:i w:val="1"/>
          <w:iCs w:val="1"/>
          <w:color w:val="auto"/>
        </w:rPr>
        <w:t>Adoption of our products depends upon appropriate training for doctors, and inadequate training may lead to negative patient outcomes, affect adoption of our products and adversely affect our business.</w:t>
      </w:r>
    </w:p>
    <w:p>
      <w:pPr>
        <w:spacing w:after="0" w:line="56" w:lineRule="exact"/>
        <w:rPr>
          <w:sz w:val="20"/>
          <w:szCs w:val="20"/>
          <w:color w:val="auto"/>
        </w:rPr>
      </w:pPr>
    </w:p>
    <w:p>
      <w:pPr>
        <w:ind w:left="460"/>
        <w:spacing w:after="0" w:line="265" w:lineRule="auto"/>
        <w:rPr>
          <w:sz w:val="20"/>
          <w:szCs w:val="20"/>
          <w:color w:val="auto"/>
        </w:rPr>
      </w:pPr>
      <w:r>
        <w:rPr>
          <w:rFonts w:ascii="Arial" w:cs="Arial" w:eastAsia="Arial" w:hAnsi="Arial"/>
          <w:sz w:val="16"/>
          <w:szCs w:val="16"/>
          <w:color w:val="auto"/>
        </w:rPr>
        <w:t>The success of our products depends in part on our customers’ adherence to appropriate patient selection and proper techniques provided in training sessions conducted by our training faculty. For example, we train our</w:t>
      </w:r>
    </w:p>
    <w:p>
      <w:pPr>
        <w:spacing w:after="0" w:line="113"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720"/>
          </w:cols>
          <w:pgMar w:left="320" w:top="441" w:right="85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140"/>
        <w:spacing w:after="0" w:line="250" w:lineRule="auto"/>
        <w:rPr>
          <w:sz w:val="20"/>
          <w:szCs w:val="20"/>
          <w:color w:val="auto"/>
        </w:rPr>
      </w:pPr>
      <w:r>
        <w:rPr>
          <w:rFonts w:ascii="Arial" w:cs="Arial" w:eastAsia="Arial" w:hAnsi="Arial"/>
          <w:sz w:val="16"/>
          <w:szCs w:val="16"/>
          <w:color w:val="auto"/>
        </w:rPr>
        <w:t>customers to ensure correct use of our RxSight system. However, doctors rely on their previous medical training and experience, and we cannot guarantee that all such doctors will have the necessary skills or training to effectively utilize our products. We do not control which doctors use our products or how much training they receive, and doctors who have not completed our training sessions may nonetheless attempt to use our products. In addition, doctors may use our products in a manner that is not consistent with their labeled indications for which no training is available. If doctors use our products in a manner that is inconsistent with their labeled indications, with components that are not compatible with our products or otherwise without adhering to or completing our training sessions, their patient outcomes may not be consistent with the outcomes achieved by other doctors or in our clinical trials. This result may negatively impact the perception of patient benefit and safety and limit adoption of our products, which would have a material adverse effect on our business, financial condition and results of operations.</w:t>
      </w:r>
    </w:p>
    <w:p>
      <w:pPr>
        <w:spacing w:after="0" w:line="280" w:lineRule="exact"/>
        <w:rPr>
          <w:sz w:val="20"/>
          <w:szCs w:val="20"/>
          <w:color w:val="auto"/>
        </w:rPr>
      </w:pPr>
    </w:p>
    <w:p>
      <w:pPr>
        <w:ind w:left="460" w:right="60"/>
        <w:spacing w:after="0" w:line="253" w:lineRule="auto"/>
        <w:rPr>
          <w:sz w:val="20"/>
          <w:szCs w:val="20"/>
          <w:color w:val="auto"/>
        </w:rPr>
      </w:pPr>
      <w:r>
        <w:rPr>
          <w:rFonts w:ascii="Arial" w:cs="Arial" w:eastAsia="Arial" w:hAnsi="Arial"/>
          <w:sz w:val="16"/>
          <w:szCs w:val="16"/>
          <w:color w:val="auto"/>
        </w:rPr>
        <w:t>We currently require limited training in the use of our products because we market primarily to doctors who are experienced in the specific techniques required to use our devices. If demand for our products continues to grow, less experienced doctors will likely use our products, potentially leading to more injury and an increased risk of product liability claims. The use or misuse of our products may in the future result in complications and potentially lead to product liability claims.</w:t>
      </w:r>
    </w:p>
    <w:p>
      <w:pPr>
        <w:spacing w:after="0" w:line="66"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b w:val="1"/>
          <w:bCs w:val="1"/>
          <w:i w:val="1"/>
          <w:iCs w:val="1"/>
          <w:color w:val="auto"/>
        </w:rPr>
        <w:t>The commercial success of our RxSight system will depend upon attaining significant market acceptance of these products among patients, doctors.</w:t>
      </w:r>
    </w:p>
    <w:p>
      <w:pPr>
        <w:spacing w:after="0" w:line="56"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Our success will depend, in part, on the acceptance of our RxSight system as safe, effective and, with respect to doctors, cost-effective. We cannot predict how quickly, if at all, patients, doctors, or payors will accept our RxSight system or, if accepted, how frequently it will be used. Our RxSight system and planned or future products we may develop or market may never gain broad market acceptance for some or all of our targeted indications. Patients, doctors must believe that our products offer benefits over alternative treatment methods. To date, a substantial majority of our product sales and revenue have been derived from a limited number of customers who have adopted our RxSight system. Our future growth and profitability largely depend on our ability to increase doctors’ awareness of our system and our products and on the willingness of patients, doctors to adopt them. These parties may not adopt our products unless they are able to determine, based on experience, clinical data, medical society recommendations and other analyses, that our products are safe, effective and, with respect to providers, cost-effective, on a stand-alone basis and relative to competitors’ products. Patients, doctors must believe that our products offer benefits over alternative treatment methods. Even if we are able to raise awareness, doctors tend to be slow in changing their medical treatment practices and may be hesitant to select our products for recommendation to their patients for a variety of reasons, including:</w:t>
      </w:r>
    </w:p>
    <w:p>
      <w:pPr>
        <w:spacing w:after="0" w:line="106" w:lineRule="exact"/>
        <w:rPr>
          <w:sz w:val="20"/>
          <w:szCs w:val="20"/>
          <w:color w:val="auto"/>
        </w:rPr>
      </w:pPr>
    </w:p>
    <w:p>
      <w:pPr>
        <w:ind w:left="660" w:hanging="209"/>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long-standing relationships with competing companies and distributors that sell other products;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competitive response and negative selling efforts from providers of alternative products;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lack of experience with our products and concerns that we are relatively new to market;</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lack or perceived lack of sufficient clinical evidence, including long-term data, supporting safety or clinical benefits;</w:t>
      </w:r>
    </w:p>
    <w:p>
      <w:pPr>
        <w:spacing w:after="0" w:line="120" w:lineRule="exact"/>
        <w:rPr>
          <w:rFonts w:ascii="Arial" w:cs="Arial" w:eastAsia="Arial" w:hAnsi="Arial"/>
          <w:sz w:val="16"/>
          <w:szCs w:val="16"/>
          <w:color w:val="auto"/>
        </w:rPr>
      </w:pPr>
    </w:p>
    <w:p>
      <w:pPr>
        <w:ind w:left="5540" w:right="1920" w:hanging="5089"/>
        <w:spacing w:after="0" w:line="343" w:lineRule="auto"/>
        <w:tabs>
          <w:tab w:leader="none" w:pos="662" w:val="left"/>
        </w:tabs>
        <w:numPr>
          <w:ilvl w:val="0"/>
          <w:numId w:val="28"/>
        </w:numPr>
        <w:rPr>
          <w:rFonts w:ascii="Arial" w:cs="Arial" w:eastAsia="Arial" w:hAnsi="Arial"/>
          <w:sz w:val="16"/>
          <w:szCs w:val="16"/>
          <w:color w:val="auto"/>
        </w:rPr>
      </w:pPr>
      <w:r>
        <w:rPr>
          <w:rFonts w:ascii="Arial" w:cs="Arial" w:eastAsia="Arial" w:hAnsi="Arial"/>
          <w:sz w:val="16"/>
          <w:szCs w:val="16"/>
          <w:color w:val="auto"/>
        </w:rPr>
        <w:t>time commitment and skill development that may be required to gain familiarity and proficiency with our products; 24</w:t>
      </w:r>
    </w:p>
    <w:p>
      <w:pPr>
        <w:sectPr>
          <w:pgSz w:w="11900" w:h="16838" w:orient="portrait"/>
          <w:cols w:equalWidth="0" w:num="1">
            <w:col w:w="10800"/>
          </w:cols>
          <w:pgMar w:left="320" w:top="441" w:right="77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660" w:right="160" w:hanging="209"/>
        <w:spacing w:after="0" w:line="265"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patient confusion regarding the wide range of commercially available premium IOL offerings and their ability to deliver promised results at near, middle and far distances without reliance on spectacles;</w:t>
      </w:r>
    </w:p>
    <w:p>
      <w:pPr>
        <w:spacing w:after="0" w:line="88" w:lineRule="exact"/>
        <w:rPr>
          <w:rFonts w:ascii="Arial" w:cs="Arial" w:eastAsia="Arial" w:hAnsi="Arial"/>
          <w:sz w:val="16"/>
          <w:szCs w:val="16"/>
          <w:color w:val="auto"/>
        </w:rPr>
      </w:pPr>
    </w:p>
    <w:p>
      <w:pPr>
        <w:ind w:left="660" w:right="460" w:hanging="209"/>
        <w:spacing w:after="0" w:line="265"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patient reticence to select a premium IOL due to nonperformance and adverse side effects associated with competing products in the market;</w:t>
      </w:r>
    </w:p>
    <w:p>
      <w:pPr>
        <w:spacing w:after="0" w:line="88" w:lineRule="exact"/>
        <w:rPr>
          <w:rFonts w:ascii="Arial" w:cs="Arial" w:eastAsia="Arial" w:hAnsi="Arial"/>
          <w:sz w:val="16"/>
          <w:szCs w:val="16"/>
          <w:color w:val="auto"/>
        </w:rPr>
      </w:pPr>
    </w:p>
    <w:p>
      <w:pPr>
        <w:ind w:left="660" w:right="200" w:hanging="209"/>
        <w:spacing w:after="0" w:line="256"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patient non-compliance with the RxSight system requirement to wear protective glasses following surgery until the LAL is locked to avoid UV exposure and an unintended change to the LAL, resulting in patient dissatisfaction with the results and possible need to remove the LAL; and</w:t>
      </w:r>
    </w:p>
    <w:p>
      <w:pPr>
        <w:spacing w:after="0" w:line="95" w:lineRule="exact"/>
        <w:rPr>
          <w:rFonts w:ascii="Arial" w:cs="Arial" w:eastAsia="Arial" w:hAnsi="Arial"/>
          <w:sz w:val="16"/>
          <w:szCs w:val="16"/>
          <w:color w:val="auto"/>
        </w:rPr>
      </w:pPr>
    </w:p>
    <w:p>
      <w:pPr>
        <w:ind w:left="660" w:right="260" w:hanging="209"/>
        <w:spacing w:after="0" w:line="265"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inability to generate patient referral due to dissatisfaction with results obtained through treatment with our products, the out-of-pocket cost of treatments using our products or otherwise.</w:t>
      </w:r>
    </w:p>
    <w:p>
      <w:pPr>
        <w:spacing w:after="0" w:line="75" w:lineRule="exact"/>
        <w:rPr>
          <w:sz w:val="20"/>
          <w:szCs w:val="20"/>
          <w:color w:val="auto"/>
        </w:rPr>
      </w:pPr>
    </w:p>
    <w:p>
      <w:pPr>
        <w:jc w:val="both"/>
        <w:ind w:left="460" w:right="320"/>
        <w:spacing w:after="0" w:line="256" w:lineRule="auto"/>
        <w:rPr>
          <w:sz w:val="20"/>
          <w:szCs w:val="20"/>
          <w:color w:val="auto"/>
        </w:rPr>
      </w:pPr>
      <w:r>
        <w:rPr>
          <w:rFonts w:ascii="Arial" w:cs="Arial" w:eastAsia="Arial" w:hAnsi="Arial"/>
          <w:sz w:val="16"/>
          <w:szCs w:val="16"/>
          <w:color w:val="auto"/>
        </w:rPr>
        <w:t>In order for doctors to use our RxSight system, they must make a significant up-front investment to purchase the LDD. This can result in a lengthy sales cycle and require extensive negotiations and management time. If we are unsuccessful in placing LDDs with providers, our sales may decrease, and our operating results may be harmed.</w:t>
      </w:r>
    </w:p>
    <w:p>
      <w:pPr>
        <w:spacing w:after="0" w:line="83" w:lineRule="exact"/>
        <w:rPr>
          <w:sz w:val="20"/>
          <w:szCs w:val="20"/>
          <w:color w:val="auto"/>
        </w:rPr>
      </w:pPr>
    </w:p>
    <w:p>
      <w:pPr>
        <w:ind w:left="460" w:right="20"/>
        <w:spacing w:after="0" w:line="253" w:lineRule="auto"/>
        <w:rPr>
          <w:sz w:val="20"/>
          <w:szCs w:val="20"/>
          <w:color w:val="auto"/>
        </w:rPr>
      </w:pPr>
      <w:r>
        <w:rPr>
          <w:rFonts w:ascii="Arial" w:cs="Arial" w:eastAsia="Arial" w:hAnsi="Arial"/>
          <w:sz w:val="16"/>
          <w:szCs w:val="16"/>
          <w:color w:val="auto"/>
        </w:rPr>
        <w:t>Doctors play a significant role in determining the course of a patient’s treatment, and, as a result, the type of treatment that will be utilized and provided to a patient. We focus our sales, marketing and education efforts primarily on doctors, and aim to educate referring doctors on the patient population that would benefit from our products. However, we cannot assure you that we will achieve broad market acceptance among doctors.</w:t>
      </w:r>
    </w:p>
    <w:p>
      <w:pPr>
        <w:spacing w:after="0" w:line="86"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For example, some doctors may choose to utilize our RxSight system on only a subset of their total patient population or may not adopt our RxSight system at all. If we are not able to effectively demonstrate that the use of our RxSight system is beneficial in a broad range of patients, adoption of our product will be limited and may not occur as rapidly as we anticipate or at all, which would have a material adverse effect on our business, financial condition and results of operations. We cannot assure you that our products will achieve broad market acceptance among doctors. Additionally, even if our products achieve market acceptance, they may not maintain that market acceptance over time if competing products, procedures or technologies are considered safer or more cost-effective or otherwise superior. Any failure of our products to generate sufficient demand or to achieve meaningful market acceptance and penetration will harm our future prospects and have a material adverse effect on our business, financial condition and results of operations.</w:t>
      </w:r>
    </w:p>
    <w:p>
      <w:pPr>
        <w:spacing w:after="0" w:line="90"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Our reputation among our current or potential customers, as well as among doctors, could also be negatively affected by safety or customer satisfaction issues involving us or our products, including product recalls. Future product recalls or other safety or customer satisfaction issues relating to our reputation could negatively affect our ability to establish or maintain broad adoption of our products, which would harm our future prospects and have a material adverse effect on our business, financial condition and results of operations.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RxSight system involves surgical risks and is contraindicated in certain patients, which may limit adoption.</w:t>
      </w:r>
    </w:p>
    <w:p>
      <w:pPr>
        <w:spacing w:after="0" w:line="128" w:lineRule="exact"/>
        <w:rPr>
          <w:sz w:val="20"/>
          <w:szCs w:val="20"/>
          <w:color w:val="auto"/>
        </w:rPr>
      </w:pPr>
    </w:p>
    <w:p>
      <w:pPr>
        <w:ind w:left="460" w:right="160"/>
        <w:spacing w:after="0" w:line="253" w:lineRule="auto"/>
        <w:rPr>
          <w:sz w:val="20"/>
          <w:szCs w:val="20"/>
          <w:color w:val="auto"/>
        </w:rPr>
      </w:pPr>
      <w:r>
        <w:rPr>
          <w:rFonts w:ascii="Arial" w:cs="Arial" w:eastAsia="Arial" w:hAnsi="Arial"/>
          <w:sz w:val="16"/>
          <w:szCs w:val="16"/>
          <w:color w:val="auto"/>
        </w:rPr>
        <w:t>Risks of using our products include those associated with cataract surgery and IOL implantation. There are also possible, but rare, complications due to the use of UV light from the LDD, including a temporary or long-lasting change to vision. We are aware of certain characteristics and features of our RxSight system that may prevent widespread market adoption, including the fact that doctors would need to adopt a new procedure, and training for doctors will be required to enable them to effectively operate our products.</w:t>
      </w:r>
    </w:p>
    <w:p>
      <w:pPr>
        <w:spacing w:after="0" w:line="1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800"/>
          </w:cols>
          <w:pgMar w:left="320" w:top="441" w:right="77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right="180"/>
        <w:spacing w:after="0" w:line="291" w:lineRule="auto"/>
        <w:rPr>
          <w:sz w:val="20"/>
          <w:szCs w:val="20"/>
          <w:color w:val="auto"/>
        </w:rPr>
      </w:pPr>
      <w:r>
        <w:rPr>
          <w:rFonts w:ascii="Arial" w:cs="Arial" w:eastAsia="Arial" w:hAnsi="Arial"/>
          <w:sz w:val="16"/>
          <w:szCs w:val="16"/>
          <w:b w:val="1"/>
          <w:bCs w:val="1"/>
          <w:i w:val="1"/>
          <w:iCs w:val="1"/>
          <w:color w:val="auto"/>
        </w:rPr>
        <w:t>We face significant competition, and if we are unable to compete effectively, we may not be able to achieve or maintain significant market penetration or improve our results of operations.</w:t>
      </w:r>
    </w:p>
    <w:p>
      <w:pPr>
        <w:spacing w:after="0" w:line="56" w:lineRule="exact"/>
        <w:rPr>
          <w:sz w:val="20"/>
          <w:szCs w:val="20"/>
          <w:color w:val="auto"/>
        </w:rPr>
      </w:pPr>
    </w:p>
    <w:p>
      <w:pPr>
        <w:ind w:left="460" w:right="20"/>
        <w:spacing w:after="0" w:line="249" w:lineRule="auto"/>
        <w:rPr>
          <w:sz w:val="20"/>
          <w:szCs w:val="20"/>
          <w:color w:val="auto"/>
        </w:rPr>
      </w:pPr>
      <w:r>
        <w:rPr>
          <w:rFonts w:ascii="Arial" w:cs="Arial" w:eastAsia="Arial" w:hAnsi="Arial"/>
          <w:sz w:val="16"/>
          <w:szCs w:val="16"/>
          <w:color w:val="auto"/>
        </w:rPr>
        <w:t>The medical device industry is intensely competitive, subject to rapid change and significantly affected by new product introductions and other market activities of industry participants. We compete with manufacturers and distributors of premium and conventional IOLs. Our most significant competitors in the IOL field include Alcon, Johnson &amp; Johnson Vision, Bausch + Lomb, Hoya Corporation and Carl Zeiss AG. Many of our competitors are large, well-capitalized companies with significantly greater market share and resources than we have. Therefore, they can spend more on product development, marketing, sales and other product initiatives than we can. We also compete with smaller medical device companies that have a single product or a limited range of products. In addition, patients who receive an LAL will be required to wear UV protective spectacles until final lock-in which is approximately 4-5 weeks after surgery. They will also be required to return for an additional 2-3 clinic visits compared to traditional cataract surgery. The additional clinic visits are non-surgical but do require the patient’s eyes to be dilated. Due to these additional requirements, market acceptance of the LAL may be impacted. We believe the principal competitive factors in our markets include:</w:t>
      </w:r>
    </w:p>
    <w:p>
      <w:pPr>
        <w:spacing w:after="0" w:line="107" w:lineRule="exact"/>
        <w:rPr>
          <w:sz w:val="20"/>
          <w:szCs w:val="20"/>
          <w:color w:val="auto"/>
        </w:rPr>
      </w:pPr>
    </w:p>
    <w:p>
      <w:pPr>
        <w:ind w:left="660" w:hanging="209"/>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quality of patient outcomes, oftentimes measured by visual acuity, and adverse event rates;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Patient experience, including patient recovery time and level of discomfort;</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Acceptance by treating doctors and referral sources;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Doctor learning curves and willingness to adopt new technologies;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Ease-of-use and reliability;</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Economic benefits and cost savings;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Strength of clinical evidence;</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Effective distribution and marketing to surgeons and potential patients; and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Product price and qualification for coverage and reimbursement.</w:t>
      </w:r>
    </w:p>
    <w:p>
      <w:pPr>
        <w:spacing w:after="0" w:line="108" w:lineRule="exact"/>
        <w:rPr>
          <w:sz w:val="20"/>
          <w:szCs w:val="20"/>
          <w:color w:val="auto"/>
        </w:rPr>
      </w:pPr>
    </w:p>
    <w:p>
      <w:pPr>
        <w:ind w:left="460" w:right="740"/>
        <w:spacing w:after="0" w:line="265" w:lineRule="auto"/>
        <w:rPr>
          <w:sz w:val="20"/>
          <w:szCs w:val="20"/>
          <w:color w:val="auto"/>
        </w:rPr>
      </w:pPr>
      <w:r>
        <w:rPr>
          <w:rFonts w:ascii="Arial" w:cs="Arial" w:eastAsia="Arial" w:hAnsi="Arial"/>
          <w:sz w:val="16"/>
          <w:szCs w:val="16"/>
          <w:color w:val="auto"/>
        </w:rPr>
        <w:t>We compete primarily on the basis that our products are designed to enable more doctors to treat more patients more efficiently and effectively. Our continued success depends on our ability to:</w:t>
      </w:r>
    </w:p>
    <w:p>
      <w:pPr>
        <w:spacing w:after="0" w:line="88" w:lineRule="exact"/>
        <w:rPr>
          <w:sz w:val="20"/>
          <w:szCs w:val="20"/>
          <w:color w:val="auto"/>
        </w:rPr>
      </w:pPr>
    </w:p>
    <w:p>
      <w:pPr>
        <w:ind w:left="660" w:hanging="209"/>
        <w:spacing w:after="0" w:line="265"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continue to develop innovative, proprietary products that address significant clinical needs in a manner that is safe and effective for patients and easy-to-use for doctors;</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obtain and maintain regulatory clearances or approvals;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demonstrate safety and effectiveness in our sponsored and third-party clinical trials;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expand our sales force across key markets to increase doctors’ awareness;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obtain and maintain coverage and adequate reimbursement for procedures using our products;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attract and retain skilled research, development, sales and clinical personnel;</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cost-effectively manufacture, market and sell our products;</w:t>
      </w:r>
    </w:p>
    <w:p>
      <w:pPr>
        <w:spacing w:after="0" w:line="120" w:lineRule="exact"/>
        <w:rPr>
          <w:rFonts w:ascii="Arial" w:cs="Arial" w:eastAsia="Arial" w:hAnsi="Arial"/>
          <w:sz w:val="16"/>
          <w:szCs w:val="16"/>
          <w:color w:val="auto"/>
        </w:rPr>
      </w:pPr>
    </w:p>
    <w:p>
      <w:pPr>
        <w:ind w:left="660" w:right="160" w:hanging="209"/>
        <w:spacing w:after="0" w:line="265"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provide doctors with a sufficient return on investment as compared to alternative premium IOL procedures that justifies the upfront cost of our LDD; and</w:t>
      </w:r>
    </w:p>
    <w:p>
      <w:pPr>
        <w:spacing w:after="0" w:line="88" w:lineRule="exact"/>
        <w:rPr>
          <w:rFonts w:ascii="Arial" w:cs="Arial" w:eastAsia="Arial" w:hAnsi="Arial"/>
          <w:sz w:val="16"/>
          <w:szCs w:val="16"/>
          <w:color w:val="auto"/>
        </w:rPr>
      </w:pPr>
    </w:p>
    <w:p>
      <w:pPr>
        <w:ind w:left="660" w:right="580" w:hanging="209"/>
        <w:spacing w:after="0" w:line="265"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obtain, maintain, enforce and defend our intellectual property rights and operate our business without infringing, misappropriating or otherwise violating the intellectual property rights of others.</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0800"/>
          </w:cols>
          <w:pgMar w:left="320" w:top="441" w:right="77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0"/>
        <w:spacing w:after="0" w:line="251" w:lineRule="auto"/>
        <w:rPr>
          <w:sz w:val="20"/>
          <w:szCs w:val="20"/>
          <w:color w:val="auto"/>
        </w:rPr>
      </w:pPr>
      <w:r>
        <w:rPr>
          <w:rFonts w:ascii="Arial" w:cs="Arial" w:eastAsia="Arial" w:hAnsi="Arial"/>
          <w:sz w:val="16"/>
          <w:szCs w:val="16"/>
          <w:color w:val="auto"/>
        </w:rPr>
        <w:t>We can provide no assurance that we will be successful in developing new products or commercializing them in ways that achieve market acceptance. If we develop new products, sales of those products may reduce revenue generated from our existing products. Moreover, any significant delays in our product launches may significantly impede our ability to enter or compete in a given market and may reduce the sales that we are able to generate from these products. We may experience delays in any phase of a product development, including during research and development, clinical trials, regulatory review, manufacturing and marketing. Delays in product introductions could have a material adverse effect on our business, financial condition and results of operations.</w:t>
      </w:r>
    </w:p>
    <w:p>
      <w:pPr>
        <w:spacing w:after="0" w:line="88" w:lineRule="exact"/>
        <w:rPr>
          <w:sz w:val="20"/>
          <w:szCs w:val="20"/>
          <w:color w:val="auto"/>
        </w:rPr>
      </w:pPr>
    </w:p>
    <w:p>
      <w:pPr>
        <w:ind w:left="460" w:right="100"/>
        <w:spacing w:after="0" w:line="252" w:lineRule="auto"/>
        <w:rPr>
          <w:sz w:val="20"/>
          <w:szCs w:val="20"/>
          <w:color w:val="auto"/>
        </w:rPr>
      </w:pPr>
      <w:r>
        <w:rPr>
          <w:rFonts w:ascii="Arial" w:cs="Arial" w:eastAsia="Arial" w:hAnsi="Arial"/>
          <w:sz w:val="16"/>
          <w:szCs w:val="16"/>
          <w:color w:val="auto"/>
        </w:rPr>
        <w:t>In addition, many medical device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negotiate price concessions or reductions for our products. If we reduce our prices because of consolidation in the healthcare industry, our revenue may decrease, which could have a material adverse effect on our business, financial condition and results of operations.</w:t>
      </w:r>
    </w:p>
    <w:p>
      <w:pPr>
        <w:spacing w:after="0" w:line="66"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b w:val="1"/>
          <w:bCs w:val="1"/>
          <w:i w:val="1"/>
          <w:iCs w:val="1"/>
          <w:color w:val="auto"/>
        </w:rPr>
        <w:t>If our facilities become damaged or inoperable, or if we are required to vacate a facility, we may be unable to manufacture our products or we may experience delays in production or an increase in costs, which could adversely affect our results of operations.</w:t>
      </w:r>
    </w:p>
    <w:p>
      <w:pPr>
        <w:spacing w:after="0" w:line="56" w:lineRule="exact"/>
        <w:rPr>
          <w:sz w:val="20"/>
          <w:szCs w:val="20"/>
          <w:color w:val="auto"/>
        </w:rPr>
      </w:pPr>
    </w:p>
    <w:p>
      <w:pPr>
        <w:ind w:left="460" w:right="20"/>
        <w:spacing w:after="0" w:line="249" w:lineRule="auto"/>
        <w:rPr>
          <w:sz w:val="20"/>
          <w:szCs w:val="20"/>
          <w:color w:val="auto"/>
        </w:rPr>
      </w:pPr>
      <w:r>
        <w:rPr>
          <w:rFonts w:ascii="Arial" w:cs="Arial" w:eastAsia="Arial" w:hAnsi="Arial"/>
          <w:sz w:val="16"/>
          <w:szCs w:val="16"/>
          <w:color w:val="auto"/>
        </w:rPr>
        <w:t>We currently maintain our research and development, manufacturing and administrative operations in Aliso Viejo, California, and we do not have redundant facilities. We operate a single manufacturing facility, and should this facility be significantly damaged or destroyed by natural or man-made disasters, such as earthquakes, fires (both of which are prevalent in California) or other events, it could take months to relocate or rebuild, during which time our employees may seek other positions, our research, development and manufacturing would cease or be delayed and our products may be unavailable. A major interruption in the manufacturing operations at this facility would materially impact our ability to operate. Because of the time required to authorize manufacturing in a new facility under federal, state and non-U.S. regulatory requirements, we may not be able to resume production on a timely basis even if we are able to replace production capacity. While we maintain property and business interruption insurance, such insurance has limits and would not cover all damages, including losses caused by earthquakes or losses we may suffer due to our products being replaced by competitors’ products. The inability to perform our research, development and manufacturing activities if our facilities become inoperable, combined with our limited inventory of materials and components and manufactured products, may cause doctors to discontinue using our products or harm our reputation, and we may be unable to re-establish relationships with such doctors in the future. Consequently, a catastrophic event at our current facility or any future facilities could have a material adverse effect on our business, financial condition and results of operations.</w:t>
      </w:r>
    </w:p>
    <w:p>
      <w:pPr>
        <w:spacing w:after="0" w:line="92" w:lineRule="exact"/>
        <w:rPr>
          <w:sz w:val="20"/>
          <w:szCs w:val="20"/>
          <w:color w:val="auto"/>
        </w:rPr>
      </w:pPr>
    </w:p>
    <w:p>
      <w:pPr>
        <w:ind w:left="460" w:right="80"/>
        <w:spacing w:after="0" w:line="250" w:lineRule="auto"/>
        <w:rPr>
          <w:sz w:val="20"/>
          <w:szCs w:val="20"/>
          <w:color w:val="auto"/>
        </w:rPr>
      </w:pPr>
      <w:r>
        <w:rPr>
          <w:rFonts w:ascii="Arial" w:cs="Arial" w:eastAsia="Arial" w:hAnsi="Arial"/>
          <w:sz w:val="16"/>
          <w:szCs w:val="16"/>
          <w:color w:val="auto"/>
        </w:rPr>
        <w:t>Furthermore, the current leases on our three facilities expire at the end of September 30, 2029 (including a five year option to extend), January 31, 2041 (including three-five year options to extend) and March 31, 2033 (including two extensions to extend for 5 years each), and we may be unable to renew our leases or find a new facility on commercially reasonable terms, or at all. If we were unable or unwilling to renew at the proposed rates, relocating our manufacturing facility would involve significant expense in connection with the movement and installation of key manufacturing equipment and any necessary recertification with regulatory bodies, and we cannot assure you that such a move would not delay or otherwise adversely affect our manufacturing activities or operating results. If our manufacturing capabilities were impaired by any such move, we may not be able to manufacture and ship our products in a timely manner, which would adversely impact our business.</w:t>
      </w:r>
    </w:p>
    <w:p>
      <w:pPr>
        <w:spacing w:after="0" w:line="319"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0780"/>
          </w:cols>
          <w:pgMar w:left="320" w:top="441" w:right="79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Technological change may adversely affect sales of our products and may cause our products to become obsolete.</w:t>
      </w:r>
    </w:p>
    <w:p>
      <w:pPr>
        <w:spacing w:after="0" w:line="128" w:lineRule="exact"/>
        <w:rPr>
          <w:sz w:val="20"/>
          <w:szCs w:val="20"/>
          <w:color w:val="auto"/>
        </w:rPr>
      </w:pPr>
    </w:p>
    <w:p>
      <w:pPr>
        <w:ind w:left="460" w:right="80"/>
        <w:spacing w:after="0" w:line="250" w:lineRule="auto"/>
        <w:rPr>
          <w:sz w:val="20"/>
          <w:szCs w:val="20"/>
          <w:color w:val="auto"/>
        </w:rPr>
      </w:pPr>
      <w:r>
        <w:rPr>
          <w:rFonts w:ascii="Arial" w:cs="Arial" w:eastAsia="Arial" w:hAnsi="Arial"/>
          <w:sz w:val="16"/>
          <w:szCs w:val="16"/>
          <w:color w:val="auto"/>
        </w:rPr>
        <w:t>The medical device market is characterized by extensive research and development and rapid technological change. There can be no assurance that other companies, including current competitors or new entrants, will not succeed in developing or marketing products that are more effective than our products or that would render our products obsolete or noncompetitive. Additionally, new surgical procedures, medications and other therapies could be developed that replace or reduce the importance of our products. If we are unable to innovate successfully, our products could become obsolete and our revenue would decline as our customers purchase our competitors’ products. Our failure to develop new products, applications or features could result from insufficient cash resources, high employee turnover, inability to hire personnel with sufficient technical skills, a lack of other research and development resources or other constraints. Our failure or inability to devote adequate research and development resources or compete effectively with the research and development programs of our current or future competitors could have a material adverse effect on our business, financial condition and results of operations.</w:t>
      </w:r>
    </w:p>
    <w:p>
      <w:pPr>
        <w:spacing w:after="0" w:line="68" w:lineRule="exact"/>
        <w:rPr>
          <w:sz w:val="20"/>
          <w:szCs w:val="20"/>
          <w:color w:val="auto"/>
        </w:rPr>
      </w:pPr>
    </w:p>
    <w:p>
      <w:pPr>
        <w:ind w:left="460" w:right="100"/>
        <w:spacing w:after="0" w:line="269" w:lineRule="auto"/>
        <w:rPr>
          <w:sz w:val="20"/>
          <w:szCs w:val="20"/>
          <w:color w:val="auto"/>
        </w:rPr>
      </w:pPr>
      <w:r>
        <w:rPr>
          <w:rFonts w:ascii="Arial" w:cs="Arial" w:eastAsia="Arial" w:hAnsi="Arial"/>
          <w:sz w:val="16"/>
          <w:szCs w:val="16"/>
          <w:b w:val="1"/>
          <w:bCs w:val="1"/>
          <w:i w:val="1"/>
          <w:iCs w:val="1"/>
          <w:color w:val="auto"/>
        </w:rPr>
        <w:t>We have limited data and experience regarding the safety and efficacy of our RxSight system. Results of earlier studies may not be predictive of future clinical trial results, and planned studies may not establish an adequate safety or efficacy profile for our RxSight system and other planned or future products, which would affect market acceptance of our RxSight system.</w:t>
      </w:r>
    </w:p>
    <w:p>
      <w:pPr>
        <w:spacing w:after="0" w:line="73"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Because our RxSight system technology is a relatively new treatment to optimize vision after cataract surgery, we have performed clinical trials only with limited patient populations. The long-term effects of using our products in a large number of patients have not been studied and the results of short-term clinical use of such products do not necessarily predict long-term clinical benefits or reveal long-term adverse effects.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other patient populations.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and subsequently failed to obtain marketing approval. Products in later stages of clinical trials may fail to show the desired safety and efficacy despite having progressed through nonclinical studies and earlier clinical trials.</w:t>
      </w:r>
    </w:p>
    <w:p>
      <w:pPr>
        <w:spacing w:after="0" w:line="176" w:lineRule="exact"/>
        <w:rPr>
          <w:sz w:val="20"/>
          <w:szCs w:val="20"/>
          <w:color w:val="auto"/>
        </w:rPr>
      </w:pPr>
    </w:p>
    <w:p>
      <w:pPr>
        <w:ind w:left="460" w:right="540"/>
        <w:spacing w:after="0" w:line="291" w:lineRule="auto"/>
        <w:rPr>
          <w:sz w:val="20"/>
          <w:szCs w:val="20"/>
          <w:color w:val="auto"/>
        </w:rPr>
      </w:pPr>
      <w:r>
        <w:rPr>
          <w:rFonts w:ascii="Arial" w:cs="Arial" w:eastAsia="Arial" w:hAnsi="Arial"/>
          <w:sz w:val="16"/>
          <w:szCs w:val="16"/>
          <w:b w:val="1"/>
          <w:bCs w:val="1"/>
          <w:i w:val="1"/>
          <w:iCs w:val="1"/>
          <w:color w:val="auto"/>
        </w:rPr>
        <w:t>If our clinical trials are unsuccessful or significantly delayed, or if we do not complete our clinical trials, our business may be harmed.</w:t>
      </w:r>
    </w:p>
    <w:p>
      <w:pPr>
        <w:spacing w:after="0" w:line="56" w:lineRule="exact"/>
        <w:rPr>
          <w:sz w:val="20"/>
          <w:szCs w:val="20"/>
          <w:color w:val="auto"/>
        </w:rPr>
      </w:pPr>
    </w:p>
    <w:p>
      <w:pPr>
        <w:ind w:left="460" w:right="40"/>
        <w:spacing w:after="0" w:line="250" w:lineRule="auto"/>
        <w:rPr>
          <w:sz w:val="20"/>
          <w:szCs w:val="20"/>
          <w:color w:val="auto"/>
        </w:rPr>
      </w:pPr>
      <w:r>
        <w:rPr>
          <w:rFonts w:ascii="Arial" w:cs="Arial" w:eastAsia="Arial" w:hAnsi="Arial"/>
          <w:sz w:val="16"/>
          <w:szCs w:val="16"/>
          <w:color w:val="auto"/>
        </w:rPr>
        <w:t>Clinical development is a long, expensive and uncertain process and is subject to delays and the risk that products may ultimately prove unsafe or ineffective in treating the indications for which they are designed. We are currently engaged in post-market clinical trials of our RxSight system. Completion of clinical trials may take several years or more. Clinical trials can be delayed for a variety of reasons, including delays in obtaining regulatory approval to commence a trial, in reaching an agreement on acceptable clinical trial terms with prospective sites, in obtaining institutional review board approval at each site, in recruiting patients to participate in a trial or in obtaining sufficient supplies of clinical trial materials. We cannot provide any assurance that we will successfully, or in a timely manner, enroll our clinical trials, that our clinical trials will meet their primary endpoints or that such trials or their results will be accepted by the FDA or foreign regulatory authorities.</w:t>
      </w:r>
    </w:p>
    <w:p>
      <w:pPr>
        <w:spacing w:after="0" w:line="129"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800"/>
          </w:cols>
          <w:pgMar w:left="320" w:top="441" w:right="77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65" w:lineRule="auto"/>
        <w:rPr>
          <w:sz w:val="20"/>
          <w:szCs w:val="20"/>
          <w:color w:val="auto"/>
        </w:rPr>
      </w:pPr>
      <w:r>
        <w:rPr>
          <w:rFonts w:ascii="Arial" w:cs="Arial" w:eastAsia="Arial" w:hAnsi="Arial"/>
          <w:sz w:val="16"/>
          <w:szCs w:val="16"/>
          <w:color w:val="auto"/>
        </w:rPr>
        <w:t>We may experience numerous unforeseen events during, or because of, the clinical trial process that could delay or prevent us from receiving regulatory clearance or approval for new products, modifications of existing products, or new indications for existing products, including:</w:t>
      </w:r>
    </w:p>
    <w:p>
      <w:pPr>
        <w:spacing w:after="0" w:line="88" w:lineRule="exact"/>
        <w:rPr>
          <w:sz w:val="20"/>
          <w:szCs w:val="20"/>
          <w:color w:val="auto"/>
        </w:rPr>
      </w:pPr>
    </w:p>
    <w:p>
      <w:pPr>
        <w:ind w:left="660" w:right="160" w:hanging="209"/>
        <w:spacing w:after="0" w:line="265"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successful and timely completion of nonclinical studies or clinical development of our products, as well as the associated costs, including any unforeseen costs we may incur as a result of clinical trial delays due to the COVID-19 pandemic or other causes;</w:t>
      </w:r>
    </w:p>
    <w:p>
      <w:pPr>
        <w:spacing w:after="0" w:line="88" w:lineRule="exact"/>
        <w:rPr>
          <w:rFonts w:ascii="Arial" w:cs="Arial" w:eastAsia="Arial" w:hAnsi="Arial"/>
          <w:sz w:val="16"/>
          <w:szCs w:val="16"/>
          <w:color w:val="auto"/>
        </w:rPr>
      </w:pPr>
    </w:p>
    <w:p>
      <w:pPr>
        <w:ind w:left="660" w:right="520" w:hanging="209"/>
        <w:spacing w:after="0" w:line="265"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enrollment in our clinical trials may be slower than we anticipate, or we may experience high screen failure rates in our clinical trials, resulting in significant delays;</w:t>
      </w:r>
    </w:p>
    <w:p>
      <w:pPr>
        <w:spacing w:after="0" w:line="88" w:lineRule="exact"/>
        <w:rPr>
          <w:rFonts w:ascii="Arial" w:cs="Arial" w:eastAsia="Arial" w:hAnsi="Arial"/>
          <w:sz w:val="16"/>
          <w:szCs w:val="16"/>
          <w:color w:val="auto"/>
        </w:rPr>
      </w:pPr>
    </w:p>
    <w:p>
      <w:pPr>
        <w:ind w:left="660" w:right="340" w:hanging="209"/>
        <w:spacing w:after="0" w:line="265"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clinical trials may produce negative or inconclusive results, and we may decide, or regulators may require us, to conduct additional clinical and/or preclinical testing which may be expensive and time-consuming;</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trial results may not meet the level of statistical significance required by the FDA or other regulatory authorities;</w:t>
      </w:r>
    </w:p>
    <w:p>
      <w:pPr>
        <w:spacing w:after="0" w:line="120" w:lineRule="exact"/>
        <w:rPr>
          <w:rFonts w:ascii="Arial" w:cs="Arial" w:eastAsia="Arial" w:hAnsi="Arial"/>
          <w:sz w:val="16"/>
          <w:szCs w:val="16"/>
          <w:color w:val="auto"/>
        </w:rPr>
      </w:pPr>
    </w:p>
    <w:p>
      <w:pPr>
        <w:ind w:left="660" w:right="160" w:hanging="209"/>
        <w:spacing w:after="0" w:line="265"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FDA or similar foreign regulatory authorities may find that one or more of our products is not sufficiently safe for investigational use in humans;</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FDA or similar foreign regulatory authorities may interpret data from preclinical testing and clinical trials in different ways than we do;</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there may be delays or failure in obtaining approval of our clinical trial protocols from the FDA or other regulatory authorities;</w:t>
      </w:r>
    </w:p>
    <w:p>
      <w:pPr>
        <w:spacing w:after="0" w:line="120" w:lineRule="exact"/>
        <w:rPr>
          <w:rFonts w:ascii="Arial" w:cs="Arial" w:eastAsia="Arial" w:hAnsi="Arial"/>
          <w:sz w:val="16"/>
          <w:szCs w:val="16"/>
          <w:color w:val="auto"/>
        </w:rPr>
      </w:pPr>
    </w:p>
    <w:p>
      <w:pPr>
        <w:ind w:left="660" w:right="300" w:hanging="209"/>
        <w:spacing w:after="0" w:line="265"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there may be delays in obtaining institutional review board approvals or governmental approvals to conduct clinical trials at prospective sites;</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FDA or similar foreign regulatory authorities may find our or our suppliers’ manufacturing processes or facilities unsatisfactory;</w:t>
      </w:r>
    </w:p>
    <w:p>
      <w:pPr>
        <w:spacing w:after="0" w:line="120" w:lineRule="exact"/>
        <w:rPr>
          <w:rFonts w:ascii="Arial" w:cs="Arial" w:eastAsia="Arial" w:hAnsi="Arial"/>
          <w:sz w:val="16"/>
          <w:szCs w:val="16"/>
          <w:color w:val="auto"/>
        </w:rPr>
      </w:pPr>
    </w:p>
    <w:p>
      <w:pPr>
        <w:ind w:left="660" w:right="280" w:hanging="209"/>
        <w:spacing w:after="0" w:line="265"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FDA or similar foreign regulatory authorities may change their review policies or adopt new regulations that may negatively affect or delay our ability to bring a product to market or receive approvals or clearances to treat new indications;</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have trouble in managing multiple clinical sites;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have trouble finding patients to enroll in our trials;</w:t>
      </w:r>
    </w:p>
    <w:p>
      <w:pPr>
        <w:spacing w:after="0" w:line="120" w:lineRule="exact"/>
        <w:rPr>
          <w:rFonts w:ascii="Arial" w:cs="Arial" w:eastAsia="Arial" w:hAnsi="Arial"/>
          <w:sz w:val="16"/>
          <w:szCs w:val="16"/>
          <w:color w:val="auto"/>
        </w:rPr>
      </w:pPr>
    </w:p>
    <w:p>
      <w:pPr>
        <w:ind w:left="660" w:right="40" w:hanging="209"/>
        <w:spacing w:after="0" w:line="265"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experience delays in agreeing on acceptable terms with third-party research organizations and trial sites that may help us conduct the clinical trials; and</w:t>
      </w:r>
    </w:p>
    <w:p>
      <w:pPr>
        <w:spacing w:after="0" w:line="88" w:lineRule="exact"/>
        <w:rPr>
          <w:rFonts w:ascii="Arial" w:cs="Arial" w:eastAsia="Arial" w:hAnsi="Arial"/>
          <w:sz w:val="16"/>
          <w:szCs w:val="16"/>
          <w:color w:val="auto"/>
        </w:rPr>
      </w:pPr>
    </w:p>
    <w:p>
      <w:pPr>
        <w:ind w:left="660" w:right="60" w:hanging="209"/>
        <w:spacing w:after="0" w:line="265"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or regulators, may suspend or terminate our clinical trials because the participating patients are being exposed to unacceptable health risks.</w:t>
      </w:r>
    </w:p>
    <w:p>
      <w:pPr>
        <w:spacing w:after="0" w:line="75" w:lineRule="exact"/>
        <w:rPr>
          <w:sz w:val="20"/>
          <w:szCs w:val="20"/>
          <w:color w:val="auto"/>
        </w:rPr>
      </w:pPr>
    </w:p>
    <w:p>
      <w:pPr>
        <w:ind w:left="460" w:right="500"/>
        <w:spacing w:after="0" w:line="265" w:lineRule="auto"/>
        <w:rPr>
          <w:sz w:val="20"/>
          <w:szCs w:val="20"/>
          <w:color w:val="auto"/>
        </w:rPr>
      </w:pPr>
      <w:r>
        <w:rPr>
          <w:rFonts w:ascii="Arial" w:cs="Arial" w:eastAsia="Arial" w:hAnsi="Arial"/>
          <w:sz w:val="16"/>
          <w:szCs w:val="16"/>
          <w:color w:val="auto"/>
        </w:rPr>
        <w:t>Failures or perceived failures in our clinical trials will delay and may prevent our product development and regulatory approval process, damage our business prospects and negatively affect our reputation and competitive position.</w:t>
      </w:r>
    </w:p>
    <w:p>
      <w:pPr>
        <w:spacing w:after="0" w:line="55" w:lineRule="exact"/>
        <w:rPr>
          <w:sz w:val="20"/>
          <w:szCs w:val="20"/>
          <w:color w:val="auto"/>
        </w:rPr>
      </w:pPr>
    </w:p>
    <w:p>
      <w:pPr>
        <w:ind w:left="460" w:right="240"/>
        <w:spacing w:after="0" w:line="291" w:lineRule="auto"/>
        <w:rPr>
          <w:sz w:val="20"/>
          <w:szCs w:val="20"/>
          <w:color w:val="auto"/>
        </w:rPr>
      </w:pPr>
      <w:r>
        <w:rPr>
          <w:rFonts w:ascii="Arial" w:cs="Arial" w:eastAsia="Arial" w:hAnsi="Arial"/>
          <w:sz w:val="16"/>
          <w:szCs w:val="16"/>
          <w:b w:val="1"/>
          <w:bCs w:val="1"/>
          <w:i w:val="1"/>
          <w:iCs w:val="1"/>
          <w:color w:val="auto"/>
        </w:rPr>
        <w:t>Unauthorized third parties may seek to access our devices or other products and services, or related devices, products, and services, and modify or use them in a way inconsistent with our FDA clearances and approvals, which may create risks to users.</w:t>
      </w:r>
    </w:p>
    <w:p>
      <w:pPr>
        <w:spacing w:after="0" w:line="56" w:lineRule="exact"/>
        <w:rPr>
          <w:sz w:val="20"/>
          <w:szCs w:val="20"/>
          <w:color w:val="auto"/>
        </w:rPr>
      </w:pPr>
    </w:p>
    <w:p>
      <w:pPr>
        <w:ind w:left="460" w:right="340"/>
        <w:spacing w:after="0" w:line="265" w:lineRule="auto"/>
        <w:rPr>
          <w:sz w:val="20"/>
          <w:szCs w:val="20"/>
          <w:color w:val="auto"/>
        </w:rPr>
      </w:pPr>
      <w:r>
        <w:rPr>
          <w:rFonts w:ascii="Arial" w:cs="Arial" w:eastAsia="Arial" w:hAnsi="Arial"/>
          <w:sz w:val="16"/>
          <w:szCs w:val="16"/>
          <w:color w:val="auto"/>
        </w:rPr>
        <w:t>Medical devices are increasingly connected to the internet, hospital networks, and other medical devices to provide features that improve healthcare and increase the ability of healthcare providers to treat patients</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0760"/>
          </w:cols>
          <w:pgMar w:left="320" w:top="441" w:right="81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40"/>
        <w:spacing w:after="0" w:line="252" w:lineRule="auto"/>
        <w:rPr>
          <w:sz w:val="20"/>
          <w:szCs w:val="20"/>
          <w:color w:val="auto"/>
        </w:rPr>
      </w:pPr>
      <w:r>
        <w:rPr>
          <w:rFonts w:ascii="Arial" w:cs="Arial" w:eastAsia="Arial" w:hAnsi="Arial"/>
          <w:sz w:val="16"/>
          <w:szCs w:val="16"/>
          <w:color w:val="auto"/>
        </w:rPr>
        <w:t>and patients to manage their conditions. While currently bidirectional connectivity and interoperability of our RxSight system with other devices, local networks and the internet is not enabled, this may change in the future. Enablement of such features may increase cybersecurity risks and the risks of unauthorized access and use by third parties. For example, unauthorized third parties may seek to access our devices or other products and services, or related devices, products, and services, and modify or use them in a way inconsistent with our FDA clearances and approvals, which may create risks to users and potential exposure to the company.</w:t>
      </w:r>
    </w:p>
    <w:p>
      <w:pPr>
        <w:spacing w:after="0" w:line="66" w:lineRule="exact"/>
        <w:rPr>
          <w:sz w:val="20"/>
          <w:szCs w:val="20"/>
          <w:color w:val="auto"/>
        </w:rPr>
      </w:pPr>
    </w:p>
    <w:p>
      <w:pPr>
        <w:ind w:left="460" w:right="200"/>
        <w:spacing w:after="0" w:line="291"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product or indication and fail to capitalize on products or indications that may be more profitable or for which there is a greater likelihood of success.</w:t>
      </w:r>
    </w:p>
    <w:p>
      <w:pPr>
        <w:spacing w:after="0" w:line="56"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Because we have limited financial and managerial resources, we focus on specific products and indications. As a result, we may forgo or delay pursuit of other opportunities with others that could have had greater commercial potential. Our resource allocation decisions may cause us to fail to capitalize on viable commercial products or profitable market opportunities. Our spending on current and future research and development programs for specific indications or enhancements may not yield any commercially viable products. If we do not accurately evaluate the commercial potential or target market for a particular potential product, we may relinquish valuable rights to that potential product through future collaborations, licenses and other similar arrangements in cases in which it would have been more advantageous for us to retain sole development and commercialization rights to such potential product.</w:t>
      </w:r>
    </w:p>
    <w:p>
      <w:pPr>
        <w:spacing w:after="0" w:line="71" w:lineRule="exact"/>
        <w:rPr>
          <w:sz w:val="20"/>
          <w:szCs w:val="20"/>
          <w:color w:val="auto"/>
        </w:rPr>
      </w:pPr>
    </w:p>
    <w:p>
      <w:pPr>
        <w:ind w:left="460" w:right="140"/>
        <w:spacing w:after="0" w:line="269" w:lineRule="auto"/>
        <w:rPr>
          <w:sz w:val="20"/>
          <w:szCs w:val="20"/>
          <w:color w:val="auto"/>
        </w:rPr>
      </w:pPr>
      <w:r>
        <w:rPr>
          <w:rFonts w:ascii="Arial" w:cs="Arial" w:eastAsia="Arial" w:hAnsi="Arial"/>
          <w:sz w:val="16"/>
          <w:szCs w:val="16"/>
          <w:b w:val="1"/>
          <w:bCs w:val="1"/>
          <w:i w:val="1"/>
          <w:iCs w:val="1"/>
          <w:color w:val="auto"/>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spacing w:after="0" w:line="73"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Our success is dependent upon several factors, including functionality, competitive pricing, ease of use, the safety and efficacy of our products and our ability to identify, select and acquire the rights to products and technologies on terms that are acceptable to us.</w:t>
      </w:r>
    </w:p>
    <w:p>
      <w:pPr>
        <w:spacing w:after="0" w:line="88" w:lineRule="exact"/>
        <w:rPr>
          <w:sz w:val="20"/>
          <w:szCs w:val="20"/>
          <w:color w:val="auto"/>
        </w:rPr>
      </w:pPr>
    </w:p>
    <w:p>
      <w:pPr>
        <w:ind w:left="460" w:right="20"/>
        <w:spacing w:after="0" w:line="249" w:lineRule="auto"/>
        <w:rPr>
          <w:sz w:val="20"/>
          <w:szCs w:val="20"/>
          <w:color w:val="auto"/>
        </w:rPr>
      </w:pPr>
      <w:r>
        <w:rPr>
          <w:rFonts w:ascii="Arial" w:cs="Arial" w:eastAsia="Arial" w:hAnsi="Arial"/>
          <w:sz w:val="16"/>
          <w:szCs w:val="16"/>
          <w:color w:val="auto"/>
        </w:rPr>
        <w:t>The medical device industry is characterized by rapid technological change and innovation. New technologies, techniques or products could emerge that might offer better combinations of price and performance or better address customer requirements as compared to our current or future products. Competitors, who may have greater financial, marketing and sales resources than we 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including extensive clinical testing and approval or clearance by the FDA and applicable foreign regulatory authorities. Due to the significant lead time and complexity involved in bringing a new product to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 companies and competitors develop new or improved products and as new companies enter the market with new technologies. Our ability to mitigate downward pressure on our selling prices will be dependent upon our ability to maintain or increase the value we offer to doctors as well as payors. All new products are prone to the risks of failure inherent in medical device product</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780"/>
          </w:cols>
          <w:pgMar w:left="320" w:top="441" w:right="79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460"/>
        <w:spacing w:after="0" w:line="252" w:lineRule="auto"/>
        <w:rPr>
          <w:sz w:val="20"/>
          <w:szCs w:val="20"/>
          <w:color w:val="auto"/>
        </w:rPr>
      </w:pPr>
      <w:r>
        <w:rPr>
          <w:rFonts w:ascii="Arial" w:cs="Arial" w:eastAsia="Arial" w:hAnsi="Arial"/>
          <w:sz w:val="16"/>
          <w:szCs w:val="16"/>
          <w:color w:val="auto"/>
        </w:rPr>
        <w:t>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 The expenses or losses associated with unsuccessful product development or launch activities, or a lack of market acceptance of our new products, could adversely affect our business, financial condition and results of operations.</w:t>
      </w:r>
    </w:p>
    <w:p>
      <w:pPr>
        <w:spacing w:after="0" w:line="86" w:lineRule="exact"/>
        <w:rPr>
          <w:sz w:val="20"/>
          <w:szCs w:val="20"/>
          <w:color w:val="auto"/>
        </w:rPr>
      </w:pPr>
    </w:p>
    <w:p>
      <w:pPr>
        <w:ind w:left="460" w:right="100"/>
        <w:spacing w:after="0" w:line="251" w:lineRule="auto"/>
        <w:rPr>
          <w:sz w:val="20"/>
          <w:szCs w:val="20"/>
          <w:color w:val="auto"/>
        </w:rPr>
      </w:pPr>
      <w:r>
        <w:rPr>
          <w:rFonts w:ascii="Arial" w:cs="Arial" w:eastAsia="Arial" w:hAnsi="Arial"/>
          <w:sz w:val="16"/>
          <w:szCs w:val="16"/>
          <w:color w:val="auto"/>
        </w:rPr>
        <w:t>Our ability to attract new customer accounts depends in large part on our ability to enhance and improve our existing products and to introduce compelling new products. The success of any enhancement to our products depends on several factors, including adoption and continued use by doctors, competitive pricing and overall market acceptance. Any new product that we develop may not be introduced in a timely or cost-effective manner, may contain defects or may not achieve the market acceptance necessary to generate significant revenue. If we are unable to successfully develop, license or acquire new products, enhance our existing products to meet customer requirements or otherwise gain market acceptance, our business, financial condition and results of operations would be harmed.</w:t>
      </w:r>
    </w:p>
    <w:p>
      <w:pPr>
        <w:spacing w:after="0" w:line="88" w:lineRule="exact"/>
        <w:rPr>
          <w:sz w:val="20"/>
          <w:szCs w:val="20"/>
          <w:color w:val="auto"/>
        </w:rPr>
      </w:pPr>
    </w:p>
    <w:p>
      <w:pPr>
        <w:ind w:left="460" w:right="20"/>
        <w:spacing w:after="0" w:line="251" w:lineRule="auto"/>
        <w:rPr>
          <w:sz w:val="20"/>
          <w:szCs w:val="20"/>
          <w:color w:val="auto"/>
        </w:rPr>
      </w:pPr>
      <w:r>
        <w:rPr>
          <w:rFonts w:ascii="Arial" w:cs="Arial" w:eastAsia="Arial" w:hAnsi="Arial"/>
          <w:sz w:val="16"/>
          <w:szCs w:val="16"/>
          <w:color w:val="auto"/>
        </w:rPr>
        <w:t>The typical development cycle of new medical device products can be lengthy and complicated and may require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and our business and operating results may be harmed.</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If we fail to identify, acquire and develop other products, we may be unable to grow our business.</w:t>
      </w:r>
    </w:p>
    <w:p>
      <w:pPr>
        <w:spacing w:after="0" w:line="128" w:lineRule="exact"/>
        <w:rPr>
          <w:sz w:val="20"/>
          <w:szCs w:val="20"/>
          <w:color w:val="auto"/>
        </w:rPr>
      </w:pPr>
    </w:p>
    <w:p>
      <w:pPr>
        <w:ind w:left="460" w:right="580"/>
        <w:spacing w:after="0" w:line="256" w:lineRule="auto"/>
        <w:rPr>
          <w:sz w:val="20"/>
          <w:szCs w:val="20"/>
          <w:color w:val="auto"/>
        </w:rPr>
      </w:pPr>
      <w:r>
        <w:rPr>
          <w:rFonts w:ascii="Arial" w:cs="Arial" w:eastAsia="Arial" w:hAnsi="Arial"/>
          <w:sz w:val="16"/>
          <w:szCs w:val="16"/>
          <w:color w:val="auto"/>
        </w:rPr>
        <w:t>As a significant part of our growth strategy, we intend to develop and commercialize additional products through our research and development program or by licensing or acquiring additional products and technologies from third parties. The success of this strategy depends upon our ability to identify, select and acquire the right to products and technologies on terms that are acceptable to us.</w:t>
      </w:r>
    </w:p>
    <w:p>
      <w:pPr>
        <w:spacing w:after="0" w:line="83"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color w:val="auto"/>
        </w:rPr>
        <w:t>Any product we identify, license or acquire may require additional development efforts prior to commercial sale, including extensive clinical testing and approval or clearance by the FDA and applicable foreign regulatory authorities. All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w:t>
      </w:r>
    </w:p>
    <w:p>
      <w:pPr>
        <w:spacing w:after="0" w:line="86" w:lineRule="exact"/>
        <w:rPr>
          <w:sz w:val="20"/>
          <w:szCs w:val="20"/>
          <w:color w:val="auto"/>
        </w:rPr>
      </w:pPr>
    </w:p>
    <w:p>
      <w:pPr>
        <w:ind w:left="460" w:right="180"/>
        <w:spacing w:after="0" w:line="253" w:lineRule="auto"/>
        <w:rPr>
          <w:sz w:val="20"/>
          <w:szCs w:val="20"/>
          <w:color w:val="auto"/>
        </w:rPr>
      </w:pPr>
      <w:r>
        <w:rPr>
          <w:rFonts w:ascii="Arial" w:cs="Arial" w:eastAsia="Arial" w:hAnsi="Arial"/>
          <w:sz w:val="16"/>
          <w:szCs w:val="16"/>
          <w:color w:val="auto"/>
        </w:rPr>
        <w:t>Proposing, negotiating and implementing an economically viable product or technology acquisition or license is a lengthy and complex process. Other companies, including those with substantially greater financial, marketing and sales resources, may compete with us for the acquisition or license of approved or cleared products. We may not be able to acquire or license the rights to additional approved or cleared products on terms that we find acceptable, or at all.</w:t>
      </w:r>
    </w:p>
    <w:p>
      <w:pPr>
        <w:spacing w:after="0" w:line="86" w:lineRule="exact"/>
        <w:rPr>
          <w:sz w:val="20"/>
          <w:szCs w:val="20"/>
          <w:color w:val="auto"/>
        </w:rPr>
      </w:pPr>
    </w:p>
    <w:p>
      <w:pPr>
        <w:ind w:left="460" w:right="300"/>
        <w:spacing w:after="0" w:line="265" w:lineRule="auto"/>
        <w:rPr>
          <w:sz w:val="20"/>
          <w:szCs w:val="20"/>
          <w:color w:val="auto"/>
        </w:rPr>
      </w:pPr>
      <w:r>
        <w:rPr>
          <w:rFonts w:ascii="Arial" w:cs="Arial" w:eastAsia="Arial" w:hAnsi="Arial"/>
          <w:sz w:val="16"/>
          <w:szCs w:val="16"/>
          <w:color w:val="auto"/>
        </w:rPr>
        <w:t>If we are unable to develop suitable potential products through internal research programs or by obtaining rights from third parties, it could have a material adverse effect on our business, financial condition and results of operations.</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0780"/>
          </w:cols>
          <w:pgMar w:left="320" w:top="441" w:right="79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both"/>
        <w:ind w:left="460" w:right="240"/>
        <w:spacing w:after="0" w:line="269" w:lineRule="auto"/>
        <w:rPr>
          <w:sz w:val="20"/>
          <w:szCs w:val="20"/>
          <w:color w:val="auto"/>
        </w:rPr>
      </w:pPr>
      <w:r>
        <w:rPr>
          <w:rFonts w:ascii="Arial" w:cs="Arial" w:eastAsia="Arial" w:hAnsi="Arial"/>
          <w:sz w:val="16"/>
          <w:szCs w:val="16"/>
          <w:b w:val="1"/>
          <w:bCs w:val="1"/>
          <w:i w:val="1"/>
          <w:iCs w:val="1"/>
          <w:color w:val="auto"/>
        </w:rPr>
        <w:t>We may acquire other companies or technologies, which could fail to result in a commercial product or increased revenue, divert our management’s attention, result in additional dilution to our stockholders and otherwise disrupt our operations and harm our operating results.</w:t>
      </w:r>
    </w:p>
    <w:p>
      <w:pPr>
        <w:spacing w:after="0" w:line="73" w:lineRule="exact"/>
        <w:rPr>
          <w:sz w:val="20"/>
          <w:szCs w:val="20"/>
          <w:color w:val="auto"/>
        </w:rPr>
      </w:pPr>
    </w:p>
    <w:p>
      <w:pPr>
        <w:ind w:left="460" w:right="60"/>
        <w:spacing w:after="0" w:line="250" w:lineRule="auto"/>
        <w:rPr>
          <w:sz w:val="20"/>
          <w:szCs w:val="20"/>
          <w:color w:val="auto"/>
        </w:rPr>
      </w:pPr>
      <w:r>
        <w:rPr>
          <w:rFonts w:ascii="Arial" w:cs="Arial" w:eastAsia="Arial" w:hAnsi="Arial"/>
          <w:sz w:val="16"/>
          <w:szCs w:val="16"/>
          <w:color w:val="auto"/>
        </w:rPr>
        <w:t>Although we currently have no agreements or commitments to complete any such transactions, we may in the future seek to acquire or invest in businesses, applications or technologies that we believe could complement or expand our portfolio, enhance our technical capabilities or otherwise offer growth opportunities. However, we cannot assure you that we would be able to successfully complete any acquisition we choose to pursue, or that we would be able to successfully integrate 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90" w:lineRule="exact"/>
        <w:rPr>
          <w:sz w:val="20"/>
          <w:szCs w:val="20"/>
          <w:color w:val="auto"/>
        </w:rPr>
      </w:pPr>
    </w:p>
    <w:p>
      <w:pPr>
        <w:ind w:left="460" w:right="40"/>
        <w:spacing w:after="0" w:line="252" w:lineRule="auto"/>
        <w:rPr>
          <w:sz w:val="20"/>
          <w:szCs w:val="20"/>
          <w:color w:val="auto"/>
        </w:rPr>
      </w:pPr>
      <w:r>
        <w:rPr>
          <w:rFonts w:ascii="Arial" w:cs="Arial" w:eastAsia="Arial" w:hAnsi="Arial"/>
          <w:sz w:val="16"/>
          <w:szCs w:val="16"/>
          <w:color w:val="auto"/>
        </w:rPr>
        <w:t>To date, the growth of our operations has been largely organic, and we have limited experience in acquiring other businesses or technologies. 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66" w:lineRule="exact"/>
        <w:rPr>
          <w:sz w:val="20"/>
          <w:szCs w:val="20"/>
          <w:color w:val="auto"/>
        </w:rPr>
      </w:pPr>
    </w:p>
    <w:p>
      <w:pPr>
        <w:ind w:left="460" w:right="400"/>
        <w:spacing w:after="0" w:line="269" w:lineRule="auto"/>
        <w:rPr>
          <w:sz w:val="20"/>
          <w:szCs w:val="20"/>
          <w:color w:val="auto"/>
        </w:rPr>
      </w:pPr>
      <w:r>
        <w:rPr>
          <w:rFonts w:ascii="Arial" w:cs="Arial" w:eastAsia="Arial" w:hAnsi="Arial"/>
          <w:sz w:val="16"/>
          <w:szCs w:val="16"/>
          <w:b w:val="1"/>
          <w:bCs w:val="1"/>
          <w:i w:val="1"/>
          <w:iCs w:val="1"/>
          <w:color w:val="auto"/>
        </w:rPr>
        <w:t>Coverage and adequate reimbursement and/or the ability of patients to pay for the difference between the price charged by practices and the reimbursement amount may not be available for our products in sufficient markets, which could diminish our sales or affect our ability to sell our products.</w:t>
      </w:r>
    </w:p>
    <w:p>
      <w:pPr>
        <w:spacing w:after="0" w:line="73"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In both U.S. and non-U.S. markets, our ability to successfully commercialize and achieve market acceptance of our products depends, in significant part, on the availability of adequate financial remuneration to doctor practices and surgical centers. This remuneration can come from a combination of sources, including third-party payors, such as Medicare and Medicaid programs in the United States, managed care organizations and private health insurers. Third-party payors decide which treatments they will cover and establish reimbursement rates for those treatments. They also can preclude patients from paying extra to receive additional services, such as those associated with placement of premium IOLs. Our products are purchased by doctors who will then seek reimbursement from third-party payors and patients for the procedures performed using our products. Reimbursement systems and patient billing rules in international markets vary significantly by country and by region within some countries, and reimbursement and/or non-reimbursement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as well as the ability to charge patients directly for non-reimbursed devices and procedures. In most markets there are private insurance systems as well as government-managed systems.</w:t>
      </w:r>
    </w:p>
    <w:p>
      <w:pPr>
        <w:spacing w:after="0" w:line="93" w:lineRule="exact"/>
        <w:rPr>
          <w:sz w:val="20"/>
          <w:szCs w:val="20"/>
          <w:color w:val="auto"/>
        </w:rPr>
      </w:pPr>
    </w:p>
    <w:p>
      <w:pPr>
        <w:ind w:left="460" w:right="100"/>
        <w:spacing w:after="0" w:line="251" w:lineRule="auto"/>
        <w:rPr>
          <w:sz w:val="20"/>
          <w:szCs w:val="20"/>
          <w:color w:val="auto"/>
        </w:rPr>
      </w:pPr>
      <w:r>
        <w:rPr>
          <w:rFonts w:ascii="Arial" w:cs="Arial" w:eastAsia="Arial" w:hAnsi="Arial"/>
          <w:sz w:val="16"/>
          <w:szCs w:val="16"/>
          <w:color w:val="auto"/>
        </w:rPr>
        <w:t>While third-party payors currently cover and provide reimbursement for a portion of the cost of the procedures performed using our currently cleared or approved products, we can give no assurance that these third-party payors will continue to provide coverage and adequate reimbursement or permit patient payment for the non-reimbursed portion sufficient to permit doctors to offer procedures using our products to patients requiring treatment. If sufficient coverage and reimbursement or flexibility to enable patient payment is not available for the procedures performed using our products, in either the United States or any international markets we enter, the demand for our products and our revenue will be adversely affected.</w:t>
      </w:r>
    </w:p>
    <w:p>
      <w:pPr>
        <w:spacing w:after="0" w:line="12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0800"/>
          </w:cols>
          <w:pgMar w:left="320" w:top="441" w:right="77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color w:val="auto"/>
        </w:rPr>
        <w:t>Furthermore, although we believe there is potential to improve on the current reimbursement profile for our products in the future, the overall amount of reimbursement available for products and procedures intended to treat cataract and refractive conditions of the eye could remain at current levels or decrease in the future. Failure by doctors to obtain and maintain coverage and adequate reimbursement as well as patient charges for the procedures performed using our products would materially adversely affect our business, financial condition and results of operations.</w:t>
      </w:r>
    </w:p>
    <w:p>
      <w:pPr>
        <w:spacing w:after="0" w:line="86"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Third-party payors are also increasingly examining the cost effectiveness of products, in addition to their safety and efficacy, when making coverage and payment decisions. Third-party payors have also instituted initiatives to limit the growth of healthcare costs using, for example, price regulation or controls and competitive pricing programs. Some third-party payors also require demonstrated superiority, on the basis of randomized clinical trials, or pre-approval of coverage, for new or innovative devices or procedures before they will reimburse healthcare providers who use such devices or procedures. Additionally,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It is uncertain whether our current products or any planned or future products will be viewed (or continue to be viewed) as sufficiently cost effective to warrant coverage and adequate reimbursement levels for procedures using such products in any given jurisdiction.</w:t>
      </w:r>
    </w:p>
    <w:p>
      <w:pPr>
        <w:spacing w:after="0" w:line="258" w:lineRule="exact"/>
        <w:rPr>
          <w:sz w:val="20"/>
          <w:szCs w:val="20"/>
          <w:color w:val="auto"/>
        </w:rPr>
      </w:pPr>
    </w:p>
    <w:p>
      <w:pPr>
        <w:ind w:left="460" w:right="40"/>
        <w:spacing w:after="0" w:line="269" w:lineRule="auto"/>
        <w:rPr>
          <w:sz w:val="20"/>
          <w:szCs w:val="20"/>
          <w:color w:val="auto"/>
        </w:rPr>
      </w:pPr>
      <w:r>
        <w:rPr>
          <w:rFonts w:ascii="Arial" w:cs="Arial" w:eastAsia="Arial" w:hAnsi="Arial"/>
          <w:sz w:val="16"/>
          <w:szCs w:val="16"/>
          <w:b w:val="1"/>
          <w:bCs w:val="1"/>
          <w:i w:val="1"/>
          <w:iCs w:val="1"/>
          <w:color w:val="auto"/>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spacing w:after="0" w:line="73"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we rely on doctors in connection with the use of our products on patients. If these doctors are not properly trained or are negligent, the capabilities of our products may be diminished, or the patient may suffer critical injury. We may also be subject to claims that are caused by the activities of our suppliers, such as those who provide us with components and sub-assemblies.</w:t>
      </w:r>
    </w:p>
    <w:p>
      <w:pPr>
        <w:spacing w:after="0" w:line="281" w:lineRule="exact"/>
        <w:rPr>
          <w:sz w:val="20"/>
          <w:szCs w:val="20"/>
          <w:color w:val="auto"/>
        </w:rPr>
      </w:pPr>
    </w:p>
    <w:p>
      <w:pPr>
        <w:ind w:left="460"/>
        <w:spacing w:after="0" w:line="256" w:lineRule="auto"/>
        <w:rPr>
          <w:sz w:val="20"/>
          <w:szCs w:val="20"/>
          <w:color w:val="auto"/>
        </w:rPr>
      </w:pPr>
      <w:r>
        <w:rPr>
          <w:rFonts w:ascii="Arial" w:cs="Arial" w:eastAsia="Arial" w:hAnsi="Arial"/>
          <w:sz w:val="16"/>
          <w:szCs w:val="16"/>
          <w:color w:val="auto"/>
        </w:rPr>
        <w:t>If we cannot successfully defend ourselves against product liability claims, we may incur substantial liabilities or be required to limit or halt commercialization of our products. Even successful defense would require significant financial and management resources. Regardless of the merits or eventual outcome, liability claims may result in:</w:t>
      </w:r>
    </w:p>
    <w:p>
      <w:pPr>
        <w:spacing w:after="0" w:line="96" w:lineRule="exact"/>
        <w:rPr>
          <w:sz w:val="20"/>
          <w:szCs w:val="20"/>
          <w:color w:val="auto"/>
        </w:rPr>
      </w:pPr>
    </w:p>
    <w:p>
      <w:pPr>
        <w:ind w:left="660" w:hanging="209"/>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decreased demand for our products;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injury to our reputation;</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initiation of investigations by regulators;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costs to defend the related litigation;</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diversion of management’s time and our resources;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substantial monetary awards to trial participants or patients;</w:t>
      </w:r>
    </w:p>
    <w:p>
      <w:pPr>
        <w:spacing w:after="0" w:line="120" w:lineRule="exact"/>
        <w:rPr>
          <w:rFonts w:ascii="Arial" w:cs="Arial" w:eastAsia="Arial" w:hAnsi="Arial"/>
          <w:sz w:val="16"/>
          <w:szCs w:val="16"/>
          <w:color w:val="auto"/>
        </w:rPr>
      </w:pPr>
    </w:p>
    <w:p>
      <w:pPr>
        <w:ind w:left="5540" w:right="4500" w:hanging="5089"/>
        <w:spacing w:after="0" w:line="447" w:lineRule="auto"/>
        <w:tabs>
          <w:tab w:leader="none" w:pos="662"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product recalls, withdrawals or labeling, marketing or promotional restrictions; 33</w:t>
      </w:r>
    </w:p>
    <w:p>
      <w:pPr>
        <w:sectPr>
          <w:pgSz w:w="11900" w:h="16838" w:orient="portrait"/>
          <w:cols w:equalWidth="0" w:num="1">
            <w:col w:w="10780"/>
          </w:cols>
          <w:pgMar w:left="320" w:top="441" w:right="79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660" w:hanging="209"/>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loss of revenue;</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exhaustion of any available insurance and our capital resources; and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inability to market and sell our products.</w:t>
      </w:r>
    </w:p>
    <w:p>
      <w:pPr>
        <w:spacing w:after="0" w:line="108"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products we develop.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278" w:lineRule="exact"/>
        <w:rPr>
          <w:sz w:val="20"/>
          <w:szCs w:val="20"/>
          <w:color w:val="auto"/>
        </w:rPr>
      </w:pPr>
    </w:p>
    <w:p>
      <w:pPr>
        <w:ind w:left="460" w:right="320"/>
        <w:spacing w:after="0" w:line="253" w:lineRule="auto"/>
        <w:rPr>
          <w:sz w:val="20"/>
          <w:szCs w:val="20"/>
          <w:color w:val="auto"/>
        </w:rPr>
      </w:pPr>
      <w:r>
        <w:rPr>
          <w:rFonts w:ascii="Arial" w:cs="Arial" w:eastAsia="Arial" w:hAnsi="Arial"/>
          <w:sz w:val="16"/>
          <w:szCs w:val="16"/>
          <w:color w:val="auto"/>
        </w:rPr>
        <w:t>Some of our customers and prospective customers may also have difficulty in procuring or maintaining liability insurance to cover their operations and use of our products. Medical malpractice carriers are withdrawing coverage in certain states or substantially increasing premiums. If this trend continues or worsens, our customers may discontinue using our products and potential customers may opt against purchasing our products due to the cost or inability to procure insurance coverage.</w:t>
      </w:r>
    </w:p>
    <w:p>
      <w:pPr>
        <w:spacing w:after="0" w:line="66" w:lineRule="exact"/>
        <w:rPr>
          <w:sz w:val="20"/>
          <w:szCs w:val="20"/>
          <w:color w:val="auto"/>
        </w:rPr>
      </w:pPr>
    </w:p>
    <w:p>
      <w:pPr>
        <w:ind w:left="460" w:right="60"/>
        <w:spacing w:after="0" w:line="269" w:lineRule="auto"/>
        <w:rPr>
          <w:sz w:val="20"/>
          <w:szCs w:val="20"/>
          <w:color w:val="auto"/>
        </w:rPr>
      </w:pPr>
      <w:r>
        <w:rPr>
          <w:rFonts w:ascii="Arial" w:cs="Arial" w:eastAsia="Arial" w:hAnsi="Arial"/>
          <w:sz w:val="16"/>
          <w:szCs w:val="16"/>
          <w:b w:val="1"/>
          <w:bCs w:val="1"/>
          <w:i w:val="1"/>
          <w:iCs w:val="1"/>
          <w:color w:val="auto"/>
        </w:rPr>
        <w:t>We intend to expand sales of our products internationally in the future, but we may experience difficulties in obtaining regulatory clearance or approval or in successfully marketing our products internationally even if approved. A variety of risks associated with marketing our products internationally could materially adversely affect our business.</w:t>
      </w:r>
    </w:p>
    <w:p>
      <w:pPr>
        <w:spacing w:after="0" w:line="73" w:lineRule="exact"/>
        <w:rPr>
          <w:sz w:val="20"/>
          <w:szCs w:val="20"/>
          <w:color w:val="auto"/>
        </w:rPr>
      </w:pPr>
    </w:p>
    <w:p>
      <w:pPr>
        <w:ind w:left="460" w:right="120"/>
        <w:spacing w:after="0" w:line="256" w:lineRule="auto"/>
        <w:rPr>
          <w:sz w:val="20"/>
          <w:szCs w:val="20"/>
          <w:color w:val="auto"/>
        </w:rPr>
      </w:pPr>
      <w:r>
        <w:rPr>
          <w:rFonts w:ascii="Arial" w:cs="Arial" w:eastAsia="Arial" w:hAnsi="Arial"/>
          <w:sz w:val="16"/>
          <w:szCs w:val="16"/>
          <w:color w:val="auto"/>
        </w:rPr>
        <w:t>Sales of our products outside of the United States would be subject to foreign regulatory requirements governing clinical trials and marketing approval. We will incur substantial expenses in connection with our international expansion. Additional risks related to operating in foreign countries include:</w:t>
      </w:r>
    </w:p>
    <w:p>
      <w:pPr>
        <w:spacing w:after="0" w:line="96" w:lineRule="exact"/>
        <w:rPr>
          <w:sz w:val="20"/>
          <w:szCs w:val="20"/>
          <w:color w:val="auto"/>
        </w:rPr>
      </w:pPr>
    </w:p>
    <w:p>
      <w:pPr>
        <w:ind w:left="660" w:hanging="209"/>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differing regulatory requirements and reimbursement regimes in foreign countries;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unexpected changes in tariffs, trade barriers, price and exchange controls and other regulatory requirements;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economic weakness, including inflation, or political instability in particular foreign economies and markets;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compliance with tax, employment, immigration and labor laws for employees living or traveling abroad;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foreign taxes, including withholding of payroll taxes;</w:t>
      </w:r>
    </w:p>
    <w:p>
      <w:pPr>
        <w:spacing w:after="0" w:line="120" w:lineRule="exact"/>
        <w:rPr>
          <w:rFonts w:ascii="Arial" w:cs="Arial" w:eastAsia="Arial" w:hAnsi="Arial"/>
          <w:sz w:val="16"/>
          <w:szCs w:val="16"/>
          <w:color w:val="auto"/>
        </w:rPr>
      </w:pPr>
    </w:p>
    <w:p>
      <w:pPr>
        <w:ind w:left="660" w:right="220" w:hanging="209"/>
        <w:spacing w:after="0" w:line="265"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foreign currency fluctuations, which could result in increased operating expenses and reduced revenue, and other obligations incident to doing business in another country;</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difficulties staffing and managing foreign operations;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workforce uncertainty in countries where labor unrest is more common than in the United States;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potential liability under the U.S. Foreign Corrupt Practices Act (FCPA) or comparable foreign regulations;</w:t>
      </w:r>
    </w:p>
    <w:p>
      <w:pPr>
        <w:spacing w:after="0" w:line="146"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0780"/>
          </w:cols>
          <w:pgMar w:left="320" w:top="441" w:right="79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660" w:right="280" w:hanging="209"/>
        <w:spacing w:after="0" w:line="265"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challenges enforcing our contractual and intellectual property rights, especially in those foreign countries that do not respect and protect intellectual property rights to the same extent as the United States;</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production shortages resulting from any events affecting raw material supply or manufacturing capabilities abroad; and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w:t>
      </w:r>
    </w:p>
    <w:p>
      <w:pPr>
        <w:spacing w:after="0" w:line="108" w:lineRule="exact"/>
        <w:rPr>
          <w:sz w:val="20"/>
          <w:szCs w:val="20"/>
          <w:color w:val="auto"/>
        </w:rPr>
      </w:pPr>
    </w:p>
    <w:p>
      <w:pPr>
        <w:ind w:left="460" w:right="80"/>
        <w:spacing w:after="0" w:line="265" w:lineRule="auto"/>
        <w:rPr>
          <w:sz w:val="20"/>
          <w:szCs w:val="20"/>
          <w:color w:val="auto"/>
        </w:rPr>
      </w:pPr>
      <w:r>
        <w:rPr>
          <w:rFonts w:ascii="Arial" w:cs="Arial" w:eastAsia="Arial" w:hAnsi="Arial"/>
          <w:sz w:val="16"/>
          <w:szCs w:val="16"/>
          <w:color w:val="auto"/>
        </w:rPr>
        <w:t>These and other risks associated with international operations may materially adversely affect our ability to attain or maintain profitable operations in international markets, which would have a material adverse effect on our business, financial condition and results of operations.</w:t>
      </w:r>
    </w:p>
    <w:p>
      <w:pPr>
        <w:spacing w:after="0" w:line="75" w:lineRule="exact"/>
        <w:rPr>
          <w:sz w:val="20"/>
          <w:szCs w:val="20"/>
          <w:color w:val="auto"/>
        </w:rPr>
      </w:pPr>
    </w:p>
    <w:p>
      <w:pPr>
        <w:ind w:left="460" w:right="40"/>
        <w:spacing w:after="0" w:line="249" w:lineRule="auto"/>
        <w:rPr>
          <w:sz w:val="20"/>
          <w:szCs w:val="20"/>
          <w:color w:val="auto"/>
        </w:rPr>
      </w:pPr>
      <w:r>
        <w:rPr>
          <w:rFonts w:ascii="Arial" w:cs="Arial" w:eastAsia="Arial" w:hAnsi="Arial"/>
          <w:sz w:val="16"/>
          <w:szCs w:val="16"/>
          <w:color w:val="auto"/>
        </w:rPr>
        <w:t>In addition, there can be no guarantee that we will receive approval to sell our products in the international markets we target, nor can there be any guarantee that any sales would result even if such approval is received. Even if the FDA grants marketing approval for a product, comparable regulatory authorities of foreign countries must also approve the manufacturing or marketing of the product in those countries. Approval in the United States, or in any other jurisdiction, does not ensure approval in other jurisdictions. Obtaining foreign approvals could result in significant delays, difficulties and costs for us and require additional trials and additional expenses. Regulatory requirements can vary widely from country to country and could delay the introduction of our products in those countries. Clinical trials conducted in one country may not be accepted by other countries, and regulatory approval in one country does not mean that regulatory approval will be obtained in any other country. If we fail to comply with these regulatory requirements or to obtain and maintain required approvals, our target market will be reduced and our ability to generate revenue will be diminished. Our inability to successfully enter all our desired international markets and manage business on a global scale could negatively affect our business, financial results and results of operations.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able to achieve or maintain satisfactory pricing and margins for our products.</w:t>
      </w:r>
    </w:p>
    <w:p>
      <w:pPr>
        <w:spacing w:after="0" w:line="128"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Manufacturers of medical devices have a history of price competition, and we can give no assurance that we will be able to achieve satisfactory prices for our products or maintain prices at the levels we have historically achieved. Any decline in the amount that payors reimburse doctors performing cataract procedures, or any reduction in the flexibility to charge patients for non-reimbursed procedures could make it difficult for us to convince our customers to make the up-front investment in our LDD and could create additional pricing pressure with respect to the patient’s decision to pay the additional cost associated with our LALs and potentially a reduction in the number of procedures performed using the RxSight system and corresponding sales of LDDs, LALs, accessories and services. If we are forced to lower the price we charge for our products, our revenue and gross margins will decrease, which will adversely affect our ability to invest in and grow our business. If we are unable to maintain our prices, or if our costs increase and we are unable to offset such increase with an increase in our prices, our margins could erode. We will continue to be subject to significant pricing pressure, which could harm our business, financial condition and results of operations.</w:t>
      </w:r>
    </w:p>
    <w:p>
      <w:pPr>
        <w:spacing w:after="0" w:line="258" w:lineRule="exact"/>
        <w:rPr>
          <w:sz w:val="20"/>
          <w:szCs w:val="20"/>
          <w:color w:val="auto"/>
        </w:rPr>
      </w:pPr>
    </w:p>
    <w:p>
      <w:pPr>
        <w:ind w:left="460" w:right="140"/>
        <w:spacing w:after="0" w:line="291" w:lineRule="auto"/>
        <w:rPr>
          <w:sz w:val="20"/>
          <w:szCs w:val="20"/>
          <w:color w:val="auto"/>
        </w:rPr>
      </w:pPr>
      <w:r>
        <w:rPr>
          <w:rFonts w:ascii="Arial" w:cs="Arial" w:eastAsia="Arial" w:hAnsi="Arial"/>
          <w:sz w:val="16"/>
          <w:szCs w:val="16"/>
          <w:b w:val="1"/>
          <w:bCs w:val="1"/>
          <w:i w:val="1"/>
          <w:iCs w:val="1"/>
          <w:color w:val="auto"/>
        </w:rPr>
        <w:t>The sizes of the markets for our current and future products have not been established with precision and may be smaller than we estimate.</w:t>
      </w:r>
    </w:p>
    <w:p>
      <w:pPr>
        <w:spacing w:after="0" w:line="56"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Our estimates of the annual total addressable markets for our current products and products under development are based on a number of internal and third-party estimates, including, without limitation, the number of patients who have undergone cataract surgery, and the assumed prices at which we can sell our RxSight system.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In addition, our estimates of the sizes of the cataract surgery patient population include patients who might never be likely</w:t>
      </w:r>
    </w:p>
    <w:p>
      <w:pPr>
        <w:spacing w:after="0" w:line="12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0800"/>
          </w:cols>
          <w:pgMar w:left="320" w:top="441" w:right="77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candidates for treatment with our products. As a result, our estimates of the annual total addressable market for our current or future products may prove to be incorrect. If the actual number of patients who would benefit from our products, the price at which we can sell future products, or the annual total addressable market for our products is smaller than we have estimated, it may impair our sales growth and have an adverse impact on our business.</w:t>
      </w:r>
    </w:p>
    <w:p>
      <w:pPr>
        <w:spacing w:after="0" w:line="66" w:lineRule="exact"/>
        <w:rPr>
          <w:sz w:val="20"/>
          <w:szCs w:val="20"/>
          <w:color w:val="auto"/>
        </w:rPr>
      </w:pPr>
    </w:p>
    <w:p>
      <w:pPr>
        <w:ind w:left="460" w:right="260"/>
        <w:spacing w:after="0" w:line="291" w:lineRule="auto"/>
        <w:rPr>
          <w:sz w:val="20"/>
          <w:szCs w:val="20"/>
          <w:color w:val="auto"/>
        </w:rPr>
      </w:pPr>
      <w:r>
        <w:rPr>
          <w:rFonts w:ascii="Arial" w:cs="Arial" w:eastAsia="Arial" w:hAnsi="Arial"/>
          <w:sz w:val="16"/>
          <w:szCs w:val="16"/>
          <w:b w:val="1"/>
          <w:bCs w:val="1"/>
          <w:i w:val="1"/>
          <w:iCs w:val="1"/>
          <w:color w:val="auto"/>
        </w:rPr>
        <w:t>Changes in public health insurance coverage and government reimbursement rates for our products could affect the adoption of our products and our future revenue.</w:t>
      </w:r>
    </w:p>
    <w:p>
      <w:pPr>
        <w:spacing w:after="0" w:line="56" w:lineRule="exact"/>
        <w:rPr>
          <w:sz w:val="20"/>
          <w:szCs w:val="20"/>
          <w:color w:val="auto"/>
        </w:rPr>
      </w:pPr>
    </w:p>
    <w:p>
      <w:pPr>
        <w:ind w:left="460" w:right="80"/>
        <w:spacing w:after="0" w:line="250" w:lineRule="auto"/>
        <w:rPr>
          <w:sz w:val="20"/>
          <w:szCs w:val="20"/>
          <w:color w:val="auto"/>
        </w:rPr>
      </w:pPr>
      <w:r>
        <w:rPr>
          <w:rFonts w:ascii="Arial" w:cs="Arial" w:eastAsia="Arial" w:hAnsi="Arial"/>
          <w:sz w:val="16"/>
          <w:szCs w:val="16"/>
          <w:color w:val="auto"/>
        </w:rPr>
        <w:t>The federal government is considering ways to change, and has changed, the manner in which healthcare services are paid for in the United States. Individual states may also enact legislation that impacts Medicaid payments to doctors. In addition, Centers for Medicare &amp; Medicaid Services (CMS) establishes Medicare payment levels for doctors on an annual basis, which can increase or decrease payment to such entities.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In addition, the ability to charge patients directly for premium IOLs and associated services also varies widely across different countries and could become more restricted. Even if we succeed in bringing our products to market internationally, uncertainties regarding future healthcare policy, legislation and regulation, as well as private market practices, could affect our ability to sell our products in commercially acceptable quantities at acceptable prices.</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quarterly and annual results may fluctuate significantly and may not fully reflect the underlying performance of our business.</w:t>
      </w:r>
    </w:p>
    <w:p>
      <w:pPr>
        <w:spacing w:after="0" w:line="128" w:lineRule="exact"/>
        <w:rPr>
          <w:sz w:val="20"/>
          <w:szCs w:val="20"/>
          <w:color w:val="auto"/>
        </w:rPr>
      </w:pPr>
    </w:p>
    <w:p>
      <w:pPr>
        <w:ind w:left="460" w:right="100"/>
        <w:spacing w:after="0" w:line="250" w:lineRule="auto"/>
        <w:rPr>
          <w:sz w:val="20"/>
          <w:szCs w:val="20"/>
          <w:color w:val="auto"/>
        </w:rPr>
      </w:pPr>
      <w:r>
        <w:rPr>
          <w:rFonts w:ascii="Arial" w:cs="Arial" w:eastAsia="Arial" w:hAnsi="Arial"/>
          <w:sz w:val="16"/>
          <w:szCs w:val="16"/>
          <w:color w:val="auto"/>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Fluctuations in quarterly and annual results may decrease the value of our common stock. Because our quarterly results may fluctuate, period-to-period comparisons may not be the best indication of the underlying results of our business and should only be relied upon as one factor in determining how our business is performing.</w:t>
      </w:r>
    </w:p>
    <w:p>
      <w:pPr>
        <w:spacing w:after="0" w:line="172" w:lineRule="exact"/>
        <w:rPr>
          <w:sz w:val="20"/>
          <w:szCs w:val="20"/>
          <w:color w:val="auto"/>
        </w:rPr>
      </w:pPr>
    </w:p>
    <w:p>
      <w:pPr>
        <w:ind w:left="460" w:right="80"/>
        <w:spacing w:after="0" w:line="269" w:lineRule="auto"/>
        <w:rPr>
          <w:sz w:val="20"/>
          <w:szCs w:val="20"/>
          <w:color w:val="auto"/>
        </w:rPr>
      </w:pPr>
      <w:r>
        <w:rPr>
          <w:rFonts w:ascii="Arial" w:cs="Arial" w:eastAsia="Arial" w:hAnsi="Arial"/>
          <w:sz w:val="16"/>
          <w:szCs w:val="16"/>
          <w:b w:val="1"/>
          <w:bCs w:val="1"/>
          <w:i w:val="1"/>
          <w:iCs w:val="1"/>
          <w:color w:val="auto"/>
        </w:rPr>
        <w:t>We expect to significantly expand our organization, including expanding our sales and marketing capability and creating additional infrastructure to support our operations as a public company, and as a result, we may encounter difficulties in managing our growth, which could disrupt our operations.</w:t>
      </w:r>
    </w:p>
    <w:p>
      <w:pPr>
        <w:spacing w:after="0" w:line="73" w:lineRule="exact"/>
        <w:rPr>
          <w:sz w:val="20"/>
          <w:szCs w:val="20"/>
          <w:color w:val="auto"/>
        </w:rPr>
      </w:pPr>
    </w:p>
    <w:p>
      <w:pPr>
        <w:ind w:left="460" w:right="60"/>
        <w:spacing w:after="0" w:line="250" w:lineRule="auto"/>
        <w:rPr>
          <w:sz w:val="20"/>
          <w:szCs w:val="20"/>
          <w:color w:val="auto"/>
        </w:rPr>
      </w:pPr>
      <w:r>
        <w:rPr>
          <w:rFonts w:ascii="Arial" w:cs="Arial" w:eastAsia="Arial" w:hAnsi="Arial"/>
          <w:sz w:val="16"/>
          <w:szCs w:val="16"/>
          <w:color w:val="auto"/>
        </w:rPr>
        <w:t>We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spacing w:after="0" w:line="129"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0800"/>
          </w:cols>
          <w:pgMar w:left="320" w:top="441" w:right="77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Certain of our operating results and financial metrics may be difficult to predict as a result of seasonality.</w:t>
      </w:r>
    </w:p>
    <w:p>
      <w:pPr>
        <w:spacing w:after="0" w:line="128" w:lineRule="exact"/>
        <w:rPr>
          <w:sz w:val="20"/>
          <w:szCs w:val="20"/>
          <w:color w:val="auto"/>
        </w:rPr>
      </w:pPr>
    </w:p>
    <w:p>
      <w:pPr>
        <w:ind w:left="460" w:right="120"/>
        <w:spacing w:after="0" w:line="251" w:lineRule="auto"/>
        <w:rPr>
          <w:sz w:val="20"/>
          <w:szCs w:val="20"/>
          <w:color w:val="auto"/>
        </w:rPr>
      </w:pPr>
      <w:r>
        <w:rPr>
          <w:rFonts w:ascii="Arial" w:cs="Arial" w:eastAsia="Arial" w:hAnsi="Arial"/>
          <w:sz w:val="16"/>
          <w:szCs w:val="16"/>
          <w:color w:val="auto"/>
        </w:rPr>
        <w:t>While we have not yet experienced significant seasonality in our results, it is not uncommon in our industry to experience seasonally weaker revenue during the summer months and end-of-year holiday season. We may be affected by other seasonal trends in the future, including severe weather (which can impact the number of elective procedures performed), particularly as our business matures. Additionally, this seasonality may be reflected to a much lesser extent, and sometimes may not be immediately apparent, in our revenue. To the extent we experience this seasonality, it may cause fluctuations in our operating results and financial metrics and make forecasting our future operating results and financial metrics more difficult.</w:t>
      </w:r>
    </w:p>
    <w:p>
      <w:pPr>
        <w:spacing w:after="0" w:line="68" w:lineRule="exact"/>
        <w:rPr>
          <w:sz w:val="20"/>
          <w:szCs w:val="20"/>
          <w:color w:val="auto"/>
        </w:rPr>
      </w:pPr>
    </w:p>
    <w:p>
      <w:pPr>
        <w:ind w:left="460" w:right="560"/>
        <w:spacing w:after="0" w:line="291" w:lineRule="auto"/>
        <w:rPr>
          <w:sz w:val="20"/>
          <w:szCs w:val="20"/>
          <w:color w:val="auto"/>
        </w:rPr>
      </w:pPr>
      <w:r>
        <w:rPr>
          <w:rFonts w:ascii="Arial" w:cs="Arial" w:eastAsia="Arial" w:hAnsi="Arial"/>
          <w:sz w:val="16"/>
          <w:szCs w:val="16"/>
          <w:b w:val="1"/>
          <w:bCs w:val="1"/>
          <w:i w:val="1"/>
          <w:iCs w:val="1"/>
          <w:color w:val="auto"/>
        </w:rPr>
        <w:t>Our ability to use our net operating loss carryforwards and certain other tax attributes to offset future taxable income may be subject to certain limitations.</w:t>
      </w:r>
    </w:p>
    <w:p>
      <w:pPr>
        <w:spacing w:after="0" w:line="56" w:lineRule="exact"/>
        <w:rPr>
          <w:sz w:val="20"/>
          <w:szCs w:val="20"/>
          <w:color w:val="auto"/>
        </w:rPr>
      </w:pPr>
    </w:p>
    <w:p>
      <w:pPr>
        <w:ind w:left="460" w:right="60"/>
        <w:spacing w:after="0" w:line="250" w:lineRule="auto"/>
        <w:rPr>
          <w:sz w:val="20"/>
          <w:szCs w:val="20"/>
          <w:color w:val="auto"/>
        </w:rPr>
      </w:pPr>
      <w:r>
        <w:rPr>
          <w:rFonts w:ascii="Arial" w:cs="Arial" w:eastAsia="Arial" w:hAnsi="Arial"/>
          <w:sz w:val="16"/>
          <w:szCs w:val="16"/>
          <w:color w:val="auto"/>
        </w:rPr>
        <w:t>As of December 31, 2020, we had federal net operating loss carryforwards (NOLs) of approximately $230 million, which will begin to expire in various years ranging from 2021 to 2037. Our NOLs could expire unused and be unavailable to offset future income tax liabilities because of their limited duration or because of restrictions under U.S. tax law. Under the Tax Act, as modified by the Coronavirus Aid, Relief, and Economic Security Act, or the CARES Act, our federal NOLs generated in tax years ending after December 31, 2017 may be carried forward indefinitely, but the deductibility of such federal net NOLs in tax years beginning after December 31, 2020 is limited to 80% of taxable income. It is uncertain if and to what extent various states will conform to the Tax Act, as modified by the CARES Act. Additionally, California recently enacted legislation limiting our ability to use our state NOLs for taxable years 2020, 2021, and 2022.</w:t>
      </w:r>
    </w:p>
    <w:p>
      <w:pPr>
        <w:spacing w:after="0" w:line="91"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In addition, under Sections 382 and 383 of the Internal Revenue Code of 1986, as amended (Code),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an ownership change as a result of this offering or in the future as a result of subsequent shifts in our stock ownership, some of which are outside our control. We have not conducted any studies to determine annual limitations, if any, that could result from such changes in our stock ownership. Our ability to utilize those NOLs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Risks related to intellectual property</w:t>
      </w:r>
    </w:p>
    <w:p>
      <w:pPr>
        <w:spacing w:after="0" w:line="113" w:lineRule="exact"/>
        <w:rPr>
          <w:sz w:val="20"/>
          <w:szCs w:val="20"/>
          <w:color w:val="auto"/>
        </w:rPr>
      </w:pPr>
    </w:p>
    <w:p>
      <w:pPr>
        <w:jc w:val="both"/>
        <w:ind w:left="460" w:right="260"/>
        <w:spacing w:after="0" w:line="269" w:lineRule="auto"/>
        <w:rPr>
          <w:sz w:val="20"/>
          <w:szCs w:val="20"/>
          <w:color w:val="auto"/>
        </w:rPr>
      </w:pPr>
      <w:r>
        <w:rPr>
          <w:rFonts w:ascii="Arial" w:cs="Arial" w:eastAsia="Arial" w:hAnsi="Arial"/>
          <w:sz w:val="16"/>
          <w:szCs w:val="16"/>
          <w:b w:val="1"/>
          <w:bCs w:val="1"/>
          <w:i w:val="1"/>
          <w:iCs w:val="1"/>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73" w:lineRule="exact"/>
        <w:rPr>
          <w:sz w:val="20"/>
          <w:szCs w:val="20"/>
          <w:color w:val="auto"/>
        </w:rPr>
      </w:pPr>
    </w:p>
    <w:p>
      <w:pPr>
        <w:ind w:left="460" w:right="20"/>
        <w:spacing w:after="0" w:line="253" w:lineRule="auto"/>
        <w:rPr>
          <w:sz w:val="20"/>
          <w:szCs w:val="20"/>
          <w:color w:val="auto"/>
        </w:rPr>
      </w:pPr>
      <w:r>
        <w:rPr>
          <w:rFonts w:ascii="Arial" w:cs="Arial" w:eastAsia="Arial" w:hAnsi="Arial"/>
          <w:sz w:val="16"/>
          <w:szCs w:val="16"/>
          <w:color w:val="auto"/>
        </w:rPr>
        <w:t>Our success depends in large part on our ability to obtain, maintain, protect and enforce patent and other intellectual property protection in the United States and other countries with respect to our products and technology we develop. If we fail to obtain, maintain, protect and enforce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spacing w:after="0" w:line="86" w:lineRule="exact"/>
        <w:rPr>
          <w:sz w:val="20"/>
          <w:szCs w:val="20"/>
          <w:color w:val="auto"/>
        </w:rPr>
      </w:pPr>
    </w:p>
    <w:p>
      <w:pPr>
        <w:ind w:left="460" w:right="180"/>
        <w:spacing w:after="0" w:line="256" w:lineRule="auto"/>
        <w:rPr>
          <w:sz w:val="20"/>
          <w:szCs w:val="20"/>
          <w:color w:val="auto"/>
        </w:rPr>
      </w:pPr>
      <w:r>
        <w:rPr>
          <w:rFonts w:ascii="Arial" w:cs="Arial" w:eastAsia="Arial" w:hAnsi="Arial"/>
          <w:sz w:val="16"/>
          <w:szCs w:val="16"/>
          <w:color w:val="auto"/>
        </w:rPr>
        <w:t>We seek to protect our position by in-licensing intellectual property relating to our products and filing patent applications in the United States and abroad related to our technologies and products that are important to our business. We also rely on a combination of contractual provisions, confidentiality procedures and copyright,</w:t>
      </w:r>
    </w:p>
    <w:p>
      <w:pPr>
        <w:spacing w:after="0" w:line="121"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0800"/>
          </w:cols>
          <w:pgMar w:left="320" w:top="441" w:right="77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0"/>
        <w:spacing w:after="0" w:line="253" w:lineRule="auto"/>
        <w:rPr>
          <w:sz w:val="20"/>
          <w:szCs w:val="20"/>
          <w:color w:val="auto"/>
        </w:rPr>
      </w:pPr>
      <w:r>
        <w:rPr>
          <w:rFonts w:ascii="Arial" w:cs="Arial" w:eastAsia="Arial" w:hAnsi="Arial"/>
          <w:sz w:val="16"/>
          <w:szCs w:val="16"/>
          <w:color w:val="auto"/>
        </w:rPr>
        <w:t>trademark, trade secret and other intellectual property rights to protect the proprietary aspects of our brands, products, technologies and data. These legal measures afford only limited protection, and competitors or others may gain access to or use our intellectual property and proprietary information. Our success will depend, in part, on obtaining and maintaining patents, copyrights, trademarks, trade secrets, data and know-how and other intellectual property rights.</w:t>
      </w:r>
    </w:p>
    <w:p>
      <w:pPr>
        <w:spacing w:after="0" w:line="86"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We may not be able to obtain and maintain intellectual property or other proprietary rights necessary to our business or in a form that provides us with a competitive advantage. For example, our trade secrets, data and know-how could be subject to unauthorized use, misappropriation or disclosure to unauthorized parties, despite our efforts to enter into confidentiality agreements with our employees, consultants, contractors, clients and other vendors who have access to such information, and could otherwise become known or be independently discovered by third parties. In addition, the patent prosecution process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intellectual property at all. Despite our efforts to protect our intellectual property, unauthorized parties may be able to obtain and use information that we regard as proprietary.</w:t>
      </w:r>
    </w:p>
    <w:p>
      <w:pPr>
        <w:spacing w:after="0" w:line="90" w:lineRule="exact"/>
        <w:rPr>
          <w:sz w:val="20"/>
          <w:szCs w:val="20"/>
          <w:color w:val="auto"/>
        </w:rPr>
      </w:pPr>
    </w:p>
    <w:p>
      <w:pPr>
        <w:ind w:left="460" w:right="2240"/>
        <w:spacing w:after="0" w:line="248"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our owned and in-licensed issued patents may be challenged in courts or patent offices in the United States and abroad.</w:t>
      </w:r>
    </w:p>
    <w:p>
      <w:pPr>
        <w:jc w:val="both"/>
        <w:ind w:left="460" w:right="300"/>
        <w:spacing w:after="0" w:line="256" w:lineRule="auto"/>
        <w:rPr>
          <w:sz w:val="20"/>
          <w:szCs w:val="20"/>
          <w:color w:val="auto"/>
        </w:rPr>
      </w:pPr>
      <w:r>
        <w:rPr>
          <w:rFonts w:ascii="Arial" w:cs="Arial" w:eastAsia="Arial" w:hAnsi="Arial"/>
          <w:sz w:val="16"/>
          <w:szCs w:val="16"/>
          <w:color w:val="auto"/>
        </w:rPr>
        <w:t>For example, we may be subject to a third-party submission of prior art to the USPTO challenging the validity of one or more claims of our owned or in-licensed issued patents. Such submissions may also be made prior to a patent’s issuance, precluding the granting of a patent based on one of our owned or in-licensed pending patent applications.</w:t>
      </w:r>
    </w:p>
    <w:p>
      <w:pPr>
        <w:spacing w:after="0" w:line="83"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We may not be able to obtain or maintain patent applications and issued patents due to the subject matter claimed in such patent applications and issued patents being in disclosures in the public domain, and we may not be able to prevent any third party from using any of our technology that is in the public domain to compete with our technologies.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in-licensed issued patents or pending patent applications, or that we were the first to file for patent protection of such inventions. If a third party can establish that we or our licensors were not the first to make or the first to file for patent protection of such inventions, our owned or in-licensed patent applications may not issue as patents and even if issued, may be challenged and invalidated or rendered unenforceable.</w:t>
      </w:r>
    </w:p>
    <w:p>
      <w:pPr>
        <w:spacing w:after="0" w:line="283" w:lineRule="exact"/>
        <w:rPr>
          <w:sz w:val="20"/>
          <w:szCs w:val="20"/>
          <w:color w:val="auto"/>
        </w:rPr>
      </w:pPr>
    </w:p>
    <w:p>
      <w:pPr>
        <w:ind w:left="460" w:right="80"/>
        <w:spacing w:after="0" w:line="251" w:lineRule="auto"/>
        <w:rPr>
          <w:sz w:val="20"/>
          <w:szCs w:val="20"/>
          <w:color w:val="auto"/>
        </w:rPr>
      </w:pPr>
      <w:r>
        <w:rPr>
          <w:rFonts w:ascii="Arial" w:cs="Arial" w:eastAsia="Arial" w:hAnsi="Arial"/>
          <w:sz w:val="16"/>
          <w:szCs w:val="16"/>
          <w:color w:val="auto"/>
        </w:rPr>
        <w:t>The patent position of medical device companies generally is highly uncertain, involves complex legal and factual questions, and has been the subject of much litigation in recent years.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in-licensed patents. With respect to both in-licensed and owned intellectual property, we cannot predict whether the patent applications we and our licensors are currently pursuing will issue as patents in any particular jurisdiction or whether the claims of any</w:t>
      </w:r>
    </w:p>
    <w:p>
      <w:pPr>
        <w:spacing w:after="0" w:line="12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0780"/>
          </w:cols>
          <w:pgMar w:left="320" w:top="441" w:right="79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420"/>
        <w:spacing w:after="0" w:line="265" w:lineRule="auto"/>
        <w:rPr>
          <w:sz w:val="20"/>
          <w:szCs w:val="20"/>
          <w:color w:val="auto"/>
        </w:rPr>
      </w:pPr>
      <w:r>
        <w:rPr>
          <w:rFonts w:ascii="Arial" w:cs="Arial" w:eastAsia="Arial" w:hAnsi="Arial"/>
          <w:sz w:val="16"/>
          <w:szCs w:val="16"/>
          <w:color w:val="auto"/>
        </w:rPr>
        <w:t>issued patents will provide sufficient protection from competitors. As a result, the issuance, scope, validity, enforceability and commercial value of our patent rights are highly uncertain.</w:t>
      </w:r>
    </w:p>
    <w:p>
      <w:pPr>
        <w:spacing w:after="0" w:line="75"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Moreover, the coverage claimed in a patent application can be significantly reduced before a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or invalidated by third parties. Additionally, our competitors or other third parties may be able to circumvent our patents by developing similar or alternative technologies or products in a non-infringing manner. Third parties may also have blocking patents that could prevent us from marketing our own products and practicing our own technology. Alternatively,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agency with jurisdiction may find our patents invalid, unenforceable or not infringed, in which case, our competitors and other third parties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spacing w:after="0" w:line="93" w:lineRule="exact"/>
        <w:rPr>
          <w:sz w:val="20"/>
          <w:szCs w:val="20"/>
          <w:color w:val="auto"/>
        </w:rPr>
      </w:pPr>
    </w:p>
    <w:p>
      <w:pPr>
        <w:ind w:left="460" w:right="80"/>
        <w:spacing w:after="0" w:line="252" w:lineRule="auto"/>
        <w:rPr>
          <w:sz w:val="20"/>
          <w:szCs w:val="20"/>
          <w:color w:val="auto"/>
        </w:rPr>
      </w:pPr>
      <w:r>
        <w:rPr>
          <w:rFonts w:ascii="Arial" w:cs="Arial" w:eastAsia="Arial" w:hAnsi="Arial"/>
          <w:sz w:val="16"/>
          <w:szCs w:val="16"/>
          <w:color w:val="auto"/>
        </w:rPr>
        <w:t>Given that patent applications are confidential for a period of time after filing, we cannot be certain that we were the first to file any patent application related to our products. Competitors may also contest our patents, if issued, by showing the U.S. Patent and Trademark Office, or USPTO, or the applicable other foreign patent agency that the invention was not original, was not novel or was obvious. In litigation, a competitor could claim that our patents, if issued, are not valid for a number of reasons. If a court agrees, we would lose our rights to those challenged patents.</w:t>
      </w:r>
    </w:p>
    <w:p>
      <w:pPr>
        <w:spacing w:after="0" w:line="86" w:lineRule="exact"/>
        <w:rPr>
          <w:sz w:val="20"/>
          <w:szCs w:val="20"/>
          <w:color w:val="auto"/>
        </w:rPr>
      </w:pPr>
    </w:p>
    <w:p>
      <w:pPr>
        <w:ind w:left="460" w:right="60"/>
        <w:spacing w:after="0" w:line="250" w:lineRule="auto"/>
        <w:rPr>
          <w:sz w:val="20"/>
          <w:szCs w:val="20"/>
          <w:color w:val="auto"/>
        </w:rPr>
      </w:pPr>
      <w:r>
        <w:rPr>
          <w:rFonts w:ascii="Arial" w:cs="Arial" w:eastAsia="Arial" w:hAnsi="Arial"/>
          <w:sz w:val="16"/>
          <w:szCs w:val="16"/>
          <w:color w:val="auto"/>
        </w:rPr>
        <w:t>In addition, given the amount of time required for the development, testing and regulatory review of new products, patents protecting such products might expire before or shortly after such products are commercialized. As a result, our intellectual property may not provide us with sufficient rights to exclude others from commercializing products similar or identical to ours. 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91" w:lineRule="exact"/>
        <w:rPr>
          <w:sz w:val="20"/>
          <w:szCs w:val="20"/>
          <w:color w:val="auto"/>
        </w:rPr>
      </w:pPr>
    </w:p>
    <w:p>
      <w:pPr>
        <w:ind w:left="460" w:right="220"/>
        <w:spacing w:after="0" w:line="252" w:lineRule="auto"/>
        <w:rPr>
          <w:sz w:val="20"/>
          <w:szCs w:val="20"/>
          <w:color w:val="auto"/>
        </w:rPr>
      </w:pPr>
      <w:r>
        <w:rPr>
          <w:rFonts w:ascii="Arial" w:cs="Arial" w:eastAsia="Arial" w:hAnsi="Arial"/>
          <w:sz w:val="16"/>
          <w:szCs w:val="16"/>
          <w:color w:val="auto"/>
        </w:rPr>
        <w:t>Our other intellectual property, including our trademarks, could also be challenged, invalidated, infringed and circumvented by third parties, and our trademarks could also be diluted, declared generic or found to be infringing on other marks, in which case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spacing w:after="0" w:line="86" w:lineRule="exact"/>
        <w:rPr>
          <w:sz w:val="20"/>
          <w:szCs w:val="20"/>
          <w:color w:val="auto"/>
        </w:rPr>
      </w:pPr>
    </w:p>
    <w:p>
      <w:pPr>
        <w:ind w:left="460" w:right="200"/>
        <w:spacing w:after="0" w:line="253" w:lineRule="auto"/>
        <w:rPr>
          <w:sz w:val="20"/>
          <w:szCs w:val="20"/>
          <w:color w:val="auto"/>
        </w:rPr>
      </w:pPr>
      <w:r>
        <w:rPr>
          <w:rFonts w:ascii="Arial" w:cs="Arial" w:eastAsia="Arial" w:hAnsi="Arial"/>
          <w:sz w:val="16"/>
          <w:szCs w:val="16"/>
          <w:color w:val="auto"/>
        </w:rPr>
        <w:t>We may in the future also be subject to claims by our former employees, consultants or contractors asserting an ownership right in our patents or patent applications, as a result of the work they performed on our behalf. Although we generally require all of our employees, consultants, contractors and any other partners or collaborators who have access to our proprietary know-how, information or technology to assign or grant similar rights to their inventions to us, we cannot be certain that we have executed such agreements with all</w:t>
      </w:r>
    </w:p>
    <w:p>
      <w:pPr>
        <w:spacing w:after="0" w:line="1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0800"/>
          </w:cols>
          <w:pgMar w:left="320" w:top="441" w:right="77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60"/>
        <w:spacing w:after="0" w:line="265" w:lineRule="auto"/>
        <w:rPr>
          <w:sz w:val="20"/>
          <w:szCs w:val="20"/>
          <w:color w:val="auto"/>
        </w:rPr>
      </w:pPr>
      <w:r>
        <w:rPr>
          <w:rFonts w:ascii="Arial" w:cs="Arial" w:eastAsia="Arial" w:hAnsi="Arial"/>
          <w:sz w:val="16"/>
          <w:szCs w:val="16"/>
          <w:color w:val="auto"/>
        </w:rPr>
        <w:t>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75" w:lineRule="exact"/>
        <w:rPr>
          <w:sz w:val="20"/>
          <w:szCs w:val="20"/>
          <w:color w:val="auto"/>
        </w:rPr>
      </w:pPr>
    </w:p>
    <w:p>
      <w:pPr>
        <w:ind w:left="460" w:right="160"/>
        <w:spacing w:after="0" w:line="250" w:lineRule="auto"/>
        <w:rPr>
          <w:sz w:val="20"/>
          <w:szCs w:val="20"/>
          <w:color w:val="auto"/>
        </w:rPr>
      </w:pPr>
      <w:r>
        <w:rPr>
          <w:rFonts w:ascii="Arial" w:cs="Arial" w:eastAsia="Arial" w:hAnsi="Arial"/>
          <w:sz w:val="16"/>
          <w:szCs w:val="16"/>
          <w:color w:val="auto"/>
        </w:rPr>
        <w:t>Failure to obtain and maintain patents, trademarks and other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and may not provide an adequate remedy if our intellectual property rights are infringed, misappropriated or otherwise violated. Any of the foregoing could have a material adverse effect on our competitive position, business, financial conditions, results of operations and prospects.</w:t>
      </w:r>
    </w:p>
    <w:p>
      <w:pPr>
        <w:spacing w:after="0" w:line="91"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Furthermore, our owned and in-licensed patents may be subject to a reservation of rights by one or more third parties. For example, this could arise if the research resulting in certain of our owned or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94" w:lineRule="exact"/>
        <w:rPr>
          <w:sz w:val="20"/>
          <w:szCs w:val="20"/>
          <w:color w:val="auto"/>
        </w:rPr>
      </w:pPr>
    </w:p>
    <w:p>
      <w:pPr>
        <w:ind w:left="460" w:right="180"/>
        <w:spacing w:after="0" w:line="252" w:lineRule="auto"/>
        <w:rPr>
          <w:sz w:val="20"/>
          <w:szCs w:val="20"/>
          <w:color w:val="auto"/>
        </w:rPr>
      </w:pPr>
      <w:r>
        <w:rPr>
          <w:rFonts w:ascii="Arial" w:cs="Arial" w:eastAsia="Arial" w:hAnsi="Arial"/>
          <w:sz w:val="16"/>
          <w:szCs w:val="16"/>
          <w:color w:val="auto"/>
        </w:rPr>
        <w:t>Moreover, a portion of our intellectual property has been acquired from one or more third parties. While we have conducted diligence with respect to such acquisitions, because we did not participate in the development or prosecution of much of the acquired intellectual property, we cannot guarantee that our diligence efforts identified and/or remedied all issues related to such intellectual property, including potential ownership errors, potential errors during prosecution of such intellectual property, and potential encumbrances that could limit our ability to enforce such intellectual property rights .</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on technology for an adequate amount of time.</w:t>
      </w:r>
    </w:p>
    <w:p>
      <w:pPr>
        <w:spacing w:after="0" w:line="128" w:lineRule="exact"/>
        <w:rPr>
          <w:sz w:val="20"/>
          <w:szCs w:val="20"/>
          <w:color w:val="auto"/>
        </w:rPr>
      </w:pPr>
    </w:p>
    <w:p>
      <w:pPr>
        <w:ind w:left="460" w:right="60"/>
        <w:spacing w:after="0" w:line="250"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claimed U.S. non-provisional or Patent Cooperation Treaty application filing date. Various extensions may be available, but the life of a patent, and the protection it affords, is limited. Even if patents covering our products are obtained, once the patent life has expired for a product, we may be open to competition. Given the amount of time required for the development, testing and regulatory review of new products, patents protecting such products might expire before or shortly after such products are commercialized. As a result, our patent portfolio may not provide us with sufficient rights to exclude others from commercializing products similar or identical to ours for a meaningful amount of time, or at all.</w:t>
      </w:r>
    </w:p>
    <w:p>
      <w:pPr>
        <w:spacing w:after="0" w:line="129"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0780"/>
          </w:cols>
          <w:pgMar w:left="320" w:top="441" w:right="79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both"/>
        <w:ind w:left="460" w:right="540"/>
        <w:spacing w:after="0" w:line="269" w:lineRule="auto"/>
        <w:rPr>
          <w:sz w:val="20"/>
          <w:szCs w:val="20"/>
          <w:color w:val="auto"/>
        </w:rPr>
      </w:pPr>
      <w:r>
        <w:rPr>
          <w:rFonts w:ascii="Arial" w:cs="Arial" w:eastAsia="Arial" w:hAnsi="Arial"/>
          <w:sz w:val="16"/>
          <w:szCs w:val="16"/>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left="460" w:right="40"/>
        <w:spacing w:after="0" w:line="249" w:lineRule="auto"/>
        <w:rPr>
          <w:sz w:val="20"/>
          <w:szCs w:val="20"/>
          <w:color w:val="auto"/>
        </w:rPr>
      </w:pPr>
      <w:r>
        <w:rPr>
          <w:rFonts w:ascii="Arial" w:cs="Arial" w:eastAsia="Arial" w:hAnsi="Arial"/>
          <w:sz w:val="16"/>
          <w:szCs w:val="16"/>
          <w:color w:val="auto"/>
        </w:rPr>
        <w:t>Periodic maintenance fees, renewal fees, annuity fees and various other government fees on any issued patents and patent applications are due to be paid to the USPTO and other foreign patent agencies in several stages over the lifetime of such issued patents and patent applications.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We are dependent on our licensors to take the necessary action to comply with these requirements with respect to certain of our in-licensed intellectual property, and if we or any of our current or future licensors fail to maintain the patents and patent applications covering our RxSight system or any future products, our competitors may be able to enter the market, which would have a material adverse effect on our business, financial condition, results of operations and prospects.</w:t>
      </w:r>
    </w:p>
    <w:p>
      <w:pPr>
        <w:spacing w:after="0" w:line="263" w:lineRule="exact"/>
        <w:rPr>
          <w:sz w:val="20"/>
          <w:szCs w:val="20"/>
          <w:color w:val="auto"/>
        </w:rPr>
      </w:pPr>
    </w:p>
    <w:p>
      <w:pPr>
        <w:ind w:left="460" w:right="480"/>
        <w:spacing w:after="0" w:line="291" w:lineRule="auto"/>
        <w:rPr>
          <w:sz w:val="20"/>
          <w:szCs w:val="20"/>
          <w:color w:val="auto"/>
        </w:rPr>
      </w:pPr>
      <w:r>
        <w:rPr>
          <w:rFonts w:ascii="Arial" w:cs="Arial" w:eastAsia="Arial" w:hAnsi="Arial"/>
          <w:sz w:val="16"/>
          <w:szCs w:val="16"/>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6"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products in any jurisdiction.</w:t>
      </w:r>
    </w:p>
    <w:p>
      <w:pPr>
        <w:spacing w:after="0" w:line="86" w:lineRule="exact"/>
        <w:rPr>
          <w:sz w:val="20"/>
          <w:szCs w:val="20"/>
          <w:color w:val="auto"/>
        </w:rPr>
      </w:pPr>
    </w:p>
    <w:p>
      <w:pPr>
        <w:ind w:left="460" w:right="200"/>
        <w:spacing w:after="0" w:line="251" w:lineRule="auto"/>
        <w:rPr>
          <w:sz w:val="20"/>
          <w:szCs w:val="20"/>
          <w:color w:val="auto"/>
        </w:rPr>
      </w:pPr>
      <w:r>
        <w:rPr>
          <w:rFonts w:ascii="Arial" w:cs="Arial" w:eastAsia="Arial" w:hAnsi="Arial"/>
          <w:sz w:val="16"/>
          <w:szCs w:val="16"/>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w:t>
      </w:r>
    </w:p>
    <w:p>
      <w:pPr>
        <w:spacing w:after="0" w:line="68"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b w:val="1"/>
          <w:bCs w:val="1"/>
          <w:i w:val="1"/>
          <w:iCs w:val="1"/>
          <w:color w:val="auto"/>
        </w:rPr>
        <w:t>Our future reliance on third parties may require us to share our trade secrets, which increases the possibility that a competitor will discover them or that our trade secrets will be misappropriated or disclosed.</w:t>
      </w:r>
    </w:p>
    <w:p>
      <w:pPr>
        <w:spacing w:after="0" w:line="56"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Because we expect to rely on a third party to manufacture our RxSight system, and any future products, and we expect to collaborate with third parties on the continuing development of our RxSight system, and any future products, we must, at times, share trade secrets with them. We also expect to conduct R&amp;D programs that may require us to share trade secrets under the terms of our partnerships or agreements with CROs. We seek to protect our proprietary technology in part by entering into agreements containing confidentiality and use restrictions and obligations with our advisors, employees, contractors, CMOs, CROs, other service providers and consultants prior to disclosing proprietary information. These agreements typically limit the rights of the third parties to use or disclose our confidential information, including our trade secrets. Despite the contractual</w:t>
      </w:r>
    </w:p>
    <w:p>
      <w:pPr>
        <w:spacing w:after="0" w:line="129"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0780"/>
          </w:cols>
          <w:pgMar w:left="320" w:top="441" w:right="79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40"/>
        <w:spacing w:after="0" w:line="252" w:lineRule="auto"/>
        <w:rPr>
          <w:sz w:val="20"/>
          <w:szCs w:val="20"/>
          <w:color w:val="auto"/>
        </w:rPr>
      </w:pPr>
      <w:r>
        <w:rPr>
          <w:rFonts w:ascii="Arial" w:cs="Arial" w:eastAsia="Arial" w:hAnsi="Arial"/>
          <w:sz w:val="16"/>
          <w:szCs w:val="16"/>
          <w:color w:val="auto"/>
        </w:rPr>
        <w:t>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86"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color w:val="auto"/>
        </w:rPr>
        <w:t>In addition, these agreements typically restrict the ability of our advisors, employees, third-party contractors, CMOs, CROs, other service providers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66" w:lineRule="exact"/>
        <w:rPr>
          <w:sz w:val="20"/>
          <w:szCs w:val="20"/>
          <w:color w:val="auto"/>
        </w:rPr>
      </w:pPr>
    </w:p>
    <w:p>
      <w:pPr>
        <w:ind w:left="460" w:right="380"/>
        <w:spacing w:after="0" w:line="269" w:lineRule="auto"/>
        <w:rPr>
          <w:sz w:val="20"/>
          <w:szCs w:val="20"/>
          <w:color w:val="auto"/>
        </w:rPr>
      </w:pPr>
      <w:r>
        <w:rPr>
          <w:rFonts w:ascii="Arial" w:cs="Arial" w:eastAsia="Arial" w:hAnsi="Arial"/>
          <w:sz w:val="16"/>
          <w:szCs w:val="16"/>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spacing w:after="0" w:line="73" w:lineRule="exact"/>
        <w:rPr>
          <w:sz w:val="20"/>
          <w:szCs w:val="20"/>
          <w:color w:val="auto"/>
        </w:rPr>
      </w:pPr>
    </w:p>
    <w:p>
      <w:pPr>
        <w:ind w:left="460" w:right="140"/>
        <w:spacing w:after="0" w:line="249" w:lineRule="auto"/>
        <w:rPr>
          <w:sz w:val="20"/>
          <w:szCs w:val="20"/>
          <w:color w:val="auto"/>
        </w:rPr>
      </w:pPr>
      <w:r>
        <w:rPr>
          <w:rFonts w:ascii="Arial" w:cs="Arial" w:eastAsia="Arial" w:hAnsi="Arial"/>
          <w:sz w:val="16"/>
          <w:szCs w:val="16"/>
          <w:color w:val="auto"/>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Litigation may be necessary to defend against these claims, and if we fail in defending any such claims, in addition to paying monetary damages, we may lose valuable intellectual property rights. In addition, we may lose personnel as a result of such claims. Any such litigation, or the threat thereof, may adversely affect our ability to hire employees or contract with independent contractors. A loss of key personnel or their work product could hamper or prevent our ability to commercialize our products, which would have a material adverse effect on our business, results of operations, financial condition and prospects.</w:t>
      </w:r>
    </w:p>
    <w:p>
      <w:pPr>
        <w:spacing w:after="0" w:line="94" w:lineRule="exact"/>
        <w:rPr>
          <w:sz w:val="20"/>
          <w:szCs w:val="20"/>
          <w:color w:val="auto"/>
        </w:rPr>
      </w:pPr>
    </w:p>
    <w:p>
      <w:pPr>
        <w:ind w:left="460" w:right="60"/>
        <w:spacing w:after="0" w:line="250" w:lineRule="auto"/>
        <w:rPr>
          <w:sz w:val="20"/>
          <w:szCs w:val="20"/>
          <w:color w:val="auto"/>
        </w:rPr>
      </w:pPr>
      <w:r>
        <w:rPr>
          <w:rFonts w:ascii="Arial" w:cs="Arial" w:eastAsia="Arial" w:hAnsi="Arial"/>
          <w:sz w:val="16"/>
          <w:szCs w:val="16"/>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w:t>
      </w:r>
    </w:p>
    <w:p>
      <w:pPr>
        <w:spacing w:after="0" w:line="91" w:lineRule="exact"/>
        <w:rPr>
          <w:sz w:val="20"/>
          <w:szCs w:val="20"/>
          <w:color w:val="auto"/>
        </w:rPr>
      </w:pPr>
    </w:p>
    <w:p>
      <w:pPr>
        <w:ind w:left="460" w:right="300"/>
        <w:spacing w:after="0" w:line="252" w:lineRule="auto"/>
        <w:rPr>
          <w:sz w:val="20"/>
          <w:szCs w:val="20"/>
          <w:color w:val="auto"/>
        </w:rPr>
      </w:pPr>
      <w:r>
        <w:rPr>
          <w:rFonts w:ascii="Arial" w:cs="Arial" w:eastAsia="Arial" w:hAnsi="Arial"/>
          <w:sz w:val="16"/>
          <w:szCs w:val="16"/>
          <w:color w:val="auto"/>
        </w:rPr>
        <w:t>In addition, we or our licensors may in the future be subject to claims by former employees, consultants or other third parties asserting an ownership right in our owned or in-licensed issued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Such</w:t>
      </w:r>
    </w:p>
    <w:p>
      <w:pPr>
        <w:spacing w:after="0" w:line="1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0800"/>
          </w:cols>
          <w:pgMar w:left="320" w:top="441" w:right="77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60"/>
        <w:spacing w:after="0" w:line="253" w:lineRule="auto"/>
        <w:rPr>
          <w:sz w:val="20"/>
          <w:szCs w:val="20"/>
          <w:color w:val="auto"/>
        </w:rPr>
      </w:pPr>
      <w:r>
        <w:rPr>
          <w:rFonts w:ascii="Arial" w:cs="Arial" w:eastAsia="Arial" w:hAnsi="Arial"/>
          <w:sz w:val="16"/>
          <w:szCs w:val="16"/>
          <w:color w:val="auto"/>
        </w:rPr>
        <w:t>challenges may also result in our inability to develop, manufacture or commercialize our technology without infringing third-party patent rights. In addition, if the breadth or strength of protection provided by our owned or in-licensed issued patents and patent applications is threatened, it could dissuade companies from collaborating with us to license, develop or commercialize current or future products. Any of the foregoing could have a material adverse effect on our business, financial condition, results of operations and prospects.</w:t>
      </w:r>
    </w:p>
    <w:p>
      <w:pPr>
        <w:spacing w:after="0" w:line="86"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spacing w:after="0" w:line="68"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b w:val="1"/>
          <w:bCs w:val="1"/>
          <w:i w:val="1"/>
          <w:iCs w:val="1"/>
          <w:color w:val="auto"/>
        </w:rPr>
        <w:t>We may become a party to intellectual property litigation or administrative proceedings that could be costly and could interfere with our ability to sell and market our products.</w:t>
      </w:r>
    </w:p>
    <w:p>
      <w:pPr>
        <w:spacing w:after="0" w:line="56" w:lineRule="exact"/>
        <w:rPr>
          <w:sz w:val="20"/>
          <w:szCs w:val="20"/>
          <w:color w:val="auto"/>
        </w:rPr>
      </w:pPr>
    </w:p>
    <w:p>
      <w:pPr>
        <w:ind w:left="460" w:right="20"/>
        <w:spacing w:after="0" w:line="248" w:lineRule="auto"/>
        <w:rPr>
          <w:sz w:val="20"/>
          <w:szCs w:val="20"/>
          <w:color w:val="auto"/>
        </w:rPr>
      </w:pPr>
      <w:r>
        <w:rPr>
          <w:rFonts w:ascii="Arial" w:cs="Arial" w:eastAsia="Arial" w:hAnsi="Arial"/>
          <w:sz w:val="16"/>
          <w:szCs w:val="16"/>
          <w:color w:val="auto"/>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copyrights,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copyrights, trademarks and competing technologies, may have applied for or obtained, or may in the future apply for or obtain, patents, copyrights, or trademarks that will prevent, limit or otherwise interfere with our ability to make, use, sell and/or export our products or to use product names. Because patent applications can take years to issue and are often afforded confidentiality for some period of time, there may currently be pending applications, unknown to us, that later result in issued patents that could cover one or more of our products.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may face patent infringement claims from non-practicing entities that have no relevant product revenue and against whom our owned or in-licensed patent portfolio may therefore have no deterrent effect. We may in the future become party to adversarial proceedings or litigation where our competitors or other third parties may assert claims against us, alleging that our products or services infringe, misappropriate or otherwise violate their intellectual property rights, including patents and trade secrets. The defense of these matters can be time consuming, costly to defend in litigation,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 party’s patent or trademark or of misappropriating a third party’s trade secret, or any indemnification granted by such vendors may not be sufficient to address any liability and costs we incur as a result of such claims. Additionally, we may be obligated to indemnify our customers or business partners in connection with litigation and to obtain licenses or refund subscription fees, which could further exhaust our resources.</w:t>
      </w:r>
    </w:p>
    <w:p>
      <w:pPr>
        <w:spacing w:after="0" w:line="141"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0800"/>
          </w:cols>
          <w:pgMar w:left="320" w:top="441" w:right="77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40"/>
        <w:spacing w:after="0" w:line="250" w:lineRule="auto"/>
        <w:rPr>
          <w:sz w:val="20"/>
          <w:szCs w:val="20"/>
          <w:color w:val="auto"/>
        </w:rPr>
      </w:pPr>
      <w:r>
        <w:rPr>
          <w:rFonts w:ascii="Arial" w:cs="Arial" w:eastAsia="Arial" w:hAnsi="Arial"/>
          <w:sz w:val="16"/>
          <w:szCs w:val="16"/>
          <w:color w:val="auto"/>
        </w:rPr>
        <w:t>Even if we believe a third party’s intellectual property claims are without merit, there is no assurance that a court would find in our favor, including on questions of infringement, validity, enforceability or priority of patents. The strength of our defenses will depend on the patents asserted, the interpretation of these patents, and our ability to invalidate the asserted patents. A court of competent jurisdiction could hold that these third-party patents are valid, enforceable and infringed, which could materially and adversely affect our ability to commercialize any products or technology we may develop, and any other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Conversely, the patent owner need only prove infringement by a preponderance of the evidence, which is a lower burden of proof.</w:t>
      </w:r>
    </w:p>
    <w:p>
      <w:pPr>
        <w:spacing w:after="0" w:line="88" w:lineRule="exact"/>
        <w:rPr>
          <w:sz w:val="20"/>
          <w:szCs w:val="20"/>
          <w:color w:val="auto"/>
        </w:rPr>
      </w:pPr>
    </w:p>
    <w:p>
      <w:pPr>
        <w:ind w:left="460" w:right="320"/>
        <w:spacing w:after="0" w:line="253" w:lineRule="auto"/>
        <w:rPr>
          <w:sz w:val="20"/>
          <w:szCs w:val="20"/>
          <w:color w:val="auto"/>
        </w:rPr>
      </w:pPr>
      <w:r>
        <w:rPr>
          <w:rFonts w:ascii="Arial" w:cs="Arial" w:eastAsia="Arial" w:hAnsi="Arial"/>
          <w:sz w:val="16"/>
          <w:szCs w:val="16"/>
          <w:color w:val="auto"/>
        </w:rPr>
        <w:t>Further, if patents, trademarks, copyrights, or trade secrets are successfully asserted against us, this may harm our business and result in injunctions preventing us from developing, manufacturing, marketing or selling our products,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spacing w:after="0" w:line="86" w:lineRule="exact"/>
        <w:rPr>
          <w:sz w:val="20"/>
          <w:szCs w:val="20"/>
          <w:color w:val="auto"/>
        </w:rPr>
      </w:pPr>
    </w:p>
    <w:p>
      <w:pPr>
        <w:ind w:left="460" w:right="40"/>
        <w:spacing w:after="0" w:line="251" w:lineRule="auto"/>
        <w:rPr>
          <w:sz w:val="20"/>
          <w:szCs w:val="20"/>
          <w:color w:val="auto"/>
        </w:rPr>
      </w:pPr>
      <w:r>
        <w:rPr>
          <w:rFonts w:ascii="Arial" w:cs="Arial" w:eastAsia="Arial" w:hAnsi="Arial"/>
          <w:sz w:val="16"/>
          <w:szCs w:val="16"/>
          <w:color w:val="auto"/>
        </w:rPr>
        <w:t>Although patent, copyright, trademark, trade secret and other intellectual property disputes in the medical device area have often been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redesign our products to avoid infringement. Any of these events could materially and adversely affect our business, financial condition and results of operations.</w:t>
      </w:r>
    </w:p>
    <w:p>
      <w:pPr>
        <w:spacing w:after="0" w:line="88" w:lineRule="exact"/>
        <w:rPr>
          <w:sz w:val="20"/>
          <w:szCs w:val="20"/>
          <w:color w:val="auto"/>
        </w:rPr>
      </w:pPr>
    </w:p>
    <w:p>
      <w:pPr>
        <w:ind w:left="460" w:right="20"/>
        <w:spacing w:after="0" w:line="251" w:lineRule="auto"/>
        <w:rPr>
          <w:sz w:val="20"/>
          <w:szCs w:val="20"/>
          <w:color w:val="auto"/>
        </w:rPr>
      </w:pPr>
      <w:r>
        <w:rPr>
          <w:rFonts w:ascii="Arial" w:cs="Arial" w:eastAsia="Arial" w:hAnsi="Arial"/>
          <w:sz w:val="16"/>
          <w:szCs w:val="16"/>
          <w:color w:val="auto"/>
        </w:rPr>
        <w:t xml:space="preserve">Similarly, interference or derivation proceedings provoked by third parties or brought by the U.S. Patent and Trademark Office, or USPTO, may be necessary to determine priority with respect to our patents, patent applications, trademarks or trademark applications. We may also become involved in other proceedings, such as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spacing w:after="0" w:line="88"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 xml:space="preserve">Additionally, we may file lawsuits or initiate other proceedings to protect or enforce our patents or other intellectual property rights, which could be expensive, time consuming and unsuccessful. Competitors may infringe our issued patents or other intellectual property, which we may not always be able to detect.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owned or in-licensed patent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(e.g., opposition proceedings). In any such</w:t>
      </w:r>
    </w:p>
    <w:p>
      <w:pPr>
        <w:spacing w:after="0" w:line="132"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0800"/>
          </w:cols>
          <w:pgMar w:left="320" w:top="441" w:right="77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40"/>
        <w:spacing w:after="0" w:line="256" w:lineRule="auto"/>
        <w:rPr>
          <w:sz w:val="20"/>
          <w:szCs w:val="20"/>
          <w:color w:val="auto"/>
        </w:rPr>
      </w:pPr>
      <w:r>
        <w:rPr>
          <w:rFonts w:ascii="Arial" w:cs="Arial" w:eastAsia="Arial" w:hAnsi="Arial"/>
          <w:sz w:val="16"/>
          <w:szCs w:val="16"/>
          <w:color w:val="auto"/>
        </w:rPr>
        <w:t>lawsuit or other proceedings, a court or other administrative body may decide that a patent of ours is invalid or unenforceable, in whole or in part, construe the patent’s claims narrowly or refuse to stop the other party from using the technology at issue on the grounds that our patents do not cover the technology in question.</w:t>
      </w:r>
    </w:p>
    <w:p>
      <w:pPr>
        <w:spacing w:after="0" w:line="83" w:lineRule="exact"/>
        <w:rPr>
          <w:sz w:val="20"/>
          <w:szCs w:val="20"/>
          <w:color w:val="auto"/>
        </w:rPr>
      </w:pPr>
    </w:p>
    <w:p>
      <w:pPr>
        <w:ind w:left="460" w:right="60"/>
        <w:spacing w:after="0" w:line="250" w:lineRule="auto"/>
        <w:rPr>
          <w:sz w:val="20"/>
          <w:szCs w:val="20"/>
          <w:color w:val="auto"/>
        </w:rPr>
      </w:pPr>
      <w:r>
        <w:rPr>
          <w:rFonts w:ascii="Arial" w:cs="Arial" w:eastAsia="Arial" w:hAnsi="Arial"/>
          <w:sz w:val="16"/>
          <w:szCs w:val="16"/>
          <w:color w:val="auto"/>
        </w:rPr>
        <w:t>The outcome following legal assertions of invalidity and unenforceability is unpredictable. If a third party were to prevail on a legal assertion of invalidity or unenforceability, we would lose at least part, and perhaps all, of the patent protection on our products or products that we may develop.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other proceeding could put one or more of our patents at risk of being invalidated or interpreted narrowly. Any of these events could materially and adversely affect our business, financial condition and results of operations.</w:t>
      </w:r>
    </w:p>
    <w:p>
      <w:pPr>
        <w:spacing w:after="0" w:line="91"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patent and other intellectual property litigation or other proceedings could have a material adverse effect on our business, financial condition and results of operations.</w:t>
      </w:r>
    </w:p>
    <w:p>
      <w:pPr>
        <w:spacing w:after="0" w:line="74" w:lineRule="exact"/>
        <w:rPr>
          <w:sz w:val="20"/>
          <w:szCs w:val="20"/>
          <w:color w:val="auto"/>
        </w:rPr>
      </w:pPr>
    </w:p>
    <w:p>
      <w:pPr>
        <w:ind w:left="460" w:right="120"/>
        <w:spacing w:after="0" w:line="291" w:lineRule="auto"/>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56" w:lineRule="exact"/>
        <w:rPr>
          <w:sz w:val="20"/>
          <w:szCs w:val="20"/>
          <w:color w:val="auto"/>
        </w:rPr>
      </w:pPr>
    </w:p>
    <w:p>
      <w:pPr>
        <w:ind w:left="460" w:right="300"/>
        <w:spacing w:after="0" w:line="252" w:lineRule="auto"/>
        <w:rPr>
          <w:sz w:val="20"/>
          <w:szCs w:val="20"/>
          <w:color w:val="auto"/>
        </w:rPr>
      </w:pPr>
      <w:r>
        <w:rPr>
          <w:rFonts w:ascii="Arial" w:cs="Arial" w:eastAsia="Arial" w:hAnsi="Arial"/>
          <w:sz w:val="16"/>
          <w:szCs w:val="16"/>
          <w:color w:val="auto"/>
        </w:rPr>
        <w:t>Because of the expense and uncertainty of litigation, we may conclude that even if a third party is infringing, misappropriating or otherwise violating our owned or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66"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b w:val="1"/>
          <w:bCs w:val="1"/>
          <w:i w:val="1"/>
          <w:iCs w:val="1"/>
          <w:color w:val="auto"/>
        </w:rPr>
        <w:t>Our rights to develop and commercialize our products are subject, in part, to the terms and conditions of licenses granted to us by others.</w:t>
      </w:r>
    </w:p>
    <w:p>
      <w:pPr>
        <w:spacing w:after="0" w:line="56" w:lineRule="exact"/>
        <w:rPr>
          <w:sz w:val="20"/>
          <w:szCs w:val="20"/>
          <w:color w:val="auto"/>
        </w:rPr>
      </w:pPr>
    </w:p>
    <w:p>
      <w:pPr>
        <w:ind w:left="460" w:right="40"/>
        <w:spacing w:after="0" w:line="251" w:lineRule="auto"/>
        <w:rPr>
          <w:sz w:val="20"/>
          <w:szCs w:val="20"/>
          <w:color w:val="auto"/>
        </w:rPr>
      </w:pPr>
      <w:r>
        <w:rPr>
          <w:rFonts w:ascii="Arial" w:cs="Arial" w:eastAsia="Arial" w:hAnsi="Arial"/>
          <w:sz w:val="16"/>
          <w:szCs w:val="16"/>
          <w:color w:val="auto"/>
        </w:rPr>
        <w:t>We rely, in part, upon licenses to certain patent rights, proprietary technology and other intellectual property from third parties that are important or necessary to the development of our products and technology. Further development and commercialization of our current products, and development of any future products, may require us to enter into additional license or collaboration agreements.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w:t>
      </w:r>
    </w:p>
    <w:p>
      <w:pPr>
        <w:spacing w:after="0" w:line="12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0800"/>
          </w:cols>
          <w:pgMar w:left="320" w:top="441" w:right="77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60"/>
        <w:spacing w:after="0" w:line="250" w:lineRule="auto"/>
        <w:rPr>
          <w:sz w:val="20"/>
          <w:szCs w:val="20"/>
          <w:color w:val="auto"/>
        </w:rPr>
      </w:pPr>
      <w:r>
        <w:rPr>
          <w:rFonts w:ascii="Arial" w:cs="Arial" w:eastAsia="Arial" w:hAnsi="Arial"/>
          <w:sz w:val="16"/>
          <w:szCs w:val="16"/>
          <w:color w:val="auto"/>
        </w:rPr>
        <w:t>In addition,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 Additionally,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90" w:lineRule="exact"/>
        <w:rPr>
          <w:sz w:val="20"/>
          <w:szCs w:val="20"/>
          <w:color w:val="auto"/>
        </w:rPr>
      </w:pPr>
    </w:p>
    <w:p>
      <w:pPr>
        <w:ind w:left="460" w:right="60"/>
        <w:spacing w:after="0" w:line="256" w:lineRule="auto"/>
        <w:rPr>
          <w:sz w:val="20"/>
          <w:szCs w:val="20"/>
          <w:color w:val="auto"/>
        </w:rPr>
      </w:pPr>
      <w:r>
        <w:rPr>
          <w:rFonts w:ascii="Arial" w:cs="Arial" w:eastAsia="Arial" w:hAnsi="Arial"/>
          <w:sz w:val="16"/>
          <w:szCs w:val="16"/>
          <w:color w:val="auto"/>
        </w:rPr>
        <w:t>Our licensors may have relied on third-party consultants or collaborators or on funds from third parties such that our licensors are not the sole and exclusive owners of the patents we in-license. This could materially and adversely affect our business, financial condition and results of operations.</w:t>
      </w:r>
    </w:p>
    <w:p>
      <w:pPr>
        <w:spacing w:after="0" w:line="83"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In spite of our best efforts, our licensors might also conclude that we have materially breached our license agreements and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Moreover, if disputes over intellectual property that we license prevent or impair our ability to maintain other licensing arrangements on commercially acceptable terms, we may be unable to successfully develop and commercialize the affected products. Any of these events could materially and adversely affect our business, financial condition and results of operations.</w:t>
      </w:r>
    </w:p>
    <w:p>
      <w:pPr>
        <w:spacing w:after="0" w:line="173" w:lineRule="exact"/>
        <w:rPr>
          <w:sz w:val="20"/>
          <w:szCs w:val="20"/>
          <w:color w:val="auto"/>
        </w:rPr>
      </w:pPr>
    </w:p>
    <w:p>
      <w:pPr>
        <w:ind w:left="460" w:right="140"/>
        <w:spacing w:after="0" w:line="265" w:lineRule="auto"/>
        <w:rPr>
          <w:sz w:val="20"/>
          <w:szCs w:val="20"/>
          <w:color w:val="auto"/>
        </w:rPr>
      </w:pPr>
      <w:r>
        <w:rPr>
          <w:rFonts w:ascii="Arial" w:cs="Arial" w:eastAsia="Arial" w:hAnsi="Arial"/>
          <w:sz w:val="16"/>
          <w:szCs w:val="16"/>
          <w:b w:val="1"/>
          <w:bCs w:val="1"/>
          <w:i w:val="1"/>
          <w:iCs w:val="1"/>
          <w:color w:val="auto"/>
        </w:rPr>
        <w:t>In the future, we may enter agreements involving licenses or collaborations that provide for access or sharing of intellectual property. If we fail to comply with our obligations under any license, collaboration or other agreements, we may be required to pay damages and could lose intellectual property rights that are necessary for developing and protecting our current and future products.</w:t>
      </w:r>
    </w:p>
    <w:p>
      <w:pPr>
        <w:spacing w:after="0" w:line="273" w:lineRule="exact"/>
        <w:rPr>
          <w:sz w:val="20"/>
          <w:szCs w:val="20"/>
          <w:color w:val="auto"/>
        </w:rPr>
      </w:pPr>
    </w:p>
    <w:p>
      <w:pPr>
        <w:ind w:left="460" w:right="320"/>
        <w:spacing w:after="0" w:line="252" w:lineRule="auto"/>
        <w:rPr>
          <w:sz w:val="20"/>
          <w:szCs w:val="20"/>
          <w:color w:val="auto"/>
        </w:rPr>
      </w:pPr>
      <w:r>
        <w:rPr>
          <w:rFonts w:ascii="Arial" w:cs="Arial" w:eastAsia="Arial" w:hAnsi="Arial"/>
          <w:sz w:val="16"/>
          <w:szCs w:val="16"/>
          <w:color w:val="auto"/>
        </w:rPr>
        <w:t>We currently, and in the future may continue to, license from third parties certain intellectual property relating to our current and future products. In the event we do so, we may have certain obligations to such licensors.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Disputes may arise between us and our future licensors regarding intellectual property subject to a license agreement, including:</w:t>
      </w:r>
    </w:p>
    <w:p>
      <w:pPr>
        <w:spacing w:after="0" w:line="120" w:lineRule="exact"/>
        <w:rPr>
          <w:sz w:val="20"/>
          <w:szCs w:val="20"/>
          <w:color w:val="auto"/>
        </w:rPr>
      </w:pPr>
    </w:p>
    <w:p>
      <w:pPr>
        <w:ind w:left="5540" w:right="3200" w:hanging="5089"/>
        <w:spacing w:after="0" w:line="447" w:lineRule="auto"/>
        <w:tabs>
          <w:tab w:leader="none" w:pos="66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scope of rights granted under the license agreement and other interpretation-related issues; 46</w:t>
      </w:r>
    </w:p>
    <w:p>
      <w:pPr>
        <w:sectPr>
          <w:pgSz w:w="11900" w:h="16838" w:orient="portrait"/>
          <w:cols w:equalWidth="0" w:num="1">
            <w:col w:w="10800"/>
          </w:cols>
          <w:pgMar w:left="320" w:top="441" w:right="77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660" w:right="420" w:hanging="209"/>
        <w:spacing w:after="0" w:line="265"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whether and the extent to which our technology and processes infringe on intellectual property of the licensor that is not subject to the licensing agreement;</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right to sublicense patents and other rights to third parties;</w:t>
      </w:r>
    </w:p>
    <w:p>
      <w:pPr>
        <w:spacing w:after="0" w:line="120" w:lineRule="exact"/>
        <w:rPr>
          <w:rFonts w:ascii="Arial" w:cs="Arial" w:eastAsia="Arial" w:hAnsi="Arial"/>
          <w:sz w:val="16"/>
          <w:szCs w:val="16"/>
          <w:color w:val="auto"/>
        </w:rPr>
      </w:pPr>
    </w:p>
    <w:p>
      <w:pPr>
        <w:ind w:left="660" w:right="360" w:hanging="209"/>
        <w:spacing w:after="0" w:line="265"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diligence obligations with respect to the use of the licensed technology in relation to our development and commercialization of our products, and what activities satisfy those diligence obligations;</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right to transfer or assign the license; and</w:t>
      </w:r>
    </w:p>
    <w:p>
      <w:pPr>
        <w:spacing w:after="0" w:line="120" w:lineRule="exact"/>
        <w:rPr>
          <w:rFonts w:ascii="Arial" w:cs="Arial" w:eastAsia="Arial" w:hAnsi="Arial"/>
          <w:sz w:val="16"/>
          <w:szCs w:val="16"/>
          <w:color w:val="auto"/>
        </w:rPr>
      </w:pPr>
    </w:p>
    <w:p>
      <w:pPr>
        <w:ind w:left="660" w:right="100" w:hanging="209"/>
        <w:spacing w:after="0" w:line="265"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any of our future licensors and us and our partners.</w:t>
      </w:r>
    </w:p>
    <w:p>
      <w:pPr>
        <w:spacing w:after="0" w:line="75" w:lineRule="exact"/>
        <w:rPr>
          <w:sz w:val="20"/>
          <w:szCs w:val="20"/>
          <w:color w:val="auto"/>
        </w:rPr>
      </w:pPr>
    </w:p>
    <w:p>
      <w:pPr>
        <w:ind w:left="460" w:right="40"/>
        <w:spacing w:after="0" w:line="256" w:lineRule="auto"/>
        <w:rPr>
          <w:sz w:val="20"/>
          <w:szCs w:val="20"/>
          <w:color w:val="auto"/>
        </w:rPr>
      </w:pPr>
      <w:r>
        <w:rPr>
          <w:rFonts w:ascii="Arial" w:cs="Arial" w:eastAsia="Arial" w:hAnsi="Arial"/>
          <w:sz w:val="16"/>
          <w:szCs w:val="16"/>
          <w:color w:val="auto"/>
        </w:rPr>
        <w:t>If disputes over intellectual property that we license in the future prevent or impair our ability to maintain our licensing arrangements on acceptable terms, we may not be able to successfully develop and commercialize the affected products, which would have a material adverse effect on our business.</w:t>
      </w:r>
    </w:p>
    <w:p>
      <w:pPr>
        <w:spacing w:after="0" w:line="83" w:lineRule="exact"/>
        <w:rPr>
          <w:sz w:val="20"/>
          <w:szCs w:val="20"/>
          <w:color w:val="auto"/>
        </w:rPr>
      </w:pPr>
    </w:p>
    <w:p>
      <w:pPr>
        <w:ind w:left="460" w:right="240"/>
        <w:spacing w:after="0" w:line="255" w:lineRule="auto"/>
        <w:rPr>
          <w:sz w:val="20"/>
          <w:szCs w:val="20"/>
          <w:color w:val="auto"/>
        </w:rPr>
      </w:pPr>
      <w:r>
        <w:rPr>
          <w:rFonts w:ascii="Arial" w:cs="Arial" w:eastAsia="Arial" w:hAnsi="Arial"/>
          <w:sz w:val="16"/>
          <w:szCs w:val="16"/>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276"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Further, we or our future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future licensors fail to establish, maintain or protect such patents and other intellectual property rights, such rights may be reduced or eliminated. If our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278" w:lineRule="exact"/>
        <w:rPr>
          <w:sz w:val="20"/>
          <w:szCs w:val="20"/>
          <w:color w:val="auto"/>
        </w:rPr>
      </w:pPr>
    </w:p>
    <w:p>
      <w:pPr>
        <w:ind w:left="460" w:right="260"/>
        <w:spacing w:after="0" w:line="256" w:lineRule="auto"/>
        <w:rPr>
          <w:sz w:val="20"/>
          <w:szCs w:val="20"/>
          <w:color w:val="auto"/>
        </w:rPr>
      </w:pPr>
      <w:r>
        <w:rPr>
          <w:rFonts w:ascii="Arial" w:cs="Arial" w:eastAsia="Arial" w:hAnsi="Arial"/>
          <w:sz w:val="16"/>
          <w:szCs w:val="16"/>
          <w:color w:val="auto"/>
        </w:rPr>
        <w:t>In addition, even where we have the right to control patent prosecution of patents and patent applications under future license from third parties, we may still be adversely affected or prejudiced by actions or inactions of our predecessors or licensors and their counsel that took place prior to us assuming control over patent prosecution.</w:t>
      </w:r>
    </w:p>
    <w:p>
      <w:pPr>
        <w:spacing w:after="0" w:line="83"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color w:val="auto"/>
        </w:rPr>
        <w:t>Our technology acquired or licensed in the future from various third parties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spacing w:after="0" w:line="86" w:lineRule="exact"/>
        <w:rPr>
          <w:sz w:val="20"/>
          <w:szCs w:val="20"/>
          <w:color w:val="auto"/>
        </w:rPr>
      </w:pPr>
    </w:p>
    <w:p>
      <w:pPr>
        <w:jc w:val="both"/>
        <w:ind w:left="460" w:right="60"/>
        <w:spacing w:after="0" w:line="256" w:lineRule="auto"/>
        <w:rPr>
          <w:sz w:val="20"/>
          <w:szCs w:val="20"/>
          <w:color w:val="auto"/>
        </w:rPr>
      </w:pPr>
      <w:r>
        <w:rPr>
          <w:rFonts w:ascii="Arial" w:cs="Arial" w:eastAsia="Arial" w:hAnsi="Arial"/>
          <w:sz w:val="16"/>
          <w:szCs w:val="16"/>
          <w:color w:val="auto"/>
        </w:rPr>
        <w:t>If we are limited in our ability to utilize acquired or future licensed technologies, or if we lose our rights to critical future in-licensed technology, we may be unable to successfully develop, out-license, market and sell our products, which could prevent or delay new product introductions. Our business strategy depends on the successful development of acquired technologies, and possibly in the future licensed technology, into</w:t>
      </w:r>
    </w:p>
    <w:p>
      <w:pPr>
        <w:spacing w:after="0" w:line="121"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0800"/>
          </w:cols>
          <w:pgMar w:left="320" w:top="441" w:right="77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60"/>
        <w:spacing w:after="0" w:line="265" w:lineRule="auto"/>
        <w:rPr>
          <w:sz w:val="20"/>
          <w:szCs w:val="20"/>
          <w:color w:val="auto"/>
        </w:rPr>
      </w:pPr>
      <w:r>
        <w:rPr>
          <w:rFonts w:ascii="Arial" w:cs="Arial" w:eastAsia="Arial" w:hAnsi="Arial"/>
          <w:sz w:val="16"/>
          <w:szCs w:val="16"/>
          <w:color w:val="auto"/>
        </w:rPr>
        <w:t>commercial products. Therefore, any limitations on our ability to utilize these technologies may impair our ability to develop, out-license or market and sell our products.</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successful in obtaining necessary rights to any products we may develop through acquisitions and in-licenses.</w:t>
      </w:r>
    </w:p>
    <w:p>
      <w:pPr>
        <w:spacing w:after="0" w:line="128" w:lineRule="exact"/>
        <w:rPr>
          <w:sz w:val="20"/>
          <w:szCs w:val="20"/>
          <w:color w:val="auto"/>
        </w:rPr>
      </w:pPr>
    </w:p>
    <w:p>
      <w:pPr>
        <w:ind w:left="460" w:right="40"/>
        <w:spacing w:after="0" w:line="249" w:lineRule="auto"/>
        <w:rPr>
          <w:sz w:val="20"/>
          <w:szCs w:val="20"/>
          <w:color w:val="auto"/>
        </w:rPr>
      </w:pPr>
      <w:r>
        <w:rPr>
          <w:rFonts w:ascii="Arial" w:cs="Arial" w:eastAsia="Arial" w:hAnsi="Arial"/>
          <w:sz w:val="16"/>
          <w:szCs w:val="16"/>
          <w:color w:val="auto"/>
        </w:rPr>
        <w:t>We may need to obtain additional licenses from our existing licensors or otherwise acquire or in-license any intellectual property rights from third parties that we identify as necessary for our products. It is possible that we may be unable to obtain any additional licenses or acquire such intellectual property rights at a reasonable cost or on reasonable terms, if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In that event, we may be required to expend significant time and resources to redesign our technology, products, or the methods for manufacturing them or to develop or license replacement technology, all of which may not be feasible on a technical or commercial basis. If we are unable to do so, we may be unable to develop or commercialize the affected products, which could materially and adversely affect our business, financial condition and results of operations.</w:t>
      </w:r>
    </w:p>
    <w:p>
      <w:pPr>
        <w:spacing w:after="0" w:line="264" w:lineRule="exact"/>
        <w:rPr>
          <w:sz w:val="20"/>
          <w:szCs w:val="20"/>
          <w:color w:val="auto"/>
        </w:rPr>
      </w:pPr>
    </w:p>
    <w:p>
      <w:pPr>
        <w:ind w:left="460" w:right="120"/>
        <w:spacing w:after="0" w:line="291" w:lineRule="auto"/>
        <w:rPr>
          <w:sz w:val="20"/>
          <w:szCs w:val="20"/>
          <w:color w:val="auto"/>
        </w:rPr>
      </w:pPr>
      <w:r>
        <w:rPr>
          <w:rFonts w:ascii="Arial" w:cs="Arial" w:eastAsia="Arial" w:hAnsi="Arial"/>
          <w:sz w:val="16"/>
          <w:szCs w:val="16"/>
          <w:b w:val="1"/>
          <w:bCs w:val="1"/>
          <w:i w:val="1"/>
          <w:iCs w:val="1"/>
          <w:color w:val="auto"/>
        </w:rPr>
        <w:t>Any collaboration or partnership arrangements that we may enter into in the future may not be successful, which could adversely affect our ability to develop and commercialize our products.</w:t>
      </w:r>
    </w:p>
    <w:p>
      <w:pPr>
        <w:spacing w:after="0" w:line="56" w:lineRule="exact"/>
        <w:rPr>
          <w:sz w:val="20"/>
          <w:szCs w:val="20"/>
          <w:color w:val="auto"/>
        </w:rPr>
      </w:pPr>
    </w:p>
    <w:p>
      <w:pPr>
        <w:ind w:left="460"/>
        <w:spacing w:after="0" w:line="265" w:lineRule="auto"/>
        <w:rPr>
          <w:sz w:val="20"/>
          <w:szCs w:val="20"/>
          <w:color w:val="auto"/>
        </w:rPr>
      </w:pPr>
      <w:r>
        <w:rPr>
          <w:rFonts w:ascii="Arial" w:cs="Arial" w:eastAsia="Arial" w:hAnsi="Arial"/>
          <w:sz w:val="16"/>
          <w:szCs w:val="16"/>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88" w:lineRule="exact"/>
        <w:rPr>
          <w:sz w:val="20"/>
          <w:szCs w:val="20"/>
          <w:color w:val="auto"/>
        </w:rPr>
      </w:pPr>
    </w:p>
    <w:p>
      <w:pPr>
        <w:ind w:left="660" w:hanging="209"/>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efforts and resources that they will apply to collaborations;</w:t>
      </w:r>
    </w:p>
    <w:p>
      <w:pPr>
        <w:spacing w:after="0" w:line="120" w:lineRule="exact"/>
        <w:rPr>
          <w:rFonts w:ascii="Arial" w:cs="Arial" w:eastAsia="Arial" w:hAnsi="Arial"/>
          <w:sz w:val="16"/>
          <w:szCs w:val="16"/>
          <w:color w:val="auto"/>
        </w:rPr>
      </w:pPr>
    </w:p>
    <w:p>
      <w:pPr>
        <w:jc w:val="both"/>
        <w:ind w:left="660" w:right="180" w:hanging="209"/>
        <w:spacing w:after="0" w:line="25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95" w:lineRule="exact"/>
        <w:rPr>
          <w:rFonts w:ascii="Arial" w:cs="Arial" w:eastAsia="Arial" w:hAnsi="Arial"/>
          <w:sz w:val="16"/>
          <w:szCs w:val="16"/>
          <w:color w:val="auto"/>
        </w:rPr>
      </w:pPr>
    </w:p>
    <w:p>
      <w:pPr>
        <w:ind w:left="660" w:right="200" w:hanging="209"/>
        <w:spacing w:after="0" w:line="265"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current and future products;</w:t>
      </w:r>
    </w:p>
    <w:p>
      <w:pPr>
        <w:spacing w:after="0" w:line="88" w:lineRule="exact"/>
        <w:rPr>
          <w:rFonts w:ascii="Arial" w:cs="Arial" w:eastAsia="Arial" w:hAnsi="Arial"/>
          <w:sz w:val="16"/>
          <w:szCs w:val="16"/>
          <w:color w:val="auto"/>
        </w:rPr>
      </w:pPr>
    </w:p>
    <w:p>
      <w:pPr>
        <w:ind w:left="660" w:right="360" w:hanging="209"/>
        <w:spacing w:after="0" w:line="265"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collaborator with marketing, manufacturing and distribution rights to one or more products may not commit sufficient resources to or otherwise not perform satisfactorily in carrying out these activities;</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could grant exclusive rights to our collaborators that would prevent us from collaborating with others;</w:t>
      </w:r>
    </w:p>
    <w:p>
      <w:pPr>
        <w:spacing w:after="0" w:line="120" w:lineRule="exact"/>
        <w:rPr>
          <w:rFonts w:ascii="Arial" w:cs="Arial" w:eastAsia="Arial" w:hAnsi="Arial"/>
          <w:sz w:val="16"/>
          <w:szCs w:val="16"/>
          <w:color w:val="auto"/>
        </w:rPr>
      </w:pPr>
    </w:p>
    <w:p>
      <w:pPr>
        <w:ind w:left="660" w:right="580" w:hanging="209"/>
        <w:spacing w:after="0" w:line="25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95" w:lineRule="exact"/>
        <w:rPr>
          <w:rFonts w:ascii="Arial" w:cs="Arial" w:eastAsia="Arial" w:hAnsi="Arial"/>
          <w:sz w:val="16"/>
          <w:szCs w:val="16"/>
          <w:color w:val="auto"/>
        </w:rPr>
      </w:pPr>
    </w:p>
    <w:p>
      <w:pPr>
        <w:ind w:left="660" w:right="40" w:hanging="209"/>
        <w:spacing w:after="0" w:line="265"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113"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0720"/>
          </w:cols>
          <w:pgMar w:left="320" w:top="441" w:right="85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660" w:right="800" w:hanging="209"/>
        <w:spacing w:after="0" w:line="265"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collaborations may be terminated, and, if terminated, may result in a need for additional capital to pursue further development or commercialization of the applicable current or future products;</w:t>
      </w:r>
    </w:p>
    <w:p>
      <w:pPr>
        <w:spacing w:after="0" w:line="88" w:lineRule="exact"/>
        <w:rPr>
          <w:rFonts w:ascii="Arial" w:cs="Arial" w:eastAsia="Arial" w:hAnsi="Arial"/>
          <w:sz w:val="16"/>
          <w:szCs w:val="16"/>
          <w:color w:val="auto"/>
        </w:rPr>
      </w:pPr>
    </w:p>
    <w:p>
      <w:pPr>
        <w:ind w:left="660" w:right="420" w:hanging="209"/>
        <w:spacing w:after="0" w:line="265"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88" w:lineRule="exact"/>
        <w:rPr>
          <w:rFonts w:ascii="Arial" w:cs="Arial" w:eastAsia="Arial" w:hAnsi="Arial"/>
          <w:sz w:val="16"/>
          <w:szCs w:val="16"/>
          <w:color w:val="auto"/>
        </w:rPr>
      </w:pPr>
    </w:p>
    <w:p>
      <w:pPr>
        <w:ind w:left="660" w:hanging="209"/>
        <w:spacing w:after="0" w:line="265"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collaborator’s sales and marketing activities or other operations may not be in compliance with applicable laws resulting in civil or criminal proceedings.</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of our patents and other intellectual property.</w:t>
      </w:r>
    </w:p>
    <w:p>
      <w:pPr>
        <w:spacing w:after="0" w:line="128" w:lineRule="exact"/>
        <w:rPr>
          <w:sz w:val="20"/>
          <w:szCs w:val="20"/>
          <w:color w:val="auto"/>
        </w:rPr>
      </w:pPr>
    </w:p>
    <w:p>
      <w:pPr>
        <w:ind w:left="460" w:right="60"/>
        <w:spacing w:after="0" w:line="249" w:lineRule="auto"/>
        <w:rPr>
          <w:sz w:val="20"/>
          <w:szCs w:val="20"/>
          <w:color w:val="auto"/>
        </w:rPr>
      </w:pPr>
      <w:r>
        <w:rPr>
          <w:rFonts w:ascii="Arial" w:cs="Arial" w:eastAsia="Arial" w:hAnsi="Arial"/>
          <w:sz w:val="16"/>
          <w:szCs w:val="16"/>
          <w:color w:val="auto"/>
        </w:rPr>
        <w:t>We or our licensors may be subject to claims that former consultants, contractors or other third parties have an interest in our owned or in-licensed patents, trade secrets or other intellectual property as an inventor or co-inventor.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If we or our licensors fail in defending any such claims, in addition to paying monetary damages, we may lose valuable intellectual property rights, such as exclusive ownership of, or right to use, intellectual property that is important to our products. Furthermore, individuals executing invention assignment agreements with us may have preexisting or competing obligations to a third party, such as an academic institution, and thus an agreement with us may be ineffective in perfecting ownership of inventions developed by that individual. Any such events could have a material adverse effect on our business, financial condition and results of operations.</w:t>
      </w:r>
    </w:p>
    <w:p>
      <w:pPr>
        <w:spacing w:after="0" w:line="73" w:lineRule="exact"/>
        <w:rPr>
          <w:sz w:val="20"/>
          <w:szCs w:val="20"/>
          <w:color w:val="auto"/>
        </w:rPr>
      </w:pPr>
    </w:p>
    <w:p>
      <w:pPr>
        <w:ind w:left="460" w:right="160"/>
        <w:spacing w:after="0" w:line="291" w:lineRule="auto"/>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other proprietary information, our business and competitive position may be harmed.</w:t>
      </w:r>
    </w:p>
    <w:p>
      <w:pPr>
        <w:spacing w:after="0" w:line="56" w:lineRule="exact"/>
        <w:rPr>
          <w:sz w:val="20"/>
          <w:szCs w:val="20"/>
          <w:color w:val="auto"/>
        </w:rPr>
      </w:pPr>
    </w:p>
    <w:p>
      <w:pPr>
        <w:ind w:left="460" w:right="20"/>
        <w:spacing w:after="0" w:line="249" w:lineRule="auto"/>
        <w:rPr>
          <w:sz w:val="20"/>
          <w:szCs w:val="20"/>
          <w:color w:val="auto"/>
        </w:rPr>
      </w:pPr>
      <w:r>
        <w:rPr>
          <w:rFonts w:ascii="Arial" w:cs="Arial" w:eastAsia="Arial" w:hAnsi="Arial"/>
          <w:sz w:val="16"/>
          <w:szCs w:val="16"/>
          <w:color w:val="auto"/>
        </w:rPr>
        <w:t>In addition to patent protection, we also rely on other proprietary rights, including protection of trade secrets, and other proprietary information that is not patentable or that we elect not to patent. However, trade secrets can be difficult to protect and some courts inside and outside the United States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w:t>
      </w:r>
    </w:p>
    <w:p>
      <w:pPr>
        <w:spacing w:after="0" w:line="128"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0780"/>
          </w:cols>
          <w:pgMar w:left="320" w:top="441" w:right="79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100"/>
        <w:spacing w:after="0" w:line="250" w:lineRule="auto"/>
        <w:rPr>
          <w:sz w:val="20"/>
          <w:szCs w:val="20"/>
          <w:color w:val="auto"/>
        </w:rPr>
      </w:pPr>
      <w:r>
        <w:rPr>
          <w:rFonts w:ascii="Arial" w:cs="Arial" w:eastAsia="Arial" w:hAnsi="Arial"/>
          <w:sz w:val="16"/>
          <w:szCs w:val="16"/>
          <w:color w:val="auto"/>
        </w:rPr>
        <w:t>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spacing w:after="0" w:line="280" w:lineRule="exact"/>
        <w:rPr>
          <w:sz w:val="20"/>
          <w:szCs w:val="20"/>
          <w:color w:val="auto"/>
        </w:rPr>
      </w:pPr>
    </w:p>
    <w:p>
      <w:pPr>
        <w:ind w:left="460" w:right="360"/>
        <w:spacing w:after="0" w:line="250" w:lineRule="auto"/>
        <w:rPr>
          <w:sz w:val="20"/>
          <w:szCs w:val="20"/>
          <w:color w:val="auto"/>
        </w:rPr>
      </w:pPr>
      <w:r>
        <w:rPr>
          <w:rFonts w:ascii="Arial" w:cs="Arial" w:eastAsia="Arial" w:hAnsi="Arial"/>
          <w:sz w:val="16"/>
          <w:szCs w:val="16"/>
          <w:color w:val="auto"/>
        </w:rPr>
        <w:t>Further, it is possible that others will independently develop the same or similar technology or otherwise obtain access to our unpatented technology, and in such cases we could not assert any trade secret rights against such parties or those to whom they communicate such trade secrets.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91" w:lineRule="exact"/>
        <w:rPr>
          <w:sz w:val="20"/>
          <w:szCs w:val="20"/>
          <w:color w:val="auto"/>
        </w:rPr>
      </w:pPr>
    </w:p>
    <w:p>
      <w:pPr>
        <w:ind w:left="460" w:right="60"/>
        <w:spacing w:after="0" w:line="252" w:lineRule="auto"/>
        <w:rPr>
          <w:sz w:val="20"/>
          <w:szCs w:val="20"/>
          <w:color w:val="auto"/>
        </w:rPr>
      </w:pPr>
      <w:r>
        <w:rPr>
          <w:rFonts w:ascii="Arial" w:cs="Arial" w:eastAsia="Arial" w:hAnsi="Arial"/>
          <w:sz w:val="16"/>
          <w:szCs w:val="16"/>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spacing w:after="0" w:line="66" w:lineRule="exact"/>
        <w:rPr>
          <w:sz w:val="20"/>
          <w:szCs w:val="20"/>
          <w:color w:val="auto"/>
        </w:rPr>
      </w:pPr>
    </w:p>
    <w:p>
      <w:pPr>
        <w:ind w:left="460" w:right="520"/>
        <w:spacing w:after="0" w:line="291" w:lineRule="auto"/>
        <w:rPr>
          <w:sz w:val="20"/>
          <w:szCs w:val="20"/>
          <w:color w:val="auto"/>
        </w:rPr>
      </w:pPr>
      <w:r>
        <w:rPr>
          <w:rFonts w:ascii="Arial" w:cs="Arial" w:eastAsia="Arial" w:hAnsi="Arial"/>
          <w:sz w:val="16"/>
          <w:szCs w:val="16"/>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56"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could increase the uncertainties and costs surrounding the prosecution of patent applications and the enforcement or defense of issued patents. The United States has enacted and implemented wide-ranging patent reform legislation.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30"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0780"/>
          </w:cols>
          <w:pgMar w:left="320" w:top="441" w:right="79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0"/>
        <w:spacing w:after="0" w:line="249" w:lineRule="auto"/>
        <w:rPr>
          <w:sz w:val="20"/>
          <w:szCs w:val="20"/>
          <w:color w:val="auto"/>
        </w:rPr>
      </w:pPr>
      <w:r>
        <w:rPr>
          <w:rFonts w:ascii="Arial" w:cs="Arial" w:eastAsia="Arial" w:hAnsi="Arial"/>
          <w:sz w:val="16"/>
          <w:szCs w:val="16"/>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or actions by the courts, the U.S. Congress or the USPTO may impact the value of our patents.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Any of the foregoing could have a material adverse effect on our business, financial condition, results of operations and prospects.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able to protect our intellectual property rights throughout the world, which could impair our business.</w:t>
      </w:r>
    </w:p>
    <w:p>
      <w:pPr>
        <w:spacing w:after="0" w:line="128"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Filing, prosecuting, and defending patents covering our RxSight system, and any of our future products throughout the world would be prohibitively expensive, and our intellectual property rights in some countries outside the United States are less extensive than those in the United States. In some cases, we or our licensors may not be able to obtain patent protection for certain technology outside the United States. In addition, the laws of some foreign countries do not protect intellectual property rights to the same extent as federal and state laws in the United States. Consequently, we may not be able to prevent third parties from practicing our or our licensors’ inventions in all countries outside the United States, even in jurisdictions where we or our licensors do pursue patent protection, or from selling or importing products made using our or our licensors’ inventions in and into the United States or other jurisdictions. Competitors may use our technologies in jurisdictions where we or our licensors have not obtained patent protection to develop their own products and, further, may export otherwise infringing products to territories where we may have or obtain patent protection, but where patent enforcement is not as strong as that in the United States. These unauthorized products may compete with our products in such jurisdictions and take away our market share where we do not have any issued or in-licensed patents and any future patent claims or other intellectual property rights may not be effective or sufficient to prevent them from so competing.</w:t>
      </w:r>
    </w:p>
    <w:p>
      <w:pPr>
        <w:spacing w:after="0" w:line="284" w:lineRule="exact"/>
        <w:rPr>
          <w:sz w:val="20"/>
          <w:szCs w:val="20"/>
          <w:color w:val="auto"/>
        </w:rPr>
      </w:pPr>
    </w:p>
    <w:p>
      <w:pPr>
        <w:ind w:left="460" w:right="160"/>
        <w:spacing w:after="0" w:line="250" w:lineRule="auto"/>
        <w:rPr>
          <w:sz w:val="20"/>
          <w:szCs w:val="20"/>
          <w:color w:val="auto"/>
        </w:rPr>
      </w:pPr>
      <w:r>
        <w:rPr>
          <w:rFonts w:ascii="Arial" w:cs="Arial" w:eastAsia="Arial" w:hAnsi="Arial"/>
          <w:sz w:val="16"/>
          <w:szCs w:val="16"/>
          <w:color w:val="auto"/>
        </w:rPr>
        <w:t>Many companies have encountered significant problems in enforcing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8" w:lineRule="exact"/>
        <w:rPr>
          <w:sz w:val="20"/>
          <w:szCs w:val="20"/>
          <w:color w:val="auto"/>
        </w:rPr>
      </w:pPr>
    </w:p>
    <w:p>
      <w:pPr>
        <w:ind w:left="460" w:right="180"/>
        <w:spacing w:after="0" w:line="253" w:lineRule="auto"/>
        <w:rPr>
          <w:sz w:val="20"/>
          <w:szCs w:val="20"/>
          <w:color w:val="auto"/>
        </w:rPr>
      </w:pPr>
      <w:r>
        <w:rPr>
          <w:rFonts w:ascii="Arial" w:cs="Arial" w:eastAsia="Arial" w:hAnsi="Arial"/>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w:t>
      </w:r>
    </w:p>
    <w:p>
      <w:pPr>
        <w:spacing w:after="0" w:line="1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0800"/>
          </w:cols>
          <w:pgMar w:left="320" w:top="441" w:right="77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80"/>
        <w:spacing w:after="0" w:line="265" w:lineRule="auto"/>
        <w:rPr>
          <w:sz w:val="20"/>
          <w:szCs w:val="20"/>
          <w:color w:val="auto"/>
        </w:rPr>
      </w:pPr>
      <w:r>
        <w:rPr>
          <w:rFonts w:ascii="Arial" w:cs="Arial" w:eastAsia="Arial" w:hAnsi="Arial"/>
          <w:sz w:val="16"/>
          <w:szCs w:val="16"/>
          <w:color w:val="auto"/>
        </w:rPr>
        <w:t>parties with respect to any patents relevant to our business, our business, financial condition, results of operations and prospects could be materially and adversely affected.</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Intellectual property rights do not necessarily address all potential threats to our competitive advantage.</w:t>
      </w:r>
    </w:p>
    <w:p>
      <w:pPr>
        <w:spacing w:after="0" w:line="128" w:lineRule="exact"/>
        <w:rPr>
          <w:sz w:val="20"/>
          <w:szCs w:val="20"/>
          <w:color w:val="auto"/>
        </w:rPr>
      </w:pPr>
    </w:p>
    <w:p>
      <w:pPr>
        <w:jc w:val="both"/>
        <w:ind w:left="460" w:right="280"/>
        <w:spacing w:after="0" w:line="265"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88" w:lineRule="exact"/>
        <w:rPr>
          <w:sz w:val="20"/>
          <w:szCs w:val="20"/>
          <w:color w:val="auto"/>
        </w:rPr>
      </w:pPr>
    </w:p>
    <w:p>
      <w:pPr>
        <w:ind w:left="660" w:right="60" w:hanging="209"/>
        <w:spacing w:after="0" w:line="265"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others may be able to make a product that is similar to our current products and future products we intend to commercialize and that is not covered by the patents that we own or exclusively in-license and have the right to enforce;</w:t>
      </w:r>
    </w:p>
    <w:p>
      <w:pPr>
        <w:spacing w:after="0" w:line="88" w:lineRule="exact"/>
        <w:rPr>
          <w:rFonts w:ascii="Arial" w:cs="Arial" w:eastAsia="Arial" w:hAnsi="Arial"/>
          <w:sz w:val="16"/>
          <w:szCs w:val="16"/>
          <w:color w:val="auto"/>
        </w:rPr>
      </w:pPr>
    </w:p>
    <w:p>
      <w:pPr>
        <w:ind w:left="660" w:right="260" w:hanging="209"/>
        <w:spacing w:after="0" w:line="265"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and any of our current or future licensors or collaborators might not have been the first to make the inventions covered by the issued patents or pending patent applications that we own, license or may own or license in the future;</w:t>
      </w:r>
    </w:p>
    <w:p>
      <w:pPr>
        <w:spacing w:after="0" w:line="88" w:lineRule="exact"/>
        <w:rPr>
          <w:rFonts w:ascii="Arial" w:cs="Arial" w:eastAsia="Arial" w:hAnsi="Arial"/>
          <w:sz w:val="16"/>
          <w:szCs w:val="16"/>
          <w:color w:val="auto"/>
        </w:rPr>
      </w:pPr>
    </w:p>
    <w:p>
      <w:pPr>
        <w:ind w:left="660" w:right="180" w:hanging="209"/>
        <w:spacing w:after="0" w:line="265"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or any of our current or future licensors or collaborators might not have been the first to file patent applications covering certain of our inventions;</w:t>
      </w:r>
    </w:p>
    <w:p>
      <w:pPr>
        <w:spacing w:after="0" w:line="88" w:lineRule="exact"/>
        <w:rPr>
          <w:rFonts w:ascii="Arial" w:cs="Arial" w:eastAsia="Arial" w:hAnsi="Arial"/>
          <w:sz w:val="16"/>
          <w:szCs w:val="16"/>
          <w:color w:val="auto"/>
        </w:rPr>
      </w:pPr>
    </w:p>
    <w:p>
      <w:pPr>
        <w:ind w:left="660" w:right="1140" w:hanging="209"/>
        <w:spacing w:after="0" w:line="265"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technologies or duplicate any of our technologies without infringing, misappropriating or otherwise violating our intellectual property rights;</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it is possible that our current or future owned or in-licensed patent applications will not lead to issued patents;</w:t>
      </w:r>
    </w:p>
    <w:p>
      <w:pPr>
        <w:spacing w:after="0" w:line="120" w:lineRule="exact"/>
        <w:rPr>
          <w:rFonts w:ascii="Arial" w:cs="Arial" w:eastAsia="Arial" w:hAnsi="Arial"/>
          <w:sz w:val="16"/>
          <w:szCs w:val="16"/>
          <w:color w:val="auto"/>
        </w:rPr>
      </w:pPr>
    </w:p>
    <w:p>
      <w:pPr>
        <w:ind w:left="660" w:hanging="209"/>
        <w:spacing w:after="0" w:line="265"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issued patents that we own or in-license may not provide us with any competitive advantages, or may be held invalid or unenforceable as a result of legal challenges, including as a result of legal challenges by our competitors;</w:t>
      </w:r>
    </w:p>
    <w:p>
      <w:pPr>
        <w:spacing w:after="0" w:line="88" w:lineRule="exact"/>
        <w:rPr>
          <w:rFonts w:ascii="Arial" w:cs="Arial" w:eastAsia="Arial" w:hAnsi="Arial"/>
          <w:sz w:val="16"/>
          <w:szCs w:val="16"/>
          <w:color w:val="auto"/>
        </w:rPr>
      </w:pPr>
    </w:p>
    <w:p>
      <w:pPr>
        <w:ind w:left="660" w:hanging="209"/>
        <w:spacing w:after="0" w:line="256"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95" w:lineRule="exact"/>
        <w:rPr>
          <w:rFonts w:ascii="Arial" w:cs="Arial" w:eastAsia="Arial" w:hAnsi="Arial"/>
          <w:sz w:val="16"/>
          <w:szCs w:val="16"/>
          <w:color w:val="auto"/>
        </w:rPr>
      </w:pPr>
    </w:p>
    <w:p>
      <w:pPr>
        <w:ind w:left="660" w:hanging="209"/>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may not develop additional proprietary technologies that are patentable; and</w:t>
      </w:r>
    </w:p>
    <w:p>
      <w:pPr>
        <w:spacing w:after="0" w:line="120" w:lineRule="exact"/>
        <w:rPr>
          <w:rFonts w:ascii="Arial" w:cs="Arial" w:eastAsia="Arial" w:hAnsi="Arial"/>
          <w:sz w:val="16"/>
          <w:szCs w:val="16"/>
          <w:color w:val="auto"/>
        </w:rPr>
      </w:pPr>
    </w:p>
    <w:p>
      <w:pPr>
        <w:ind w:left="660" w:right="260" w:hanging="209"/>
        <w:spacing w:after="0" w:line="265"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may choose not to file a patent for certain trade secrets or know-how, and a third party may subsequently file a patent covering such intellectual property.</w:t>
      </w:r>
    </w:p>
    <w:p>
      <w:pPr>
        <w:spacing w:after="0" w:line="55" w:lineRule="exact"/>
        <w:rPr>
          <w:sz w:val="20"/>
          <w:szCs w:val="20"/>
          <w:color w:val="auto"/>
        </w:rPr>
      </w:pPr>
    </w:p>
    <w:p>
      <w:pPr>
        <w:ind w:left="460" w:right="200"/>
        <w:spacing w:after="0" w:line="291" w:lineRule="auto"/>
        <w:rPr>
          <w:sz w:val="20"/>
          <w:szCs w:val="20"/>
          <w:color w:val="auto"/>
        </w:rPr>
      </w:pPr>
      <w:r>
        <w:rPr>
          <w:rFonts w:ascii="Arial" w:cs="Arial" w:eastAsia="Arial" w:hAnsi="Arial"/>
          <w:sz w:val="16"/>
          <w:szCs w:val="16"/>
          <w:b w:val="1"/>
          <w:bCs w:val="1"/>
          <w:i w:val="1"/>
          <w:iCs w:val="1"/>
          <w:color w:val="auto"/>
        </w:rPr>
        <w:t>Our future use of “open source” software could subject our proprietary software to general release, adversely affect our ability to sell our products and subject us to possible litigation.</w:t>
      </w:r>
    </w:p>
    <w:p>
      <w:pPr>
        <w:spacing w:after="0" w:line="56"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We intend to incorporate open source software in future products or technologies licensed, developed and/or distributed by us.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source code in that software, as well as distribute our products that use particular open source software at no cost to the user. We intend to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w:t>
      </w:r>
    </w:p>
    <w:p>
      <w:pPr>
        <w:spacing w:after="0" w:line="318"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0780"/>
          </w:cols>
          <w:pgMar w:left="320" w:top="441" w:right="79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spacing w:after="0" w:line="74"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b w:val="1"/>
          <w:bCs w:val="1"/>
          <w:i w:val="1"/>
          <w:iCs w:val="1"/>
          <w:color w:val="auto"/>
        </w:rPr>
        <w:t>If our trademarks, service marks and tradenames are not adequately protected, then we may not be able to build name recognition in our markets and our business may be adversely affected.</w:t>
      </w:r>
    </w:p>
    <w:p>
      <w:pPr>
        <w:spacing w:after="0" w:line="56"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We rely on trademarks, service marks, tradenames and brand names to distinguish our products from the products of our competitors and have registered or applied to register these trademarks. We cannot assure you that our trademark and service mark applications will be approved. During trademark and service 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and service mark applications and to seek to cancel registered trademarks and service marks. Opposition or cancellation proceedings may be filed against our trademarks and service marks, and our trademarks and service marks may not survive such proceedings. In the event that our trademarks and service marks are successfully challenged, we could be forced to rebrand our products, which could result in loss of brand recognition and could require us to devote resources towards advertising and marketing new brands. At times, competitors may adopt trade names, trademarks or service marks similar to ours, thereby impeding our ability to build brand identity and possibly leading to market confusion. As a means to enforce our trademark and service mark rights and prevent infringement and other violations, we may be required to file claims against third parties or initiate opposition proceedings. This can be expensive and time-consuming. In addition, there could be potential trademark or service mark infringement claims brought by owners of other registered trademarks, service marks, or trademarks or service marks that incorporate variations of our registered or unregistered trademarks or service marks. Certain of our current or future trademarks or service marks may become so well known by the public that their use becomes generic and they lose trademark or service mark protection. Over the long term, if we are unable to establish name recognition based on our trademarks, service marks and trade names, then we may not be able to compete effectively and our business, financial condition and results of operations may be adversely affected.</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Risks related to government regulation</w:t>
      </w:r>
    </w:p>
    <w:p>
      <w:pPr>
        <w:spacing w:after="0" w:line="113" w:lineRule="exact"/>
        <w:rPr>
          <w:sz w:val="20"/>
          <w:szCs w:val="20"/>
          <w:color w:val="auto"/>
        </w:rPr>
      </w:pPr>
    </w:p>
    <w:p>
      <w:pPr>
        <w:ind w:left="460" w:right="280"/>
        <w:spacing w:after="0" w:line="291" w:lineRule="auto"/>
        <w:rPr>
          <w:sz w:val="20"/>
          <w:szCs w:val="20"/>
          <w:color w:val="auto"/>
        </w:rPr>
      </w:pPr>
      <w:r>
        <w:rPr>
          <w:rFonts w:ascii="Arial" w:cs="Arial" w:eastAsia="Arial" w:hAnsi="Arial"/>
          <w:sz w:val="16"/>
          <w:szCs w:val="16"/>
          <w:b w:val="1"/>
          <w:bCs w:val="1"/>
          <w:i w:val="1"/>
          <w:iCs w:val="1"/>
          <w:color w:val="auto"/>
        </w:rPr>
        <w:t>If we fail to obtain and maintain necessary regulatory clearances or approvals for our products, or if clearances or approvals for future products and indications are delayed or not issued, our commercial operations would be harmed.</w:t>
      </w:r>
    </w:p>
    <w:p>
      <w:pPr>
        <w:spacing w:after="0" w:line="56" w:lineRule="exact"/>
        <w:rPr>
          <w:sz w:val="20"/>
          <w:szCs w:val="20"/>
          <w:color w:val="auto"/>
        </w:rPr>
      </w:pPr>
    </w:p>
    <w:p>
      <w:pPr>
        <w:ind w:left="460" w:right="20"/>
        <w:spacing w:after="0" w:line="265" w:lineRule="auto"/>
        <w:rPr>
          <w:sz w:val="20"/>
          <w:szCs w:val="20"/>
          <w:color w:val="auto"/>
        </w:rPr>
      </w:pPr>
      <w:r>
        <w:rPr>
          <w:rFonts w:ascii="Arial" w:cs="Arial" w:eastAsia="Arial" w:hAnsi="Arial"/>
          <w:sz w:val="16"/>
          <w:szCs w:val="16"/>
          <w:color w:val="auto"/>
        </w:rPr>
        <w:t>Our products are subject to extensive regulation by the FDA in the United States and by regulatory agencies in other countries where we may choose to do business. Government regulations specific to medical devices are wide ranging and govern, among other things:</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0760"/>
          </w:cols>
          <w:pgMar w:left="320" w:top="441" w:right="81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660" w:hanging="209"/>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product design, development and manufacture;</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laboratory, preclinical and clinical testing, labeling, packaging, storage and distribution;</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premarketing clearance or approval;</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record keeping;</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product safety and effective;</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product changes;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product marketing, promotion and advertising, sales and distribution; and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post marketing surveillance, including reporting of deaths or serious injuries and recalls and correction and removals.</w:t>
      </w:r>
    </w:p>
    <w:p>
      <w:pPr>
        <w:spacing w:after="0" w:line="108" w:lineRule="exact"/>
        <w:rPr>
          <w:sz w:val="20"/>
          <w:szCs w:val="20"/>
          <w:color w:val="auto"/>
        </w:rPr>
      </w:pPr>
    </w:p>
    <w:p>
      <w:pPr>
        <w:ind w:left="460" w:right="320"/>
        <w:spacing w:after="0" w:line="256" w:lineRule="auto"/>
        <w:rPr>
          <w:sz w:val="20"/>
          <w:szCs w:val="20"/>
          <w:color w:val="auto"/>
        </w:rPr>
      </w:pPr>
      <w:r>
        <w:rPr>
          <w:rFonts w:ascii="Arial" w:cs="Arial" w:eastAsia="Arial" w:hAnsi="Arial"/>
          <w:sz w:val="16"/>
          <w:szCs w:val="16"/>
          <w:color w:val="auto"/>
        </w:rPr>
        <w:t>Before a new medical device, or a new intended use for an existing product, can be marketed in the United States, a company must first submit and receive either 510(k) clearance pursuant to Section 510(k) of the Food, Drug and Cosmetic Act, or the FDCA, or approval of a premarket approval, or PMA, application from the FDA, unless an exemption applies.</w:t>
      </w:r>
    </w:p>
    <w:p>
      <w:pPr>
        <w:spacing w:after="0" w:line="83"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In many cases, the process of obtaining PMA approval is much more rigorous, costly, lengthy and uncertain than the 510(k) clearance process.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 In the PMA approval process, the FDA must determine that a proposed device is safe and effective for its intended use based on extensive data, including technical, pre-clinical, clinical trial, manufacturing and labeling data. The PMA process is typically required for devices for which the 510(k) process cannot be used and that are deemed to pose the greatest risk. Modifications to products that are approved through a PMA application generally need prior FDA approval of a PMA supplement. Similarly, some modifications made to products cleared through a 510(k) may require a new 510(k), or such modification may put the device into class III and require PMA approval. The FDA’s 510(k) clearance process usually takes from three to 12 months but may last longer. The process of obtaining a PMA generally takes from one to three years, or even longer, from the time the PMA is submitted to the FDA until an approval is obtained. Any delay or failure to obtain necessary regulatory approvals or clearances would have a material adverse effect on our business, financial condition and results of operations.</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FDA can delay, limit or deny clearance or approval of a device for many reasons, including:</w:t>
      </w:r>
    </w:p>
    <w:p>
      <w:pPr>
        <w:spacing w:after="0" w:line="120" w:lineRule="exact"/>
        <w:rPr>
          <w:sz w:val="20"/>
          <w:szCs w:val="20"/>
          <w:color w:val="auto"/>
        </w:rPr>
      </w:pPr>
    </w:p>
    <w:p>
      <w:pPr>
        <w:ind w:left="660" w:right="220" w:hanging="209"/>
        <w:spacing w:after="0" w:line="265"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inability to demonstrate to the satisfaction of the FDA or the applicable regulatory entity or notified body that our products are safe or effective for their intended uses;</w:t>
      </w:r>
    </w:p>
    <w:p>
      <w:pPr>
        <w:spacing w:after="0" w:line="88" w:lineRule="exact"/>
        <w:rPr>
          <w:rFonts w:ascii="Arial" w:cs="Arial" w:eastAsia="Arial" w:hAnsi="Arial"/>
          <w:sz w:val="16"/>
          <w:szCs w:val="16"/>
          <w:color w:val="auto"/>
        </w:rPr>
      </w:pPr>
    </w:p>
    <w:p>
      <w:pPr>
        <w:ind w:left="660" w:hanging="209"/>
        <w:spacing w:after="0" w:line="265"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disagreement of the FDA or the applicable foreign regulatory body with the design, conduct or implementation of our clinical trials or the analyses or interpretation of data from pre-clinical studies or clinical trials;</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serious and unexpected adverse device effects experienced by participants in our clinical trials;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data from our pre-clinical studies and clinical trials may be insufficient to support clearance or approval, where required;</w:t>
      </w:r>
    </w:p>
    <w:p>
      <w:pPr>
        <w:spacing w:after="0" w:line="14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0780"/>
          </w:cols>
          <w:pgMar w:left="320" w:top="441" w:right="79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660" w:hanging="209"/>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inability to demonstrate that the clinical and other benefits of the device outweigh the risks;</w:t>
      </w:r>
    </w:p>
    <w:p>
      <w:pPr>
        <w:spacing w:after="0" w:line="120" w:lineRule="exact"/>
        <w:rPr>
          <w:rFonts w:ascii="Arial" w:cs="Arial" w:eastAsia="Arial" w:hAnsi="Arial"/>
          <w:sz w:val="16"/>
          <w:szCs w:val="16"/>
          <w:color w:val="auto"/>
        </w:rPr>
      </w:pPr>
    </w:p>
    <w:p>
      <w:pPr>
        <w:ind w:left="660" w:right="380" w:hanging="209"/>
        <w:spacing w:after="0" w:line="253"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 advisory committee, if convened by the applicable regulatory authority, may recommend against approval of our application or may recommend that the applicable regulatory authority require, as a condition of approval, additional preclinical studies or clinical trials, limitations on approved labeling or distribution and use restrictions, or even if an advisory committee, if convened, makes a favorable recommendation, the respective regulatory authority may still not approve the product;</w:t>
      </w:r>
    </w:p>
    <w:p>
      <w:pPr>
        <w:spacing w:after="0" w:line="98" w:lineRule="exact"/>
        <w:rPr>
          <w:rFonts w:ascii="Arial" w:cs="Arial" w:eastAsia="Arial" w:hAnsi="Arial"/>
          <w:sz w:val="16"/>
          <w:szCs w:val="16"/>
          <w:color w:val="auto"/>
        </w:rPr>
      </w:pPr>
    </w:p>
    <w:p>
      <w:pPr>
        <w:ind w:left="660" w:right="200" w:hanging="209"/>
        <w:spacing w:after="0" w:line="265"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applicable regulatory authority may identify significant deficiencies in our manufacturing processes, facilities or analytical methods or those of our third-party contract manufacturers;</w:t>
      </w:r>
    </w:p>
    <w:p>
      <w:pPr>
        <w:spacing w:after="0" w:line="88" w:lineRule="exact"/>
        <w:rPr>
          <w:rFonts w:ascii="Arial" w:cs="Arial" w:eastAsia="Arial" w:hAnsi="Arial"/>
          <w:sz w:val="16"/>
          <w:szCs w:val="16"/>
          <w:color w:val="auto"/>
        </w:rPr>
      </w:pPr>
    </w:p>
    <w:p>
      <w:pPr>
        <w:ind w:left="660" w:right="400" w:hanging="209"/>
        <w:spacing w:after="0" w:line="265"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potential for approval policies or regulations of the FDA or applicable foreign regulatory bodies to change significantly in a manner rendering our clinical data or regulatory filings insufficient for clearance or approval; and</w:t>
      </w:r>
    </w:p>
    <w:p>
      <w:pPr>
        <w:spacing w:after="0" w:line="88" w:lineRule="exact"/>
        <w:rPr>
          <w:rFonts w:ascii="Arial" w:cs="Arial" w:eastAsia="Arial" w:hAnsi="Arial"/>
          <w:sz w:val="16"/>
          <w:szCs w:val="16"/>
          <w:color w:val="auto"/>
        </w:rPr>
      </w:pPr>
    </w:p>
    <w:p>
      <w:pPr>
        <w:ind w:left="660" w:right="320" w:hanging="209"/>
        <w:spacing w:after="0" w:line="265"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FDA or foreign regulatory authorities may audit our clinical trial data and conclude that the data is not sufficiently reliable to support approval or clearance.</w:t>
      </w:r>
    </w:p>
    <w:p>
      <w:pPr>
        <w:spacing w:after="0" w:line="75"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Similarly, regulators may determine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Even if we are granted regulatory clearances or approvals, they may include significant limitations on the indicated uses for the product, which may limit the market for the product. Moreover, the FDA and European Union regulatory authorities strictly regulate the labeling, promotion and advertising of medical devices, including comparative and superiority claims vis a vis competitors’ products, that may be made about products.</w:t>
      </w:r>
    </w:p>
    <w:p>
      <w:pPr>
        <w:spacing w:after="0" w:line="88" w:lineRule="exact"/>
        <w:rPr>
          <w:sz w:val="20"/>
          <w:szCs w:val="20"/>
          <w:color w:val="auto"/>
        </w:rPr>
      </w:pPr>
    </w:p>
    <w:p>
      <w:pPr>
        <w:ind w:left="460" w:right="80"/>
        <w:spacing w:after="0" w:line="251" w:lineRule="auto"/>
        <w:rPr>
          <w:sz w:val="20"/>
          <w:szCs w:val="20"/>
          <w:color w:val="auto"/>
        </w:rPr>
      </w:pPr>
      <w:r>
        <w:rPr>
          <w:rFonts w:ascii="Arial" w:cs="Arial" w:eastAsia="Arial" w:hAnsi="Arial"/>
          <w:sz w:val="16"/>
          <w:szCs w:val="16"/>
          <w:color w:val="auto"/>
        </w:rPr>
        <w:t>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Failure to conduct the post-approval study in compliance with applicable regulations or to timely complete required post-approval studies or comply with other post-approval requirements could result in withdrawal of approval of the PMA, which would harm our business.</w:t>
      </w:r>
    </w:p>
    <w:p>
      <w:pPr>
        <w:spacing w:after="0" w:line="280" w:lineRule="exact"/>
        <w:rPr>
          <w:sz w:val="20"/>
          <w:szCs w:val="20"/>
          <w:color w:val="auto"/>
        </w:rPr>
      </w:pPr>
    </w:p>
    <w:p>
      <w:pPr>
        <w:ind w:left="460" w:right="140"/>
        <w:spacing w:after="0" w:line="253" w:lineRule="auto"/>
        <w:rPr>
          <w:sz w:val="20"/>
          <w:szCs w:val="20"/>
          <w:color w:val="auto"/>
        </w:rPr>
      </w:pPr>
      <w:r>
        <w:rPr>
          <w:rFonts w:ascii="Arial" w:cs="Arial" w:eastAsia="Arial" w:hAnsi="Arial"/>
          <w:sz w:val="16"/>
          <w:szCs w:val="16"/>
          <w:color w:val="auto"/>
        </w:rPr>
        <w:t>In addition, we are required to timely file various reports with the FDA, including Medical Device Reporting, or MDR, that requires that we report to the regulatory authorities if our products may have caused or contributed to a death or serious injury or malfunctioned in a way that would likely cause or contribute to a death or serious injury if the malfunction were to recur. If these reports are not filed in a timely manner, regulators may impose sanctions and we may be subject to product liability or regulatory enforcement actions, all of which could harm our business.</w:t>
      </w:r>
    </w:p>
    <w:p>
      <w:pPr>
        <w:spacing w:after="0" w:line="276" w:lineRule="exact"/>
        <w:rPr>
          <w:sz w:val="20"/>
          <w:szCs w:val="20"/>
          <w:color w:val="auto"/>
        </w:rPr>
      </w:pPr>
    </w:p>
    <w:p>
      <w:pPr>
        <w:ind w:left="460" w:right="60"/>
        <w:spacing w:after="0" w:line="252" w:lineRule="auto"/>
        <w:rPr>
          <w:sz w:val="20"/>
          <w:szCs w:val="20"/>
          <w:color w:val="auto"/>
        </w:rPr>
      </w:pPr>
      <w:r>
        <w:rPr>
          <w:rFonts w:ascii="Arial" w:cs="Arial" w:eastAsia="Arial" w:hAnsi="Arial"/>
          <w:sz w:val="16"/>
          <w:szCs w:val="16"/>
          <w:color w:val="auto"/>
        </w:rPr>
        <w:t>If we initiate a correction or removal action for our products to reduce a significant risk to health posed by our products,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products. Furthermore, the submission of these reports could be used by competitors against us and cause doctors to delay or cancel procedures, which could harm our reputation.</w:t>
      </w:r>
    </w:p>
    <w:p>
      <w:pPr>
        <w:spacing w:after="0" w:line="86" w:lineRule="exact"/>
        <w:rPr>
          <w:sz w:val="20"/>
          <w:szCs w:val="20"/>
          <w:color w:val="auto"/>
        </w:rPr>
      </w:pPr>
    </w:p>
    <w:p>
      <w:pPr>
        <w:ind w:left="460" w:right="40"/>
        <w:spacing w:after="0" w:line="265" w:lineRule="auto"/>
        <w:rPr>
          <w:sz w:val="20"/>
          <w:szCs w:val="20"/>
          <w:color w:val="auto"/>
        </w:rPr>
      </w:pPr>
      <w:r>
        <w:rPr>
          <w:rFonts w:ascii="Arial" w:cs="Arial" w:eastAsia="Arial" w:hAnsi="Arial"/>
          <w:sz w:val="16"/>
          <w:szCs w:val="16"/>
          <w:color w:val="auto"/>
        </w:rPr>
        <w:t>The FDA and the Federal Trade Commission, or FTC, also regulate the advertising, promotion and labeling of our products to ensure that the claims we make are consistent with our regulatory clearances and approvals, that</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0760"/>
          </w:cols>
          <w:pgMar w:left="320" w:top="441" w:right="81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140"/>
        <w:spacing w:after="0" w:line="253" w:lineRule="auto"/>
        <w:rPr>
          <w:sz w:val="20"/>
          <w:szCs w:val="20"/>
          <w:color w:val="auto"/>
        </w:rPr>
      </w:pPr>
      <w:r>
        <w:rPr>
          <w:rFonts w:ascii="Arial" w:cs="Arial" w:eastAsia="Arial" w:hAnsi="Arial"/>
          <w:sz w:val="16"/>
          <w:szCs w:val="16"/>
          <w:color w:val="auto"/>
        </w:rPr>
        <w:t>there is adequate and reasonable scientific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adverse publicity and warning letters, and we may be required to revise our promotional claims and make other corrections or restitutions.</w:t>
      </w:r>
    </w:p>
    <w:p>
      <w:pPr>
        <w:spacing w:after="0" w:line="86" w:lineRule="exact"/>
        <w:rPr>
          <w:sz w:val="20"/>
          <w:szCs w:val="20"/>
          <w:color w:val="auto"/>
        </w:rPr>
      </w:pPr>
    </w:p>
    <w:p>
      <w:pPr>
        <w:ind w:left="460" w:right="120"/>
        <w:spacing w:after="0" w:line="265" w:lineRule="auto"/>
        <w:rPr>
          <w:sz w:val="20"/>
          <w:szCs w:val="20"/>
          <w:color w:val="auto"/>
        </w:rPr>
      </w:pPr>
      <w:r>
        <w:rPr>
          <w:rFonts w:ascii="Arial" w:cs="Arial" w:eastAsia="Arial" w:hAnsi="Arial"/>
          <w:sz w:val="16"/>
          <w:szCs w:val="16"/>
          <w:color w:val="auto"/>
        </w:rPr>
        <w:t>The FDA and state authorities have broad enforcement powers. Our failure to comply with applicable regulatory requirements could result in enforcement action by the FDA or state agencies, which may include any of the following sanctions:</w:t>
      </w:r>
    </w:p>
    <w:p>
      <w:pPr>
        <w:spacing w:after="0" w:line="88" w:lineRule="exact"/>
        <w:rPr>
          <w:sz w:val="20"/>
          <w:szCs w:val="20"/>
          <w:color w:val="auto"/>
        </w:rPr>
      </w:pPr>
    </w:p>
    <w:p>
      <w:pPr>
        <w:ind w:left="660" w:hanging="209"/>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adverse publicity, warning letters, fines, injunctions, consent decrees and civil penalties;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repair, replacement, refunds, recalls, termination of distribution, administrative detention or seizure of our products;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operating restrictions, partial suspension or total shutdown of production;</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denial of our requests for 510(k) clearance or PMA of new products, new intended uses or modifications to existing products;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withdrawal of 510(k) clearance or PMAs that have already been granted; and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criminal prosecution.</w:t>
      </w:r>
    </w:p>
    <w:p>
      <w:pPr>
        <w:spacing w:after="0" w:line="108"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color w:val="auto"/>
        </w:rPr>
        <w:t>If any of these events were to occur, our business and financial condition could be harmed. In addition, the FDA’s and other regulatory authorities’ policies may change and additional government regulations may be enacted that could prevent, limit or delay regulatory approval of our products.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and results of operations.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products and operations are subject to extensive government regulation and oversight in the United States.</w:t>
      </w:r>
    </w:p>
    <w:p>
      <w:pPr>
        <w:spacing w:after="0" w:line="128"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Medical devices regulated by the FDA are subject to “general controls” which include: registration with the FDA; listing commercially distributed products with the FDA; complying with all applicable requirements under the QSR; filing reports with the FDA of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devices can be marketed without prior marketing-clearance or approval from the FDA. In addition to the “general controls,” some Class II medical devices are also subject to “special controls,” including adherence to a particular guidance document and compliance with the performance standard. Instead of obtaining 510(k) clearance, most Class III devices are subject to PMA.</w:t>
      </w:r>
    </w:p>
    <w:p>
      <w:pPr>
        <w:spacing w:after="0" w:line="90" w:lineRule="exact"/>
        <w:rPr>
          <w:sz w:val="20"/>
          <w:szCs w:val="20"/>
          <w:color w:val="auto"/>
        </w:rPr>
      </w:pPr>
    </w:p>
    <w:p>
      <w:pPr>
        <w:jc w:val="both"/>
        <w:ind w:left="460" w:right="100"/>
        <w:spacing w:after="0" w:line="252" w:lineRule="auto"/>
        <w:rPr>
          <w:sz w:val="20"/>
          <w:szCs w:val="20"/>
          <w:color w:val="auto"/>
        </w:rPr>
      </w:pPr>
      <w:r>
        <w:rPr>
          <w:rFonts w:ascii="Arial" w:cs="Arial" w:eastAsia="Arial" w:hAnsi="Arial"/>
          <w:sz w:val="16"/>
          <w:szCs w:val="16"/>
          <w:color w:val="auto"/>
        </w:rPr>
        <w:t>Although our products have received regulatory approval or clearance from FDA in the United States for a particular patient population, they will be subject to ongoing regulatory requirements for manufacturing, labeling, packaging, storage, advertising, promotion, sampling, record-keeping, conduct of post-marketing studies and submission of safety, effectiveness and other post-market information, including both federal and state requirements in the United States and requirements of comparable non-U.S. regulatory authorities in any international markets we choose to enter.</w:t>
      </w:r>
    </w:p>
    <w:p>
      <w:pPr>
        <w:spacing w:after="0" w:line="124"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0760"/>
          </w:cols>
          <w:pgMar w:left="320" w:top="441" w:right="81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Any regulatory clearances or approvals that we have received for our products will be subject to limitations on the cleared or approved indicated uses for which the product may be marketed and promoted, will be subject to the conditions of approval, or will contain requirements for potentially costly post-marketing testing. We are required to report certain adverse events and production problems, if any, to the FDA and comparable foreign regulatory authorities. Any new legislation addressing product safety issues could result in increased costs to assure compliance. The FDA and other agencies, including the DOJ, closely regulate and monitor the post-clearance or approval marketing and promotion of products to ensure that they are marketed and distributed only for the cleared or approved indications and in accordance with the provisions of the cleared or approved labeling. We have to comply with requirements concerning advertising and promotion for our products.</w:t>
      </w:r>
    </w:p>
    <w:p>
      <w:pPr>
        <w:spacing w:after="0" w:line="281" w:lineRule="exact"/>
        <w:rPr>
          <w:sz w:val="20"/>
          <w:szCs w:val="20"/>
          <w:color w:val="auto"/>
        </w:rPr>
      </w:pPr>
    </w:p>
    <w:p>
      <w:pPr>
        <w:ind w:left="460" w:right="20"/>
        <w:spacing w:after="0" w:line="251" w:lineRule="auto"/>
        <w:rPr>
          <w:sz w:val="20"/>
          <w:szCs w:val="20"/>
          <w:color w:val="auto"/>
        </w:rPr>
      </w:pPr>
      <w:r>
        <w:rPr>
          <w:rFonts w:ascii="Arial" w:cs="Arial" w:eastAsia="Arial" w:hAnsi="Arial"/>
          <w:sz w:val="16"/>
          <w:szCs w:val="16"/>
          <w:color w:val="auto"/>
        </w:rPr>
        <w:t>Promotional communications with respect to devices are subject to a variety of legal and regulatory restrictions and must be consistent with the information in the products’ cleared or approved labeling. As such, we may not promote our products for indications or uses for which they do not have clearance or approval. We received a PMA for the LAL and LDD, which is indicated for the reduction of residual astigmatism to improve uncorrected visual acuity after removal of the cataractous natural lens by phacoemulsification and implantation of the intraocular lens in the capsular bag, in adult patients with pre-existing corneal astigmatism of ³ 0.75 diopters and without pre-existing macular disease. We also received a 510(k) clearance for our contact lens, which is indicated for visualization and treatment in the anterior segment of the eye. We train our marketing and sales force against promoting our products for uses outside of the cleared or approved indications for use, known as “off-label uses.” However, doctors may use our products for off-label purposes and are allowed to do so when in the doctor’s independent professional medical judgment he or she deems it appropriate. If the FDA determines that our promotional materials or training constitute promotion of an off-label or other improper use, or that our internal policies and procedures are inadequate to prevent such off-label uses, it could subject us to regulatory or enforcement actions as discussed below.</w:t>
      </w:r>
    </w:p>
    <w:p>
      <w:pPr>
        <w:spacing w:after="0" w:line="89"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In addition, we cannot make comparative claims regarding the use of our products against any alternative treatments without conducting head-to-head comparative clinical studies, which would be expensive and time-consuming. If the FDA determines that our promotional, reimbursement or training materials for sales representatives or doctors constitute promotion of an off-label use, the FDA could request that we modify our training, promotional or reimbursement materials and/or subject us to regulatory or enforcement actions, including the issuance of an untitled letter, a warning letter, injunction, seizure, disgorgement of profits, significant penalties, including civil fines and criminal penalties. Other federal, state or foreign governmental authorities also might take action if they consider our promotion, reimbursement or training materials to constitute promotion of an off-label use, which could result in significant fines or penalties under other statutory authorities, such as laws prohibiting false claims for reimbursement. Although we train our sales force not to promote our products for off-label uses, and our instructions for use in all markets specify that our products are not intended for use outside of those indications cleared or approved for use, the FDA or another regulatory agency could conclude that we have engaged in off-label promotion. For example, the government may take the position that off-label promotion resulted in inappropriate reimbursement for an off-label use in violation of the federal civil False Claims Act for which it might impose significant civil fines and even pursue criminal action. In those possible events, our reputation could be damaged, and adoption of the products would be impaired.</w:t>
      </w:r>
    </w:p>
    <w:p>
      <w:pPr>
        <w:spacing w:after="0" w:line="283" w:lineRule="exact"/>
        <w:rPr>
          <w:sz w:val="20"/>
          <w:szCs w:val="20"/>
          <w:color w:val="auto"/>
        </w:rPr>
      </w:pPr>
    </w:p>
    <w:p>
      <w:pPr>
        <w:ind w:left="460" w:right="80"/>
        <w:spacing w:after="0" w:line="256" w:lineRule="auto"/>
        <w:rPr>
          <w:sz w:val="20"/>
          <w:szCs w:val="20"/>
          <w:color w:val="auto"/>
        </w:rPr>
      </w:pPr>
      <w:r>
        <w:rPr>
          <w:rFonts w:ascii="Arial" w:cs="Arial" w:eastAsia="Arial" w:hAnsi="Arial"/>
          <w:sz w:val="16"/>
          <w:szCs w:val="16"/>
          <w:color w:val="auto"/>
        </w:rPr>
        <w:t>If a regulatory agency discovers previously unknown problems with a product, such as adverse events of unanticipated severity or frequency, or problems with our facility where the product is manufactured or disagrees with the promotion, marketing or labeling of a product, such regulatory agency may impose restrictions on that product or us, including requiring withdrawal of the product from the market.</w:t>
      </w:r>
    </w:p>
    <w:p>
      <w:pPr>
        <w:spacing w:after="0" w:line="121"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0780"/>
          </w:cols>
          <w:pgMar w:left="320" w:top="441" w:right="79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fail to comply with applicable regulatory requirements, a regulatory agency or enforcement authority may, among other things:</w:t>
      </w:r>
    </w:p>
    <w:p>
      <w:pPr>
        <w:spacing w:after="0" w:line="120" w:lineRule="exact"/>
        <w:rPr>
          <w:sz w:val="20"/>
          <w:szCs w:val="20"/>
          <w:color w:val="auto"/>
        </w:rPr>
      </w:pPr>
    </w:p>
    <w:p>
      <w:pPr>
        <w:ind w:left="660" w:right="820" w:hanging="209"/>
        <w:spacing w:after="0" w:line="265"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subject our facility to an adverse inspectional finding or Form 483, or other compliance or enforcement notice, communication or correspondence;</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issue warning or untitled letters that would result in adverse publicity or may require corrective advertising;</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impose civil or criminal penalties;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suspend or withdraw regulatory clearances or approvals;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refuse to clear or approve pending applications or supplements to approved applications submitted by us;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impose restrictions on our operations, including closing our sub-assembly suppliers’ facilities;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seize or detain products; or</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require a product recall.</w:t>
      </w:r>
    </w:p>
    <w:p>
      <w:pPr>
        <w:spacing w:after="0" w:line="108" w:lineRule="exact"/>
        <w:rPr>
          <w:sz w:val="20"/>
          <w:szCs w:val="20"/>
          <w:color w:val="auto"/>
        </w:rPr>
      </w:pPr>
    </w:p>
    <w:p>
      <w:pPr>
        <w:ind w:left="460" w:right="100"/>
        <w:spacing w:after="0" w:line="265" w:lineRule="auto"/>
        <w:rPr>
          <w:sz w:val="20"/>
          <w:szCs w:val="20"/>
          <w:color w:val="auto"/>
        </w:rPr>
      </w:pPr>
      <w:r>
        <w:rPr>
          <w:rFonts w:ascii="Arial" w:cs="Arial" w:eastAsia="Arial" w:hAnsi="Arial"/>
          <w:sz w:val="16"/>
          <w:szCs w:val="16"/>
          <w:color w:val="auto"/>
        </w:rPr>
        <w:t>In addition, violations of the FDCA relating to the promotion of approved products may lead to investigations alleging violations of federal and state healthcare fraud and abuse and other laws, as well as state consumer protection laws.</w:t>
      </w:r>
    </w:p>
    <w:p>
      <w:pPr>
        <w:spacing w:after="0" w:line="75"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66" w:lineRule="exact"/>
        <w:rPr>
          <w:sz w:val="20"/>
          <w:szCs w:val="20"/>
          <w:color w:val="auto"/>
        </w:rPr>
      </w:pPr>
    </w:p>
    <w:p>
      <w:pPr>
        <w:ind w:left="460" w:right="320"/>
        <w:spacing w:after="0" w:line="291" w:lineRule="auto"/>
        <w:rPr>
          <w:sz w:val="20"/>
          <w:szCs w:val="20"/>
          <w:color w:val="auto"/>
        </w:rPr>
      </w:pPr>
      <w:r>
        <w:rPr>
          <w:rFonts w:ascii="Arial" w:cs="Arial" w:eastAsia="Arial" w:hAnsi="Arial"/>
          <w:sz w:val="16"/>
          <w:szCs w:val="16"/>
          <w:b w:val="1"/>
          <w:bCs w:val="1"/>
          <w:i w:val="1"/>
          <w:iCs w:val="1"/>
          <w:color w:val="auto"/>
        </w:rPr>
        <w:t>Material modifications to our products may require new 510(k) clearances or pre-market approvals or may require us to recall or cease marketing our products until clearances or approvals are obtained.</w:t>
      </w:r>
    </w:p>
    <w:p>
      <w:pPr>
        <w:spacing w:after="0" w:line="56" w:lineRule="exact"/>
        <w:rPr>
          <w:sz w:val="20"/>
          <w:szCs w:val="20"/>
          <w:color w:val="auto"/>
        </w:rPr>
      </w:pPr>
    </w:p>
    <w:p>
      <w:pPr>
        <w:ind w:left="460" w:right="60"/>
        <w:spacing w:after="0" w:line="249" w:lineRule="auto"/>
        <w:rPr>
          <w:sz w:val="20"/>
          <w:szCs w:val="20"/>
          <w:color w:val="auto"/>
        </w:rPr>
      </w:pPr>
      <w:r>
        <w:rPr>
          <w:rFonts w:ascii="Arial" w:cs="Arial" w:eastAsia="Arial" w:hAnsi="Arial"/>
          <w:sz w:val="16"/>
          <w:szCs w:val="16"/>
          <w:color w:val="auto"/>
        </w:rPr>
        <w:t>Modifications that could significantly affect the safety and effectiveness of our approved or cleared products, such as changes to the intended use or technological characteristics of our products, will require new 510(k) clearances or PMAs or require us to recall or cease marketing the modified devices until these clearances or approvals are obtained. Based on FDA published guidelines, the FDA requires device manufacturers to initially make and document a determination of whether or not a modification requires a new approval, supplemental approval or clearance; however, the FDA can review a manufacturer’s decision. Any modification to an FDA-cleared device that could significantly affect its safety or efficacy or that would constitute a major change in its intended use would require a new 510(k) clearance or possibly a PMA. We may not be able to obtain the required 510(k) clearances or PMAs, or PMA supplements, or similar marketing authorization in applicable foreign jurisdictions, for new products or for modifications to, or additional indications for, our products in a timely fashion, or at all. Delays in obtaining required future clearances or approvals would adversely affect our ability to introduce new or enhanced products in a timely manner, which in turn would harm our future growth. We have made modifications to our products in the past and expect to make additional modifications in the future that we believe do not or will not require additional clearances or approvals. If the FDA or a comparable foreign regulatory authority disagrees and requires new clearances or approvals for these modifications, we may be required to recall and to stop selling or marketing such products as modified, which could harm our operating results and require us to redesign such products. In these circumstances, we may be subject to significant enforcement actions.</w:t>
      </w:r>
    </w:p>
    <w:p>
      <w:pPr>
        <w:spacing w:after="0" w:line="129"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0800"/>
          </w:cols>
          <w:pgMar w:left="320" w:top="441" w:right="77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right="120"/>
        <w:spacing w:after="0" w:line="269" w:lineRule="auto"/>
        <w:rPr>
          <w:sz w:val="20"/>
          <w:szCs w:val="20"/>
          <w:color w:val="auto"/>
        </w:rPr>
      </w:pPr>
      <w:r>
        <w:rPr>
          <w:rFonts w:ascii="Arial" w:cs="Arial" w:eastAsia="Arial" w:hAnsi="Arial"/>
          <w:sz w:val="16"/>
          <w:szCs w:val="16"/>
          <w:b w:val="1"/>
          <w:bCs w:val="1"/>
          <w:i w:val="1"/>
          <w:iCs w:val="1"/>
          <w:color w:val="auto"/>
        </w:rPr>
        <w:t>Obtaining and maintaining regulatory approval of our current and future products in one jurisdiction does not mean that we will be successful in obtaining regulatory approval of our current and future products in other jurisdictions. The FDA and other comparable foreign regulatory authorities may not accept data from trials conducted in locations outside of their jurisdiction.</w:t>
      </w:r>
    </w:p>
    <w:p>
      <w:pPr>
        <w:spacing w:after="0" w:line="73"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Obtaining and maintaining regulatory approvals or clearances of our current and future products in one jurisdiction does not guarantee that we will be able to obtain or maintain regulatory approval in any other jurisdiction. For example, even if the FDA grants marketing approval or clearance of a current or future product, comparable regulatory authorities in foreign jurisdictions must also approve or clear the manufacturing, marketing and promotion and reimbursement of a current or future product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must be approved for reimbursement before it can be approved for sale in that jurisdiction. In some cases, the price that we intend to charge for our products is also subject to approval.</w:t>
      </w:r>
    </w:p>
    <w:p>
      <w:pPr>
        <w:spacing w:after="0" w:line="88" w:lineRule="exact"/>
        <w:rPr>
          <w:sz w:val="20"/>
          <w:szCs w:val="20"/>
          <w:color w:val="auto"/>
        </w:rPr>
      </w:pPr>
    </w:p>
    <w:p>
      <w:pPr>
        <w:ind w:left="460" w:right="80"/>
        <w:spacing w:after="0" w:line="250" w:lineRule="auto"/>
        <w:rPr>
          <w:sz w:val="20"/>
          <w:szCs w:val="20"/>
          <w:color w:val="auto"/>
        </w:rPr>
      </w:pPr>
      <w:r>
        <w:rPr>
          <w:rFonts w:ascii="Arial" w:cs="Arial" w:eastAsia="Arial" w:hAnsi="Arial"/>
          <w:sz w:val="16"/>
          <w:szCs w:val="16"/>
          <w:color w:val="auto"/>
        </w:rPr>
        <w:t>The RxSight system has a CE Mark for improving uncorrected visual acuity by adjusting the LAL power to correct residual postoperative refractive error, including for -2.0 to + 2.0 diopters of sphere and -3.0 to -0.50 diopters of cylinder and by changing lens curvature to introduce controlled amounts of spherical aberration (+/- 1 micron) and center near add (up to 2.0 diopters) which is also registered with the MHRA in the United Kingdom and in Mexico. Obtaining additional foreign regulatory approvals and establishing and maintaining compliance with foreign regulatory requirements in jurisdictions where we conduct business currently or in the future, such as requirements under the EU MDR,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or clearances, our target market will be reduced and our ability to realize the full market potential of our current and future products will be harmed.</w:t>
      </w:r>
    </w:p>
    <w:p>
      <w:pPr>
        <w:spacing w:after="0" w:line="280" w:lineRule="exact"/>
        <w:rPr>
          <w:sz w:val="20"/>
          <w:szCs w:val="20"/>
          <w:color w:val="auto"/>
        </w:rPr>
      </w:pPr>
    </w:p>
    <w:p>
      <w:pPr>
        <w:ind w:left="460" w:right="60"/>
        <w:spacing w:after="0" w:line="249" w:lineRule="auto"/>
        <w:rPr>
          <w:sz w:val="20"/>
          <w:szCs w:val="20"/>
          <w:color w:val="auto"/>
        </w:rPr>
      </w:pPr>
      <w:r>
        <w:rPr>
          <w:rFonts w:ascii="Arial" w:cs="Arial" w:eastAsia="Arial" w:hAnsi="Arial"/>
          <w:sz w:val="16"/>
          <w:szCs w:val="16"/>
          <w:color w:val="auto"/>
        </w:rPr>
        <w:t>In addition, we have conducted clinical trials in Mexico and may choose to conduct further international clinical trials. The acceptance of study data by the FDA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(2) the trials are performed by clinical investigators of recognized competence and pursuant to current good clinical practices regulations; and (3) audits by regulatory authorities of the clinical data do not identify significant data integrity issues.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products not receiving approval or clearance for commercialization in the applicable jurisdiction.</w:t>
      </w:r>
    </w:p>
    <w:p>
      <w:pPr>
        <w:spacing w:after="0" w:line="73" w:lineRule="exact"/>
        <w:rPr>
          <w:sz w:val="20"/>
          <w:szCs w:val="20"/>
          <w:color w:val="auto"/>
        </w:rPr>
      </w:pPr>
    </w:p>
    <w:p>
      <w:pPr>
        <w:ind w:left="460" w:right="380"/>
        <w:spacing w:after="0" w:line="291" w:lineRule="auto"/>
        <w:rPr>
          <w:sz w:val="20"/>
          <w:szCs w:val="20"/>
          <w:color w:val="auto"/>
        </w:rPr>
      </w:pPr>
      <w:r>
        <w:rPr>
          <w:rFonts w:ascii="Arial" w:cs="Arial" w:eastAsia="Arial" w:hAnsi="Arial"/>
          <w:sz w:val="16"/>
          <w:szCs w:val="16"/>
          <w:b w:val="1"/>
          <w:bCs w:val="1"/>
          <w:i w:val="1"/>
          <w:iCs w:val="1"/>
          <w:color w:val="auto"/>
        </w:rPr>
        <w:t>Our products may be subject to recalls after receiving FDA or foreign approval or clearance, which could divert managerial and financial resources, harm our reputation and adversely affect our business.</w:t>
      </w:r>
    </w:p>
    <w:p>
      <w:pPr>
        <w:spacing w:after="0" w:line="56" w:lineRule="exact"/>
        <w:rPr>
          <w:sz w:val="20"/>
          <w:szCs w:val="20"/>
          <w:color w:val="auto"/>
        </w:rPr>
      </w:pPr>
    </w:p>
    <w:p>
      <w:pPr>
        <w:ind w:left="460" w:right="80"/>
        <w:spacing w:after="0" w:line="265" w:lineRule="auto"/>
        <w:rPr>
          <w:sz w:val="20"/>
          <w:szCs w:val="20"/>
          <w:color w:val="auto"/>
        </w:rPr>
      </w:pPr>
      <w:r>
        <w:rPr>
          <w:rFonts w:ascii="Arial" w:cs="Arial" w:eastAsia="Arial" w:hAnsi="Arial"/>
          <w:sz w:val="16"/>
          <w:szCs w:val="16"/>
          <w:color w:val="auto"/>
        </w:rPr>
        <w:t>The FDA and similar foreign governmental authorities have the authority to require the recall of our products because of any failure to comply with applicable laws and regulations, or defects in design or manufacture. A</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0800"/>
          </w:cols>
          <w:pgMar w:left="320" w:top="441" w:right="77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40"/>
        <w:spacing w:after="0" w:line="256" w:lineRule="auto"/>
        <w:rPr>
          <w:sz w:val="20"/>
          <w:szCs w:val="20"/>
          <w:color w:val="auto"/>
        </w:rPr>
      </w:pPr>
      <w:r>
        <w:rPr>
          <w:rFonts w:ascii="Arial" w:cs="Arial" w:eastAsia="Arial" w:hAnsi="Arial"/>
          <w:sz w:val="16"/>
          <w:szCs w:val="16"/>
          <w:color w:val="auto"/>
        </w:rPr>
        <w:t>government mandated or voluntary product recall by us could occur because of, for example, component failures, device malfunctions or other adverse events, such as serious injuries or deaths, or quality-related issues, such as manufacturing errors or design or labeling defects. Any future recalls of our products could divert managerial and financial resources, harm our reputation and adversely affect our business.</w:t>
      </w:r>
    </w:p>
    <w:p>
      <w:pPr>
        <w:spacing w:after="0" w:line="83" w:lineRule="exact"/>
        <w:rPr>
          <w:sz w:val="20"/>
          <w:szCs w:val="20"/>
          <w:color w:val="auto"/>
        </w:rPr>
      </w:pPr>
    </w:p>
    <w:p>
      <w:pPr>
        <w:ind w:left="460" w:right="60"/>
        <w:spacing w:after="0" w:line="251" w:lineRule="auto"/>
        <w:rPr>
          <w:sz w:val="20"/>
          <w:szCs w:val="20"/>
          <w:color w:val="auto"/>
        </w:rPr>
      </w:pPr>
      <w:r>
        <w:rPr>
          <w:rFonts w:ascii="Arial" w:cs="Arial" w:eastAsia="Arial" w:hAnsi="Arial"/>
          <w:sz w:val="16"/>
          <w:szCs w:val="16"/>
          <w:color w:val="auto"/>
        </w:rPr>
        <w:t>If we initiate a correction or removal for one of our devices to reduce a risk to health posed by the device,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 submission of these reports has been and could be used by competitors against us in competitive situations and cause customers to delay purchase decisions or cancel orders and would harm our reputation.</w:t>
      </w:r>
    </w:p>
    <w:p>
      <w:pPr>
        <w:spacing w:after="0" w:line="88" w:lineRule="exact"/>
        <w:rPr>
          <w:sz w:val="20"/>
          <w:szCs w:val="20"/>
          <w:color w:val="auto"/>
        </w:rPr>
      </w:pPr>
    </w:p>
    <w:p>
      <w:pPr>
        <w:ind w:left="460" w:right="20"/>
        <w:spacing w:after="0" w:line="252" w:lineRule="auto"/>
        <w:rPr>
          <w:sz w:val="20"/>
          <w:szCs w:val="20"/>
          <w:color w:val="auto"/>
        </w:rPr>
      </w:pPr>
      <w:r>
        <w:rPr>
          <w:rFonts w:ascii="Arial" w:cs="Arial" w:eastAsia="Arial" w:hAnsi="Arial"/>
          <w:sz w:val="16"/>
          <w:szCs w:val="16"/>
          <w:color w:val="auto"/>
        </w:rPr>
        <w:t>In addition, we are subject to medical device reporting regulations that require us to report to the FDA or similar foreign governmental authorities if one of our products may have caused or contributed to a death or serious injury or if we become aware that it has malfunctioned in a way that would likely cause or contribute to a death or serious injury if the malfunction recurred. Failures to properly identify reportable events or to file timely reports, as well as failure to address each of the observations to the FDA’s satisfaction, can subject us to sanctions and penalties, including warning letters and recalls.</w:t>
      </w:r>
    </w:p>
    <w:p>
      <w:pPr>
        <w:spacing w:after="0" w:line="86" w:lineRule="exact"/>
        <w:rPr>
          <w:sz w:val="20"/>
          <w:szCs w:val="20"/>
          <w:color w:val="auto"/>
        </w:rPr>
      </w:pPr>
    </w:p>
    <w:p>
      <w:pPr>
        <w:ind w:left="460" w:right="440"/>
        <w:spacing w:after="0" w:line="256" w:lineRule="auto"/>
        <w:rPr>
          <w:sz w:val="20"/>
          <w:szCs w:val="20"/>
          <w:color w:val="auto"/>
        </w:rPr>
      </w:pPr>
      <w:r>
        <w:rPr>
          <w:rFonts w:ascii="Arial" w:cs="Arial" w:eastAsia="Arial" w:hAnsi="Arial"/>
          <w:sz w:val="16"/>
          <w:szCs w:val="16"/>
          <w:color w:val="auto"/>
        </w:rPr>
        <w:t>Doctors may make similar reports to regulatory authorities. Any such reports may trigger an investigation by the FDA or similar foreign regulatory bodies, which could divert managerial and financial resources, harm our reputation and have a material adverse effect on our business, financial condition and results of operations.</w:t>
      </w:r>
    </w:p>
    <w:p>
      <w:pPr>
        <w:spacing w:after="0" w:line="63" w:lineRule="exact"/>
        <w:rPr>
          <w:sz w:val="20"/>
          <w:szCs w:val="20"/>
          <w:color w:val="auto"/>
        </w:rPr>
      </w:pPr>
    </w:p>
    <w:p>
      <w:pPr>
        <w:ind w:left="460" w:right="560"/>
        <w:spacing w:after="0" w:line="291" w:lineRule="auto"/>
        <w:rPr>
          <w:sz w:val="20"/>
          <w:szCs w:val="20"/>
          <w:color w:val="auto"/>
        </w:rPr>
      </w:pPr>
      <w:r>
        <w:rPr>
          <w:rFonts w:ascii="Arial" w:cs="Arial" w:eastAsia="Arial" w:hAnsi="Arial"/>
          <w:sz w:val="16"/>
          <w:szCs w:val="16"/>
          <w:b w:val="1"/>
          <w:bCs w:val="1"/>
          <w:i w:val="1"/>
          <w:iCs w:val="1"/>
          <w:color w:val="auto"/>
        </w:rPr>
        <w:t>If we, or our suppliers, fail to comply with the FDA’s QSR or applicable foreign regulations, our manufacturing or distribution operations could be delayed or shut down and our revenue could suffer.</w:t>
      </w:r>
    </w:p>
    <w:p>
      <w:pPr>
        <w:spacing w:after="0" w:line="56"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Our manufacturing and design processes and those of our third-party component suppliers are required to comply with the FDA’s Quality System Regulation, or QSR, which covers procedures and documentation of the design, testing, production, control, quality assurance, labeling, packaging, storage and shipping of our products in the United States. We are also subject to similar state requirements and licenses, and to ongoing ISO 13485 compliance in our operations, including design, manufacturing, and service, to maintain our CE Mark in Europe. In addition, we must engage in extensive recordkeeping and reporting and must make available our facilities and records for periodic unannounced inspections by governmental agencies, including the FDA, state authorities, EU Notified Bodies, and comparable agencies in other countries. If we fail a regulatory inspection, our operations could be disrupted and our manufacturing interrupted. Failure to take timely and adequate corrective action in response to an adverse regulatory inspection could result in, among other things, a shutdown of our manufacturing or product distribution operations, significant fines, suspension of marketing clearances and approvals, seizures or recalls of our device, operating restrictions and criminal prosecutions, any of which would cause our business to suffer. Furthermore, our key component suppliers may not currently be or may not continue to be in compliance with applicable regulatory requirements, which may result in manufacturing delays for our products and cause our revenue to decline.</w:t>
      </w:r>
    </w:p>
    <w:p>
      <w:pPr>
        <w:spacing w:after="0" w:line="93" w:lineRule="exact"/>
        <w:rPr>
          <w:sz w:val="20"/>
          <w:szCs w:val="20"/>
          <w:color w:val="auto"/>
        </w:rPr>
      </w:pPr>
    </w:p>
    <w:p>
      <w:pPr>
        <w:ind w:left="460" w:right="160"/>
        <w:spacing w:after="0" w:line="255" w:lineRule="auto"/>
        <w:rPr>
          <w:sz w:val="20"/>
          <w:szCs w:val="20"/>
          <w:color w:val="auto"/>
        </w:rPr>
      </w:pPr>
      <w:r>
        <w:rPr>
          <w:rFonts w:ascii="Arial" w:cs="Arial" w:eastAsia="Arial" w:hAnsi="Arial"/>
          <w:sz w:val="16"/>
          <w:szCs w:val="16"/>
          <w:color w:val="auto"/>
        </w:rPr>
        <w:t>The FDA has broad post-market and regulatory enforcement powers. We are subject to unannounced inspections by the FDA and the Food and Drug Branch of the California Department of Public Health, or CDPH, and our Notified Body to determine our compliance with the QSR and other regulations at both our design and manufacturing facilities, and these inspections may include the manufacturing facilities of our suppliers.</w:t>
      </w:r>
    </w:p>
    <w:p>
      <w:pPr>
        <w:spacing w:after="0" w:line="276" w:lineRule="exact"/>
        <w:rPr>
          <w:sz w:val="20"/>
          <w:szCs w:val="20"/>
          <w:color w:val="auto"/>
        </w:rPr>
      </w:pPr>
    </w:p>
    <w:p>
      <w:pPr>
        <w:ind w:left="460" w:right="460"/>
        <w:spacing w:after="0" w:line="265" w:lineRule="auto"/>
        <w:rPr>
          <w:sz w:val="20"/>
          <w:szCs w:val="20"/>
          <w:color w:val="auto"/>
        </w:rPr>
      </w:pPr>
      <w:r>
        <w:rPr>
          <w:rFonts w:ascii="Arial" w:cs="Arial" w:eastAsia="Arial" w:hAnsi="Arial"/>
          <w:sz w:val="16"/>
          <w:szCs w:val="16"/>
          <w:color w:val="auto"/>
        </w:rPr>
        <w:t>We can provide no assurance that we will continue to remain in material compliance with the QSR. If the FDA, CDPH, or any applicable notified body in the European Union or United Kingdom inspects any of our facilities</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0780"/>
          </w:cols>
          <w:pgMar w:left="320" w:top="441" w:right="79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60"/>
        <w:spacing w:after="0" w:line="256" w:lineRule="auto"/>
        <w:rPr>
          <w:sz w:val="20"/>
          <w:szCs w:val="20"/>
          <w:color w:val="auto"/>
        </w:rPr>
      </w:pPr>
      <w:r>
        <w:rPr>
          <w:rFonts w:ascii="Arial" w:cs="Arial" w:eastAsia="Arial" w:hAnsi="Arial"/>
          <w:sz w:val="16"/>
          <w:szCs w:val="16"/>
          <w:color w:val="auto"/>
        </w:rPr>
        <w:t>and discover compliance problems, we may have to cease manufacturing and product distribution until we can take the appropriate remedial steps to correct the audit findings. Taking corrective action may be expensive, time consuming and a distraction for management and if we experience a delay at our manufacturing facility, we may be unable to produce our products, which would harm our business.</w:t>
      </w:r>
    </w:p>
    <w:p>
      <w:pPr>
        <w:spacing w:after="0" w:line="63" w:lineRule="exact"/>
        <w:rPr>
          <w:sz w:val="20"/>
          <w:szCs w:val="20"/>
          <w:color w:val="auto"/>
        </w:rPr>
      </w:pPr>
    </w:p>
    <w:p>
      <w:pPr>
        <w:ind w:left="460" w:right="600"/>
        <w:spacing w:after="0" w:line="291" w:lineRule="auto"/>
        <w:rPr>
          <w:sz w:val="20"/>
          <w:szCs w:val="20"/>
          <w:color w:val="auto"/>
        </w:rPr>
      </w:pPr>
      <w:r>
        <w:rPr>
          <w:rFonts w:ascii="Arial" w:cs="Arial" w:eastAsia="Arial" w:hAnsi="Arial"/>
          <w:sz w:val="16"/>
          <w:szCs w:val="16"/>
          <w:b w:val="1"/>
          <w:bCs w:val="1"/>
          <w:i w:val="1"/>
          <w:iCs w:val="1"/>
          <w:color w:val="auto"/>
        </w:rPr>
        <w:t>Healthcare reform initiatives and other administrative and legislative proposals may adversely affect our business, financial condition, results of operations and cash flows in our key markets.</w:t>
      </w:r>
    </w:p>
    <w:p>
      <w:pPr>
        <w:spacing w:after="0" w:line="56" w:lineRule="exact"/>
        <w:rPr>
          <w:sz w:val="20"/>
          <w:szCs w:val="20"/>
          <w:color w:val="auto"/>
        </w:rPr>
      </w:pPr>
    </w:p>
    <w:p>
      <w:pPr>
        <w:ind w:left="460" w:right="80"/>
        <w:spacing w:after="0" w:line="252" w:lineRule="auto"/>
        <w:rPr>
          <w:sz w:val="20"/>
          <w:szCs w:val="20"/>
          <w:color w:val="auto"/>
        </w:rPr>
      </w:pPr>
      <w:r>
        <w:rPr>
          <w:rFonts w:ascii="Arial" w:cs="Arial" w:eastAsia="Arial" w:hAnsi="Arial"/>
          <w:sz w:val="16"/>
          <w:szCs w:val="16"/>
          <w:color w:val="auto"/>
        </w:rPr>
        <w:t>There have been and continue to be proposals by the federal government, state governments, regulators and third-party payors to control or manage the increased costs of healthcare and, more generally, to reform the U.S. healthcare system. Certain of these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financial condition and results of operations.</w:t>
      </w:r>
    </w:p>
    <w:p>
      <w:pPr>
        <w:spacing w:after="0" w:line="86" w:lineRule="exact"/>
        <w:rPr>
          <w:sz w:val="20"/>
          <w:szCs w:val="20"/>
          <w:color w:val="auto"/>
        </w:rPr>
      </w:pPr>
    </w:p>
    <w:p>
      <w:pPr>
        <w:ind w:left="460" w:right="40"/>
        <w:spacing w:after="0" w:line="251" w:lineRule="auto"/>
        <w:rPr>
          <w:sz w:val="20"/>
          <w:szCs w:val="20"/>
          <w:color w:val="auto"/>
        </w:rPr>
      </w:pPr>
      <w:r>
        <w:rPr>
          <w:rFonts w:ascii="Arial" w:cs="Arial" w:eastAsia="Arial" w:hAnsi="Arial"/>
          <w:sz w:val="16"/>
          <w:szCs w:val="16"/>
          <w:color w:val="auto"/>
        </w:rPr>
        <w:t>For example, in the United States, in March 2010, the Patient Protection and Affordable Care Act, as amended by the Health Care and Education Reconciliation Act of 2010, together, the Affordable Care Act, or ACA, was enacted. The ACA is a sweeping measure intended to expand healthcare coverage within the United States, primarily through the imposition of health insurance mandates on employers and individuals, the provision of subsidies to eligible individuals enrolled in plans offered on the health insurance exchanges and the expansion of the Medicaid program. The ACA has impacted existing government healthcare programs and has resulted in the development of new programs.</w:t>
      </w:r>
    </w:p>
    <w:p>
      <w:pPr>
        <w:spacing w:after="0" w:line="280" w:lineRule="exact"/>
        <w:rPr>
          <w:sz w:val="20"/>
          <w:szCs w:val="20"/>
          <w:color w:val="auto"/>
        </w:rPr>
      </w:pPr>
    </w:p>
    <w:p>
      <w:pPr>
        <w:ind w:left="460" w:right="40"/>
        <w:spacing w:after="0" w:line="250" w:lineRule="auto"/>
        <w:rPr>
          <w:sz w:val="20"/>
          <w:szCs w:val="20"/>
          <w:color w:val="auto"/>
        </w:rPr>
      </w:pPr>
      <w:r>
        <w:rPr>
          <w:rFonts w:ascii="Arial" w:cs="Arial" w:eastAsia="Arial" w:hAnsi="Arial"/>
          <w:sz w:val="16"/>
          <w:szCs w:val="16"/>
          <w:color w:val="auto"/>
        </w:rPr>
        <w:t>Certain provisions of the ACA have been subject to judicial and Congressional challenges. For example, various portions of the ACA have been the subject of legal and constitutional challenges, including legal proceedings in the Fifth Circuit Court of Appeals. The Supreme Court of the United States held oral arguments on the Fifth Circuit Court case in November 2020. In June 2021, the United States Supreme Court held that Texas and other challengers had no legal standing to challenge the ACA, upholding the ACA. It is unclear how this Supreme Court decision, future litigation, and healthcare measures promulgated by the Biden administration will impact the implementation of the ACA, our business, financial condition and results of operations. Complying with any new legislation or reversing changes implemented under the ACA could be time-intensive and expensive, resulting in a material adverse effect on our business.</w:t>
      </w:r>
    </w:p>
    <w:p>
      <w:pPr>
        <w:spacing w:after="0" w:line="91" w:lineRule="exact"/>
        <w:rPr>
          <w:sz w:val="20"/>
          <w:szCs w:val="20"/>
          <w:color w:val="auto"/>
        </w:rPr>
      </w:pPr>
    </w:p>
    <w:p>
      <w:pPr>
        <w:ind w:left="460" w:right="120"/>
        <w:spacing w:after="0" w:line="249" w:lineRule="auto"/>
        <w:rPr>
          <w:sz w:val="20"/>
          <w:szCs w:val="20"/>
          <w:color w:val="auto"/>
        </w:rPr>
      </w:pPr>
      <w:r>
        <w:rPr>
          <w:rFonts w:ascii="Arial" w:cs="Arial" w:eastAsia="Arial" w:hAnsi="Arial"/>
          <w:sz w:val="16"/>
          <w:szCs w:val="16"/>
          <w:color w:val="auto"/>
        </w:rPr>
        <w:t>In addition, other legislative changes have been proposed and adopted since the ACA was enacted. On August 2, 2011, the Budget Control Act of 2011 was signed into law, which, among other things, includes reductions to Medicare payments to providers of, on average, 2% per fiscal year, which went into effect on April 1, 2013, which, due to subsequent legislative amendments, will stay in effect through 2030 unless additional congressional action is taken. These Medicare sequester reductions have been suspended from May 1, 2020 through the end of 2021 due to the COVID-19 pandemic.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products, if approved, and accordingly, our financial operations. We cannot assure you that the ACA, as currently enacted or as amended in the future, will not harm our business and financial results, and we cannot predict how future federal or state legislative or administrative changes relating to healthcare reform will affect our business.</w:t>
      </w:r>
    </w:p>
    <w:p>
      <w:pPr>
        <w:spacing w:after="0" w:line="94" w:lineRule="exact"/>
        <w:rPr>
          <w:sz w:val="20"/>
          <w:szCs w:val="20"/>
          <w:color w:val="auto"/>
        </w:rPr>
      </w:pPr>
    </w:p>
    <w:p>
      <w:pPr>
        <w:ind w:left="460"/>
        <w:spacing w:after="0" w:line="265" w:lineRule="auto"/>
        <w:rPr>
          <w:sz w:val="20"/>
          <w:szCs w:val="20"/>
          <w:color w:val="auto"/>
        </w:rPr>
      </w:pPr>
      <w:r>
        <w:rPr>
          <w:rFonts w:ascii="Arial" w:cs="Arial" w:eastAsia="Arial" w:hAnsi="Arial"/>
          <w:sz w:val="16"/>
          <w:szCs w:val="16"/>
          <w:color w:val="auto"/>
        </w:rPr>
        <w:t>There likely will continue to be legislative and regulatory proposals at the federal and state levels directed at containing or lowering the cost of healthcare. We cannot predict the initiatives that may be adopted in the</w:t>
      </w:r>
    </w:p>
    <w:p>
      <w:pPr>
        <w:spacing w:after="0" w:line="113"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0740"/>
          </w:cols>
          <w:pgMar w:left="320" w:top="441" w:right="8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20"/>
        <w:spacing w:after="0" w:line="265" w:lineRule="auto"/>
        <w:rPr>
          <w:sz w:val="20"/>
          <w:szCs w:val="20"/>
          <w:color w:val="auto"/>
        </w:rPr>
      </w:pPr>
      <w:r>
        <w:rPr>
          <w:rFonts w:ascii="Arial" w:cs="Arial" w:eastAsia="Arial" w:hAnsi="Arial"/>
          <w:sz w:val="16"/>
          <w:szCs w:val="16"/>
          <w:color w:val="auto"/>
        </w:rPr>
        <w:t>future or their full impact. The continuing efforts of the government, insurance companies, managed care organizations and other payors of healthcare services to contain or reduce costs of healthcare may harm:</w:t>
      </w:r>
    </w:p>
    <w:p>
      <w:pPr>
        <w:spacing w:after="0" w:line="88" w:lineRule="exact"/>
        <w:rPr>
          <w:sz w:val="20"/>
          <w:szCs w:val="20"/>
          <w:color w:val="auto"/>
        </w:rPr>
      </w:pPr>
    </w:p>
    <w:p>
      <w:pPr>
        <w:ind w:left="660" w:hanging="209"/>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ability to set a price that we believe is fair for our products;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ability to generate revenue and achieve or maintain profitability; and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availability of capital.</w:t>
      </w:r>
    </w:p>
    <w:p>
      <w:pPr>
        <w:spacing w:after="0" w:line="108" w:lineRule="exact"/>
        <w:rPr>
          <w:sz w:val="20"/>
          <w:szCs w:val="20"/>
          <w:color w:val="auto"/>
        </w:rPr>
      </w:pPr>
    </w:p>
    <w:p>
      <w:pPr>
        <w:ind w:left="460" w:right="20"/>
        <w:spacing w:after="0" w:line="249" w:lineRule="auto"/>
        <w:rPr>
          <w:sz w:val="20"/>
          <w:szCs w:val="20"/>
          <w:color w:val="auto"/>
        </w:rPr>
      </w:pPr>
      <w:r>
        <w:rPr>
          <w:rFonts w:ascii="Arial" w:cs="Arial" w:eastAsia="Arial" w:hAnsi="Arial"/>
          <w:sz w:val="16"/>
          <w:szCs w:val="16"/>
          <w:color w:val="auto"/>
        </w:rPr>
        <w:t>Further, recently there has been heightened governmental scrutiny over the manner in which manufacturers set prices for their marketed products, which has resulted in several U.S. Congressional inquiries and proposed and enacted federal legislation designed to bring transparency to product pricing and reduce the cost of products and services under government healthcare programs. While some of these measures may require additional authorization to become effective, Congress and the federal administration have each indicated that it will continue to seek new legislative and/or administrative measures to control healthcare costs. Additionally, individual states in the United States have also increasingly passed legislation and implemented regulations designed to control product pricing, including price or patient reimbursement constraints, discounts, restrictions on certain product access and marketing cost disclosure and transparency measures. Moreover, regional healthcare authorities and individual hospitals are increasingly using bidding procedures to determine what products to purchase and which suppliers will be included in their healthcare programs. Adoption of price controls and other cost-containment measures, and adoption of more restrictive policies in jurisdictions with existing controls and measures may prevent or limit our ability to generate revenue and attain profitability. Various new healthcare reform proposals are emerging at the federal and state level. Any new federal and state healthcare initiatives that may be adopted could limit the amounts that federal and state governments will pay for healthcare products and services and could have a material adverse effect on our business, financial condition and results of operations.</w:t>
      </w:r>
    </w:p>
    <w:p>
      <w:pPr>
        <w:spacing w:after="0" w:line="72"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b w:val="1"/>
          <w:bCs w:val="1"/>
          <w:i w:val="1"/>
          <w:iCs w:val="1"/>
          <w:color w:val="auto"/>
        </w:rPr>
        <w:t>If we fail to comply with U.S. federal and state fraud and abuse and other healthcare laws and regulations, we could face substantial penalties and our business operations and financial condition could be adversely affected.</w:t>
      </w:r>
    </w:p>
    <w:p>
      <w:pPr>
        <w:spacing w:after="0" w:line="56" w:lineRule="exact"/>
        <w:rPr>
          <w:sz w:val="20"/>
          <w:szCs w:val="20"/>
          <w:color w:val="auto"/>
        </w:rPr>
      </w:pPr>
    </w:p>
    <w:p>
      <w:pPr>
        <w:ind w:left="460" w:right="160"/>
        <w:spacing w:after="0" w:line="250" w:lineRule="auto"/>
        <w:rPr>
          <w:sz w:val="20"/>
          <w:szCs w:val="20"/>
          <w:color w:val="auto"/>
        </w:rPr>
      </w:pPr>
      <w:r>
        <w:rPr>
          <w:rFonts w:ascii="Arial" w:cs="Arial" w:eastAsia="Arial" w:hAnsi="Arial"/>
          <w:sz w:val="16"/>
          <w:szCs w:val="16"/>
          <w:color w:val="auto"/>
        </w:rPr>
        <w:t>Healthcare providers and third-party payors play a primary role in the distribution, recommendation, ordering and purchasing of any medical device for which we have or obtain marketing clearance or approval. Through our arrangements with principal investigators, healthcare professionals, third-party payors and customers, we are exposed to broadly applicable anti-fraud and abuse, anti-kickback, false claims and other healthcare laws and regulations that may constrain our business, our arrangements and relationships with customers, and how we market, sell and distribute our marketed medical devices. We have a compliance program, a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w:t>
      </w:r>
    </w:p>
    <w:p>
      <w:pPr>
        <w:spacing w:after="0" w:line="90"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In the United States, we are subject to various state and federal anti-fraud and abuse laws, including, without limitation, the federal healthcare Anti-Kickback Statute and federal civil False Claims Act. There are similar laws in other countries.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Healthcare fraud and abuse laws and related regulations are complex, and even minor irregularities can potentially give rise to claims that a statute or prohibition has been violated. The laws that may affect our ability to operate include:</w:t>
      </w:r>
    </w:p>
    <w:p>
      <w:pPr>
        <w:spacing w:after="0" w:line="129"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0780"/>
          </w:cols>
          <w:pgMar w:left="320" w:top="441" w:right="79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660" w:right="100" w:hanging="209"/>
        <w:spacing w:after="0" w:line="250"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 order of, items or services for which payment may be made, in whole or in part, under a federal healthcare program, such as Medicare or Medicaid. Moreover, the Patient Protection and Affordable Care Act of 2010, as amended by the health Care and Education Reconciliation Act of 2010 (collectively, the ACA), provides that the government may assert that a claim including items or services resulting from a violation of the federal Anti-Kickback Statute constitutes a false or fraudulent claim for purposes of the civil False Claims Act;</w:t>
      </w:r>
    </w:p>
    <w:p>
      <w:pPr>
        <w:spacing w:after="0" w:line="103" w:lineRule="exact"/>
        <w:rPr>
          <w:rFonts w:ascii="Arial" w:cs="Arial" w:eastAsia="Arial" w:hAnsi="Arial"/>
          <w:sz w:val="16"/>
          <w:szCs w:val="16"/>
          <w:color w:val="auto"/>
        </w:rPr>
      </w:pPr>
    </w:p>
    <w:p>
      <w:pPr>
        <w:ind w:left="660" w:right="320" w:hanging="209"/>
        <w:spacing w:after="0" w:line="25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Federal False Claims Act, including its civil provisions that can be enforced by private citizens through civil whistleblower or qui tam actions, and civil monetary penalties prohibiting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w:t>
      </w:r>
    </w:p>
    <w:p>
      <w:pPr>
        <w:spacing w:after="0" w:line="99" w:lineRule="exact"/>
        <w:rPr>
          <w:rFonts w:ascii="Arial" w:cs="Arial" w:eastAsia="Arial" w:hAnsi="Arial"/>
          <w:sz w:val="16"/>
          <w:szCs w:val="16"/>
          <w:color w:val="auto"/>
        </w:rPr>
      </w:pPr>
    </w:p>
    <w:p>
      <w:pPr>
        <w:ind w:left="660" w:right="460" w:hanging="209"/>
        <w:spacing w:after="0" w:line="265"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spacing w:after="0" w:line="88" w:lineRule="exact"/>
        <w:rPr>
          <w:rFonts w:ascii="Arial" w:cs="Arial" w:eastAsia="Arial" w:hAnsi="Arial"/>
          <w:sz w:val="16"/>
          <w:szCs w:val="16"/>
          <w:color w:val="auto"/>
        </w:rPr>
      </w:pPr>
    </w:p>
    <w:p>
      <w:pPr>
        <w:ind w:left="660" w:right="40" w:hanging="209"/>
        <w:spacing w:after="0" w:line="253"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and their covered subcontractors, including mandatory contractual terms, with respect to safeguarding the privacy, security and transmission of individually identifiable health information;</w:t>
      </w:r>
    </w:p>
    <w:p>
      <w:pPr>
        <w:spacing w:after="0" w:line="98" w:lineRule="exact"/>
        <w:rPr>
          <w:rFonts w:ascii="Arial" w:cs="Arial" w:eastAsia="Arial" w:hAnsi="Arial"/>
          <w:sz w:val="16"/>
          <w:szCs w:val="16"/>
          <w:color w:val="auto"/>
        </w:rPr>
      </w:pPr>
    </w:p>
    <w:p>
      <w:pPr>
        <w:ind w:left="660" w:hanging="209"/>
        <w:spacing w:after="0" w:line="250"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federal Physician Payments Sunshine Act, also referred to as the CMS Open Payments, which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to covered recipients, including physicians, as defined by such law, and teaching hospitals as well as information regarding ownership and investment interests held by physicians and their immediate family members; additionally, effective January 1, 2022, for data reported to CMS in 2022, these reporting obligations with respect to payments and transfers of value made to covered recipients in the previous year, or data collected in 2021, will extend to include certain non-physician providers, such as physician assistants, nurse practitioners, and other mid-level practitioners; and</w:t>
      </w:r>
    </w:p>
    <w:p>
      <w:pPr>
        <w:spacing w:after="0" w:line="102" w:lineRule="exact"/>
        <w:rPr>
          <w:rFonts w:ascii="Arial" w:cs="Arial" w:eastAsia="Arial" w:hAnsi="Arial"/>
          <w:sz w:val="16"/>
          <w:szCs w:val="16"/>
          <w:color w:val="auto"/>
        </w:rPr>
      </w:pPr>
    </w:p>
    <w:p>
      <w:pPr>
        <w:ind w:left="660" w:right="40" w:hanging="209"/>
        <w:spacing w:after="0" w:line="250"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medical device manufacturers to report information related to payments and other transfers of value to doctors or marketing expenditures and require the registration of their sales representatives; state laws that require medical device companies to report information on the pricing of certain medical device products; and state and foreign laws that govern the privacy and security of health information in some circumstances, many of which differ from each other in significant ways and often are not preempted by HIPAA, thus complicating compliance efforts.</w:t>
      </w:r>
    </w:p>
    <w:p>
      <w:pPr>
        <w:spacing w:after="0" w:line="128"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0800"/>
          </w:cols>
          <w:pgMar w:left="320" w:top="441" w:right="77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left="460" w:right="60"/>
        <w:spacing w:after="0" w:line="248" w:lineRule="auto"/>
        <w:rPr>
          <w:sz w:val="20"/>
          <w:szCs w:val="20"/>
          <w:color w:val="auto"/>
        </w:rPr>
      </w:pPr>
      <w:r>
        <w:rPr>
          <w:rFonts w:ascii="Arial" w:cs="Arial" w:eastAsia="Arial" w:hAnsi="Arial"/>
          <w:sz w:val="16"/>
          <w:szCs w:val="16"/>
          <w:color w:val="auto"/>
        </w:rPr>
        <w:t>State and federal regulatory and enforcement agencies continue to actively investigate violations of healthcare laws and regulations, and the U.S. Congress continues to strengthen the arsenal of enforcement tools. Most recently, the Bipartisan Budget Act of 2018, or BBA, increased the criminal and civil penalties that can be imposed for violating certain federal health care laws, including the Anti-Kickback Statute.</w:t>
      </w:r>
    </w:p>
    <w:p>
      <w:pPr>
        <w:ind w:left="460" w:right="80"/>
        <w:spacing w:after="0" w:line="253" w:lineRule="auto"/>
        <w:rPr>
          <w:sz w:val="20"/>
          <w:szCs w:val="20"/>
          <w:color w:val="auto"/>
        </w:rPr>
      </w:pPr>
      <w:r>
        <w:rPr>
          <w:rFonts w:ascii="Arial" w:cs="Arial" w:eastAsia="Arial" w:hAnsi="Arial"/>
          <w:sz w:val="16"/>
          <w:szCs w:val="16"/>
          <w:color w:val="auto"/>
        </w:rPr>
        <w:t>Enforcement agencies also continue to pursue novel theories of liability under these laws. In particular, government agencies recently have increased regulatory scrutiny and enforcement activity with respect to manufacturer reimbursement support activities and patient support programs, including bringing criminal charges or civil enforcement actions under the Anti-Kickback Statute, federal civil False Claims Act and HIPAA’s healthcare fraud and privacy provisions.</w:t>
      </w:r>
    </w:p>
    <w:p>
      <w:pPr>
        <w:spacing w:after="0" w:line="86" w:lineRule="exact"/>
        <w:rPr>
          <w:sz w:val="20"/>
          <w:szCs w:val="20"/>
          <w:color w:val="auto"/>
        </w:rPr>
      </w:pPr>
    </w:p>
    <w:p>
      <w:pPr>
        <w:ind w:left="460" w:right="100"/>
        <w:spacing w:after="0" w:line="252" w:lineRule="auto"/>
        <w:rPr>
          <w:sz w:val="20"/>
          <w:szCs w:val="20"/>
          <w:color w:val="auto"/>
        </w:rPr>
      </w:pPr>
      <w:r>
        <w:rPr>
          <w:rFonts w:ascii="Arial" w:cs="Arial" w:eastAsia="Arial" w:hAnsi="Arial"/>
          <w:sz w:val="16"/>
          <w:szCs w:val="16"/>
          <w:color w:val="auto"/>
        </w:rPr>
        <w:t>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spacing w:after="0" w:line="86"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penalties, including significant criminal, civil, and administrative penalties, damages, fines, imprisonment of individuals, exclusion from participation in government programs, such as Medicare and Medicaid, and we could be required to curtail or cease our operations. Any of the foregoing consequences could seriously harm our business and our financial results.</w:t>
      </w:r>
    </w:p>
    <w:p>
      <w:pPr>
        <w:spacing w:after="0" w:line="278" w:lineRule="exact"/>
        <w:rPr>
          <w:sz w:val="20"/>
          <w:szCs w:val="20"/>
          <w:color w:val="auto"/>
        </w:rPr>
      </w:pPr>
    </w:p>
    <w:p>
      <w:pPr>
        <w:ind w:left="460" w:right="20"/>
        <w:spacing w:after="0" w:line="249" w:lineRule="auto"/>
        <w:rPr>
          <w:sz w:val="20"/>
          <w:szCs w:val="20"/>
          <w:color w:val="auto"/>
        </w:rPr>
      </w:pPr>
      <w:r>
        <w:rPr>
          <w:rFonts w:ascii="Arial" w:cs="Arial" w:eastAsia="Arial" w:hAnsi="Arial"/>
          <w:sz w:val="16"/>
          <w:szCs w:val="16"/>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federal civil False Claims Act, Anti-Kickback Statute or civil monetary penalties law cases also may be required to enter into a Corporate Integrity Agreement with the OIG in order to avoid exclusion from participation (i.e.,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have a material adverse effect on our business, financial condition and results of operations.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Changes in the CMS fee schedules may harm our revenue and operating results.</w:t>
      </w:r>
    </w:p>
    <w:p>
      <w:pPr>
        <w:spacing w:after="0" w:line="128" w:lineRule="exact"/>
        <w:rPr>
          <w:sz w:val="20"/>
          <w:szCs w:val="20"/>
          <w:color w:val="auto"/>
        </w:rPr>
      </w:pPr>
    </w:p>
    <w:p>
      <w:pPr>
        <w:ind w:left="460" w:right="180"/>
        <w:spacing w:after="0" w:line="265" w:lineRule="auto"/>
        <w:rPr>
          <w:sz w:val="20"/>
          <w:szCs w:val="20"/>
          <w:color w:val="auto"/>
        </w:rPr>
      </w:pPr>
      <w:r>
        <w:rPr>
          <w:rFonts w:ascii="Arial" w:cs="Arial" w:eastAsia="Arial" w:hAnsi="Arial"/>
          <w:sz w:val="16"/>
          <w:szCs w:val="16"/>
          <w:color w:val="auto"/>
        </w:rPr>
        <w:t>Government payers, such as Centers for Medicare and Medicaid Services (CMS) as well as insurers, have increased their efforts to control the cost, utilization and delivery of healthcare services. From time to time, the</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0760"/>
          </w:cols>
          <w:pgMar w:left="320" w:top="441" w:right="81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U.S. Congress has considered and implemented changes in the CMS fee schedules in conjunction with budgetary legislation. Reductions of reimbursement by Medicare or Medicaid for procedures that use our products or changes in policy regarding coverage of these procedures, such as adding requirements for payment, or prior authorizations, may be implemented from time to time. Reductions in the reimbursement rates and changes in payment policies of other third-party payers may occur as well. Similar changes in the past have resulted in reduced payments for procedures that use medical device products as well as added costs and have added more complex regulatory and administrative requirements. Further changes in federal, state, local and third-party payer regulations or policies may have a material adverse impact on the demand for our products and on our business. Actions by agencies regulating insurance or changes in other laws, regulations, or policies may also have a material adverse effect on our business, financial condition and results of operations.</w:t>
      </w:r>
    </w:p>
    <w:p>
      <w:pPr>
        <w:spacing w:after="0" w:line="70" w:lineRule="exact"/>
        <w:rPr>
          <w:sz w:val="20"/>
          <w:szCs w:val="20"/>
          <w:color w:val="auto"/>
        </w:rPr>
      </w:pPr>
    </w:p>
    <w:p>
      <w:pPr>
        <w:ind w:left="460" w:right="440"/>
        <w:spacing w:after="0" w:line="291" w:lineRule="auto"/>
        <w:rPr>
          <w:sz w:val="20"/>
          <w:szCs w:val="20"/>
          <w:color w:val="auto"/>
        </w:rPr>
      </w:pPr>
      <w:r>
        <w:rPr>
          <w:rFonts w:ascii="Arial" w:cs="Arial" w:eastAsia="Arial" w:hAnsi="Arial"/>
          <w:sz w:val="16"/>
          <w:szCs w:val="16"/>
          <w:b w:val="1"/>
          <w:bCs w:val="1"/>
          <w:i w:val="1"/>
          <w:iCs w:val="1"/>
          <w:color w:val="auto"/>
        </w:rPr>
        <w:t>Legislative or regulatory reforms may make it more difficult and costly for us to obtain regulatory clearance or approval of our planned or future products and to manufacture, market and distribute our products after clearance or approval is obtained.</w:t>
      </w:r>
    </w:p>
    <w:p>
      <w:pPr>
        <w:spacing w:after="0" w:line="56" w:lineRule="exact"/>
        <w:rPr>
          <w:sz w:val="20"/>
          <w:szCs w:val="20"/>
          <w:color w:val="auto"/>
        </w:rPr>
      </w:pPr>
    </w:p>
    <w:p>
      <w:pPr>
        <w:ind w:left="460" w:right="20"/>
        <w:spacing w:after="0" w:line="251" w:lineRule="auto"/>
        <w:rPr>
          <w:sz w:val="20"/>
          <w:szCs w:val="20"/>
          <w:color w:val="auto"/>
        </w:rPr>
      </w:pPr>
      <w:r>
        <w:rPr>
          <w:rFonts w:ascii="Arial" w:cs="Arial" w:eastAsia="Arial" w:hAnsi="Arial"/>
          <w:sz w:val="16"/>
          <w:szCs w:val="16"/>
          <w:color w:val="auto"/>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spacing w:after="0" w:line="88" w:lineRule="exact"/>
        <w:rPr>
          <w:sz w:val="20"/>
          <w:szCs w:val="20"/>
          <w:color w:val="auto"/>
        </w:rPr>
      </w:pPr>
    </w:p>
    <w:p>
      <w:pPr>
        <w:ind w:left="460" w:right="20"/>
        <w:spacing w:after="0" w:line="253" w:lineRule="auto"/>
        <w:rPr>
          <w:sz w:val="20"/>
          <w:szCs w:val="20"/>
          <w:color w:val="auto"/>
        </w:rPr>
      </w:pPr>
      <w:r>
        <w:rPr>
          <w:rFonts w:ascii="Arial" w:cs="Arial" w:eastAsia="Arial" w:hAnsi="Arial"/>
          <w:sz w:val="16"/>
          <w:szCs w:val="16"/>
          <w:color w:val="auto"/>
        </w:rPr>
        <w:t>Any change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66" w:lineRule="exact"/>
        <w:rPr>
          <w:sz w:val="20"/>
          <w:szCs w:val="20"/>
          <w:color w:val="auto"/>
        </w:rPr>
      </w:pPr>
    </w:p>
    <w:p>
      <w:pPr>
        <w:ind w:left="460" w:right="380"/>
        <w:spacing w:after="0" w:line="269" w:lineRule="auto"/>
        <w:rPr>
          <w:sz w:val="20"/>
          <w:szCs w:val="20"/>
          <w:color w:val="auto"/>
        </w:rPr>
      </w:pPr>
      <w:r>
        <w:rPr>
          <w:rFonts w:ascii="Arial" w:cs="Arial" w:eastAsia="Arial" w:hAnsi="Arial"/>
          <w:sz w:val="16"/>
          <w:szCs w:val="16"/>
          <w:b w:val="1"/>
          <w:bCs w:val="1"/>
          <w:i w:val="1"/>
          <w:iCs w:val="1"/>
          <w:color w:val="auto"/>
        </w:rPr>
        <w:t>Compliance with the EU Medical Device Regulation, applicable regulations in the United Kingdom, and other applicable foreign regulations, as well as any changes to existing regulations, may be costly and disruptive to our business, and expose us to increased liability.</w:t>
      </w:r>
    </w:p>
    <w:p>
      <w:pPr>
        <w:spacing w:after="0" w:line="73"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In 2017, the European Union published the new EU Medical Device Regulation (MDR) (2017/745), the application of which was postponed until May 26, 2021 for class I devices (lowest risk) and May 26, 2024 for all other class devices (higher risk devices). The new regulations replace predecessor directives and emphasize a global convergence of regulations. With the transition from the Medical Devices Directive, or MDD, to the MDR, notified bodies are required to seek designation to operate as conformity assessment authorities under the new law. While we are currently in compliance with the MDR and in process of transferring certification from MDD to MDR, compliance with any new or changing regulations in the EU or other jurisdictions where we currently commercialize our products or intend to commercialize in the future is a time consuming process that may require comprehensive quality system audits and new conformity assessment certifications for our products. Major changes include:</w:t>
      </w:r>
    </w:p>
    <w:p>
      <w:pPr>
        <w:spacing w:after="0" w:line="102" w:lineRule="exact"/>
        <w:rPr>
          <w:sz w:val="20"/>
          <w:szCs w:val="20"/>
          <w:color w:val="auto"/>
        </w:rPr>
      </w:pPr>
    </w:p>
    <w:p>
      <w:pPr>
        <w:ind w:left="660" w:hanging="209"/>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reclassification of some products;</w:t>
      </w:r>
    </w:p>
    <w:p>
      <w:pPr>
        <w:spacing w:after="0" w:line="6" w:lineRule="exact"/>
        <w:rPr>
          <w:rFonts w:ascii="Arial" w:cs="Arial" w:eastAsia="Arial" w:hAnsi="Arial"/>
          <w:sz w:val="16"/>
          <w:szCs w:val="16"/>
          <w:color w:val="auto"/>
        </w:rPr>
      </w:pPr>
    </w:p>
    <w:p>
      <w:pPr>
        <w:ind w:left="660" w:hanging="209"/>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greater emphasis on clinical data;</w:t>
      </w:r>
    </w:p>
    <w:p>
      <w:pPr>
        <w:spacing w:after="0" w:line="6" w:lineRule="exact"/>
        <w:rPr>
          <w:rFonts w:ascii="Arial" w:cs="Arial" w:eastAsia="Arial" w:hAnsi="Arial"/>
          <w:sz w:val="16"/>
          <w:szCs w:val="16"/>
          <w:color w:val="auto"/>
        </w:rPr>
      </w:pPr>
    </w:p>
    <w:p>
      <w:pPr>
        <w:ind w:left="660" w:hanging="209"/>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data transparency, including publication of clinical trial data and safety summaries;</w:t>
      </w:r>
    </w:p>
    <w:p>
      <w:pPr>
        <w:spacing w:after="0" w:line="6" w:lineRule="exact"/>
        <w:rPr>
          <w:rFonts w:ascii="Arial" w:cs="Arial" w:eastAsia="Arial" w:hAnsi="Arial"/>
          <w:sz w:val="16"/>
          <w:szCs w:val="16"/>
          <w:color w:val="auto"/>
        </w:rPr>
      </w:pPr>
    </w:p>
    <w:p>
      <w:pPr>
        <w:ind w:left="660" w:hanging="209"/>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defined content and structure for technical files to support registration;</w:t>
      </w:r>
    </w:p>
    <w:p>
      <w:pPr>
        <w:spacing w:after="0" w:line="6" w:lineRule="exact"/>
        <w:rPr>
          <w:rFonts w:ascii="Arial" w:cs="Arial" w:eastAsia="Arial" w:hAnsi="Arial"/>
          <w:sz w:val="16"/>
          <w:szCs w:val="16"/>
          <w:color w:val="auto"/>
        </w:rPr>
      </w:pPr>
    </w:p>
    <w:p>
      <w:pPr>
        <w:ind w:left="660" w:hanging="209"/>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unique device identification system;</w:t>
      </w:r>
    </w:p>
    <w:p>
      <w:pPr>
        <w:spacing w:after="0" w:line="6" w:lineRule="exact"/>
        <w:rPr>
          <w:rFonts w:ascii="Arial" w:cs="Arial" w:eastAsia="Arial" w:hAnsi="Arial"/>
          <w:sz w:val="16"/>
          <w:szCs w:val="16"/>
          <w:color w:val="auto"/>
        </w:rPr>
      </w:pPr>
    </w:p>
    <w:p>
      <w:pPr>
        <w:ind w:left="660" w:hanging="209"/>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greater burden on post-market surveillance and clinical follow-up;</w:t>
      </w:r>
    </w:p>
    <w:p>
      <w:pPr>
        <w:spacing w:after="0" w:line="146"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0760"/>
          </w:cols>
          <w:pgMar w:left="320" w:top="441" w:right="81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660" w:hanging="209"/>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reduction of adverse event reporting time from 30 to 15 days after the event; and</w:t>
      </w:r>
    </w:p>
    <w:p>
      <w:pPr>
        <w:spacing w:after="0" w:line="6" w:lineRule="exact"/>
        <w:rPr>
          <w:rFonts w:ascii="Arial" w:cs="Arial" w:eastAsia="Arial" w:hAnsi="Arial"/>
          <w:sz w:val="16"/>
          <w:szCs w:val="16"/>
          <w:color w:val="auto"/>
        </w:rPr>
      </w:pPr>
    </w:p>
    <w:p>
      <w:pPr>
        <w:ind w:left="660" w:hanging="209"/>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more power to notified bodies.</w:t>
      </w:r>
    </w:p>
    <w:p>
      <w:pPr>
        <w:spacing w:after="0" w:line="108" w:lineRule="exact"/>
        <w:rPr>
          <w:sz w:val="20"/>
          <w:szCs w:val="20"/>
          <w:color w:val="auto"/>
        </w:rPr>
      </w:pPr>
    </w:p>
    <w:p>
      <w:pPr>
        <w:ind w:left="460" w:right="20"/>
        <w:spacing w:after="0" w:line="252" w:lineRule="auto"/>
        <w:rPr>
          <w:sz w:val="20"/>
          <w:szCs w:val="20"/>
          <w:color w:val="auto"/>
        </w:rPr>
      </w:pPr>
      <w:r>
        <w:rPr>
          <w:rFonts w:ascii="Arial" w:cs="Arial" w:eastAsia="Arial" w:hAnsi="Arial"/>
          <w:sz w:val="16"/>
          <w:szCs w:val="16"/>
          <w:color w:val="auto"/>
        </w:rPr>
        <w:t>Implementation of the Medical Device Regulations introduces substantial changes to the obligations with which medical device manufacturers must comply in the EU. High risk medical devices will be subject to additional scrutiny during the conformity assessment procedure. For any products that we may develop in the future, complying with these new regulations may result in Europe being less attractive as a “first market” destination. Marketing authorization timelines will become more protracted and the costs of operating in Europe will increase. A significantly more costly path to regulatory compliance is anticipated.</w:t>
      </w:r>
    </w:p>
    <w:p>
      <w:pPr>
        <w:spacing w:after="0" w:line="66" w:lineRule="exact"/>
        <w:rPr>
          <w:sz w:val="20"/>
          <w:szCs w:val="20"/>
          <w:color w:val="auto"/>
        </w:rPr>
      </w:pPr>
    </w:p>
    <w:p>
      <w:pPr>
        <w:ind w:left="460" w:right="240"/>
        <w:spacing w:after="0" w:line="291" w:lineRule="auto"/>
        <w:rPr>
          <w:sz w:val="20"/>
          <w:szCs w:val="20"/>
          <w:color w:val="auto"/>
        </w:rPr>
      </w:pPr>
      <w:r>
        <w:rPr>
          <w:rFonts w:ascii="Arial" w:cs="Arial" w:eastAsia="Arial" w:hAnsi="Arial"/>
          <w:sz w:val="16"/>
          <w:szCs w:val="16"/>
          <w:b w:val="1"/>
          <w:bCs w:val="1"/>
          <w:i w:val="1"/>
          <w:iCs w:val="1"/>
          <w:color w:val="auto"/>
        </w:rPr>
        <w:t>Our clinical trials may fail to demonstrate competent and reliable evidence of the safety and effectiveness of our products, which would prevent or delay commercialization of our products in development.</w:t>
      </w:r>
    </w:p>
    <w:p>
      <w:pPr>
        <w:spacing w:after="0" w:line="56"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We may be required to conduct clinical studies that demonstrate competent and reliable evidence that our products are safe and effective before we can commercialize our products. Clinical testing is expensive and can take many years to complete, and its outcome is inherently uncertain. We cannot be certain that our planned clinical trials or any other future clinical trials will be successful. In addition, even if such clinical trials are successfully completed, we cannot guarantee that the FDA or foreign regulatory authorities will interpret the results as we do, and more trials could be required before we submit our products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products. Even if regulatory approval is secured for any of our products, the terms of such approval may limit the scope and use of our products, which may also limit their commercial potential.</w:t>
      </w:r>
    </w:p>
    <w:p>
      <w:pPr>
        <w:spacing w:after="0" w:line="260" w:lineRule="exact"/>
        <w:rPr>
          <w:sz w:val="20"/>
          <w:szCs w:val="20"/>
          <w:color w:val="auto"/>
        </w:rPr>
      </w:pPr>
    </w:p>
    <w:p>
      <w:pPr>
        <w:ind w:left="460" w:right="380"/>
        <w:spacing w:after="0" w:line="291" w:lineRule="auto"/>
        <w:rPr>
          <w:sz w:val="20"/>
          <w:szCs w:val="20"/>
          <w:color w:val="auto"/>
        </w:rPr>
      </w:pPr>
      <w:r>
        <w:rPr>
          <w:rFonts w:ascii="Arial" w:cs="Arial" w:eastAsia="Arial" w:hAnsi="Arial"/>
          <w:sz w:val="16"/>
          <w:szCs w:val="16"/>
          <w:b w:val="1"/>
          <w:bCs w:val="1"/>
          <w:i w:val="1"/>
          <w:iCs w:val="1"/>
          <w:color w:val="auto"/>
        </w:rPr>
        <w:t>Defects or failures associated with our products could lead to recalls, safety alerts or litigation, as well as significant costs and negative publicity.</w:t>
      </w:r>
    </w:p>
    <w:p>
      <w:pPr>
        <w:spacing w:after="0" w:line="56" w:lineRule="exact"/>
        <w:rPr>
          <w:sz w:val="20"/>
          <w:szCs w:val="20"/>
          <w:color w:val="auto"/>
        </w:rPr>
      </w:pPr>
    </w:p>
    <w:p>
      <w:pPr>
        <w:ind w:left="460" w:right="60"/>
        <w:spacing w:after="0" w:line="250" w:lineRule="auto"/>
        <w:rPr>
          <w:sz w:val="20"/>
          <w:szCs w:val="20"/>
          <w:color w:val="auto"/>
        </w:rPr>
      </w:pPr>
      <w:r>
        <w:rPr>
          <w:rFonts w:ascii="Arial" w:cs="Arial" w:eastAsia="Arial" w:hAnsi="Arial"/>
          <w:sz w:val="16"/>
          <w:szCs w:val="16"/>
          <w:color w:val="auto"/>
        </w:rPr>
        <w:t>Our business is subject to significant risks associated with manufacture,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could also result in an unsafe condition or the injury or death of a patient. These problems could lead to a recall or market withdrawal of, or issuance of a safety alert relating to, our products and result in significant costs, negative publicity and adverse competitive pressure. The circumstances giving rise to recalls are unpredictable, and any recalls of existing or future products could have a material adverse effect on our business, financial condition and results of operations.</w:t>
      </w:r>
    </w:p>
    <w:p>
      <w:pPr>
        <w:spacing w:after="0" w:line="91" w:lineRule="exact"/>
        <w:rPr>
          <w:sz w:val="20"/>
          <w:szCs w:val="20"/>
          <w:color w:val="auto"/>
        </w:rPr>
      </w:pPr>
    </w:p>
    <w:p>
      <w:pPr>
        <w:ind w:left="460" w:right="60"/>
        <w:spacing w:after="0" w:line="253" w:lineRule="auto"/>
        <w:rPr>
          <w:sz w:val="20"/>
          <w:szCs w:val="20"/>
          <w:color w:val="auto"/>
        </w:rPr>
      </w:pPr>
      <w:r>
        <w:rPr>
          <w:rFonts w:ascii="Arial" w:cs="Arial" w:eastAsia="Arial" w:hAnsi="Arial"/>
          <w:sz w:val="16"/>
          <w:szCs w:val="16"/>
          <w:color w:val="auto"/>
        </w:rPr>
        <w:t>We provide a limited warranty that our products are free of material defects and conform to specifications and offer to repair the LDD in the event of a defect and replace or refund the purchase price of a defective LAL. As a result, we bear the risk of potential warranty claims on our products. In the event that we attempt to recover some or all of the expenses associated with a warranty claim against us from our suppliers or vendors, we may not be successful in claiming such recovery, or any recovery from such vendor or supplier may be inadequate or unavailable.</w:t>
      </w:r>
    </w:p>
    <w:p>
      <w:pPr>
        <w:spacing w:after="0" w:line="276" w:lineRule="exact"/>
        <w:rPr>
          <w:sz w:val="20"/>
          <w:szCs w:val="20"/>
          <w:color w:val="auto"/>
        </w:rPr>
      </w:pPr>
    </w:p>
    <w:p>
      <w:pPr>
        <w:ind w:left="460" w:right="100"/>
        <w:spacing w:after="0" w:line="252" w:lineRule="auto"/>
        <w:rPr>
          <w:sz w:val="20"/>
          <w:szCs w:val="20"/>
          <w:color w:val="auto"/>
        </w:rPr>
      </w:pPr>
      <w:r>
        <w:rPr>
          <w:rFonts w:ascii="Arial" w:cs="Arial" w:eastAsia="Arial" w:hAnsi="Arial"/>
          <w:sz w:val="16"/>
          <w:szCs w:val="16"/>
          <w:color w:val="auto"/>
        </w:rPr>
        <w:t>The medical device industry has historically been subject to extensive litigation over product liability claims. We may be subject to product liability claims if our products cause, or merely appear to have caused, an injury or death, even if due to doctor error. In addition, an injury or death that is caused by the activities of our suppliers, such as those that provide us with components and raw materials, or by an aspect of a treatment used in combination with our products, such as a complementary drug or anesthesia, may be the basis for a claim against us by patients, doctors or others purchasing or using our products, even if our products were not the</w:t>
      </w:r>
    </w:p>
    <w:p>
      <w:pPr>
        <w:spacing w:after="0" w:line="124"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0780"/>
          </w:cols>
          <w:pgMar w:left="320" w:top="441" w:right="79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actual cause of such injury or death. We may choose to settle any claims to avoid a determination of fault, even if we believe fault was not due to failure of our products. An adverse outcome involving one of our products could result in reduced market acceptance and demand for such products or any or all of our other products and could harm our brand and reputation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spacing w:after="0" w:line="88"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Although we carry product liability insurance in the United States and in other countries in which we conduct business, including for clinical trials and product marketing,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88"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We are required to file adverse event reports under Medical Device Reporting, or MDR, regulations with the FDA that are publicly available on the FDA’s website. We are required to file MDRs if our products may have caused or contributed to a serious injury or death or malfunctioned in a way that could likely cause or contribute to a serious injury or death if it were to recur. Any such MDR that reports a significant adverse event could result in negative publicity, which could harm our reputation and future sales.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w:t>
      </w:r>
    </w:p>
    <w:p>
      <w:pPr>
        <w:spacing w:after="0" w:line="68" w:lineRule="exact"/>
        <w:rPr>
          <w:sz w:val="20"/>
          <w:szCs w:val="20"/>
          <w:color w:val="auto"/>
        </w:rPr>
      </w:pPr>
    </w:p>
    <w:p>
      <w:pPr>
        <w:ind w:left="460" w:right="180"/>
        <w:spacing w:after="0" w:line="291" w:lineRule="auto"/>
        <w:rPr>
          <w:sz w:val="20"/>
          <w:szCs w:val="20"/>
          <w:color w:val="auto"/>
        </w:rPr>
      </w:pPr>
      <w:r>
        <w:rPr>
          <w:rFonts w:ascii="Arial" w:cs="Arial" w:eastAsia="Arial" w:hAnsi="Arial"/>
          <w:sz w:val="16"/>
          <w:szCs w:val="16"/>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56" w:lineRule="exact"/>
        <w:rPr>
          <w:sz w:val="20"/>
          <w:szCs w:val="20"/>
          <w:color w:val="auto"/>
        </w:rPr>
      </w:pPr>
    </w:p>
    <w:p>
      <w:pPr>
        <w:ind w:left="460" w:right="20"/>
        <w:spacing w:after="0" w:line="249" w:lineRule="auto"/>
        <w:rPr>
          <w:sz w:val="20"/>
          <w:szCs w:val="20"/>
          <w:color w:val="auto"/>
        </w:rPr>
      </w:pPr>
      <w:r>
        <w:rPr>
          <w:rFonts w:ascii="Arial" w:cs="Arial" w:eastAsia="Arial" w:hAnsi="Arial"/>
          <w:sz w:val="16"/>
          <w:szCs w:val="16"/>
          <w:color w:val="auto"/>
        </w:rPr>
        <w:t>We are exposed to the risk that our employees, independent contractors, consultants, commercial partners, distributors and vendors may engage in fraudulent or illegal activity. Misconduct by these parties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(iii) healthcare fraud and abuse laws in the United States and similar foreign fraudulent misconduct laws; or (iv)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32"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0780"/>
          </w:cols>
          <w:pgMar w:left="320" w:top="441" w:right="79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60"/>
        <w:spacing w:after="0" w:line="249" w:lineRule="auto"/>
        <w:rPr>
          <w:sz w:val="20"/>
          <w:szCs w:val="20"/>
          <w:color w:val="auto"/>
        </w:rPr>
      </w:pPr>
      <w:r>
        <w:rPr>
          <w:rFonts w:ascii="Arial" w:cs="Arial" w:eastAsia="Arial" w:hAnsi="Arial"/>
          <w:sz w:val="16"/>
          <w:szCs w:val="16"/>
          <w:color w:val="auto"/>
        </w:rPr>
        <w:t>We have adopted a code of business conduct and ethics,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74" w:lineRule="exact"/>
        <w:rPr>
          <w:sz w:val="20"/>
          <w:szCs w:val="20"/>
          <w:color w:val="auto"/>
        </w:rPr>
      </w:pPr>
    </w:p>
    <w:p>
      <w:pPr>
        <w:ind w:left="460" w:right="200"/>
        <w:spacing w:after="0" w:line="291" w:lineRule="auto"/>
        <w:rPr>
          <w:sz w:val="20"/>
          <w:szCs w:val="20"/>
          <w:color w:val="auto"/>
        </w:rPr>
      </w:pPr>
      <w:r>
        <w:rPr>
          <w:rFonts w:ascii="Arial" w:cs="Arial" w:eastAsia="Arial" w:hAnsi="Arial"/>
          <w:sz w:val="16"/>
          <w:szCs w:val="16"/>
          <w:b w:val="1"/>
          <w:bCs w:val="1"/>
          <w:i w:val="1"/>
          <w:iCs w:val="1"/>
          <w:color w:val="auto"/>
        </w:rPr>
        <w:t>Environmental health and safety laws may result in liabilities, expenses and restrictions on our operations. Failure to comply with environmental laws and regulations could subject us to significant liability.</w:t>
      </w:r>
    </w:p>
    <w:p>
      <w:pPr>
        <w:spacing w:after="0" w:line="56" w:lineRule="exact"/>
        <w:rPr>
          <w:sz w:val="20"/>
          <w:szCs w:val="20"/>
          <w:color w:val="auto"/>
        </w:rPr>
      </w:pPr>
    </w:p>
    <w:p>
      <w:pPr>
        <w:ind w:left="460" w:right="20"/>
        <w:spacing w:after="0" w:line="249" w:lineRule="auto"/>
        <w:rPr>
          <w:sz w:val="20"/>
          <w:szCs w:val="20"/>
          <w:color w:val="auto"/>
        </w:rPr>
      </w:pPr>
      <w:r>
        <w:rPr>
          <w:rFonts w:ascii="Arial" w:cs="Arial" w:eastAsia="Arial" w:hAnsi="Arial"/>
          <w:sz w:val="16"/>
          <w:szCs w:val="16"/>
          <w:color w:val="auto"/>
        </w:rPr>
        <w:t>Our research and development and manufacturing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94"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Federal, state, local and foreign laws regarding environmental protection, hazardous substances and human health and safety may adversely affect our business. Our research and development and manufacturing operations involve the use of hazardous substances and are subject to a variety of federal, state, local and foreign environmental laws and regulations relating to the storage, use, discharge, disposal and remediation of, as well as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w:t>
      </w:r>
    </w:p>
    <w:p>
      <w:pPr>
        <w:spacing w:after="0" w:line="321"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0800"/>
          </w:cols>
          <w:pgMar w:left="320" w:top="441" w:right="77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40"/>
        <w:spacing w:after="0" w:line="253" w:lineRule="auto"/>
        <w:rPr>
          <w:sz w:val="20"/>
          <w:szCs w:val="20"/>
          <w:color w:val="auto"/>
        </w:rPr>
      </w:pPr>
      <w:r>
        <w:rPr>
          <w:rFonts w:ascii="Arial" w:cs="Arial" w:eastAsia="Arial" w:hAnsi="Arial"/>
          <w:sz w:val="16"/>
          <w:szCs w:val="16"/>
          <w:color w:val="auto"/>
        </w:rPr>
        <w:t>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business, financial condition and results of operation.</w:t>
      </w:r>
    </w:p>
    <w:p>
      <w:pPr>
        <w:spacing w:after="0" w:line="66" w:lineRule="exact"/>
        <w:rPr>
          <w:sz w:val="20"/>
          <w:szCs w:val="20"/>
          <w:color w:val="auto"/>
        </w:rPr>
      </w:pPr>
    </w:p>
    <w:p>
      <w:pPr>
        <w:ind w:left="460" w:right="300"/>
        <w:spacing w:after="0" w:line="291" w:lineRule="auto"/>
        <w:rPr>
          <w:sz w:val="20"/>
          <w:szCs w:val="20"/>
          <w:color w:val="auto"/>
        </w:rPr>
      </w:pPr>
      <w:r>
        <w:rPr>
          <w:rFonts w:ascii="Arial" w:cs="Arial" w:eastAsia="Arial" w:hAnsi="Arial"/>
          <w:sz w:val="16"/>
          <w:szCs w:val="16"/>
          <w:b w:val="1"/>
          <w:bCs w:val="1"/>
          <w:i w:val="1"/>
          <w:iCs w:val="1"/>
          <w:color w:val="auto"/>
        </w:rPr>
        <w:t>We face risks related to our collection and use of data, which could result in investigations, inquiries, litigation, fines, legislative and regulatory action and negative press about our privacy and data protection practices.</w:t>
      </w:r>
    </w:p>
    <w:p>
      <w:pPr>
        <w:spacing w:after="0" w:line="56" w:lineRule="exact"/>
        <w:rPr>
          <w:sz w:val="20"/>
          <w:szCs w:val="20"/>
          <w:color w:val="auto"/>
        </w:rPr>
      </w:pPr>
    </w:p>
    <w:p>
      <w:pPr>
        <w:ind w:left="460" w:right="40"/>
        <w:spacing w:after="0" w:line="249" w:lineRule="auto"/>
        <w:rPr>
          <w:sz w:val="20"/>
          <w:szCs w:val="20"/>
          <w:color w:val="auto"/>
        </w:rPr>
      </w:pPr>
      <w:r>
        <w:rPr>
          <w:rFonts w:ascii="Arial" w:cs="Arial" w:eastAsia="Arial" w:hAnsi="Arial"/>
          <w:sz w:val="16"/>
          <w:szCs w:val="16"/>
          <w:color w:val="auto"/>
        </w:rPr>
        <w:t>Our business processes personal data, including some data related to health. When conducting clinical trials, we face risks associated with collecting trial participants’ data, especially health data, in a manner consistent with applicable laws and regulations, such as the Common Rule, GCP guidelines, or FDA human subject protection regulations. We also face risks inherent in handling large volumes of data and in protecting the security of such data. We could be subject to attacks on our systems by outside parties or fraudulent or inappropriate behavior by our service providers or employees. Third parties may also gain access to users’ accounts using stolen or inferred credentials, computer malware, viruses, spamming, phishing attacks or other means, and may use such access to obtain users’ personal data or prevent use of their accounts. Data breaches could result in a violation of applicable U.S. and international privacy, data protection and other laws, and subject us to individual or consumer class action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w:t>
      </w:r>
    </w:p>
    <w:p>
      <w:pPr>
        <w:spacing w:after="0" w:line="94"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This risk is enhanced in certain jurisdictions and, as we expand our operations domestically and internationally, we may be subject to additional laws in other jurisdictions. Any failure, or perceived failure, by us to comply with privacy and data protection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 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and have prioritized privacy and information security violations for enforcement actions. Additionally, in the United States, California adopted the California Consumer Privacy Act (the “CCPA”) in January 2020 which requires certain companies that process information on California consumers to, among other things, provide new disclosures to California consumers and afford such consumers new abilities to exercise certain rights with respect to their personal information and opt out of certain sales of personal information, in addition to severely limiting our ability to use their information. The CCPA provides for civil penalties for violations, as well as a private right of action for certain data breaches that result in the loss of personal information. It remains unclear how various provisions of the CCPA will be interpreted and enforced. Furthermore, in November 2020, California voters passed the California Privacy Rights Act of 2020 (“CPRA”). Effective beginning January 1, 2023, the CPRA imposes additional obligations on companies covered by the legislation and will significantly modify the CCPA, including by expanding California residents’ rights with respect to certain sensitive personal information. Other states have passed, or plan to pass, data privacy laws that are similar to the CCPA and CPRA, further complicating the legal landscape. In addition, laws in all 50 states require businesses to provide notice to consumers whose personal information has been accessed or acquired as a result of a data breach (and, in some cases, to regulators). The effects of the CCPA, CPRA and other such privacy laws are potentially significant, and may require us to modify our data processing practices and policies and to incur substantial costs and expenses in an effort to comply.</w:t>
      </w:r>
    </w:p>
    <w:p>
      <w:pPr>
        <w:spacing w:after="0" w:line="12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0780"/>
          </w:cols>
          <w:pgMar w:left="320" w:top="441" w:right="79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In addition, we are subject to international laws, regulations and standards in many jurisdictions, which apply broadly to the collection, use, retention, security, disclosure, transfer and other processing of personal information. For example, the General Data Protection Regulation (“GDPR”), which was adopted by the European Union (“EU”) and became effective in May 2018, applies extraterritorially and imposes several stringent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of information, increased requirements pertaining to special categories of personal data and pseudonymized (i.e., key-coded) data and additional obligations when we contract third-party processors in connection with the processing of the personal data.</w:t>
      </w:r>
    </w:p>
    <w:p>
      <w:pPr>
        <w:spacing w:after="0" w:line="90"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The GDPR provides that EU member states may make their own laws and regulations limiting the (i) processing of personal data, including special categories of data (e.g., racial or ethnic origin, political opinions, religious or philosophical beliefs) and (ii) profiling and automated individual decision-making of individuals, which could limit our ability to use and share personal data or other data and could cause our costs to increase, harming our business and financial condition. Non-compliance with GDPR is subject to significant penalties, including fines of up to €20 million or 4% of total worldwide revenue, whichever is greater. The interpretations of the GDPR by local data protection authorities in EU member states, along with the complexity of the new data protection regime itself, will leave the interpretation and enforcement of the law unclear in the near term, with potential inconsistencies across the EU member states. The implementation and enforcement of the GDPR may subject us to enforcement risk and requirements to change certain of our data collection, processing and other policies and practices. We could incur significant costs investigating and defending such claims and, if we are found liable, significant damages. If any of these events were to occur, our business and financial results could be adversely affected. Other jurisdictions outside the EU are similarly introducing or enhancing laws and regulations relating to privacy and data security, which enhances risks relating to compliance with such laws. Further, the United Kingdom’s decision to leave the European Union has created uncertainty with regard to data protection regulation in the United Kingdom. As of January 1, 2021, we are also subject to the UK General Data Protection Regulation and UK Data Protection Act of 2018, which retains the GDPR in the United Kingdom’s national law. These recent developments will require us to review and amend the legal mechanisms by which we make and/or receive personal data transfers.</w:t>
      </w:r>
    </w:p>
    <w:p>
      <w:pPr>
        <w:spacing w:after="0" w:line="92" w:lineRule="exact"/>
        <w:rPr>
          <w:sz w:val="20"/>
          <w:szCs w:val="20"/>
          <w:color w:val="auto"/>
        </w:rPr>
      </w:pPr>
    </w:p>
    <w:p>
      <w:pPr>
        <w:ind w:left="460" w:right="80"/>
        <w:spacing w:after="0" w:line="251" w:lineRule="auto"/>
        <w:rPr>
          <w:sz w:val="20"/>
          <w:szCs w:val="20"/>
          <w:color w:val="auto"/>
        </w:rPr>
      </w:pPr>
      <w:r>
        <w:rPr>
          <w:rFonts w:ascii="Arial" w:cs="Arial" w:eastAsia="Arial" w:hAnsi="Arial"/>
          <w:sz w:val="16"/>
          <w:szCs w:val="16"/>
          <w:color w:val="auto"/>
        </w:rPr>
        <w:t>Additionally, we are subject to laws and regulations regarding cross-border transfers of personal data, including laws relating to transfer of personal data outside of the European Economic Area (“EEA”). We rely on transfer mechanisms permitted under these laws, including EU Standard Contract Clauses. Such mechanisms have received heightened regulatory and judicial scrutiny in recent years. If we cannot rely on existing mechanisms for transferring personal data from the EEA, the United Kingdom or other jurisdictions, we could be prevented from transferring personal data of users or employees in those regions. This could adversely affect the manner in which we provide our services and thus materially affect our operations and financial results.</w:t>
      </w:r>
    </w:p>
    <w:p>
      <w:pPr>
        <w:spacing w:after="0" w:line="88" w:lineRule="exact"/>
        <w:rPr>
          <w:sz w:val="20"/>
          <w:szCs w:val="20"/>
          <w:color w:val="auto"/>
        </w:rPr>
      </w:pPr>
    </w:p>
    <w:p>
      <w:pPr>
        <w:ind w:left="460" w:right="40"/>
        <w:spacing w:after="0" w:line="250" w:lineRule="auto"/>
        <w:rPr>
          <w:sz w:val="20"/>
          <w:szCs w:val="20"/>
          <w:color w:val="auto"/>
        </w:rPr>
      </w:pPr>
      <w:r>
        <w:rPr>
          <w:rFonts w:ascii="Arial" w:cs="Arial" w:eastAsia="Arial" w:hAnsi="Arial"/>
          <w:sz w:val="16"/>
          <w:szCs w:val="16"/>
          <w:color w:val="auto"/>
        </w:rPr>
        <w:t>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If our practices are not consistent, or are viewed as not consistent, with changes in laws, regulations and standards or new interpretations or applications of existing laws, regulations and standards, we may also become subject to fines, audits, inquiries, whistleblower complaints, adverse media coverage, investigations, lawsuits, loss of export privileges, severe criminal or civil sanction or other penalties. Although we endeavor to comply with our public statements and documentation, we may at times fail to do so or be alleged to have failed to do so. The publication of our privacy policies and other statements that provide</w:t>
      </w:r>
    </w:p>
    <w:p>
      <w:pPr>
        <w:spacing w:after="0" w:line="129"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0800"/>
          </w:cols>
          <w:pgMar w:left="320" w:top="441" w:right="77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60"/>
        <w:spacing w:after="0" w:line="253" w:lineRule="auto"/>
        <w:rPr>
          <w:sz w:val="20"/>
          <w:szCs w:val="20"/>
          <w:color w:val="auto"/>
        </w:rPr>
      </w:pPr>
      <w:r>
        <w:rPr>
          <w:rFonts w:ascii="Arial" w:cs="Arial" w:eastAsia="Arial" w:hAnsi="Arial"/>
          <w:sz w:val="16"/>
          <w:szCs w:val="16"/>
          <w:color w:val="auto"/>
        </w:rPr>
        <w:t>promises and assurances about data privacy and security can subject us to potential government or legal action if they are found to be deceptive, unfair or misrepresentative of our actual practices. Any concerns about our data privacy and security practices, even if unfounded, could damage the reputation of our businesses and discourage potential users from our products and services. Any of the foregoing could have an adverse effect on our business, financial condition, results of operations and prospects.</w:t>
      </w:r>
    </w:p>
    <w:p>
      <w:pPr>
        <w:spacing w:after="0" w:line="66" w:lineRule="exact"/>
        <w:rPr>
          <w:sz w:val="20"/>
          <w:szCs w:val="20"/>
          <w:color w:val="auto"/>
        </w:rPr>
      </w:pPr>
    </w:p>
    <w:p>
      <w:pPr>
        <w:ind w:left="460"/>
        <w:spacing w:after="0" w:line="262" w:lineRule="auto"/>
        <w:rPr>
          <w:sz w:val="20"/>
          <w:szCs w:val="20"/>
          <w:color w:val="auto"/>
        </w:rPr>
      </w:pPr>
      <w:r>
        <w:rPr>
          <w:rFonts w:ascii="Arial" w:cs="Arial" w:eastAsia="Arial" w:hAnsi="Arial"/>
          <w:sz w:val="16"/>
          <w:szCs w:val="16"/>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9" w:lineRule="exact"/>
        <w:rPr>
          <w:sz w:val="20"/>
          <w:szCs w:val="20"/>
          <w:color w:val="auto"/>
        </w:rPr>
      </w:pPr>
    </w:p>
    <w:p>
      <w:pPr>
        <w:ind w:left="460" w:right="160"/>
        <w:spacing w:after="0" w:line="256"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spacing w:after="0" w:line="83" w:lineRule="exact"/>
        <w:rPr>
          <w:sz w:val="20"/>
          <w:szCs w:val="20"/>
          <w:color w:val="auto"/>
        </w:rPr>
      </w:pPr>
    </w:p>
    <w:p>
      <w:pPr>
        <w:ind w:left="460" w:right="140"/>
        <w:spacing w:after="0" w:line="250" w:lineRule="auto"/>
        <w:rPr>
          <w:sz w:val="20"/>
          <w:szCs w:val="20"/>
          <w:color w:val="auto"/>
        </w:rPr>
      </w:pPr>
      <w:r>
        <w:rPr>
          <w:rFonts w:ascii="Arial" w:cs="Arial" w:eastAsia="Arial" w:hAnsi="Arial"/>
          <w:sz w:val="16"/>
          <w:szCs w:val="16"/>
          <w:color w:val="auto"/>
        </w:rPr>
        <w:t>Disruptions at the FDA and other agencies may also slow the time necessary for new medical devices to be reviewed and/or approved by necessary government agencies, which would adversely affect our business. For example, in recent years, including in 2018 and 2019, the U.S. government shut down several times and certain regulatory agencies such as the FDA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71" w:lineRule="exact"/>
        <w:rPr>
          <w:sz w:val="20"/>
          <w:szCs w:val="20"/>
          <w:color w:val="auto"/>
        </w:rPr>
      </w:pPr>
    </w:p>
    <w:p>
      <w:pPr>
        <w:ind w:left="460" w:right="140"/>
        <w:spacing w:after="0" w:line="269" w:lineRule="auto"/>
        <w:rPr>
          <w:sz w:val="20"/>
          <w:szCs w:val="20"/>
          <w:color w:val="auto"/>
        </w:rPr>
      </w:pPr>
      <w:r>
        <w:rPr>
          <w:rFonts w:ascii="Arial" w:cs="Arial" w:eastAsia="Arial" w:hAnsi="Arial"/>
          <w:sz w:val="16"/>
          <w:szCs w:val="16"/>
          <w:b w:val="1"/>
          <w:bCs w:val="1"/>
          <w:i w:val="1"/>
          <w:iCs w:val="1"/>
          <w:color w:val="auto"/>
        </w:rPr>
        <w:t>Our global operations can expose us to numerous and sometimes conflicting legal and regulatory requirements, including to anti-bribery and anti-corruption laws, such as the FCPA and the U.K. Bribery Act, and violation of these requirements could result in substantial penalties and prosecution and harm our business.</w:t>
      </w:r>
    </w:p>
    <w:p>
      <w:pPr>
        <w:spacing w:after="0" w:line="73" w:lineRule="exact"/>
        <w:rPr>
          <w:sz w:val="20"/>
          <w:szCs w:val="20"/>
          <w:color w:val="auto"/>
        </w:rPr>
      </w:pPr>
    </w:p>
    <w:p>
      <w:pPr>
        <w:ind w:left="460" w:right="40"/>
        <w:spacing w:after="0" w:line="249" w:lineRule="auto"/>
        <w:rPr>
          <w:sz w:val="20"/>
          <w:szCs w:val="20"/>
          <w:color w:val="auto"/>
        </w:rPr>
      </w:pPr>
      <w:r>
        <w:rPr>
          <w:rFonts w:ascii="Arial" w:cs="Arial" w:eastAsia="Arial" w:hAnsi="Arial"/>
          <w:sz w:val="16"/>
          <w:szCs w:val="16"/>
          <w:color w:val="auto"/>
        </w:rPr>
        <w:t>We have commercialized the RxSight system outside of the United States, each component of which has received a CE mark and is registered with the MHRA in the United Kingdom. We are subject to numerous, and sometimes conflicting, legal regimes in the countries in which we operate, including on matters as diverse as health and safety standards, marketing and promotional activities, anticorruption, import/export controls, content requirements, trade restrictions, tariffs, taxation, sanctions, immigration, internal and disclosure control obligations, securities regulation, anti-competition, data privacy and labor relations. This includes in emerging markets where legal systems may be less familiar to us. We strive to abide by and maintain compliance with these laws and regulations. Compliance with diverse legal requirements is costly, time-consuming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and/or criminal prosecution, unfavorable publicity and other reputational damage, restrictions on our ability to process information and allegations by our customers or distributors that we have not performed our contractual obligations. Due to the varying degrees of development of the legal systems of the countries in which we operate, local laws might be insufficient to protect our rights.</w:t>
      </w:r>
    </w:p>
    <w:p>
      <w:pPr>
        <w:spacing w:after="0" w:line="283" w:lineRule="exact"/>
        <w:rPr>
          <w:sz w:val="20"/>
          <w:szCs w:val="20"/>
          <w:color w:val="auto"/>
        </w:rPr>
      </w:pPr>
    </w:p>
    <w:p>
      <w:pPr>
        <w:ind w:left="460" w:right="200"/>
        <w:spacing w:after="0" w:line="265" w:lineRule="auto"/>
        <w:rPr>
          <w:sz w:val="20"/>
          <w:szCs w:val="20"/>
          <w:color w:val="auto"/>
        </w:rPr>
      </w:pPr>
      <w:r>
        <w:rPr>
          <w:rFonts w:ascii="Arial" w:cs="Arial" w:eastAsia="Arial" w:hAnsi="Arial"/>
          <w:sz w:val="16"/>
          <w:szCs w:val="16"/>
          <w:color w:val="auto"/>
        </w:rPr>
        <w:t>Our operations outside of the United States are subject to various heavily enforced anti-bribery and anti-corruption laws, such as the FCPA, U.K. Bribery Act and similar laws around the world. These laws generally</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0780"/>
          </w:cols>
          <w:pgMar w:left="320" w:top="441" w:right="79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Responding to any enforcement action or related investigation may result in a materially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 suspension or debarment from U.S. government contracts, which could have a material and adverse effect on our business, financial condition and results of operations.</w:t>
      </w:r>
    </w:p>
    <w:p>
      <w:pPr>
        <w:spacing w:after="0" w:line="90" w:lineRule="exact"/>
        <w:rPr>
          <w:sz w:val="20"/>
          <w:szCs w:val="20"/>
          <w:color w:val="auto"/>
        </w:rPr>
      </w:pPr>
    </w:p>
    <w:p>
      <w:pPr>
        <w:ind w:left="460" w:right="100"/>
        <w:spacing w:after="0" w:line="252" w:lineRule="auto"/>
        <w:rPr>
          <w:sz w:val="20"/>
          <w:szCs w:val="20"/>
          <w:color w:val="auto"/>
        </w:rPr>
      </w:pPr>
      <w:r>
        <w:rPr>
          <w:rFonts w:ascii="Arial" w:cs="Arial" w:eastAsia="Arial" w:hAnsi="Arial"/>
          <w:sz w:val="16"/>
          <w:szCs w:val="16"/>
          <w:color w:val="auto"/>
        </w:rPr>
        <w:t>Our international operations could be affected by changes in laws, trade regulations, labor and employment regulations, and procedures and actions affecting approval, products and solutions, pricing, reimbursement and marketing of our products and solutions, as well as by inter-governmental disputes. Any of these changes could adversely affect our business. The imposition of new laws or regulations, including potential trade barriers, may increase our operating costs, impose restrictions on our operations or require us to spend additional funds to gain compliance with the new rules, if possible, which could have an adverse impact on our financial condition and results of operations.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Risks related to reliance on third parties</w:t>
      </w:r>
    </w:p>
    <w:p>
      <w:pPr>
        <w:spacing w:after="0" w:line="113" w:lineRule="exact"/>
        <w:rPr>
          <w:sz w:val="20"/>
          <w:szCs w:val="20"/>
          <w:color w:val="auto"/>
        </w:rPr>
      </w:pPr>
    </w:p>
    <w:p>
      <w:pPr>
        <w:jc w:val="both"/>
        <w:ind w:left="460" w:right="180"/>
        <w:spacing w:after="0" w:line="269" w:lineRule="auto"/>
        <w:rPr>
          <w:sz w:val="20"/>
          <w:szCs w:val="20"/>
          <w:color w:val="auto"/>
        </w:rPr>
      </w:pPr>
      <w:r>
        <w:rPr>
          <w:rFonts w:ascii="Arial" w:cs="Arial" w:eastAsia="Arial" w:hAnsi="Arial"/>
          <w:sz w:val="16"/>
          <w:szCs w:val="16"/>
          <w:b w:val="1"/>
          <w:bCs w:val="1"/>
          <w:i w:val="1"/>
          <w:iCs w:val="1"/>
          <w:color w:val="auto"/>
        </w:rPr>
        <w:t>From time to time, we engage outside parties to perform services related to certain of our clinical studies and trials. If these third parties do not successfully carry out their contractual duties or meet expected deadlines, we may not be able to obtain regulatory approval for or commercialize our products.</w:t>
      </w:r>
    </w:p>
    <w:p>
      <w:pPr>
        <w:spacing w:after="0" w:line="73" w:lineRule="exact"/>
        <w:rPr>
          <w:sz w:val="20"/>
          <w:szCs w:val="20"/>
          <w:color w:val="auto"/>
        </w:rPr>
      </w:pPr>
    </w:p>
    <w:p>
      <w:pPr>
        <w:ind w:left="460" w:right="200"/>
        <w:spacing w:after="0" w:line="249" w:lineRule="auto"/>
        <w:rPr>
          <w:sz w:val="20"/>
          <w:szCs w:val="20"/>
          <w:color w:val="auto"/>
        </w:rPr>
      </w:pPr>
      <w:r>
        <w:rPr>
          <w:rFonts w:ascii="Arial" w:cs="Arial" w:eastAsia="Arial" w:hAnsi="Arial"/>
          <w:sz w:val="16"/>
          <w:szCs w:val="16"/>
          <w:color w:val="auto"/>
        </w:rPr>
        <w:t>From time to time, we engage consultants to help design, monitor and analyze the results of certain of our clinical studies and trials. The consultants we engage interact with clinical investigators to enroll patients in our clinical trials. We depend on these consultants and clinical investigators to conduct clinical studies and trials and monitor and analyze data from these studies and trials under the investigational plan and protocol for the study or trial and in compliance with applicable regulations and standards, such as GCP guidelines, the Common Rule, and FDA human subject protection regulations. We may face delays in our regulatory approval process if these parties do not perform their obligations in a timely, compliant or competent manner. If these third parties do not successfully carry out their duties or meet expected deadlines, or if the quality, completeness or accuracy of the data they obtain is compromised due to the failure to adhere to our clinical trial protocols or for other reasons, our clinical studies or trials may be extended, delayed or terminated or may otherwise prove to be unsuccessful, and we may have to conduct additional studies, which would significantly increase our costs, in order to obtain the regulatory clearances or approvals that we need to commercialize our products.</w:t>
      </w:r>
    </w:p>
    <w:p>
      <w:pPr>
        <w:spacing w:after="0" w:line="74" w:lineRule="exact"/>
        <w:rPr>
          <w:sz w:val="20"/>
          <w:szCs w:val="20"/>
          <w:color w:val="auto"/>
        </w:rPr>
      </w:pPr>
    </w:p>
    <w:p>
      <w:pPr>
        <w:ind w:left="460" w:right="380"/>
        <w:spacing w:after="0" w:line="291" w:lineRule="auto"/>
        <w:rPr>
          <w:sz w:val="20"/>
          <w:szCs w:val="20"/>
          <w:color w:val="auto"/>
        </w:rPr>
      </w:pPr>
      <w:r>
        <w:rPr>
          <w:rFonts w:ascii="Arial" w:cs="Arial" w:eastAsia="Arial" w:hAnsi="Arial"/>
          <w:sz w:val="16"/>
          <w:szCs w:val="16"/>
          <w:b w:val="1"/>
          <w:bCs w:val="1"/>
          <w:i w:val="1"/>
          <w:iCs w:val="1"/>
          <w:color w:val="auto"/>
        </w:rPr>
        <w:t>We and our component suppliers may not meet regulatory quality standards applicable to our manufacturing processes, which could have an adverse effect on our business, financial condition and results of operations.</w:t>
      </w:r>
    </w:p>
    <w:p>
      <w:pPr>
        <w:spacing w:after="0" w:line="56" w:lineRule="exact"/>
        <w:rPr>
          <w:sz w:val="20"/>
          <w:szCs w:val="20"/>
          <w:color w:val="auto"/>
        </w:rPr>
      </w:pPr>
    </w:p>
    <w:p>
      <w:pPr>
        <w:ind w:left="460" w:right="140"/>
        <w:spacing w:after="0" w:line="251" w:lineRule="auto"/>
        <w:rPr>
          <w:sz w:val="20"/>
          <w:szCs w:val="20"/>
          <w:color w:val="auto"/>
        </w:rPr>
      </w:pPr>
      <w:r>
        <w:rPr>
          <w:rFonts w:ascii="Arial" w:cs="Arial" w:eastAsia="Arial" w:hAnsi="Arial"/>
          <w:sz w:val="16"/>
          <w:szCs w:val="16"/>
          <w:color w:val="auto"/>
        </w:rPr>
        <w:t>As a medical device manufacturer, we must register with the FDA and non-U.S. regulatory agencies in jurisdictions where we commercialize our products, and we are subject to periodic inspection by the FDA and foreign regulatory agencies, for compliance with certain good manufacturing practices, including design controls, product validation and verification, in process testing, quality control and documentation procedures. Compliance with applicable regulatory requirements is subject to continual review and is rigorously monitored through periodic inspections by the FDA and foreign regulatory agencies. Our manufacturer, component, and sub-component suppliers are also required to meet certain standards applicable to their manufacturing processes.</w:t>
      </w:r>
    </w:p>
    <w:p>
      <w:pPr>
        <w:spacing w:after="0" w:line="126"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0780"/>
          </w:cols>
          <w:pgMar w:left="320" w:top="441" w:right="79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40"/>
        <w:spacing w:after="0" w:line="250" w:lineRule="auto"/>
        <w:rPr>
          <w:sz w:val="20"/>
          <w:szCs w:val="20"/>
          <w:color w:val="auto"/>
        </w:rPr>
      </w:pPr>
      <w:r>
        <w:rPr>
          <w:rFonts w:ascii="Arial" w:cs="Arial" w:eastAsia="Arial" w:hAnsi="Arial"/>
          <w:sz w:val="16"/>
          <w:szCs w:val="16"/>
          <w:color w:val="auto"/>
        </w:rPr>
        <w:t>We cannot assure you that we or our component suppliers comply or can continue to comply with all regulatory requirements. The failure by us or one of our component suppliers to achieve or maintain compliance with these requirements or quality standards may disrupt our ability to supply products sufficient to meet demand until compliance is achieved or, with a component supplier, until a new supplier has been identified and evaluated. Our or any of our component supplier’s failure to comply with applicable regulations could cause sanctions to be imposed on us, including warning letters, fines, injunctions, civil penalties, failure of regulatory authorities to grant marketing approval of our products, delays, suspension or withdrawal of approvals or clearances, license revocation, seizures or recalls of products, operating restrictions and criminal prosecutions, which could harm our business. We cannot assure you that if we need to engage new suppliers to satisfy our business requirements, we can locate new suppliers in compliance with regulatory requirements at a reasonable cost and in an acceptable timeframe. Our failure to do so could have a material adverse effect on our business, financial condition and results of operations.</w:t>
      </w:r>
    </w:p>
    <w:p>
      <w:pPr>
        <w:spacing w:after="0" w:line="88" w:lineRule="exact"/>
        <w:rPr>
          <w:sz w:val="20"/>
          <w:szCs w:val="20"/>
          <w:color w:val="auto"/>
        </w:rPr>
      </w:pPr>
    </w:p>
    <w:p>
      <w:pPr>
        <w:ind w:left="460" w:right="120"/>
        <w:spacing w:after="0" w:line="252" w:lineRule="auto"/>
        <w:rPr>
          <w:sz w:val="20"/>
          <w:szCs w:val="20"/>
          <w:color w:val="auto"/>
        </w:rPr>
      </w:pPr>
      <w:r>
        <w:rPr>
          <w:rFonts w:ascii="Arial" w:cs="Arial" w:eastAsia="Arial" w:hAnsi="Arial"/>
          <w:sz w:val="16"/>
          <w:szCs w:val="16"/>
          <w:color w:val="auto"/>
        </w:rPr>
        <w:t>For products that we currently distribute or market in the EU and the United Kingdom, as well as future products for which we obtain the applicable marketing authorization, we must maintain certain International Organization for Standardization (“ISO”) certifications to sell our products and must undergo periodic inspections by notified bodies, such as BSI, to obtain and maintain these certifications. If we fail these inspections or fail to meet these regulatory standards, it could have a material adverse effect on our business, financial condition and results of operations.</w:t>
      </w:r>
    </w:p>
    <w:p>
      <w:pPr>
        <w:spacing w:after="0" w:line="66"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b w:val="1"/>
          <w:bCs w:val="1"/>
          <w:i w:val="1"/>
          <w:iCs w:val="1"/>
          <w:color w:val="auto"/>
        </w:rPr>
        <w:t>We depend upon third parties, including single and sole source suppliers, to manufacture certain components and subcomponents of the RxSight system making us vulnerable to supply disruptions and price fluctuations.</w:t>
      </w:r>
    </w:p>
    <w:p>
      <w:pPr>
        <w:spacing w:after="0" w:line="56"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We rely on third parties, including single and sole source suppliers, to manufacture certain components and subcomponents of our products. We do not have long-term supply agreements with, or guaranteed commitments from our suppliers, including single and sole source suppliers. We utilize blanket orders covering the medium term of 18 – 24 months for the majority of our supplier base. We depend on our suppliers to provide us and our customers with materials in a timely manner that meet our and their quality, quantity and cost requirements. These suppliers may encounter problems during manufacturing for a variety of reasons, any of which could delay or impede their ability to meet our demand. The expansion of global lead times, particularly in Europe and Asia, related to the COVID-19 pandemic, has resulted in the lack of availability of raw materials, including semiconductors, computers, monitors electronic parts, metals, packaging, adhesives, resins and subcontract painted components. Certain suppliers have passed on higher prices, surcharges and expedited shipping fees to defray the higher commodity prices they are paying due to short supply. While we have taken measures to mitigate business continuity risk, including increasing standard lead times, payment of expedite fees, issuance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products and could have a material adverse effect on our business, financial condition and results of operations.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failure of third parties to meet their contractual, regulatory, and other obligations could adversely affect our business.</w:t>
      </w:r>
    </w:p>
    <w:p>
      <w:pPr>
        <w:spacing w:after="0" w:line="128" w:lineRule="exact"/>
        <w:rPr>
          <w:sz w:val="20"/>
          <w:szCs w:val="20"/>
          <w:color w:val="auto"/>
        </w:rPr>
      </w:pPr>
    </w:p>
    <w:p>
      <w:pPr>
        <w:ind w:left="460"/>
        <w:spacing w:after="0" w:line="248" w:lineRule="auto"/>
        <w:rPr>
          <w:sz w:val="20"/>
          <w:szCs w:val="20"/>
          <w:color w:val="auto"/>
        </w:rPr>
      </w:pPr>
      <w:r>
        <w:rPr>
          <w:rFonts w:ascii="Arial" w:cs="Arial" w:eastAsia="Arial" w:hAnsi="Arial"/>
          <w:sz w:val="16"/>
          <w:szCs w:val="16"/>
          <w:color w:val="auto"/>
        </w:rPr>
        <w:t>We rely on suppliers, vendors, outsourcing partners, consultants, and other third parties to research, develop, manufacture and commercialize our products.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w:t>
      </w:r>
    </w:p>
    <w:p>
      <w:pPr>
        <w:ind w:left="5540" w:right="3820" w:hanging="5089"/>
        <w:spacing w:after="0" w:line="447" w:lineRule="auto"/>
        <w:tabs>
          <w:tab w:leader="none" w:pos="734" w:val="left"/>
        </w:tabs>
        <w:numPr>
          <w:ilvl w:val="0"/>
          <w:numId w:val="51"/>
        </w:numPr>
        <w:rPr>
          <w:rFonts w:ascii="Arial" w:cs="Arial" w:eastAsia="Arial" w:hAnsi="Arial"/>
          <w:sz w:val="16"/>
          <w:szCs w:val="16"/>
          <w:color w:val="auto"/>
        </w:rPr>
      </w:pPr>
      <w:r>
        <w:rPr>
          <w:rFonts w:ascii="Arial" w:cs="Arial" w:eastAsia="Arial" w:hAnsi="Arial"/>
          <w:sz w:val="16"/>
          <w:szCs w:val="16"/>
          <w:color w:val="auto"/>
        </w:rPr>
        <w:t>disagreements could cause delays in, or termination of, the research, development or 73</w:t>
      </w:r>
    </w:p>
    <w:p>
      <w:pPr>
        <w:sectPr>
          <w:pgSz w:w="11900" w:h="16838" w:orient="portrait"/>
          <w:cols w:equalWidth="0" w:num="1">
            <w:col w:w="10760"/>
          </w:cols>
          <w:pgMar w:left="320" w:top="440" w:right="81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20"/>
        <w:spacing w:after="0" w:line="253" w:lineRule="auto"/>
        <w:rPr>
          <w:sz w:val="20"/>
          <w:szCs w:val="20"/>
          <w:color w:val="auto"/>
        </w:rPr>
      </w:pPr>
      <w:r>
        <w:rPr>
          <w:rFonts w:ascii="Arial" w:cs="Arial" w:eastAsia="Arial" w:hAnsi="Arial"/>
          <w:sz w:val="16"/>
          <w:szCs w:val="16"/>
          <w:color w:val="auto"/>
        </w:rPr>
        <w:t>commercialization of our products or result in litigation or arbitration. 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have a material adverse effect on our business, financial condition and results of operations.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Risks related to our common stock and to this offering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price of our stock may be volatile, and you could lose all or part of your investment.</w:t>
      </w:r>
    </w:p>
    <w:p>
      <w:pPr>
        <w:spacing w:after="0" w:line="128"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color w:val="auto"/>
        </w:rPr>
        <w:t>The trading price of our common stock following this offering is likely to be highly volatile and subject to wide fluctuations in response to various factors, some of which we cannot control. The stock market in general has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this “Risk Factors” section and elsewhere in this prospectus, these factors include:</w:t>
      </w:r>
    </w:p>
    <w:p>
      <w:pPr>
        <w:spacing w:after="0" w:line="99" w:lineRule="exact"/>
        <w:rPr>
          <w:sz w:val="20"/>
          <w:szCs w:val="20"/>
          <w:color w:val="auto"/>
        </w:rPr>
      </w:pPr>
    </w:p>
    <w:p>
      <w:pPr>
        <w:ind w:left="660" w:hanging="209"/>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timing and results of preclinical studies and clinical trials of our current and future products or those of our competitors;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success of competitive products or announcements by potential competitors of their product development efforts;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regulatory actions with respect to our products or our competitors’ products;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actual or anticipated changes in our growth rate relative to our competitors;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regulatory or legal developments in the United States and other countries;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developments or disputes concerning patent applications, issued patents or other intellectual property or proprietary rights;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recruitment or departure of key personnel;</w:t>
      </w:r>
    </w:p>
    <w:p>
      <w:pPr>
        <w:spacing w:after="0" w:line="120" w:lineRule="exact"/>
        <w:rPr>
          <w:rFonts w:ascii="Arial" w:cs="Arial" w:eastAsia="Arial" w:hAnsi="Arial"/>
          <w:sz w:val="16"/>
          <w:szCs w:val="16"/>
          <w:color w:val="auto"/>
        </w:rPr>
      </w:pPr>
    </w:p>
    <w:p>
      <w:pPr>
        <w:ind w:left="660" w:right="580" w:hanging="209"/>
        <w:spacing w:after="0" w:line="265"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collaborations, joint ventures, collaborations or capital commitments;</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fluctuations in the valuation of companies perceived by investors to be comparable to us;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market conditions in the medical device sector;</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changes in the structure of healthcare payment systems;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share price and volume fluctuations attributable to inconsistent trading volume levels of our shares;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announcement or expectation of additional financing efforts;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sales of our common stock by us, our insiders or our other stockholders;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expiration of market stand-off or lock-up agreements;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general economic, industry and market conditions; and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impact of the COVID-19 pandemic.</w:t>
      </w:r>
    </w:p>
    <w:p>
      <w:pPr>
        <w:spacing w:after="0" w:line="146"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0760"/>
          </w:cols>
          <w:pgMar w:left="320" w:top="441" w:right="81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140"/>
        <w:spacing w:after="0" w:line="265" w:lineRule="auto"/>
        <w:rPr>
          <w:sz w:val="20"/>
          <w:szCs w:val="20"/>
          <w:color w:val="auto"/>
        </w:rPr>
      </w:pPr>
      <w:r>
        <w:rPr>
          <w:rFonts w:ascii="Arial" w:cs="Arial" w:eastAsia="Arial" w:hAnsi="Arial"/>
          <w:sz w:val="16"/>
          <w:szCs w:val="16"/>
          <w:color w:val="auto"/>
        </w:rPr>
        <w:t>The realization of any of the above risks or any of a broad range of other risks, including those described in this “Risk Factors” section, could have a dramatic and adverse impact on the market price of our common stock.</w:t>
      </w:r>
    </w:p>
    <w:p>
      <w:pPr>
        <w:spacing w:after="0" w:line="75" w:lineRule="exact"/>
        <w:rPr>
          <w:sz w:val="20"/>
          <w:szCs w:val="20"/>
          <w:color w:val="auto"/>
        </w:rPr>
      </w:pPr>
    </w:p>
    <w:p>
      <w:pPr>
        <w:ind w:left="460" w:right="100"/>
        <w:spacing w:after="0" w:line="256" w:lineRule="auto"/>
        <w:rPr>
          <w:sz w:val="20"/>
          <w:szCs w:val="20"/>
          <w:color w:val="auto"/>
        </w:rPr>
      </w:pPr>
      <w:r>
        <w:rPr>
          <w:rFonts w:ascii="Arial" w:cs="Arial" w:eastAsia="Arial" w:hAnsi="Arial"/>
          <w:sz w:val="16"/>
          <w:szCs w:val="16"/>
          <w:color w:val="auto"/>
        </w:rPr>
        <w:t>In addition,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If you purchase shares of common stock in this offering, you will suffer immediate dilution of your investment.</w:t>
      </w:r>
    </w:p>
    <w:p>
      <w:pPr>
        <w:spacing w:after="0" w:line="128" w:lineRule="exact"/>
        <w:rPr>
          <w:sz w:val="20"/>
          <w:szCs w:val="20"/>
          <w:color w:val="auto"/>
        </w:rPr>
      </w:pPr>
    </w:p>
    <w:p>
      <w:pPr>
        <w:ind w:left="460" w:right="80"/>
        <w:spacing w:after="0" w:line="250" w:lineRule="auto"/>
        <w:rPr>
          <w:sz w:val="20"/>
          <w:szCs w:val="20"/>
          <w:color w:val="auto"/>
        </w:rPr>
      </w:pPr>
      <w:r>
        <w:rPr>
          <w:rFonts w:ascii="Arial" w:cs="Arial" w:eastAsia="Arial" w:hAnsi="Arial"/>
          <w:sz w:val="16"/>
          <w:szCs w:val="16"/>
          <w:color w:val="auto"/>
        </w:rPr>
        <w:t>The initial public offering price of our common stock is substantially higher than the net tangible book value per share of our common stock. Therefore, if you purchase shares of our common stock in this offering, you will pay a price per share that substantially exceeds our net tangible book value per share after this offering. To the extent shares subsequently are issued under outstanding options or warrants, you will incur further dilution. Based on the initial public offering price of $16.00 per share, you will experience immediate dilution of $9.91 per share, representing the difference between our pro forma as adjusted net tangible book value per share, which gives effect to this offering, and the initial public offering price. In addition, purchasers of common stock in this offering will have contributed approximately 56% of the aggregate price paid by all purchasers of our stock but will own only approximately 28% of our common stock outstanding after this offering.</w:t>
      </w:r>
    </w:p>
    <w:p>
      <w:pPr>
        <w:spacing w:after="0" w:line="71" w:lineRule="exact"/>
        <w:rPr>
          <w:sz w:val="20"/>
          <w:szCs w:val="20"/>
          <w:color w:val="auto"/>
        </w:rPr>
      </w:pPr>
    </w:p>
    <w:p>
      <w:pPr>
        <w:ind w:left="460" w:right="280"/>
        <w:spacing w:after="0" w:line="291"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56" w:lineRule="exact"/>
        <w:rPr>
          <w:sz w:val="20"/>
          <w:szCs w:val="20"/>
          <w:color w:val="auto"/>
        </w:rPr>
      </w:pPr>
    </w:p>
    <w:p>
      <w:pPr>
        <w:ind w:left="460" w:right="100"/>
        <w:spacing w:after="0" w:line="250" w:lineRule="auto"/>
        <w:rPr>
          <w:sz w:val="20"/>
          <w:szCs w:val="20"/>
          <w:color w:val="auto"/>
        </w:rPr>
      </w:pPr>
      <w:r>
        <w:rPr>
          <w:rFonts w:ascii="Arial" w:cs="Arial" w:eastAsia="Arial" w:hAnsi="Arial"/>
          <w:sz w:val="16"/>
          <w:szCs w:val="16"/>
          <w:color w:val="auto"/>
        </w:rPr>
        <w:t>The trading market for our common stock will be influenced by the research and reports that securities or industry analysts publish about us, our business or our market. We do not currently have and may never obtain research coverage by securities or industry analysts. If no or few securities or industry analysts commence coverage of us, the stock price would be negatively impacted. In the event we obtain securities or industry analyst coverage, if any of the analysts who cover us issue adverse or misleading research or reports regarding us, our business model, our intellectual property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71"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56"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Prior to this offering, no market for shares of our common stock exists and an active trading market for our shares may never develop or be sustained following this offering. We will determine the initial public offering price for our common stock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trading market may impair your ability to sell your shares at the time you wish to sell them or at a price that you consider reasonable. The lack of an active trading market may also reduce the fair market value of your shares. Furthermore, an inactive trading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12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0800"/>
          </w:cols>
          <w:pgMar w:left="320" w:top="440" w:right="77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could cause our stock price to fall.</w:t>
      </w:r>
    </w:p>
    <w:p>
      <w:pPr>
        <w:spacing w:after="0" w:line="128" w:lineRule="exact"/>
        <w:rPr>
          <w:sz w:val="20"/>
          <w:szCs w:val="20"/>
          <w:color w:val="auto"/>
        </w:rPr>
      </w:pPr>
    </w:p>
    <w:p>
      <w:pPr>
        <w:ind w:left="460" w:right="60"/>
        <w:spacing w:after="0" w:line="250"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after this offering. These sales, or the perception in the market that the holders of a large number of shares intend to sell shares, could reduce the market price of our common stock. After this offering, we will have 26,520,933 outstanding shares of common stock based on the number of shares outstanding as of March 31, 2021, assuming no exercise of the underwriters’ option to purchase additional shares, no exercise of outstanding options, the cash exercise of 225,945 warrants to purchase Series H shares of convertible preferred stock and the conversion of such shares into 225,945 shares of common stock, which will occur immediately prior to the completion of this offering, and the conversion of all outstanding shares of our convertible preferred stock into 14,850,993 shares of common stock immediately prior to the closing of this offering. This includes the 7,350,000 shares that we sell in this offering, which may be resold in the public market immediately without restriction, unless purchased by our affiliates.</w:t>
      </w:r>
    </w:p>
    <w:p>
      <w:pPr>
        <w:spacing w:after="0" w:line="280"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We and our executive officers, directors and the holders of substantially all shares of our common stock have entered into market stand-off agreements with us and/or lock-up agreements with the underwriters under which they have agreed, subject to specific exceptions described in the section titled “Underwriting,” not to sell, directly or indirectly, any shares of common stock without the permission of J.P. Morgan Securities LLC and BofA Securities, Inc. for a period of 180 days following the date of this prospectus. We refer to such period as the lock-up period. When the lock-up period expires, we and our securityholders subject to a lock-up agreement or market stand-off agreement will be able to sell our shares in the public market. In addition, J.P. Morgan Securities LLC and BofA Securities, Inc. may, in their sole discretion, release all or some portion of the shares subject to lock-up agreements at any time and for any reason. See the description of the market stand-off agreement with us and the lock-up agreement with the underwriters in the section titled “Shares Eligible for Future Sale” for more information. Sales of a substantial number of such shares upon expiration of the lock-up and market stand-off agreements, the perception that such sales may occur, or early release of these agreements, could cause our market price to fall or make it more difficult for you to sell your common stock at a time and price that you deem appropriate.</w:t>
      </w:r>
    </w:p>
    <w:p>
      <w:pPr>
        <w:spacing w:after="0" w:line="94"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color w:val="auto"/>
        </w:rPr>
        <w:t>Moreover, after this offering, holders of an aggregate of 15,076,938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incentive plans. Once we register these shares, they can be freely sold in the public market upon issuance, subject to volume limitations applicable to affiliates and the market stand-off agreements and lock-up agreements described in the “Underwriting” section of this prospectus.</w:t>
      </w:r>
    </w:p>
    <w:p>
      <w:pPr>
        <w:spacing w:after="0" w:line="66" w:lineRule="exact"/>
        <w:rPr>
          <w:sz w:val="20"/>
          <w:szCs w:val="20"/>
          <w:color w:val="auto"/>
        </w:rPr>
      </w:pPr>
    </w:p>
    <w:p>
      <w:pPr>
        <w:ind w:left="460" w:right="160"/>
        <w:spacing w:after="0" w:line="291" w:lineRule="auto"/>
        <w:rPr>
          <w:sz w:val="20"/>
          <w:szCs w:val="20"/>
          <w:color w:val="auto"/>
        </w:rPr>
      </w:pPr>
      <w:r>
        <w:rPr>
          <w:rFonts w:ascii="Arial" w:cs="Arial" w:eastAsia="Arial" w:hAnsi="Arial"/>
          <w:sz w:val="16"/>
          <w:szCs w:val="16"/>
          <w:b w:val="1"/>
          <w:bCs w:val="1"/>
          <w:i w:val="1"/>
          <w:iCs w:val="1"/>
          <w:color w:val="auto"/>
        </w:rPr>
        <w:t>Our principal stockholders and management own a significant percentage of our stock and will be able to exert significant control over matters subject to stockholder approval.</w:t>
      </w:r>
    </w:p>
    <w:p>
      <w:pPr>
        <w:spacing w:after="0" w:line="56" w:lineRule="exact"/>
        <w:rPr>
          <w:sz w:val="20"/>
          <w:szCs w:val="20"/>
          <w:color w:val="auto"/>
        </w:rPr>
      </w:pPr>
    </w:p>
    <w:p>
      <w:pPr>
        <w:ind w:left="460" w:right="100"/>
        <w:spacing w:after="0" w:line="249" w:lineRule="auto"/>
        <w:rPr>
          <w:sz w:val="20"/>
          <w:szCs w:val="20"/>
          <w:color w:val="auto"/>
        </w:rPr>
      </w:pPr>
      <w:r>
        <w:rPr>
          <w:rFonts w:ascii="Arial" w:cs="Arial" w:eastAsia="Arial" w:hAnsi="Arial"/>
          <w:sz w:val="16"/>
          <w:szCs w:val="16"/>
          <w:color w:val="auto"/>
        </w:rPr>
        <w:t>Prior to this offering, our executive officers, directors, holders of 5% or more of our capital stock and their respective affiliates beneficially owned approximately 48% of our voting stock and, upon the closing of this offering, that same group will beneficially own approximately 34% of our outstanding voting stock (based on the number of shares of common stock outstanding as of March 31, 2021 assuming no exercise of the underwriters’ option to purchase additional shares, no exercise of outstanding options and no purchases of shares in this offering by any of this group), in each case assuming the conversion of all outstanding shares of our convertible preferred stock into shares of our common stock immediately prior to the closing of this offering. After this offering, this group of stockholders will have the ability to control us through this ownership position even if they do not purchase any additional shares in this offering.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w:t>
      </w:r>
    </w:p>
    <w:p>
      <w:pPr>
        <w:spacing w:after="0" w:line="132"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0780"/>
          </w:cols>
          <w:pgMar w:left="320" w:top="441" w:right="79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100"/>
        <w:spacing w:after="0" w:line="253" w:lineRule="auto"/>
        <w:rPr>
          <w:sz w:val="20"/>
          <w:szCs w:val="20"/>
          <w:color w:val="auto"/>
        </w:rPr>
      </w:pPr>
      <w:r>
        <w:rPr>
          <w:rFonts w:ascii="Arial" w:cs="Arial" w:eastAsia="Arial" w:hAnsi="Arial"/>
          <w:sz w:val="16"/>
          <w:szCs w:val="16"/>
          <w:color w:val="auto"/>
        </w:rPr>
        <w:t>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86" w:lineRule="exact"/>
        <w:rPr>
          <w:sz w:val="20"/>
          <w:szCs w:val="20"/>
          <w:color w:val="auto"/>
        </w:rPr>
      </w:pPr>
    </w:p>
    <w:p>
      <w:pPr>
        <w:ind w:left="460" w:right="40"/>
        <w:spacing w:after="0" w:line="255" w:lineRule="auto"/>
        <w:rPr>
          <w:sz w:val="20"/>
          <w:szCs w:val="20"/>
          <w:color w:val="auto"/>
        </w:rPr>
      </w:pPr>
      <w:r>
        <w:rPr>
          <w:rFonts w:ascii="Arial" w:cs="Arial" w:eastAsia="Arial" w:hAnsi="Arial"/>
          <w:sz w:val="16"/>
          <w:szCs w:val="16"/>
          <w:color w:val="auto"/>
        </w:rPr>
        <w:t>Certain of our existing stockholders, including entities that are affiliated with certain of our directors and beneficially own more than 5% of our outstanding common stock, may purchase shares of our common stock in this offering at the initial public offering price. The previously discussed ownership percentage upon completion of this offering does not reflect the potential purchase of any shares in this offering by such stockholders.</w:t>
      </w:r>
    </w:p>
    <w:p>
      <w:pPr>
        <w:spacing w:after="0" w:line="256" w:lineRule="exact"/>
        <w:rPr>
          <w:sz w:val="20"/>
          <w:szCs w:val="20"/>
          <w:color w:val="auto"/>
        </w:rPr>
      </w:pPr>
    </w:p>
    <w:p>
      <w:pPr>
        <w:ind w:left="460" w:right="480"/>
        <w:spacing w:after="0" w:line="291"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and we cannot be certain if the reduced reporting requirements applicable to emerging growth companies will make our common stock less attractive to investors.</w:t>
      </w:r>
    </w:p>
    <w:p>
      <w:pPr>
        <w:spacing w:after="0" w:line="56" w:lineRule="exact"/>
        <w:rPr>
          <w:sz w:val="20"/>
          <w:szCs w:val="20"/>
          <w:color w:val="auto"/>
        </w:rPr>
      </w:pPr>
    </w:p>
    <w:p>
      <w:pPr>
        <w:jc w:val="both"/>
        <w:ind w:left="460" w:right="580"/>
        <w:spacing w:after="0" w:line="256" w:lineRule="auto"/>
        <w:rPr>
          <w:sz w:val="20"/>
          <w:szCs w:val="20"/>
          <w:color w:val="auto"/>
        </w:rPr>
      </w:pPr>
      <w:r>
        <w:rPr>
          <w:rFonts w:ascii="Arial" w:cs="Arial" w:eastAsia="Arial" w:hAnsi="Arial"/>
          <w:sz w:val="16"/>
          <w:szCs w:val="16"/>
          <w:color w:val="auto"/>
        </w:rPr>
        <w:t>We are an “emerging growth company,” as defined in the Jumpstart Our Business Startups Act of 2012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96" w:lineRule="exact"/>
        <w:rPr>
          <w:sz w:val="20"/>
          <w:szCs w:val="20"/>
          <w:color w:val="auto"/>
        </w:rPr>
      </w:pPr>
    </w:p>
    <w:p>
      <w:pPr>
        <w:ind w:left="660" w:hanging="209"/>
        <w:spacing w:after="0" w:line="256"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95" w:lineRule="exact"/>
        <w:rPr>
          <w:rFonts w:ascii="Arial" w:cs="Arial" w:eastAsia="Arial" w:hAnsi="Arial"/>
          <w:sz w:val="16"/>
          <w:szCs w:val="16"/>
          <w:color w:val="auto"/>
        </w:rPr>
      </w:pPr>
    </w:p>
    <w:p>
      <w:pPr>
        <w:ind w:left="660" w:hanging="209"/>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of Section 404 of the Sarbanes-Oxley Act;</w:t>
      </w:r>
    </w:p>
    <w:p>
      <w:pPr>
        <w:spacing w:after="0" w:line="120" w:lineRule="exact"/>
        <w:rPr>
          <w:rFonts w:ascii="Arial" w:cs="Arial" w:eastAsia="Arial" w:hAnsi="Arial"/>
          <w:sz w:val="16"/>
          <w:szCs w:val="16"/>
          <w:color w:val="auto"/>
        </w:rPr>
      </w:pPr>
    </w:p>
    <w:p>
      <w:pPr>
        <w:ind w:left="660" w:right="340" w:hanging="209"/>
        <w:spacing w:after="0" w:line="256"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95" w:lineRule="exact"/>
        <w:rPr>
          <w:rFonts w:ascii="Arial" w:cs="Arial" w:eastAsia="Arial" w:hAnsi="Arial"/>
          <w:sz w:val="16"/>
          <w:szCs w:val="16"/>
          <w:color w:val="auto"/>
        </w:rPr>
      </w:pPr>
    </w:p>
    <w:p>
      <w:pPr>
        <w:ind w:left="660" w:hanging="209"/>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this prospectus and our periodic reports and proxy statements; and</w:t>
      </w:r>
    </w:p>
    <w:p>
      <w:pPr>
        <w:spacing w:after="0" w:line="120" w:lineRule="exact"/>
        <w:rPr>
          <w:rFonts w:ascii="Arial" w:cs="Arial" w:eastAsia="Arial" w:hAnsi="Arial"/>
          <w:sz w:val="16"/>
          <w:szCs w:val="16"/>
          <w:color w:val="auto"/>
        </w:rPr>
      </w:pPr>
    </w:p>
    <w:p>
      <w:pPr>
        <w:ind w:left="660" w:right="100" w:hanging="209"/>
        <w:spacing w:after="0" w:line="265"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stockholder votes on executive compensation and stockholder approval of any golden parachute payments not previously approved.</w:t>
      </w:r>
    </w:p>
    <w:p>
      <w:pPr>
        <w:spacing w:after="0" w:line="75" w:lineRule="exact"/>
        <w:rPr>
          <w:sz w:val="20"/>
          <w:szCs w:val="20"/>
          <w:color w:val="auto"/>
        </w:rPr>
      </w:pPr>
    </w:p>
    <w:p>
      <w:pPr>
        <w:ind w:left="460" w:right="40"/>
        <w:spacing w:after="0" w:line="256" w:lineRule="auto"/>
        <w:rPr>
          <w:sz w:val="20"/>
          <w:szCs w:val="20"/>
          <w:color w:val="auto"/>
        </w:rPr>
      </w:pPr>
      <w:r>
        <w:rPr>
          <w:rFonts w:ascii="Arial" w:cs="Arial" w:eastAsia="Arial" w:hAnsi="Arial"/>
          <w:sz w:val="16"/>
          <w:szCs w:val="16"/>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83"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We will remain an emerging growth company until the earliest to occur of: (1) the last day of the fiscal year in which we have more than $1.07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86" w:lineRule="exact"/>
        <w:rPr>
          <w:sz w:val="20"/>
          <w:szCs w:val="20"/>
          <w:color w:val="auto"/>
        </w:rPr>
      </w:pPr>
    </w:p>
    <w:p>
      <w:pPr>
        <w:ind w:left="460" w:right="160"/>
        <w:spacing w:after="0" w:line="251"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26"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0780"/>
          </w:cols>
          <w:pgMar w:left="320" w:top="441" w:right="79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180"/>
        <w:spacing w:after="0" w:line="251" w:lineRule="auto"/>
        <w:rPr>
          <w:sz w:val="20"/>
          <w:szCs w:val="20"/>
          <w:color w:val="auto"/>
        </w:rPr>
      </w:pPr>
      <w:r>
        <w:rPr>
          <w:rFonts w:ascii="Arial" w:cs="Arial" w:eastAsia="Arial" w:hAnsi="Arial"/>
          <w:sz w:val="16"/>
          <w:szCs w:val="16"/>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68" w:lineRule="exact"/>
        <w:rPr>
          <w:sz w:val="20"/>
          <w:szCs w:val="20"/>
          <w:color w:val="auto"/>
        </w:rPr>
      </w:pPr>
    </w:p>
    <w:p>
      <w:pPr>
        <w:ind w:left="460" w:right="280"/>
        <w:spacing w:after="0" w:line="269" w:lineRule="auto"/>
        <w:rPr>
          <w:sz w:val="20"/>
          <w:szCs w:val="20"/>
          <w:color w:val="auto"/>
        </w:rPr>
      </w:pPr>
      <w:r>
        <w:rPr>
          <w:rFonts w:ascii="Arial" w:cs="Arial" w:eastAsia="Arial" w:hAnsi="Arial"/>
          <w:sz w:val="16"/>
          <w:szCs w:val="16"/>
          <w:b w:val="1"/>
          <w:bCs w:val="1"/>
          <w:i w:val="1"/>
          <w:iCs w:val="1"/>
          <w:color w:val="auto"/>
        </w:rPr>
        <w:t>We will incur increased costs as a result of operating as a public company, and our management will be required to devote substantial time to new compliance initiatives and corporate governance practices. Additionally, if we fail to maintain proper and effective internal controls, our ability to produce accurate financial statements on a timely basis could be impaired.</w:t>
      </w:r>
    </w:p>
    <w:p>
      <w:pPr>
        <w:spacing w:after="0" w:line="73" w:lineRule="exact"/>
        <w:rPr>
          <w:sz w:val="20"/>
          <w:szCs w:val="20"/>
          <w:color w:val="auto"/>
        </w:rPr>
      </w:pPr>
    </w:p>
    <w:p>
      <w:pPr>
        <w:ind w:left="460" w:right="80"/>
        <w:spacing w:after="0" w:line="249"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Nasdaq.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we expect these rules and regulations to make it more difficult and more expensive for us to obtain director and officer liability insurance and we may be required to incur substantial costs to maintain sufficient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94" w:lineRule="exact"/>
        <w:rPr>
          <w:sz w:val="20"/>
          <w:szCs w:val="20"/>
          <w:color w:val="auto"/>
        </w:rPr>
      </w:pPr>
    </w:p>
    <w:p>
      <w:pPr>
        <w:ind w:left="460" w:right="60"/>
        <w:spacing w:after="0" w:line="249" w:lineRule="auto"/>
        <w:rPr>
          <w:sz w:val="20"/>
          <w:szCs w:val="20"/>
          <w:color w:val="auto"/>
        </w:rPr>
      </w:pPr>
      <w:r>
        <w:rPr>
          <w:rFonts w:ascii="Arial" w:cs="Arial" w:eastAsia="Arial" w:hAnsi="Arial"/>
          <w:sz w:val="16"/>
          <w:szCs w:val="16"/>
          <w:color w:val="auto"/>
        </w:rPr>
        <w:t>In addition, as a public company we will be required to incur additional costs and obligations in order to comply with SEC rules that implement Section 404 of the Sarbanes-Oxley Act. Under these rules,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94"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29"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0800"/>
          </w:cols>
          <w:pgMar w:left="320" w:top="440" w:right="77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40"/>
        <w:spacing w:after="0" w:line="253" w:lineRule="auto"/>
        <w:rPr>
          <w:sz w:val="20"/>
          <w:szCs w:val="20"/>
          <w:color w:val="auto"/>
        </w:rPr>
      </w:pPr>
      <w:r>
        <w:rPr>
          <w:rFonts w:ascii="Arial" w:cs="Arial" w:eastAsia="Arial" w:hAnsi="Arial"/>
          <w:sz w:val="16"/>
          <w:szCs w:val="16"/>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will have broad discretion in the use of the net proceeds from this offering and may not use them effectively.</w:t>
      </w:r>
    </w:p>
    <w:p>
      <w:pPr>
        <w:spacing w:after="0" w:line="128"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the net proceeds in ways that ultimately increase the value of your investment. If we do not invest or apply the net proceeds from this offering in ways that enhance stockholder value, we may fail to achieve expected financial results, which could cause our stock price to decline.</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do not intend to pay dividends on our common stock so any returns will be limited to the value of our stock.</w:t>
      </w:r>
    </w:p>
    <w:p>
      <w:pPr>
        <w:spacing w:after="0" w:line="128" w:lineRule="exact"/>
        <w:rPr>
          <w:sz w:val="20"/>
          <w:szCs w:val="20"/>
          <w:color w:val="auto"/>
        </w:rPr>
      </w:pPr>
    </w:p>
    <w:p>
      <w:pPr>
        <w:ind w:left="460" w:right="200"/>
        <w:spacing w:after="0" w:line="256" w:lineRule="auto"/>
        <w:rPr>
          <w:sz w:val="20"/>
          <w:szCs w:val="20"/>
          <w:color w:val="auto"/>
        </w:rPr>
      </w:pPr>
      <w:r>
        <w:rPr>
          <w:rFonts w:ascii="Arial" w:cs="Arial" w:eastAsia="Arial" w:hAnsi="Arial"/>
          <w:sz w:val="16"/>
          <w:szCs w:val="16"/>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63" w:lineRule="exact"/>
        <w:rPr>
          <w:sz w:val="20"/>
          <w:szCs w:val="20"/>
          <w:color w:val="auto"/>
        </w:rPr>
      </w:pPr>
    </w:p>
    <w:p>
      <w:pPr>
        <w:jc w:val="both"/>
        <w:ind w:left="460" w:right="200"/>
        <w:spacing w:after="0" w:line="291" w:lineRule="auto"/>
        <w:rPr>
          <w:sz w:val="20"/>
          <w:szCs w:val="20"/>
          <w:color w:val="auto"/>
        </w:rPr>
      </w:pPr>
      <w:r>
        <w:rPr>
          <w:rFonts w:ascii="Arial" w:cs="Arial" w:eastAsia="Arial" w:hAnsi="Arial"/>
          <w:sz w:val="16"/>
          <w:szCs w:val="16"/>
          <w:b w:val="1"/>
          <w:bCs w:val="1"/>
          <w:i w:val="1"/>
          <w:i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56" w:lineRule="exact"/>
        <w:rPr>
          <w:sz w:val="20"/>
          <w:szCs w:val="20"/>
          <w:color w:val="auto"/>
        </w:rPr>
      </w:pPr>
    </w:p>
    <w:p>
      <w:pPr>
        <w:ind w:left="460" w:right="340"/>
        <w:spacing w:after="0" w:line="253" w:lineRule="auto"/>
        <w:rPr>
          <w:sz w:val="20"/>
          <w:szCs w:val="20"/>
          <w:color w:val="auto"/>
        </w:rPr>
      </w:pPr>
      <w:r>
        <w:rPr>
          <w:rFonts w:ascii="Arial" w:cs="Arial" w:eastAsia="Arial" w:hAnsi="Arial"/>
          <w:sz w:val="16"/>
          <w:szCs w:val="16"/>
          <w:color w:val="auto"/>
        </w:rPr>
        <w:t>Our restated certificate of incorporation and restated bylaws, as we expect they will be in effect upon closing of the offering, will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99" w:lineRule="exact"/>
        <w:rPr>
          <w:sz w:val="20"/>
          <w:szCs w:val="20"/>
          <w:color w:val="auto"/>
        </w:rPr>
      </w:pPr>
    </w:p>
    <w:p>
      <w:pPr>
        <w:ind w:left="660" w:hanging="209"/>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establish a classified board of directors so that not all members of our board are elected at one time;</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permit only the board of directors to establish the number of directors and fill vacancies on the board;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provide that directors may only be removed “for cause” and only with the approval of two-thirds of our stockholders;</w:t>
      </w:r>
    </w:p>
    <w:p>
      <w:pPr>
        <w:spacing w:after="0" w:line="120" w:lineRule="exact"/>
        <w:rPr>
          <w:rFonts w:ascii="Arial" w:cs="Arial" w:eastAsia="Arial" w:hAnsi="Arial"/>
          <w:sz w:val="16"/>
          <w:szCs w:val="16"/>
          <w:color w:val="auto"/>
        </w:rPr>
      </w:pPr>
    </w:p>
    <w:p>
      <w:pPr>
        <w:ind w:left="660" w:right="200" w:hanging="209"/>
        <w:spacing w:after="0" w:line="265"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could use to implement a stockholder rights plan (also known as a poison pill);</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prohibit cumulative voting;</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authorize our board of directors to amend the bylaws;</w:t>
      </w:r>
    </w:p>
    <w:p>
      <w:pPr>
        <w:spacing w:after="0" w:line="120" w:lineRule="exact"/>
        <w:rPr>
          <w:rFonts w:ascii="Arial" w:cs="Arial" w:eastAsia="Arial" w:hAnsi="Arial"/>
          <w:sz w:val="16"/>
          <w:szCs w:val="16"/>
          <w:color w:val="auto"/>
        </w:rPr>
      </w:pPr>
    </w:p>
    <w:p>
      <w:pPr>
        <w:ind w:left="660" w:right="620" w:hanging="209"/>
        <w:spacing w:after="0" w:line="265"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nominations for election to our board or for proposing matters that can be acted upon by stockholders at annual stockholder meetings; and</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require a super-majority vote of stockholders to amend some provisions described above.</w:t>
      </w:r>
    </w:p>
    <w:p>
      <w:pPr>
        <w:spacing w:after="0" w:line="146"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0780"/>
          </w:cols>
          <w:pgMar w:left="320" w:top="440" w:right="79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86" w:lineRule="exact"/>
        <w:rPr>
          <w:sz w:val="20"/>
          <w:szCs w:val="20"/>
          <w:color w:val="auto"/>
        </w:rPr>
      </w:pPr>
    </w:p>
    <w:p>
      <w:pPr>
        <w:jc w:val="both"/>
        <w:ind w:left="460" w:right="120"/>
        <w:spacing w:after="0" w:line="256" w:lineRule="auto"/>
        <w:rPr>
          <w:sz w:val="20"/>
          <w:szCs w:val="20"/>
          <w:color w:val="auto"/>
        </w:rPr>
      </w:pPr>
      <w:r>
        <w:rPr>
          <w:rFonts w:ascii="Arial" w:cs="Arial" w:eastAsia="Arial" w:hAnsi="Arial"/>
          <w:sz w:val="16"/>
          <w:szCs w:val="16"/>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63" w:lineRule="exact"/>
        <w:rPr>
          <w:sz w:val="20"/>
          <w:szCs w:val="20"/>
          <w:color w:val="auto"/>
        </w:rPr>
      </w:pPr>
    </w:p>
    <w:p>
      <w:pPr>
        <w:ind w:left="460" w:right="40"/>
        <w:spacing w:after="0" w:line="262" w:lineRule="auto"/>
        <w:rPr>
          <w:sz w:val="20"/>
          <w:szCs w:val="20"/>
          <w:color w:val="auto"/>
        </w:rPr>
      </w:pPr>
      <w:r>
        <w:rPr>
          <w:rFonts w:ascii="Arial" w:cs="Arial" w:eastAsia="Arial" w:hAnsi="Arial"/>
          <w:sz w:val="16"/>
          <w:szCs w:val="16"/>
          <w:b w:val="1"/>
          <w:bCs w:val="1"/>
          <w:i w:val="1"/>
          <w:iCs w:val="1"/>
          <w:color w:val="auto"/>
        </w:rPr>
        <w:t>Our amended and restated bylaws that will become effective upon the closing of this offering provide that, unless the company consents in writing to an alternative forum,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9" w:lineRule="exact"/>
        <w:rPr>
          <w:sz w:val="20"/>
          <w:szCs w:val="20"/>
          <w:color w:val="auto"/>
        </w:rPr>
      </w:pPr>
    </w:p>
    <w:p>
      <w:pPr>
        <w:ind w:left="460" w:right="80"/>
        <w:spacing w:after="0" w:line="265" w:lineRule="auto"/>
        <w:rPr>
          <w:sz w:val="20"/>
          <w:szCs w:val="20"/>
          <w:color w:val="auto"/>
        </w:rPr>
      </w:pPr>
      <w:r>
        <w:rPr>
          <w:rFonts w:ascii="Arial" w:cs="Arial" w:eastAsia="Arial" w:hAnsi="Arial"/>
          <w:sz w:val="16"/>
          <w:szCs w:val="16"/>
          <w:color w:val="auto"/>
        </w:rPr>
        <w:t>Our amended and restated bylaws that will become effective upon the closing of this offering provide that, unless we consent in writing to the selection of an alternative forum, the Court of Chancery of the State of Delaware is the exclusive forum for:</w:t>
      </w:r>
    </w:p>
    <w:p>
      <w:pPr>
        <w:spacing w:after="0" w:line="88" w:lineRule="exact"/>
        <w:rPr>
          <w:sz w:val="20"/>
          <w:szCs w:val="20"/>
          <w:color w:val="auto"/>
        </w:rPr>
      </w:pPr>
    </w:p>
    <w:p>
      <w:pPr>
        <w:ind w:left="660" w:hanging="209"/>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action asserting a claim of breach of fiduciary duty;</w:t>
      </w:r>
    </w:p>
    <w:p>
      <w:pPr>
        <w:spacing w:after="0" w:line="120" w:lineRule="exact"/>
        <w:rPr>
          <w:rFonts w:ascii="Arial" w:cs="Arial" w:eastAsia="Arial" w:hAnsi="Arial"/>
          <w:sz w:val="16"/>
          <w:szCs w:val="16"/>
          <w:color w:val="auto"/>
        </w:rPr>
      </w:pPr>
    </w:p>
    <w:p>
      <w:pPr>
        <w:ind w:left="660" w:right="20" w:hanging="209"/>
        <w:spacing w:after="0" w:line="265"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action asserting a claim against us arising under the DGCL, our amended and restated certificate of incorporation or our amended and restated bylaws; and</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action asserting a claim against us that is governed by the internal-affairs doctrine.</w:t>
      </w:r>
    </w:p>
    <w:p>
      <w:pPr>
        <w:spacing w:after="0" w:line="108" w:lineRule="exact"/>
        <w:rPr>
          <w:sz w:val="20"/>
          <w:szCs w:val="20"/>
          <w:color w:val="auto"/>
        </w:rPr>
      </w:pPr>
    </w:p>
    <w:p>
      <w:pPr>
        <w:ind w:left="460" w:right="100"/>
        <w:spacing w:after="0" w:line="250" w:lineRule="auto"/>
        <w:rPr>
          <w:sz w:val="20"/>
          <w:szCs w:val="20"/>
          <w:color w:val="auto"/>
        </w:rPr>
      </w:pPr>
      <w:r>
        <w:rPr>
          <w:rFonts w:ascii="Arial" w:cs="Arial" w:eastAsia="Arial" w:hAnsi="Arial"/>
          <w:sz w:val="16"/>
          <w:szCs w:val="16"/>
          <w:color w:val="auto"/>
        </w:rPr>
        <w:t>This Delaware forum provision does not apply to actions arising under the Securities Exchange Act of 1934 because the federal courts have exclusive jurisdiction over such claims. This Delaware forum provision may limit a stockholder’s ability to bring a claim in a judicial forum that the stockholder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this provision. If a court were to find this Delaware forum provision to be inapplicable or unenforceable in an action, we may incur additional costs associated with litigating such disputes in multiple and/or other jurisdictions, which could seriously harm our business.</w:t>
      </w:r>
    </w:p>
    <w:p>
      <w:pPr>
        <w:spacing w:after="0" w:line="91"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Our amended and restated bylaws that will become effective upon the closing of this offering provide that, unless we consent in writing to the selection of an alternative forum, the federal district courts of the United States of America will be the exclusive forum for resolving any complaint asserting a cause of action arising under the Securities Act of 1933 against any person in connection with any offering of the Company’s securities, including but not limited to any auditor, underwriter, selling shareholder, expert, control person, or other defendant. This federal forum provision may limit a stockholder’s ability to bring a Securities Act claim in a judicial forum that the stockholder finds favorable, which may discourage lawsuits against us and our directors, officers and other employees. Any person purchasing or otherwise acquiring any interest in any of our securities shall be deemed to have notice of and consented to this provision. While the Delaware Supreme Court has held such provisions to be facially valid as a matter of Delaware law and several state trial courts have enforced such provisions and required that suits asserting Securities Act claims be filed in federal court, there is no guarantee that courts of appeal will affirm the enforceability of such provisions. If a court were to find this federal forum provision to be inapplicable or unenforceable in an action, we may incur additional costs associated with litigating Securities Act claims in state court, or both state and federal court, which could seriously harm our business.</w:t>
      </w:r>
    </w:p>
    <w:p>
      <w:pPr>
        <w:spacing w:after="0" w:line="132"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0760"/>
          </w:cols>
          <w:pgMar w:left="320" w:top="441" w:right="81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both"/>
        <w:ind w:left="460" w:right="80"/>
        <w:spacing w:after="0" w:line="269"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73" w:lineRule="exact"/>
        <w:rPr>
          <w:sz w:val="20"/>
          <w:szCs w:val="20"/>
          <w:color w:val="auto"/>
        </w:rPr>
      </w:pPr>
    </w:p>
    <w:p>
      <w:pPr>
        <w:ind w:left="460" w:right="140"/>
        <w:spacing w:after="0" w:line="250" w:lineRule="auto"/>
        <w:rPr>
          <w:sz w:val="20"/>
          <w:szCs w:val="20"/>
          <w:color w:val="auto"/>
        </w:rPr>
      </w:pPr>
      <w:r>
        <w:rPr>
          <w:rFonts w:ascii="Arial" w:cs="Arial" w:eastAsia="Arial" w:hAnsi="Arial"/>
          <w:sz w:val="16"/>
          <w:szCs w:val="16"/>
          <w:color w:val="auto"/>
        </w:rPr>
        <w:t>We rely on third party software for state and local tax rates, updated whenever tax rates change. We also rely on state exemptions, when applicable, for medical devices and services, which are determined by management’s review of each state’s sales tax laws and regulations concerning prescribed medical treatments. However, as laws and regulations change from time to time, these exemptions may or may not continue to apply to our products in the various taxing jurisdictions. Certain jurisdictions in which we do not collect such taxes on sales of our products may later assert that such taxes are applicable, which could result in tax assessments, penalties and interest, and we may be required to collect such taxes in the future. Such tax assessments, penalties and interest or future requirements may adversely affect the results of our operations.</w:t>
      </w:r>
    </w:p>
    <w:p>
      <w:pPr>
        <w:spacing w:after="0" w:line="71" w:lineRule="exact"/>
        <w:rPr>
          <w:sz w:val="20"/>
          <w:szCs w:val="20"/>
          <w:color w:val="auto"/>
        </w:rPr>
      </w:pPr>
    </w:p>
    <w:p>
      <w:pPr>
        <w:ind w:left="460" w:right="840"/>
        <w:spacing w:after="0" w:line="291" w:lineRule="auto"/>
        <w:rPr>
          <w:sz w:val="20"/>
          <w:szCs w:val="20"/>
          <w:color w:val="auto"/>
        </w:rPr>
      </w:pPr>
      <w:r>
        <w:rPr>
          <w:rFonts w:ascii="Arial" w:cs="Arial" w:eastAsia="Arial" w:hAnsi="Arial"/>
          <w:sz w:val="16"/>
          <w:szCs w:val="16"/>
          <w:b w:val="1"/>
          <w:bCs w:val="1"/>
          <w:i w:val="1"/>
          <w:iCs w:val="1"/>
          <w:color w:val="auto"/>
        </w:rPr>
        <w:t>Our board of directors will be authorized to issue and designate shares of our preferred stock in additional series without stockholder approval.</w:t>
      </w:r>
    </w:p>
    <w:p>
      <w:pPr>
        <w:spacing w:after="0" w:line="56"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Our amended and restated certificate of incorporation will authorize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68" w:lineRule="exact"/>
        <w:rPr>
          <w:sz w:val="20"/>
          <w:szCs w:val="20"/>
          <w:color w:val="auto"/>
        </w:rPr>
      </w:pPr>
    </w:p>
    <w:p>
      <w:pPr>
        <w:ind w:left="460" w:right="400"/>
        <w:spacing w:after="0" w:line="291" w:lineRule="auto"/>
        <w:rPr>
          <w:sz w:val="20"/>
          <w:szCs w:val="20"/>
          <w:color w:val="auto"/>
        </w:rPr>
      </w:pPr>
      <w:r>
        <w:rPr>
          <w:rFonts w:ascii="Arial" w:cs="Arial" w:eastAsia="Arial" w:hAnsi="Arial"/>
          <w:sz w:val="16"/>
          <w:szCs w:val="16"/>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56" w:lineRule="exact"/>
        <w:rPr>
          <w:sz w:val="20"/>
          <w:szCs w:val="20"/>
          <w:color w:val="auto"/>
        </w:rPr>
      </w:pPr>
    </w:p>
    <w:p>
      <w:pPr>
        <w:ind w:left="460" w:right="20"/>
        <w:spacing w:after="0" w:line="251" w:lineRule="auto"/>
        <w:rPr>
          <w:sz w:val="20"/>
          <w:szCs w:val="20"/>
          <w:color w:val="auto"/>
        </w:rPr>
      </w:pPr>
      <w:r>
        <w:rPr>
          <w:rFonts w:ascii="Arial" w:cs="Arial" w:eastAsia="Arial" w:hAnsi="Arial"/>
          <w:sz w:val="16"/>
          <w:szCs w:val="16"/>
          <w:color w:val="auto"/>
        </w:rPr>
        <w:t>The Tax Act enacted many significant changes to the U.S. tax laws, the consequences of which have not yet been fully determined. Changes in corporate tax rates, the realization of net deferred tax assets relating to our U.S. operations, the taxation of foreign earnings and the deductibility of expenses contained in the Tax Act or other tax reform legislation could have a material impact on the value of our deferred tax assets, could result in significant one-time charges in the current or future taxable years and could increase our future U.S. tax expense. The foregoing items, as well as any future changes in tax laws, could have a material adverse effect on our business, cash flow, financial condition or results of operations. In addition, it is uncertain if and to what extent various states will conform to the newly enacted federal tax legislation.</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Risks related to COVID-19</w:t>
      </w:r>
    </w:p>
    <w:p>
      <w:pPr>
        <w:spacing w:after="0" w:line="113"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b w:val="1"/>
          <w:bCs w:val="1"/>
          <w:i w:val="1"/>
          <w:iCs w:val="1"/>
          <w:color w:val="auto"/>
        </w:rPr>
        <w:t>Our business, financial condition, results of operations and growth have been harmed by the effects of the COVID-19 pandemic and may continue to be harmed.</w:t>
      </w:r>
    </w:p>
    <w:p>
      <w:pPr>
        <w:spacing w:after="0" w:line="56" w:lineRule="exact"/>
        <w:rPr>
          <w:sz w:val="20"/>
          <w:szCs w:val="20"/>
          <w:color w:val="auto"/>
        </w:rPr>
      </w:pPr>
    </w:p>
    <w:p>
      <w:pPr>
        <w:ind w:left="460" w:right="160"/>
        <w:spacing w:after="0" w:line="251" w:lineRule="auto"/>
        <w:rPr>
          <w:sz w:val="20"/>
          <w:szCs w:val="20"/>
          <w:color w:val="auto"/>
        </w:rPr>
      </w:pPr>
      <w:r>
        <w:rPr>
          <w:rFonts w:ascii="Arial" w:cs="Arial" w:eastAsia="Arial" w:hAnsi="Arial"/>
          <w:sz w:val="16"/>
          <w:szCs w:val="16"/>
          <w:color w:val="auto"/>
        </w:rPr>
        <w:t>We are subject to risks related to public health crises such as the global pandemic associated with COVID-19. In December 2019, a novel strain of coronavirus, SARS-CoV-2, was reported to have surfaced in Wuhan, China. Since then, SARS-CoV-2, and the resulting disease COVID-19, has spread to most countries, and all 50 states within the United States. The COVID-19 outbreak has negatively impacted and may continue to negatively impact our operations and revenues and overall financial condition by decreasing the number of our RxSight systems sold. The number of our RxSight systems sold, similar to other ophthalmic procedures, has decreased as health care organizations globally have prioritized the treatment of patients with COVID-19. For example, in</w:t>
      </w:r>
    </w:p>
    <w:p>
      <w:pPr>
        <w:spacing w:after="0" w:line="12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0800"/>
          </w:cols>
          <w:pgMar w:left="320" w:top="440" w:right="77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the United States, governmental authorities have recommended, and in certain cases required, that elective, specialty and other procedures and appointments, including those related to cataract treatments, be suspended or canceled to avoid non-essential patient exposure to medical environments and potential infection with COVID-19 and to focus limited resources and personnel capacity toward the treatment of COVID-19. These measures and challenges may continue for the duration of the pandemic, which is uncertain, and will reduce our revenue and continue to interrupt the commercialization of our products while the pandemic continues. Further, once the pandemic subsides, we anticipate there will be a substantial backlog of patients seeking appointments with doctors and surgeries to be performed at ophthalmic practices and ambulatory surgery centers relating to a variety of medical conditions, and as a result, patients seeking to receive, or who have received, our LAL will have to navigate limited provider capacity. We believe this limited provider capacity could have an adverse effect on our sales following the end of the pandemic.</w:t>
      </w:r>
    </w:p>
    <w:p>
      <w:pPr>
        <w:spacing w:after="0" w:line="88"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Numerous state and local jurisdictions have imposed, and others in the future may impose, “shelter-in-place” orders, quarantines, executive orders and similar government orders and restrictions for their residents to control the spread of COVID-19. Starting in mid-March 2020, the governor of California, where our headquarters is located, issued “shelter-in-place” or “stay at home” orders restricting non-essential activities, travel and business operations for an indefinite period of time, subject to certain exceptions for necessary activities. Such orders or restrictions have resulted in the temporary closing of our headquarters, slowdowns and delays, travel restrictions and cancellation of events, among other effects, thereby negatively impacting our operations. Other disruptions or potential disruptions include restrictions on our personnel and personnel of partners to travel and access customers for training and case support; delays in approvals by regulatory bodies; delays in product development efforts; and additional government requirements or other incremental mitigation efforts that may further impact our capacity to manufacture, sell and support the use of our RxSight system. In addition, even after the “shelter-in-place” orders, quarantines, executive orders and similar government orders and restrictions for their residents to control the spread of COVID-19 are lifted, we may continue to experience disruptions to our business, including as a result of patients and customers continuing to be cautious in restarting elective procedures in light of the continued risk posed by the virus.</w:t>
      </w:r>
    </w:p>
    <w:p>
      <w:pPr>
        <w:spacing w:after="0" w:line="93" w:lineRule="exact"/>
        <w:rPr>
          <w:sz w:val="20"/>
          <w:szCs w:val="20"/>
          <w:color w:val="auto"/>
        </w:rPr>
      </w:pPr>
    </w:p>
    <w:p>
      <w:pPr>
        <w:ind w:left="460" w:right="100"/>
        <w:spacing w:after="0" w:line="250" w:lineRule="auto"/>
        <w:rPr>
          <w:sz w:val="20"/>
          <w:szCs w:val="20"/>
          <w:color w:val="auto"/>
        </w:rPr>
      </w:pPr>
      <w:r>
        <w:rPr>
          <w:rFonts w:ascii="Arial" w:cs="Arial" w:eastAsia="Arial" w:hAnsi="Arial"/>
          <w:sz w:val="16"/>
          <w:szCs w:val="16"/>
          <w:color w:val="auto"/>
        </w:rPr>
        <w:t>As we continue to actively advance our clinical programs and discovery and research programs, we are in close contact with the third parties we engage with and are assessing the impact of the COVID-19 pandemic on each of our programs, expected timelines and costs on an ongoing basis. In light of ongoing developments relating to the COVID-19 pandemic, the focus of healthcare providers on fighting the virus, and consistent with the FDA’s industry guidance for conducting clinical trials issued in March 2020, updated subsequently, we and our contract research organizations have made certain adjustments to the operation of our clinical trials in an effort to ensure the monitoring and safety of patients and minimize risk to trial integrity during the pandemic and generally. Other COVID-related guidance recently released by FDA includes statistical considerations for clinical trials during the COVID-19 public health emergency and post-marketing adverse event reporting for medical products during a pandemic. We may need to make further adjustments in the future, including implementation of new policies and procedures.</w:t>
      </w:r>
    </w:p>
    <w:p>
      <w:pPr>
        <w:spacing w:after="0" w:line="280"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While the potential economic impact brought by and the duration of COVID-19 may be difficult to assess or predict, the widespread pandemic has resulted in, and may continue to result in, significant disruption of global financial markets, reducing our ability to access capital, which could in the future negatively affect our liquidity. We expect any further shelter-in-place policies and restrictions on elective surgical procedures worldwide to have a substantial near-term impact on our revenue. During the COVID-19 pandemic, our customers, including doctors, have experienced financial hardship and some of them may not fully recover. This could lead to some of these customers temporarily or permanently shutting down, filing for bankruptcy or being acquired by larger health systems, leading to reduced procedures and/or additional pricing pressure on our products. The COVID-19 pandemic has also resulted in a significant increase in unemployment in the United States which may</w:t>
      </w:r>
    </w:p>
    <w:p>
      <w:pPr>
        <w:spacing w:after="0" w:line="319"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0780"/>
          </w:cols>
          <w:pgMar w:left="320" w:top="440" w:right="79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720"/>
        <w:spacing w:after="0" w:line="265" w:lineRule="auto"/>
        <w:rPr>
          <w:sz w:val="20"/>
          <w:szCs w:val="20"/>
          <w:color w:val="auto"/>
        </w:rPr>
      </w:pPr>
      <w:r>
        <w:rPr>
          <w:rFonts w:ascii="Arial" w:cs="Arial" w:eastAsia="Arial" w:hAnsi="Arial"/>
          <w:sz w:val="16"/>
          <w:szCs w:val="16"/>
          <w:color w:val="auto"/>
        </w:rPr>
        <w:t>continue even after the pandemic. The occurrence of any such events may lead to reduced disposable income and access to health insurance which could adversely affect the number of RxSight systems sold after the pandemic has ended.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General risk factors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success is highly dependent on our ability to attract and retain highly skilled executive officers and employees.</w:t>
      </w:r>
    </w:p>
    <w:p>
      <w:pPr>
        <w:spacing w:after="0" w:line="128"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To succeed, we must recruit, retain, manage and motivate qualified executives as we build out the management team, and we face significant competition for experienced personnel. We are highly dependent on the principal members of our management and need to add executives with operational and commercialization experience as we plan for commercialization of our current and future products and build out a leadership team that can manage our operations as a public company.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medical device and ophthalmology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278"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color w:val="auto"/>
        </w:rPr>
        <w:t>Many of the other medical device and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current and future products will be limited and the potential for successfully growing our business will be harmed.</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business and operations would suffer in the event of system failures or security breaches.</w:t>
      </w:r>
    </w:p>
    <w:p>
      <w:pPr>
        <w:spacing w:after="0" w:line="128"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Our computer systems, as well as those of our contractors and consultants, are vulnerable to damage from computer viruses, unauthorized access, natural disasters (including hurricanes), terrorism, war and telecommunication and electrical failures. If such an event were to occur and cause interruptions in our operations, it could result in a material disruption of the commercialization of our RxSight system and our future products. For example, the loss of preclinical study or clinical trial data from completed, ongoing or planned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commercialization of our RxSight system and the further development of our current and future products could be delayed.</w:t>
      </w:r>
    </w:p>
    <w:p>
      <w:pPr>
        <w:spacing w:after="0" w:line="90" w:lineRule="exact"/>
        <w:rPr>
          <w:sz w:val="20"/>
          <w:szCs w:val="20"/>
          <w:color w:val="auto"/>
        </w:rPr>
      </w:pPr>
    </w:p>
    <w:p>
      <w:pPr>
        <w:ind w:left="460" w:right="80"/>
        <w:spacing w:after="0" w:line="251" w:lineRule="auto"/>
        <w:rPr>
          <w:sz w:val="20"/>
          <w:szCs w:val="20"/>
          <w:color w:val="auto"/>
        </w:rPr>
      </w:pPr>
      <w:r>
        <w:rPr>
          <w:rFonts w:ascii="Arial" w:cs="Arial" w:eastAsia="Arial" w:hAnsi="Arial"/>
          <w:sz w:val="16"/>
          <w:szCs w:val="16"/>
          <w:color w:val="auto"/>
        </w:rPr>
        <w:t>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Although, to our knowledge, we have not experienced such material security breach to date, any such breach could compromise our networks and the information stored there could be accessed, publicly disclosed, lost or stolen. Any such actual or perceived access, disclosure or other security breach or loss of information (whether affecting us or one of our third-party service providers) could result in legal claims</w:t>
      </w:r>
    </w:p>
    <w:p>
      <w:pPr>
        <w:spacing w:after="0" w:line="12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0780"/>
          </w:cols>
          <w:pgMar w:left="320" w:top="440" w:right="79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20"/>
        <w:spacing w:after="0" w:line="253" w:lineRule="auto"/>
        <w:rPr>
          <w:sz w:val="20"/>
          <w:szCs w:val="20"/>
          <w:color w:val="auto"/>
        </w:rPr>
      </w:pPr>
      <w:r>
        <w:rPr>
          <w:rFonts w:ascii="Arial" w:cs="Arial" w:eastAsia="Arial" w:hAnsi="Arial"/>
          <w:sz w:val="16"/>
          <w:szCs w:val="16"/>
          <w:color w:val="auto"/>
        </w:rPr>
        <w:t>proceedings, regulatory investigations, liability under laws that protect the privacy of personal information, significant regulatory penalties or other fines, and such an event could disrupt our operations, damage our reputation, and cause a loss of confidence in us and our ability to commercialize our products and conduct clinical trials, which could adversely affect our reputation and delay the commercialization of our RxSight system and clinical development of our current and future products.</w:t>
      </w:r>
    </w:p>
    <w:p>
      <w:pPr>
        <w:spacing w:after="0" w:line="86"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The techniques and sophistication used to conduct cyber-attacks and breaches of information technology systems, as well as the sources and targets of these attacks, may take many forms (including phishing, social engineering, denial or degradation of service attacks, malware or ransomware), change frequently and are often not recognized until such attacks are launched or have been in place for a period of time. In addition, our employees, contractors, or third parties with whom we do business or to whom we outsource business operations may attempt to circumvent our security measures in order to misappropriate regulated, protected, or personally identifiable information, and may purposefully or inadvertently cause a breach involving or compromise of such information. Third parties may have the technology or know-how to breach the security of the information collected, stored, or transmitted by us, and our respective security measures, as well as those of our third-party service providers, may not effectively prohibit others from obtaining improper access to this information. Advances in computer and software capabilities and encryption technology, new tools, and other developments may increase the risk of such a breach or compromise. There is no assurance that any security procedures or controls that we or our third-party providers have implemented will be sufficient to prevent data-security related incidents from occurring.</w:t>
      </w:r>
    </w:p>
    <w:p>
      <w:pPr>
        <w:spacing w:after="0" w:line="94" w:lineRule="exact"/>
        <w:rPr>
          <w:sz w:val="20"/>
          <w:szCs w:val="20"/>
          <w:color w:val="auto"/>
        </w:rPr>
      </w:pPr>
    </w:p>
    <w:p>
      <w:pPr>
        <w:ind w:left="460" w:right="60"/>
        <w:spacing w:after="0" w:line="250" w:lineRule="auto"/>
        <w:rPr>
          <w:sz w:val="20"/>
          <w:szCs w:val="20"/>
          <w:color w:val="auto"/>
        </w:rPr>
      </w:pPr>
      <w:r>
        <w:rPr>
          <w:rFonts w:ascii="Arial" w:cs="Arial" w:eastAsia="Arial" w:hAnsi="Arial"/>
          <w:sz w:val="16"/>
          <w:szCs w:val="16"/>
          <w:color w:val="auto"/>
        </w:rPr>
        <w:t>We may be required to expend significant capital and other resources to protect against, respond to, and recover from any potential, attempted or existing security breaches or failures and their consequences. As data security-related threats continue to evolve, we may be required to expend significant additional resources to continue to modify or enhance our protective measures or to investigate and remediate any information security vulnerabilities. We could be forced to expend significant financial and operational resources in responding to a security breach, including investigating and remediating any information security vulnerabilities, defending against and resolving legal and regulatory claims and complying with notification obligations, all of which could divert resources and the attention of our management and key personnel away from our business operations and adversely affect our business, financial condition and results of operations. In addition, our remediation efforts may not be successful, and we could be unable to implement, maintain and upgrade adequate safeguards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Economic conditions may adversely affect our business.</w:t>
      </w:r>
    </w:p>
    <w:p>
      <w:pPr>
        <w:spacing w:after="0" w:line="128" w:lineRule="exact"/>
        <w:rPr>
          <w:sz w:val="20"/>
          <w:szCs w:val="20"/>
          <w:color w:val="auto"/>
        </w:rPr>
      </w:pPr>
    </w:p>
    <w:p>
      <w:pPr>
        <w:ind w:left="460" w:right="180"/>
        <w:spacing w:after="0" w:line="252" w:lineRule="auto"/>
        <w:rPr>
          <w:sz w:val="20"/>
          <w:szCs w:val="20"/>
          <w:color w:val="auto"/>
        </w:rPr>
      </w:pPr>
      <w:r>
        <w:rPr>
          <w:rFonts w:ascii="Arial" w:cs="Arial" w:eastAsia="Arial" w:hAnsi="Arial"/>
          <w:sz w:val="16"/>
          <w:szCs w:val="16"/>
          <w:color w:val="auto"/>
        </w:rPr>
        <w:t>Adverse worldwide economic conditions, including those related to the COVID-19 pandemic, may negatively impact our business. A significant change in the liquidity or financial condition of our customers could cause unfavorable trends in their purchases and also in our receivable collections, and additional allowances may be required, which could adversely affect our business, financial condition and results of operations. Adverse worldwide economic conditions may also adversely impact our suppliers’ ability to provide us with materials and components, which could have a material adverse effect on our business, financial condition and results of operations.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Litigation and other legal proceedings may adversely affect our business.</w:t>
      </w:r>
    </w:p>
    <w:p>
      <w:pPr>
        <w:spacing w:after="0" w:line="128" w:lineRule="exact"/>
        <w:rPr>
          <w:sz w:val="20"/>
          <w:szCs w:val="20"/>
          <w:color w:val="auto"/>
        </w:rPr>
      </w:pPr>
    </w:p>
    <w:p>
      <w:pPr>
        <w:ind w:left="460" w:right="280"/>
        <w:spacing w:after="0" w:line="251" w:lineRule="auto"/>
        <w:rPr>
          <w:sz w:val="20"/>
          <w:szCs w:val="20"/>
          <w:color w:val="auto"/>
        </w:rPr>
      </w:pPr>
      <w:r>
        <w:rPr>
          <w:rFonts w:ascii="Arial" w:cs="Arial" w:eastAsia="Arial" w:hAnsi="Arial"/>
          <w:sz w:val="16"/>
          <w:szCs w:val="16"/>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w:t>
      </w:r>
    </w:p>
    <w:p>
      <w:pPr>
        <w:spacing w:after="0" w:line="12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0800"/>
          </w:cols>
          <w:pgMar w:left="320" w:top="440" w:right="77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40"/>
        <w:spacing w:after="0" w:line="252" w:lineRule="auto"/>
        <w:rPr>
          <w:sz w:val="20"/>
          <w:szCs w:val="20"/>
          <w:color w:val="auto"/>
        </w:rPr>
      </w:pPr>
      <w:r>
        <w:rPr>
          <w:rFonts w:ascii="Arial" w:cs="Arial" w:eastAsia="Arial" w:hAnsi="Arial"/>
          <w:sz w:val="16"/>
          <w:szCs w:val="16"/>
          <w:color w:val="auto"/>
        </w:rPr>
        <w:t>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Business disruptions could seriously harm our future revenue and financial condition and increase our costs and expenses.</w:t>
      </w:r>
    </w:p>
    <w:p>
      <w:pPr>
        <w:spacing w:after="0" w:line="128" w:lineRule="exact"/>
        <w:rPr>
          <w:sz w:val="20"/>
          <w:szCs w:val="20"/>
          <w:color w:val="auto"/>
        </w:rPr>
      </w:pPr>
    </w:p>
    <w:p>
      <w:pPr>
        <w:ind w:left="460" w:right="120"/>
        <w:spacing w:after="0" w:line="250" w:lineRule="auto"/>
        <w:rPr>
          <w:sz w:val="20"/>
          <w:szCs w:val="20"/>
          <w:color w:val="auto"/>
        </w:rPr>
      </w:pPr>
      <w:r>
        <w:rPr>
          <w:rFonts w:ascii="Arial" w:cs="Arial" w:eastAsia="Arial" w:hAnsi="Arial"/>
          <w:sz w:val="16"/>
          <w:szCs w:val="16"/>
          <w:color w:val="auto"/>
        </w:rPr>
        <w:t>Our operations could be subject to earthquakes, power shortages, telecommunications failures, water shortages, floods, hurricanes, typhoons, fires, severe weather conditions, medical epidemics and other natural or man-made disasters or business interruptions, for which we are predominantly self-insured. We rely on third-party manufacturers to produce our products. Our ability to obtain clinical supplies of our products could be disrupted if the operations of these suppliers were affected by a man-made or natural disaster or other business interruption. In addition, our corporate headquarters is located in Aliso Viejo, California, near major earthquake faults and fire zones, and the ultimate impact on us for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70"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b w:val="1"/>
          <w:bCs w:val="1"/>
          <w:i w:val="1"/>
          <w:iCs w:val="1"/>
          <w:color w:val="auto"/>
        </w:rPr>
        <w:t>Our results of operations could be materially harmed if we are unable to accurately forecast customer demand for our products and manage our inventory.</w:t>
      </w:r>
    </w:p>
    <w:p>
      <w:pPr>
        <w:spacing w:after="0" w:line="56" w:lineRule="exact"/>
        <w:rPr>
          <w:sz w:val="20"/>
          <w:szCs w:val="20"/>
          <w:color w:val="auto"/>
        </w:rPr>
      </w:pPr>
    </w:p>
    <w:p>
      <w:pPr>
        <w:ind w:left="460" w:right="80"/>
        <w:spacing w:after="0" w:line="250" w:lineRule="auto"/>
        <w:rPr>
          <w:sz w:val="20"/>
          <w:szCs w:val="20"/>
          <w:color w:val="auto"/>
        </w:rPr>
      </w:pPr>
      <w:r>
        <w:rPr>
          <w:rFonts w:ascii="Arial" w:cs="Arial" w:eastAsia="Arial" w:hAnsi="Arial"/>
          <w:sz w:val="16"/>
          <w:szCs w:val="16"/>
          <w:color w:val="auto"/>
        </w:rPr>
        <w:t>We seek to maintain sufficient levels of inventory in order to protect ourselves from supply interruptions, but keep limited components, sub-assemblies, materials and finished products on hand. To ensure adequate inventory supply and manage our operations with our third-party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product introductions by competitors, an increase or decrease in customer demand for our products, our failure to accurately forecast customer acceptance of new products, unanticipated changes in general market conditions or regulatory matters and weakening of economic conditions or consumer confidence in future economic conditions.</w:t>
      </w:r>
    </w:p>
    <w:p>
      <w:pPr>
        <w:spacing w:after="0" w:line="90" w:lineRule="exact"/>
        <w:rPr>
          <w:sz w:val="20"/>
          <w:szCs w:val="20"/>
          <w:color w:val="auto"/>
        </w:rPr>
      </w:pPr>
    </w:p>
    <w:p>
      <w:pPr>
        <w:ind w:left="460" w:right="40"/>
        <w:spacing w:after="0" w:line="249" w:lineRule="auto"/>
        <w:rPr>
          <w:sz w:val="20"/>
          <w:szCs w:val="20"/>
          <w:color w:val="auto"/>
        </w:rPr>
      </w:pPr>
      <w:r>
        <w:rPr>
          <w:rFonts w:ascii="Arial" w:cs="Arial" w:eastAsia="Arial" w:hAnsi="Arial"/>
          <w:sz w:val="16"/>
          <w:szCs w:val="16"/>
          <w:color w:val="auto"/>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 operations. Conversely, if we underestimate customer demand for our products or our own requirements for components, subassemblies and materials, our third-party manufacturers and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may not be available when required on terms that are acceptable to us, or at all, and our third-party manufacturers and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spacing w:after="0" w:line="132"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0760"/>
          </w:cols>
          <w:pgMar w:left="320" w:top="441" w:right="81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Special note regarding forward-looking statements</w:t>
      </w:r>
    </w:p>
    <w:p>
      <w:pPr>
        <w:spacing w:after="0" w:line="149"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This prospectus contains forward-looking statements. All statements other than statements of historical facts contained in this prospectus, including statements regarding our future results of operations and financial position, business strategy, current and future products,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91" w:lineRule="exact"/>
        <w:rPr>
          <w:sz w:val="20"/>
          <w:szCs w:val="20"/>
          <w:color w:val="auto"/>
        </w:rPr>
      </w:pPr>
    </w:p>
    <w:p>
      <w:pPr>
        <w:jc w:val="both"/>
        <w:ind w:left="460" w:right="280"/>
        <w:spacing w:after="0" w:line="256" w:lineRule="auto"/>
        <w:rPr>
          <w:sz w:val="20"/>
          <w:szCs w:val="20"/>
          <w:color w:val="auto"/>
        </w:rPr>
      </w:pPr>
      <w:r>
        <w:rPr>
          <w:rFonts w:ascii="Arial" w:cs="Arial" w:eastAsia="Arial" w:hAnsi="Arial"/>
          <w:sz w:val="16"/>
          <w:szCs w:val="16"/>
          <w:color w:val="auto"/>
        </w:rPr>
        <w:t>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prospectus include, but are not limited to, statements about:</w:t>
      </w:r>
    </w:p>
    <w:p>
      <w:pPr>
        <w:spacing w:after="0" w:line="96" w:lineRule="exact"/>
        <w:rPr>
          <w:sz w:val="20"/>
          <w:szCs w:val="20"/>
          <w:color w:val="auto"/>
        </w:rPr>
      </w:pPr>
    </w:p>
    <w:p>
      <w:pPr>
        <w:ind w:left="660" w:hanging="209"/>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plans to conduct further clinical trials;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plans and expected timeline related to our products, or developing new products, to address additional indications or otherwise;</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expected use of our products by doctors;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ability to obtain, maintain and expand regulatory clearances for our products and any new products we create;</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expected growth of our business and our organization;</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expected uses of our existing resources and the net proceeds from this offering;</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expectations regarding government and third-party payer coverage and reimbursement;</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ability to retain and recruit key personnel, including the continued development of a sales and marketing infrastructure;</w:t>
      </w:r>
    </w:p>
    <w:p>
      <w:pPr>
        <w:spacing w:after="0" w:line="120" w:lineRule="exact"/>
        <w:rPr>
          <w:rFonts w:ascii="Arial" w:cs="Arial" w:eastAsia="Arial" w:hAnsi="Arial"/>
          <w:sz w:val="16"/>
          <w:szCs w:val="16"/>
          <w:color w:val="auto"/>
        </w:rPr>
      </w:pPr>
    </w:p>
    <w:p>
      <w:pPr>
        <w:ind w:left="660" w:right="140" w:hanging="209"/>
        <w:spacing w:after="0" w:line="265"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ability to obtain an adequate supply of materials and components for our products from our third-party suppliers, including single- and sole-source suppliers;</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ability to manufacture sufficient quantities of our products with sufficient quality;</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ability to obtain, maintain and enforce intellectual property protection for our products and protect our intellectual property rights;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ability to expand our business into new geographic markets;</w:t>
      </w:r>
    </w:p>
    <w:p>
      <w:pPr>
        <w:spacing w:after="0" w:line="120" w:lineRule="exact"/>
        <w:rPr>
          <w:rFonts w:ascii="Arial" w:cs="Arial" w:eastAsia="Arial" w:hAnsi="Arial"/>
          <w:sz w:val="16"/>
          <w:szCs w:val="16"/>
          <w:color w:val="auto"/>
        </w:rPr>
      </w:pPr>
    </w:p>
    <w:p>
      <w:pPr>
        <w:ind w:left="660" w:right="880" w:hanging="209"/>
        <w:spacing w:after="0" w:line="265"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compliance with extensive Nasdaq requirements and government laws, rules and regulations both in the United States and internationally;</w:t>
      </w:r>
    </w:p>
    <w:p>
      <w:pPr>
        <w:spacing w:after="0" w:line="88" w:lineRule="exact"/>
        <w:rPr>
          <w:rFonts w:ascii="Arial" w:cs="Arial" w:eastAsia="Arial" w:hAnsi="Arial"/>
          <w:sz w:val="16"/>
          <w:szCs w:val="16"/>
          <w:color w:val="auto"/>
        </w:rPr>
      </w:pPr>
    </w:p>
    <w:p>
      <w:pPr>
        <w:ind w:left="660" w:right="560" w:hanging="209"/>
        <w:spacing w:after="0" w:line="265"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estimates of our expenses, ongoing losses, future revenue, capital requirements and our need for, or ability to obtain, additional financing;</w:t>
      </w:r>
    </w:p>
    <w:p>
      <w:pPr>
        <w:spacing w:after="0" w:line="88" w:lineRule="exact"/>
        <w:rPr>
          <w:rFonts w:ascii="Arial" w:cs="Arial" w:eastAsia="Arial" w:hAnsi="Arial"/>
          <w:sz w:val="16"/>
          <w:szCs w:val="16"/>
          <w:color w:val="auto"/>
        </w:rPr>
      </w:pPr>
    </w:p>
    <w:p>
      <w:pPr>
        <w:ind w:left="660" w:right="340" w:hanging="209"/>
        <w:spacing w:after="0" w:line="265"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expectations regarding the time during which we will be an emerging growth company under the JOBS Act and a smaller reporting company under the Exchange Act;</w:t>
      </w:r>
    </w:p>
    <w:p>
      <w:pPr>
        <w:spacing w:after="0" w:line="113"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0760"/>
          </w:cols>
          <w:pgMar w:left="320" w:top="440" w:right="81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660" w:hanging="209"/>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our ability to identify and develop new and planned products and/or acquire new products;</w:t>
      </w:r>
    </w:p>
    <w:p>
      <w:pPr>
        <w:spacing w:after="0" w:line="120" w:lineRule="exact"/>
        <w:rPr>
          <w:rFonts w:ascii="Arial" w:cs="Arial" w:eastAsia="Arial" w:hAnsi="Arial"/>
          <w:sz w:val="16"/>
          <w:szCs w:val="16"/>
          <w:color w:val="auto"/>
        </w:rPr>
      </w:pPr>
    </w:p>
    <w:p>
      <w:pPr>
        <w:ind w:left="660" w:right="580" w:hanging="209"/>
        <w:spacing w:after="0" w:line="265"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developments and projections relating to our competitors or our industry, including anticipated growth rates for the conventional and premium IOL markets;</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impact of the COVID-19 pandemic;</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accuracy of our estimates regarding expenses, future revenue, capital requirements and needs for additional financing;</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our financial performance, including in the three months ended June 30, 2021; and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sufficiency of our existing capital resources to fund our future operating expenses and capital expenditure requirements.</w:t>
      </w:r>
    </w:p>
    <w:p>
      <w:pPr>
        <w:spacing w:after="0" w:line="108"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278" w:lineRule="exact"/>
        <w:rPr>
          <w:sz w:val="20"/>
          <w:szCs w:val="20"/>
          <w:color w:val="auto"/>
        </w:rPr>
      </w:pPr>
    </w:p>
    <w:p>
      <w:pPr>
        <w:ind w:left="460" w:right="80"/>
        <w:spacing w:after="0" w:line="252"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0800"/>
          </w:cols>
          <w:pgMar w:left="320" w:top="441" w:right="77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Market, industry and other data</w:t>
      </w:r>
    </w:p>
    <w:p>
      <w:pPr>
        <w:spacing w:after="0" w:line="149"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This prospectus contains estimates, projections and other information concerning our industry, our business and the markets for our current and future products, including data regarding the estimated size of such markets and the incidence of certain medical conditions. We obtained the industry, market and similar data set forth in this prospectus from our internal estimates and research, including surveys and studies we have sponsored and/or conducted, and from academic and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our internal research is reliable, such research has not been verified by any third party.</w:t>
      </w:r>
    </w:p>
    <w:p>
      <w:pPr>
        <w:spacing w:after="0" w:line="129"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0780"/>
          </w:cols>
          <w:pgMar w:left="320" w:top="441" w:right="79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Use of proceeds</w:t>
      </w:r>
    </w:p>
    <w:p>
      <w:pPr>
        <w:spacing w:after="0" w:line="149" w:lineRule="exact"/>
        <w:rPr>
          <w:sz w:val="20"/>
          <w:szCs w:val="20"/>
          <w:color w:val="auto"/>
        </w:rPr>
      </w:pPr>
    </w:p>
    <w:p>
      <w:pPr>
        <w:ind w:left="460" w:right="100"/>
        <w:spacing w:after="0" w:line="255" w:lineRule="auto"/>
        <w:rPr>
          <w:sz w:val="20"/>
          <w:szCs w:val="20"/>
          <w:color w:val="auto"/>
        </w:rPr>
      </w:pPr>
      <w:r>
        <w:rPr>
          <w:rFonts w:ascii="Arial" w:cs="Arial" w:eastAsia="Arial" w:hAnsi="Arial"/>
          <w:sz w:val="16"/>
          <w:szCs w:val="16"/>
          <w:color w:val="auto"/>
        </w:rPr>
        <w:t>We estimate that the net proceeds to us from the sale of the shares of our common stock in this offering will be approximately $106.6 million, or approximately $123.0 million if the underwriters exercise their option to purchase additional shares in full, based upon the initial public offering price of $16.00 per share, and after deducting underwriting discounts and commissions and estimated offering expenses payable by us.</w:t>
      </w:r>
    </w:p>
    <w:p>
      <w:pPr>
        <w:spacing w:after="0" w:line="276" w:lineRule="exact"/>
        <w:rPr>
          <w:sz w:val="20"/>
          <w:szCs w:val="20"/>
          <w:color w:val="auto"/>
        </w:rPr>
      </w:pPr>
    </w:p>
    <w:p>
      <w:pPr>
        <w:ind w:left="460" w:right="460"/>
        <w:spacing w:after="0" w:line="265" w:lineRule="auto"/>
        <w:rPr>
          <w:sz w:val="20"/>
          <w:szCs w:val="20"/>
          <w:color w:val="auto"/>
        </w:rPr>
      </w:pPr>
      <w:r>
        <w:rPr>
          <w:rFonts w:ascii="Arial" w:cs="Arial" w:eastAsia="Arial" w:hAnsi="Arial"/>
          <w:sz w:val="16"/>
          <w:szCs w:val="16"/>
          <w:color w:val="auto"/>
        </w:rPr>
        <w:t>The principal purpose of this offering is to provide us with additional capital to support our operations. We currently intend to use the net proceeds from this offering as follows:</w:t>
      </w:r>
    </w:p>
    <w:p>
      <w:pPr>
        <w:spacing w:after="0" w:line="88" w:lineRule="exact"/>
        <w:rPr>
          <w:sz w:val="20"/>
          <w:szCs w:val="20"/>
          <w:color w:val="auto"/>
        </w:rPr>
      </w:pPr>
    </w:p>
    <w:p>
      <w:pPr>
        <w:ind w:left="660" w:hanging="209"/>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approximately $40.0 million to support our commercial expansion, including hiring additional commercial personnel;</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approximately $44.0 million to fund product development, research activities and clinical development; and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remainder for working capital and general corporate purposes.</w:t>
      </w:r>
    </w:p>
    <w:p>
      <w:pPr>
        <w:spacing w:after="0" w:line="108" w:lineRule="exact"/>
        <w:rPr>
          <w:sz w:val="20"/>
          <w:szCs w:val="20"/>
          <w:color w:val="auto"/>
        </w:rPr>
      </w:pPr>
    </w:p>
    <w:p>
      <w:pPr>
        <w:ind w:left="460"/>
        <w:spacing w:after="0" w:line="256" w:lineRule="auto"/>
        <w:rPr>
          <w:sz w:val="20"/>
          <w:szCs w:val="20"/>
          <w:color w:val="auto"/>
        </w:rPr>
      </w:pPr>
      <w:r>
        <w:rPr>
          <w:rFonts w:ascii="Arial" w:cs="Arial" w:eastAsia="Arial" w:hAnsi="Arial"/>
          <w:sz w:val="16"/>
          <w:szCs w:val="16"/>
          <w:color w:val="auto"/>
        </w:rPr>
        <w:t>We believe opportunities may exist from time to time to expand our current business through license or acquisitions of, or investments in, complementary businesses, products or technologies. While we have no current agreements, commitments or understandings for any specific licenses, acquisitions or investments at this time, we may use a portion of the net proceeds for these purposes.</w:t>
      </w:r>
    </w:p>
    <w:p>
      <w:pPr>
        <w:spacing w:after="0" w:line="83" w:lineRule="exact"/>
        <w:rPr>
          <w:sz w:val="20"/>
          <w:szCs w:val="20"/>
          <w:color w:val="auto"/>
        </w:rPr>
      </w:pPr>
    </w:p>
    <w:p>
      <w:pPr>
        <w:ind w:left="460" w:right="200"/>
        <w:spacing w:after="0" w:line="252" w:lineRule="auto"/>
        <w:rPr>
          <w:sz w:val="20"/>
          <w:szCs w:val="20"/>
          <w:color w:val="auto"/>
        </w:rPr>
      </w:pPr>
      <w:r>
        <w:rPr>
          <w:rFonts w:ascii="Arial" w:cs="Arial" w:eastAsia="Arial" w:hAnsi="Arial"/>
          <w:sz w:val="16"/>
          <w:szCs w:val="16"/>
          <w:color w:val="auto"/>
        </w:rPr>
        <w:t>Although we believe that the net proceeds from this offering, together with our available cash and cash equivalents, will be sufficient to fund our planned operations for at least 12 months following the date of this offering, this belief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 We may also choose to raise additional financing opportunistically.</w:t>
      </w:r>
    </w:p>
    <w:p>
      <w:pPr>
        <w:spacing w:after="0" w:line="86"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Our management will have broad discretion over the use of the net proceeds from this offering. The amounts and timing of our expenditures will depend upon numerous factors including cash flows from operations, the extent and success of our commercial expansion, the extent and results of our research and development efforts, the timing and success of our studies and clinical trials, the timing and results of regulatory submissions, reimbursement and the anticipated growth of our business.</w:t>
      </w:r>
    </w:p>
    <w:p>
      <w:pPr>
        <w:spacing w:after="0" w:line="86" w:lineRule="exact"/>
        <w:rPr>
          <w:sz w:val="20"/>
          <w:szCs w:val="20"/>
          <w:color w:val="auto"/>
        </w:rPr>
      </w:pPr>
    </w:p>
    <w:p>
      <w:pPr>
        <w:ind w:left="460" w:right="780"/>
        <w:spacing w:after="0" w:line="265" w:lineRule="auto"/>
        <w:rPr>
          <w:sz w:val="20"/>
          <w:szCs w:val="20"/>
          <w:color w:val="auto"/>
        </w:rPr>
      </w:pPr>
      <w:r>
        <w:rPr>
          <w:rFonts w:ascii="Arial" w:cs="Arial" w:eastAsia="Arial" w:hAnsi="Arial"/>
          <w:sz w:val="16"/>
          <w:szCs w:val="16"/>
          <w:color w:val="auto"/>
        </w:rPr>
        <w:t>Pending their uses, we plan to invest the net proceeds of this offering in short-term, interest-bearing, investment-grade instruments, certificates of deposit or direct or guaranteed obligations of the U.S. government.</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0780"/>
          </w:cols>
          <w:pgMar w:left="320" w:top="440" w:right="79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Dividend policy</w:t>
      </w:r>
    </w:p>
    <w:p>
      <w:pPr>
        <w:spacing w:after="0" w:line="149"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 In addition, the terms of our Credit Agreement restrict our ability to pay dividends to limited circumstances.</w:t>
      </w:r>
    </w:p>
    <w:p>
      <w:pPr>
        <w:spacing w:after="0" w:line="12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0620"/>
          </w:cols>
          <w:pgMar w:left="320" w:top="440" w:right="95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Capitalization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sets forth our cash, cash equivalents and short-term investments and capitalization as of March 31, 2021, as follows:</w:t>
      </w:r>
    </w:p>
    <w:p>
      <w:pPr>
        <w:spacing w:after="0" w:line="120" w:lineRule="exact"/>
        <w:rPr>
          <w:sz w:val="20"/>
          <w:szCs w:val="20"/>
          <w:color w:val="auto"/>
        </w:rPr>
      </w:pPr>
    </w:p>
    <w:p>
      <w:pPr>
        <w:ind w:left="660" w:hanging="209"/>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on an actual basis;</w:t>
      </w:r>
    </w:p>
    <w:p>
      <w:pPr>
        <w:spacing w:after="0" w:line="120" w:lineRule="exact"/>
        <w:rPr>
          <w:rFonts w:ascii="Arial" w:cs="Arial" w:eastAsia="Arial" w:hAnsi="Arial"/>
          <w:sz w:val="16"/>
          <w:szCs w:val="16"/>
          <w:color w:val="auto"/>
        </w:rPr>
      </w:pPr>
    </w:p>
    <w:p>
      <w:pPr>
        <w:ind w:left="660" w:right="60" w:hanging="209"/>
        <w:spacing w:after="0" w:line="252"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on a pro forma basis to reflect (i) the cash received and the impact of the cash exercise of 225,945 warrants to purchase Series H Preferred Stock at the weighted average exercise price of $12.40 per share, and (ii) the conversion of such shares into 225,945 shares of common stock plus the conversion of all outstanding shares of our convertible preferred stock at March 31, 2021 into 14,850,993 shares of common stock, for an aggregate total of 15,076,938 shares of common stock upon the completion of this offering and the filing and effectiveness of our amended and restated certificate of incorporation; and</w:t>
      </w:r>
    </w:p>
    <w:p>
      <w:pPr>
        <w:spacing w:after="0" w:line="99" w:lineRule="exact"/>
        <w:rPr>
          <w:rFonts w:ascii="Arial" w:cs="Arial" w:eastAsia="Arial" w:hAnsi="Arial"/>
          <w:sz w:val="16"/>
          <w:szCs w:val="16"/>
          <w:color w:val="auto"/>
        </w:rPr>
      </w:pPr>
    </w:p>
    <w:p>
      <w:pPr>
        <w:ind w:left="660" w:right="80" w:hanging="209"/>
        <w:spacing w:after="0" w:line="256"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on a pro forma as adjusted basis to further reflect our receipt of estimated net proceeds from the issuance and sale of 7,350,000 shares of common stock in this offering at the initial public offering price of $16.00 per share, after deducting the underwriting discounts and commissions and estimated offering expenses payable by us.</w:t>
      </w:r>
    </w:p>
    <w:p>
      <w:pPr>
        <w:spacing w:after="0" w:line="83" w:lineRule="exact"/>
        <w:rPr>
          <w:sz w:val="20"/>
          <w:szCs w:val="20"/>
          <w:color w:val="auto"/>
        </w:rPr>
      </w:pPr>
    </w:p>
    <w:p>
      <w:pPr>
        <w:ind w:left="460" w:right="80"/>
        <w:spacing w:after="0" w:line="253" w:lineRule="auto"/>
        <w:rPr>
          <w:sz w:val="20"/>
          <w:szCs w:val="20"/>
          <w:color w:val="auto"/>
        </w:rPr>
      </w:pPr>
      <w:r>
        <w:rPr>
          <w:rFonts w:ascii="Arial" w:cs="Arial" w:eastAsia="Arial" w:hAnsi="Arial"/>
          <w:sz w:val="16"/>
          <w:szCs w:val="16"/>
          <w:color w:val="auto"/>
        </w:rPr>
        <w:t>The information set forth in the table below is illustrative only and will be adjusted based on the actual initial public offering price and other terms of this offering as determined at pricing. You should read this information in conjunction with our audited and interim condensed consolidated financial statements and the related notes included elsewhere in this prospectus, as well as the sections of this prospectus titled “Selected Financial Data” and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60960</wp:posOffset>
            </wp:positionV>
            <wp:extent cx="6569075"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As of March 31, 2021</w:t>
            </w:r>
          </w:p>
        </w:tc>
      </w:tr>
      <w:tr>
        <w:trPr>
          <w:trHeight w:val="166"/>
        </w:trPr>
        <w:tc>
          <w:tcPr>
            <w:tcW w:w="6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ind w:left="100"/>
              <w:spacing w:after="0" w:line="166" w:lineRule="exact"/>
              <w:rPr>
                <w:sz w:val="20"/>
                <w:szCs w:val="20"/>
                <w:color w:val="auto"/>
              </w:rPr>
            </w:pPr>
            <w:r>
              <w:rPr>
                <w:rFonts w:ascii="Arial" w:cs="Arial" w:eastAsia="Arial" w:hAnsi="Arial"/>
                <w:sz w:val="16"/>
                <w:szCs w:val="16"/>
                <w:b w:val="1"/>
                <w:bCs w:val="1"/>
                <w:color w:val="auto"/>
              </w:rPr>
              <w:t>Pro forma as</w:t>
            </w:r>
          </w:p>
        </w:tc>
        <w:tc>
          <w:tcPr>
            <w:tcW w:w="100" w:type="dxa"/>
            <w:vAlign w:val="bottom"/>
          </w:tcPr>
          <w:p>
            <w:pPr>
              <w:spacing w:after="0"/>
              <w:rPr>
                <w:sz w:val="14"/>
                <w:szCs w:val="14"/>
                <w:color w:val="auto"/>
              </w:rPr>
            </w:pPr>
          </w:p>
        </w:tc>
      </w:tr>
      <w:tr>
        <w:trPr>
          <w:trHeight w:val="207"/>
        </w:trPr>
        <w:tc>
          <w:tcPr>
            <w:tcW w:w="66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Actual</w:t>
            </w: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Pro forma</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adjusted</w:t>
            </w:r>
          </w:p>
        </w:tc>
      </w:tr>
      <w:tr>
        <w:trPr>
          <w:trHeight w:val="166"/>
        </w:trPr>
        <w:tc>
          <w:tcPr>
            <w:tcW w:w="6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6"/>
          </w:tcPr>
          <w:p>
            <w:pPr>
              <w:jc w:val="right"/>
              <w:ind w:right="460"/>
              <w:spacing w:after="0" w:line="166" w:lineRule="exact"/>
              <w:rPr>
                <w:sz w:val="20"/>
                <w:szCs w:val="20"/>
                <w:color w:val="auto"/>
              </w:rPr>
            </w:pPr>
            <w:r>
              <w:rPr>
                <w:rFonts w:ascii="Arial" w:cs="Arial" w:eastAsia="Arial" w:hAnsi="Arial"/>
                <w:sz w:val="16"/>
                <w:szCs w:val="16"/>
                <w:b w:val="1"/>
                <w:bCs w:val="1"/>
                <w:color w:val="auto"/>
              </w:rPr>
              <w:t>(in thousands, except share data)</w:t>
            </w:r>
          </w:p>
        </w:tc>
      </w:tr>
      <w:tr>
        <w:trPr>
          <w:trHeight w:val="219"/>
        </w:trPr>
        <w:tc>
          <w:tcPr>
            <w:tcW w:w="6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gridSpan w:val="2"/>
          </w:tcPr>
          <w:p>
            <w:pPr>
              <w:jc w:val="right"/>
              <w:ind w:right="18"/>
              <w:spacing w:after="0"/>
              <w:rPr>
                <w:sz w:val="20"/>
                <w:szCs w:val="20"/>
                <w:color w:val="auto"/>
              </w:rPr>
            </w:pPr>
            <w:r>
              <w:rPr>
                <w:rFonts w:ascii="Arial" w:cs="Arial" w:eastAsia="Arial" w:hAnsi="Arial"/>
                <w:sz w:val="16"/>
                <w:szCs w:val="16"/>
                <w:b w:val="1"/>
                <w:bCs w:val="1"/>
                <w:color w:val="auto"/>
              </w:rPr>
              <w:t>(unaudited)</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2"/>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short-term investments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64,382</w:t>
            </w:r>
          </w:p>
        </w:tc>
        <w:tc>
          <w:tcPr>
            <w:tcW w:w="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67,184</w:t>
            </w:r>
          </w:p>
        </w:tc>
        <w:tc>
          <w:tcPr>
            <w:tcW w:w="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174,395</w:t>
            </w:r>
          </w:p>
        </w:tc>
        <w:tc>
          <w:tcPr>
            <w:tcW w:w="100" w:type="dxa"/>
            <w:vAlign w:val="bottom"/>
            <w:shd w:val="clear" w:color="auto" w:fill="CCEEFF"/>
          </w:tcPr>
          <w:p>
            <w:pPr>
              <w:spacing w:after="0"/>
              <w:rPr>
                <w:sz w:val="16"/>
                <w:szCs w:val="16"/>
                <w:color w:val="auto"/>
              </w:rPr>
            </w:pPr>
          </w:p>
        </w:tc>
      </w:tr>
      <w:tr>
        <w:trPr>
          <w:trHeight w:val="196"/>
        </w:trPr>
        <w:tc>
          <w:tcPr>
            <w:tcW w:w="6660" w:type="dxa"/>
            <w:vAlign w:val="bottom"/>
          </w:tcPr>
          <w:p>
            <w:pPr>
              <w:spacing w:after="0"/>
              <w:rPr>
                <w:sz w:val="20"/>
                <w:szCs w:val="20"/>
                <w:color w:val="auto"/>
              </w:rPr>
            </w:pPr>
            <w:r>
              <w:rPr>
                <w:rFonts w:ascii="Arial" w:cs="Arial" w:eastAsia="Arial" w:hAnsi="Arial"/>
                <w:sz w:val="16"/>
                <w:szCs w:val="16"/>
                <w:color w:val="auto"/>
              </w:rPr>
              <w:t>Term loan, net</w:t>
            </w: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58"/>
              <w:spacing w:after="0"/>
              <w:rPr>
                <w:sz w:val="20"/>
                <w:szCs w:val="20"/>
                <w:color w:val="auto"/>
              </w:rPr>
            </w:pPr>
            <w:r>
              <w:rPr>
                <w:rFonts w:ascii="Arial" w:cs="Arial" w:eastAsia="Arial" w:hAnsi="Arial"/>
                <w:sz w:val="16"/>
                <w:szCs w:val="16"/>
                <w:color w:val="auto"/>
              </w:rPr>
              <w:t>29,472</w:t>
            </w: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18"/>
              <w:spacing w:after="0"/>
              <w:rPr>
                <w:sz w:val="20"/>
                <w:szCs w:val="20"/>
                <w:color w:val="auto"/>
              </w:rPr>
            </w:pPr>
            <w:r>
              <w:rPr>
                <w:rFonts w:ascii="Arial" w:cs="Arial" w:eastAsia="Arial" w:hAnsi="Arial"/>
                <w:sz w:val="16"/>
                <w:szCs w:val="16"/>
                <w:color w:val="auto"/>
              </w:rPr>
              <w:t>29,472</w:t>
            </w: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29,472</w:t>
            </w:r>
          </w:p>
        </w:tc>
        <w:tc>
          <w:tcPr>
            <w:tcW w:w="100" w:type="dxa"/>
            <w:vAlign w:val="bottom"/>
          </w:tcPr>
          <w:p>
            <w:pPr>
              <w:spacing w:after="0"/>
              <w:rPr>
                <w:sz w:val="17"/>
                <w:szCs w:val="17"/>
                <w:color w:val="auto"/>
              </w:rPr>
            </w:pPr>
          </w:p>
        </w:tc>
      </w:tr>
      <w:tr>
        <w:trPr>
          <w:trHeight w:val="193"/>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Convertible preferred stock, $0.001 par value per share; 16,572,792 shares authorized,</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6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14,376,272 shares issued and outstanding, and aggregate liquidation preference of</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6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$196,528 ; no shares authorized, issued or outstanding pro forma and pro forma as</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6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353,300</w:t>
            </w:r>
          </w:p>
        </w:tc>
        <w:tc>
          <w:tcPr>
            <w:tcW w:w="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54"/>
        </w:trPr>
        <w:tc>
          <w:tcPr>
            <w:tcW w:w="6660" w:type="dxa"/>
            <w:vAlign w:val="bottom"/>
          </w:tcPr>
          <w:p>
            <w:pPr>
              <w:spacing w:after="0"/>
              <w:rPr>
                <w:sz w:val="20"/>
                <w:szCs w:val="20"/>
                <w:color w:val="auto"/>
              </w:rPr>
            </w:pPr>
            <w:r>
              <w:rPr>
                <w:rFonts w:ascii="Arial" w:cs="Arial" w:eastAsia="Arial" w:hAnsi="Arial"/>
                <w:sz w:val="16"/>
                <w:szCs w:val="16"/>
                <w:color w:val="auto"/>
              </w:rPr>
              <w:t>Stockholders’ (deficit) equity :</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3"/>
        </w:trPr>
        <w:tc>
          <w:tcPr>
            <w:tcW w:w="6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Common stock, $0.001 par value per share; 24,545,966 shares authorized, 4,093,995</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66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shares issued and outstanding, actual; 24,545,966 shares authorized, 19,170,933</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66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shares issued and outstanding, pro forma; 900,000,000 shares authorized,</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66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26,520,933 shares issued and outstanding, pro forma as adjusted</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4</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19</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6"/>
                <w:szCs w:val="16"/>
                <w:color w:val="auto"/>
              </w:rPr>
            </w:pPr>
          </w:p>
        </w:tc>
      </w:tr>
      <w:tr>
        <w:trPr>
          <w:trHeight w:val="190"/>
        </w:trPr>
        <w:tc>
          <w:tcPr>
            <w:tcW w:w="666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158"/>
              <w:spacing w:after="0"/>
              <w:rPr>
                <w:sz w:val="20"/>
                <w:szCs w:val="20"/>
                <w:color w:val="auto"/>
              </w:rPr>
            </w:pPr>
            <w:r>
              <w:rPr>
                <w:rFonts w:ascii="Arial" w:cs="Arial" w:eastAsia="Arial" w:hAnsi="Arial"/>
                <w:sz w:val="16"/>
                <w:szCs w:val="16"/>
                <w:color w:val="auto"/>
              </w:rPr>
              <w:t>136,307</w:t>
            </w:r>
          </w:p>
        </w:tc>
        <w:tc>
          <w:tcPr>
            <w:tcW w:w="280" w:type="dxa"/>
            <w:vAlign w:val="bottom"/>
          </w:tcPr>
          <w:p>
            <w:pPr>
              <w:spacing w:after="0"/>
              <w:rPr>
                <w:sz w:val="16"/>
                <w:szCs w:val="16"/>
                <w:color w:val="auto"/>
              </w:rPr>
            </w:pPr>
          </w:p>
        </w:tc>
        <w:tc>
          <w:tcPr>
            <w:tcW w:w="960" w:type="dxa"/>
            <w:vAlign w:val="bottom"/>
          </w:tcPr>
          <w:p>
            <w:pPr>
              <w:jc w:val="right"/>
              <w:ind w:right="218"/>
              <w:spacing w:after="0"/>
              <w:rPr>
                <w:sz w:val="20"/>
                <w:szCs w:val="20"/>
                <w:color w:val="auto"/>
              </w:rPr>
            </w:pPr>
            <w:r>
              <w:rPr>
                <w:rFonts w:ascii="Arial" w:cs="Arial" w:eastAsia="Arial" w:hAnsi="Arial"/>
                <w:sz w:val="16"/>
                <w:szCs w:val="16"/>
                <w:color w:val="auto"/>
              </w:rPr>
              <w:t>492,394</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598,780</w:t>
            </w:r>
          </w:p>
        </w:tc>
        <w:tc>
          <w:tcPr>
            <w:tcW w:w="100" w:type="dxa"/>
            <w:vAlign w:val="bottom"/>
          </w:tcPr>
          <w:p>
            <w:pPr>
              <w:spacing w:after="0"/>
              <w:rPr>
                <w:sz w:val="16"/>
                <w:szCs w:val="16"/>
                <w:color w:val="auto"/>
              </w:rPr>
            </w:pPr>
          </w:p>
        </w:tc>
      </w:tr>
      <w:tr>
        <w:trPr>
          <w:trHeight w:val="190"/>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Notes receivable for common stock issued</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(817)</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(817)</w:t>
            </w:r>
          </w:p>
        </w:tc>
        <w:tc>
          <w:tcPr>
            <w:tcW w:w="3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0"/>
        </w:trPr>
        <w:tc>
          <w:tcPr>
            <w:tcW w:w="6660" w:type="dxa"/>
            <w:vAlign w:val="bottom"/>
          </w:tcPr>
          <w:p>
            <w:pPr>
              <w:spacing w:after="0"/>
              <w:rPr>
                <w:sz w:val="20"/>
                <w:szCs w:val="20"/>
                <w:color w:val="auto"/>
              </w:rPr>
            </w:pPr>
            <w:r>
              <w:rPr>
                <w:rFonts w:ascii="Arial" w:cs="Arial" w:eastAsia="Arial" w:hAnsi="Arial"/>
                <w:sz w:val="16"/>
                <w:szCs w:val="16"/>
                <w:color w:val="auto"/>
              </w:rPr>
              <w:t>Series G common stock, $0.001 par value, 1 share authorized and outstanding</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15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960" w:type="dxa"/>
            <w:vAlign w:val="bottom"/>
          </w:tcPr>
          <w:p>
            <w:pPr>
              <w:jc w:val="right"/>
              <w:ind w:right="21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0"/>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6"/>
        </w:trPr>
        <w:tc>
          <w:tcPr>
            <w:tcW w:w="6660" w:type="dxa"/>
            <w:vAlign w:val="bottom"/>
          </w:tcPr>
          <w:p>
            <w:pPr>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98"/>
              <w:spacing w:after="0"/>
              <w:rPr>
                <w:sz w:val="20"/>
                <w:szCs w:val="20"/>
                <w:color w:val="auto"/>
              </w:rPr>
            </w:pPr>
            <w:r>
              <w:rPr>
                <w:rFonts w:ascii="Arial" w:cs="Arial" w:eastAsia="Arial" w:hAnsi="Arial"/>
                <w:sz w:val="16"/>
                <w:szCs w:val="16"/>
                <w:color w:val="auto"/>
              </w:rPr>
              <w:t>(437,393)</w:t>
            </w:r>
          </w:p>
        </w:tc>
        <w:tc>
          <w:tcPr>
            <w:tcW w:w="280" w:type="dxa"/>
            <w:vAlign w:val="bottom"/>
          </w:tcPr>
          <w:p>
            <w:pPr>
              <w:spacing w:after="0"/>
              <w:rPr>
                <w:sz w:val="17"/>
                <w:szCs w:val="17"/>
                <w:color w:val="auto"/>
              </w:rPr>
            </w:pPr>
          </w:p>
        </w:tc>
        <w:tc>
          <w:tcPr>
            <w:tcW w:w="960" w:type="dxa"/>
            <w:vAlign w:val="bottom"/>
          </w:tcPr>
          <w:p>
            <w:pPr>
              <w:jc w:val="right"/>
              <w:ind w:right="158"/>
              <w:spacing w:after="0"/>
              <w:rPr>
                <w:sz w:val="20"/>
                <w:szCs w:val="20"/>
                <w:color w:val="auto"/>
              </w:rPr>
            </w:pPr>
            <w:r>
              <w:rPr>
                <w:rFonts w:ascii="Arial" w:cs="Arial" w:eastAsia="Arial" w:hAnsi="Arial"/>
                <w:sz w:val="16"/>
                <w:szCs w:val="16"/>
                <w:color w:val="auto"/>
              </w:rPr>
              <w:t>(437,393)</w:t>
            </w:r>
          </w:p>
        </w:tc>
        <w:tc>
          <w:tcPr>
            <w:tcW w:w="3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(437,393)</w:t>
            </w:r>
          </w:p>
        </w:tc>
      </w:tr>
      <w:tr>
        <w:trPr>
          <w:trHeight w:val="190"/>
        </w:trPr>
        <w:tc>
          <w:tcPr>
            <w:tcW w:w="6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stockholders’ (deficit) equity</w:t>
            </w:r>
          </w:p>
        </w:tc>
        <w:tc>
          <w:tcPr>
            <w:tcW w:w="24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(301,899)</w:t>
            </w: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rPr>
              <w:t>54,203</w:t>
            </w: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161,414</w:t>
            </w:r>
          </w:p>
        </w:tc>
        <w:tc>
          <w:tcPr>
            <w:tcW w:w="100" w:type="dxa"/>
            <w:vAlign w:val="bottom"/>
            <w:shd w:val="clear" w:color="auto" w:fill="CCEEFF"/>
          </w:tcPr>
          <w:p>
            <w:pPr>
              <w:spacing w:after="0"/>
              <w:rPr>
                <w:sz w:val="16"/>
                <w:szCs w:val="16"/>
                <w:color w:val="auto"/>
              </w:rPr>
            </w:pPr>
          </w:p>
        </w:tc>
      </w:tr>
      <w:tr>
        <w:trPr>
          <w:trHeight w:val="207"/>
        </w:trPr>
        <w:tc>
          <w:tcPr>
            <w:tcW w:w="66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Total capitalization</w:t>
            </w: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80,873</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rPr>
              <w:t>83,675</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190,886</w:t>
            </w:r>
          </w:p>
        </w:tc>
        <w:tc>
          <w:tcPr>
            <w:tcW w:w="100" w:type="dxa"/>
            <w:vAlign w:val="bottom"/>
          </w:tcPr>
          <w:p>
            <w:pPr>
              <w:spacing w:after="0"/>
              <w:rPr>
                <w:sz w:val="17"/>
                <w:szCs w:val="17"/>
                <w:color w:val="auto"/>
              </w:rPr>
            </w:pPr>
          </w:p>
        </w:tc>
      </w:tr>
      <w:tr>
        <w:trPr>
          <w:trHeight w:val="473"/>
        </w:trPr>
        <w:tc>
          <w:tcPr>
            <w:tcW w:w="6660" w:type="dxa"/>
            <w:vAlign w:val="bottom"/>
          </w:tcPr>
          <w:p>
            <w:pPr>
              <w:ind w:left="5080"/>
              <w:spacing w:after="0"/>
              <w:rPr>
                <w:sz w:val="20"/>
                <w:szCs w:val="20"/>
                <w:color w:val="auto"/>
              </w:rPr>
            </w:pPr>
            <w:r>
              <w:rPr>
                <w:rFonts w:ascii="Arial" w:cs="Arial" w:eastAsia="Arial" w:hAnsi="Arial"/>
                <w:sz w:val="16"/>
                <w:szCs w:val="16"/>
                <w:color w:val="auto"/>
              </w:rPr>
              <w:t>91</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800"/>
          </w:cols>
          <w:pgMar w:left="320" w:top="441" w:right="77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40"/>
        <w:spacing w:after="0" w:line="251" w:lineRule="auto"/>
        <w:rPr>
          <w:sz w:val="20"/>
          <w:szCs w:val="20"/>
          <w:color w:val="auto"/>
        </w:rPr>
      </w:pPr>
      <w:r>
        <w:rPr>
          <w:rFonts w:ascii="Arial" w:cs="Arial" w:eastAsia="Arial" w:hAnsi="Arial"/>
          <w:sz w:val="16"/>
          <w:szCs w:val="16"/>
          <w:color w:val="auto"/>
        </w:rPr>
        <w:t>The number of shares of our common stock to be outstanding after this offering is based on the 19,170,933 shares of our common stock outstanding as of March 31, 2021 (including 14,850,993 shares of common stock issuable upon the conversion of our outstanding convertible preferred stock as of March 31, 2021 and 225,945 shares of common stock issuable upon the exercise of warrants to purchase shares of Series H convertible preferred stock outstanding as of March 31, 2021, which will be converted into shares of our common stock following such exercise and immediately prior to the completion of this offering, at a weighted-average exercise price of $12.40 per share), and excludes the following:</w:t>
      </w:r>
    </w:p>
    <w:p>
      <w:pPr>
        <w:spacing w:after="0" w:line="293" w:lineRule="exact"/>
        <w:rPr>
          <w:sz w:val="20"/>
          <w:szCs w:val="20"/>
          <w:color w:val="auto"/>
        </w:rPr>
      </w:pPr>
    </w:p>
    <w:p>
      <w:pPr>
        <w:ind w:left="660" w:right="760" w:hanging="209"/>
        <w:spacing w:after="0" w:line="265"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4,623,643 shares of common stock issuable upon exercise of options to purchase shares of our common stock outstanding as of March 31, 2021, at a weighted-average exercise price of $10.81 per share;</w:t>
      </w:r>
    </w:p>
    <w:p>
      <w:pPr>
        <w:spacing w:after="0" w:line="88" w:lineRule="exact"/>
        <w:rPr>
          <w:rFonts w:ascii="Arial" w:cs="Arial" w:eastAsia="Arial" w:hAnsi="Arial"/>
          <w:sz w:val="16"/>
          <w:szCs w:val="16"/>
          <w:color w:val="auto"/>
        </w:rPr>
      </w:pPr>
    </w:p>
    <w:p>
      <w:pPr>
        <w:ind w:left="660" w:right="40" w:hanging="209"/>
        <w:spacing w:after="0" w:line="265"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7,260 shares of common stock issuable upon exercise of options to purchase shares of our common stock that we granted after March 31, 2021, at a weighted-average exercise price of $19.94 per share;</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125,547 shares of common stock reserved for future issuance under our 2015 Plan as of March 31, 2021;</w:t>
      </w:r>
    </w:p>
    <w:p>
      <w:pPr>
        <w:spacing w:after="0" w:line="120" w:lineRule="exact"/>
        <w:rPr>
          <w:rFonts w:ascii="Arial" w:cs="Arial" w:eastAsia="Arial" w:hAnsi="Arial"/>
          <w:sz w:val="16"/>
          <w:szCs w:val="16"/>
          <w:color w:val="auto"/>
        </w:rPr>
      </w:pPr>
    </w:p>
    <w:p>
      <w:pPr>
        <w:ind w:left="660" w:right="620" w:hanging="209"/>
        <w:spacing w:after="0" w:line="265"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7,260,406 shares of common stock reserved for future issuance under our 2021 Plan, which became effective on the business day immediately prior to the date of effectiveness of the registration statement of which this prospectus forms a part; and</w:t>
      </w:r>
    </w:p>
    <w:p>
      <w:pPr>
        <w:spacing w:after="0" w:line="88" w:lineRule="exact"/>
        <w:rPr>
          <w:rFonts w:ascii="Arial" w:cs="Arial" w:eastAsia="Arial" w:hAnsi="Arial"/>
          <w:sz w:val="16"/>
          <w:szCs w:val="16"/>
          <w:color w:val="auto"/>
        </w:rPr>
      </w:pPr>
    </w:p>
    <w:p>
      <w:pPr>
        <w:ind w:left="660" w:right="220" w:hanging="209"/>
        <w:spacing w:after="0" w:line="265"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484,027 shares of common stock reserved for issuance under our 2021 ESPP, which became effective on the business day immediately prior to the date of effectiveness of the registration statement of which this prospectus forms a part.</w:t>
      </w:r>
    </w:p>
    <w:p>
      <w:pPr>
        <w:spacing w:after="0" w:line="75"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Each of our 2021 Plan and our 2021 ESPP provides for annual automatic increases in the number of shares reserved thereunder, and our 2021 Plan also provides for increases to the number of shares that may be granted thereunder based on awards under our 2015 Plan or 2006 Plan that expire, are forfeited, or otherwise repurchased by us, as more fully described in the section titled “Executive Compensation— Employee Benefit and Stock Plans.”</w:t>
      </w:r>
    </w:p>
    <w:p>
      <w:pPr>
        <w:spacing w:after="0" w:line="1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0780"/>
          </w:cols>
          <w:pgMar w:left="320" w:top="440" w:right="79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Dilution</w:t>
      </w:r>
    </w:p>
    <w:p>
      <w:pPr>
        <w:spacing w:after="0" w:line="149" w:lineRule="exact"/>
        <w:rPr>
          <w:sz w:val="20"/>
          <w:szCs w:val="20"/>
          <w:color w:val="auto"/>
        </w:rPr>
      </w:pPr>
    </w:p>
    <w:p>
      <w:pPr>
        <w:ind w:left="460" w:right="40"/>
        <w:spacing w:after="0" w:line="256" w:lineRule="auto"/>
        <w:rPr>
          <w:sz w:val="20"/>
          <w:szCs w:val="20"/>
          <w:color w:val="auto"/>
        </w:rPr>
      </w:pPr>
      <w:r>
        <w:rPr>
          <w:rFonts w:ascii="Arial" w:cs="Arial" w:eastAsia="Arial" w:hAnsi="Arial"/>
          <w:sz w:val="16"/>
          <w:szCs w:val="16"/>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83" w:lineRule="exact"/>
        <w:rPr>
          <w:sz w:val="20"/>
          <w:szCs w:val="20"/>
          <w:color w:val="auto"/>
        </w:rPr>
      </w:pPr>
    </w:p>
    <w:p>
      <w:pPr>
        <w:ind w:left="460" w:right="40"/>
        <w:spacing w:after="0" w:line="253" w:lineRule="auto"/>
        <w:rPr>
          <w:sz w:val="20"/>
          <w:szCs w:val="20"/>
          <w:color w:val="auto"/>
        </w:rPr>
      </w:pPr>
      <w:r>
        <w:rPr>
          <w:rFonts w:ascii="Arial" w:cs="Arial" w:eastAsia="Arial" w:hAnsi="Arial"/>
          <w:sz w:val="16"/>
          <w:szCs w:val="16"/>
          <w:color w:val="auto"/>
        </w:rPr>
        <w:t>Our historical net tangible book value (deficit) as of March 31, 2021 was approximately $(302.0) million, or $(73.74) per share of our common stock. Our historical net tangible book value (deficit) is the amount of our total tangible assets less our total liabilities and convertible preferred stock, which is not included within our stockholders’ (deficit) equity. Historical net tangible book value per share represents historical net tangible book value (deficit) divided by the number of shares of our common stock outstanding as of March 31, 2021.</w:t>
      </w:r>
    </w:p>
    <w:p>
      <w:pPr>
        <w:spacing w:after="0" w:line="86"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Our pro forma net tangible book value (deficit) as of March 31, 2021 was approximately $54.2 million, or $2.83 per share of our common stock. Pro forma net tangible book value (deficit) represents the amount of our total tangible assets less our total liabilities as of March 31, 2021, after (i) giving effect to the cash received and the impact of the cash exercise of 225,945 warrants to purchase Series H Preferred Stock at the weighted average exercise price of $12.40 per share, and (ii) the conversion of such shares into 225,945 shares of common stock plus the conversion of all of our convertible preferred stock outstanding at March 31, 2021 into 14,850,993 shares of common stock, for an aggregate total of 15,076,938 shares of common stock upon the completion of this offering, and the filing and effectiveness of our amended and restated certificate of incorporation. Pro forma net tangible book value per share represents pro forma net tangible book value divided by the total number of shares outstanding as of March 31, 2021, after (i) giving effect to the cash received for exercise of 225,945 warrants to purchase Series H Preferred Stock at the weighted average exercise price of $12.40 per share, and (ii) to reflect the conversion of such shares into 225,945 shares of common stock plus the conversion of all of our convertible preferred stock outstanding at March 31, 2021 into 14,850,993 shares of common stock, for an aggregate total of 15,076,938 shares of common stock upon the completion of this offering, and (iii) the filing and effectiveness of our amended and restated certificate of incorporation.</w:t>
      </w:r>
    </w:p>
    <w:p>
      <w:pPr>
        <w:spacing w:after="0" w:line="93"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After giving further effect to our sale of 7,350,000 shares of common stock in this offering at the initial public offering price of $16.00 per share, and after deducting underwriting discounts and commissions and estimated offering expenses payable by us, our pro forma as adjusted net tangible book value as of March 31, 2021 would have been approximately $161.4 million, or $6.09 per share. This represents an immediate increase in pro forma as adjusted net tangible book value per share of $3.26 to our existing stockholders and an immediate dilution in pro forma as adjusted net tangible book value per share of $9.91 to new investors purchasing common stock in this offering. Dilution per share to new investors purchasing common stock in this offering is determined by subtracting pro forma as adjusted net tangible book value per share after this offering from the initial public offering price per share paid by new investors.</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illustrates this dilution on a per share basis:</w:t>
      </w:r>
    </w:p>
    <w:p>
      <w:pPr>
        <w:spacing w:after="0" w:line="9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8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Initial public offering price per share</w:t>
            </w: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16.00</w:t>
            </w:r>
          </w:p>
        </w:tc>
        <w:tc>
          <w:tcPr>
            <w:tcW w:w="40" w:type="dxa"/>
            <w:vAlign w:val="bottom"/>
            <w:tcBorders>
              <w:top w:val="single" w:sz="8" w:color="auto"/>
            </w:tcBorders>
            <w:shd w:val="clear" w:color="auto" w:fill="CCEEFF"/>
          </w:tcPr>
          <w:p>
            <w:pPr>
              <w:spacing w:after="0"/>
              <w:rPr>
                <w:sz w:val="18"/>
                <w:szCs w:val="18"/>
                <w:color w:val="auto"/>
              </w:rPr>
            </w:pPr>
          </w:p>
        </w:tc>
      </w:tr>
      <w:tr>
        <w:trPr>
          <w:trHeight w:val="190"/>
        </w:trPr>
        <w:tc>
          <w:tcPr>
            <w:tcW w:w="8440" w:type="dxa"/>
            <w:vAlign w:val="bottom"/>
          </w:tcPr>
          <w:p>
            <w:pPr>
              <w:ind w:left="200"/>
              <w:spacing w:after="0"/>
              <w:rPr>
                <w:sz w:val="20"/>
                <w:szCs w:val="20"/>
                <w:color w:val="auto"/>
              </w:rPr>
            </w:pPr>
            <w:r>
              <w:rPr>
                <w:rFonts w:ascii="Arial" w:cs="Arial" w:eastAsia="Arial" w:hAnsi="Arial"/>
                <w:sz w:val="16"/>
                <w:szCs w:val="16"/>
                <w:color w:val="auto"/>
              </w:rPr>
              <w:t>Historical net tangible book value (deficit) per share as of March 31, 2021</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78"/>
              <w:spacing w:after="0"/>
              <w:rPr>
                <w:sz w:val="20"/>
                <w:szCs w:val="20"/>
                <w:color w:val="auto"/>
              </w:rPr>
            </w:pPr>
            <w:r>
              <w:rPr>
                <w:rFonts w:ascii="Arial" w:cs="Arial" w:eastAsia="Arial" w:hAnsi="Arial"/>
                <w:sz w:val="16"/>
                <w:szCs w:val="16"/>
                <w:color w:val="auto"/>
              </w:rPr>
              <w:t>(73.74)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8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 forma increase in net tangible book value (deficit) per share as of March 31, 2021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76.57</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
        </w:trPr>
        <w:tc>
          <w:tcPr>
            <w:tcW w:w="8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440" w:type="dxa"/>
            <w:vAlign w:val="bottom"/>
          </w:tcPr>
          <w:p>
            <w:pPr>
              <w:ind w:left="200"/>
              <w:spacing w:after="0"/>
              <w:rPr>
                <w:sz w:val="20"/>
                <w:szCs w:val="20"/>
                <w:color w:val="auto"/>
              </w:rPr>
            </w:pPr>
            <w:r>
              <w:rPr>
                <w:rFonts w:ascii="Arial" w:cs="Arial" w:eastAsia="Arial" w:hAnsi="Arial"/>
                <w:sz w:val="16"/>
                <w:szCs w:val="16"/>
                <w:color w:val="auto"/>
              </w:rPr>
              <w:t>Pro forma net tangible book value (deficit) per share as of March 31, 2021</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2.83</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3"/>
        </w:trPr>
        <w:tc>
          <w:tcPr>
            <w:tcW w:w="8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Increase in pro forma as adjusted net tangible book value per share attributable to new investors purchasing</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7"/>
        </w:trPr>
        <w:tc>
          <w:tcPr>
            <w:tcW w:w="84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shares in this offering</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64"/>
        </w:trPr>
        <w:tc>
          <w:tcPr>
            <w:tcW w:w="8440" w:type="dxa"/>
            <w:vAlign w:val="bottom"/>
          </w:tcPr>
          <w:p>
            <w:pPr>
              <w:spacing w:after="0"/>
              <w:rPr>
                <w:sz w:val="20"/>
                <w:szCs w:val="20"/>
                <w:color w:val="auto"/>
              </w:rPr>
            </w:pPr>
            <w:r>
              <w:rPr>
                <w:rFonts w:ascii="Arial" w:cs="Arial" w:eastAsia="Arial" w:hAnsi="Arial"/>
                <w:sz w:val="16"/>
                <w:szCs w:val="16"/>
                <w:color w:val="auto"/>
              </w:rPr>
              <w:t>Pro forma as adjusted net tangible book value per share after this offering</w:t>
            </w:r>
          </w:p>
        </w:tc>
        <w:tc>
          <w:tcPr>
            <w:tcW w:w="36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6.09</w:t>
            </w:r>
          </w:p>
        </w:tc>
        <w:tc>
          <w:tcPr>
            <w:tcW w:w="40" w:type="dxa"/>
            <w:vAlign w:val="bottom"/>
          </w:tcPr>
          <w:p>
            <w:pPr>
              <w:spacing w:after="0"/>
              <w:rPr>
                <w:sz w:val="22"/>
                <w:szCs w:val="22"/>
                <w:color w:val="auto"/>
              </w:rPr>
            </w:pPr>
          </w:p>
        </w:tc>
      </w:tr>
      <w:tr>
        <w:trPr>
          <w:trHeight w:val="19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Dilution in pro forma as adjusted net tangible book value per share to new investors purchasing shares in this</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7"/>
        </w:trPr>
        <w:tc>
          <w:tcPr>
            <w:tcW w:w="8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offering</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40" w:type="dxa"/>
            <w:vAlign w:val="bottom"/>
            <w:shd w:val="clear" w:color="auto" w:fill="CCEEFF"/>
          </w:tcPr>
          <w:p>
            <w:pPr>
              <w:spacing w:after="0"/>
              <w:rPr>
                <w:sz w:val="16"/>
                <w:szCs w:val="16"/>
                <w:color w:val="auto"/>
              </w:rPr>
            </w:pPr>
          </w:p>
        </w:tc>
      </w:tr>
      <w:tr>
        <w:trPr>
          <w:trHeight w:val="20"/>
        </w:trPr>
        <w:tc>
          <w:tcPr>
            <w:tcW w:w="8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8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6"/>
        </w:trPr>
        <w:tc>
          <w:tcPr>
            <w:tcW w:w="8440" w:type="dxa"/>
            <w:vAlign w:val="bottom"/>
          </w:tcPr>
          <w:p>
            <w:pPr>
              <w:ind w:left="5080"/>
              <w:spacing w:after="0"/>
              <w:rPr>
                <w:sz w:val="20"/>
                <w:szCs w:val="20"/>
                <w:color w:val="auto"/>
              </w:rPr>
            </w:pPr>
            <w:r>
              <w:rPr>
                <w:rFonts w:ascii="Arial" w:cs="Arial" w:eastAsia="Arial" w:hAnsi="Arial"/>
                <w:sz w:val="16"/>
                <w:szCs w:val="16"/>
                <w:color w:val="auto"/>
              </w:rPr>
              <w:t>93</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00"/>
          </w:cols>
          <w:pgMar w:left="320" w:top="440" w:right="77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80"/>
        <w:spacing w:after="0" w:line="252" w:lineRule="auto"/>
        <w:rPr>
          <w:sz w:val="20"/>
          <w:szCs w:val="20"/>
          <w:color w:val="auto"/>
        </w:rPr>
      </w:pPr>
      <w:r>
        <w:rPr>
          <w:rFonts w:ascii="Arial" w:cs="Arial" w:eastAsia="Arial" w:hAnsi="Arial"/>
          <w:sz w:val="16"/>
          <w:szCs w:val="16"/>
          <w:color w:val="auto"/>
        </w:rPr>
        <w:t>If the underwriters exercise their option to purchase 1,102,500 additional shares of common stock in this offering in full at the initial public offering price of $16.00 per share, and assuming the number of shares offered by us, as set forth on the cover page of this prospectus, remains the same, and after deducting underwriting discounts and commissions and estimated offering expenses payable by us, the pro forma as adjusted net tangible book value per share after this offering would be $6.44 per share, and the dilution in pro forma as adjusted net tangible book value per share to new investors purchasing common stock in this offering would be $9.56 per share.</w:t>
      </w:r>
    </w:p>
    <w:p>
      <w:pPr>
        <w:spacing w:after="0" w:line="86" w:lineRule="exact"/>
        <w:rPr>
          <w:sz w:val="20"/>
          <w:szCs w:val="20"/>
          <w:color w:val="auto"/>
        </w:rPr>
      </w:pPr>
    </w:p>
    <w:p>
      <w:pPr>
        <w:ind w:left="460" w:right="160"/>
        <w:spacing w:after="0" w:line="253" w:lineRule="auto"/>
        <w:rPr>
          <w:sz w:val="20"/>
          <w:szCs w:val="20"/>
          <w:color w:val="auto"/>
        </w:rPr>
      </w:pPr>
      <w:r>
        <w:rPr>
          <w:rFonts w:ascii="Arial" w:cs="Arial" w:eastAsia="Arial" w:hAnsi="Arial"/>
          <w:sz w:val="16"/>
          <w:szCs w:val="16"/>
          <w:color w:val="auto"/>
        </w:rPr>
        <w:t>The following table summarizes, on a pro forma as adjusted basis described above, as of March 31, 2021, the number of shares of common stock purchased from us on an as converted to common stock basis, the total consideration paid, or to be paid and the average price per share paid, or to be paid, by existing stockholders and by new investors in this offering at the initial public offering price of $16.00 per share, before deducting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60960</wp:posOffset>
            </wp:positionV>
            <wp:extent cx="6569075"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680" w:type="dxa"/>
            <w:vAlign w:val="bottom"/>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Shares purchased</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Total consideration</w:t>
            </w:r>
          </w:p>
        </w:tc>
        <w:tc>
          <w:tcPr>
            <w:tcW w:w="60" w:type="dxa"/>
            <w:vAlign w:val="bottom"/>
          </w:tcPr>
          <w:p>
            <w:pPr>
              <w:spacing w:after="0"/>
              <w:rPr>
                <w:sz w:val="18"/>
                <w:szCs w:val="18"/>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Average price</w:t>
            </w:r>
          </w:p>
        </w:tc>
        <w:tc>
          <w:tcPr>
            <w:tcW w:w="0" w:type="dxa"/>
            <w:vAlign w:val="bottom"/>
          </w:tcPr>
          <w:p>
            <w:pPr>
              <w:spacing w:after="0"/>
              <w:rPr>
                <w:sz w:val="1"/>
                <w:szCs w:val="1"/>
                <w:color w:val="auto"/>
              </w:rPr>
            </w:pPr>
          </w:p>
        </w:tc>
      </w:tr>
      <w:tr>
        <w:trPr>
          <w:trHeight w:val="166"/>
        </w:trPr>
        <w:tc>
          <w:tcPr>
            <w:tcW w:w="4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6"/>
                <w:szCs w:val="16"/>
                <w:b w:val="1"/>
                <w:bCs w:val="1"/>
                <w:color w:val="auto"/>
              </w:rPr>
              <w:t>Amount</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6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Number</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Percent</w:t>
            </w: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Percent</w:t>
            </w: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183"/>
        </w:trPr>
        <w:tc>
          <w:tcPr>
            <w:tcW w:w="46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Existing stockholders before this offering</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19,170,933</w:t>
            </w:r>
          </w:p>
        </w:tc>
        <w:tc>
          <w:tcPr>
            <w:tcW w:w="9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72%</w:t>
            </w:r>
          </w:p>
        </w:tc>
        <w:tc>
          <w:tcPr>
            <w:tcW w:w="620" w:type="dxa"/>
            <w:vAlign w:val="bottom"/>
            <w:gridSpan w:val="2"/>
            <w:shd w:val="clear" w:color="auto" w:fill="CCEEFF"/>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492,413</w:t>
            </w:r>
          </w:p>
        </w:tc>
        <w:tc>
          <w:tcPr>
            <w:tcW w:w="9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81%</w:t>
            </w:r>
          </w:p>
        </w:tc>
        <w:tc>
          <w:tcPr>
            <w:tcW w:w="540" w:type="dxa"/>
            <w:vAlign w:val="bottom"/>
            <w:gridSpan w:val="2"/>
            <w:shd w:val="clear" w:color="auto" w:fill="CCEEFF"/>
          </w:tcPr>
          <w:p>
            <w:pPr>
              <w:jc w:val="right"/>
              <w:ind w:right="58"/>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25.69</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20"/>
                <w:szCs w:val="20"/>
                <w:color w:val="auto"/>
              </w:rPr>
            </w:pPr>
            <w:r>
              <w:rPr>
                <w:rFonts w:ascii="Arial" w:cs="Arial" w:eastAsia="Arial" w:hAnsi="Arial"/>
                <w:sz w:val="16"/>
                <w:szCs w:val="16"/>
                <w:color w:val="auto"/>
              </w:rPr>
              <w:t>Investors participating in this offering</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7,350,000</w:t>
            </w:r>
          </w:p>
        </w:tc>
        <w:tc>
          <w:tcPr>
            <w:tcW w:w="320" w:type="dxa"/>
            <w:vAlign w:val="bottom"/>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117,600</w:t>
            </w:r>
          </w:p>
        </w:tc>
        <w:tc>
          <w:tcPr>
            <w:tcW w:w="320" w:type="dxa"/>
            <w:vAlign w:val="bottom"/>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190"/>
        </w:trPr>
        <w:tc>
          <w:tcPr>
            <w:tcW w:w="4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26,520,933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6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460" w:right="80"/>
        <w:spacing w:after="0" w:line="252" w:lineRule="auto"/>
        <w:rPr>
          <w:sz w:val="20"/>
          <w:szCs w:val="20"/>
          <w:color w:val="auto"/>
        </w:rPr>
      </w:pPr>
      <w:r>
        <w:rPr>
          <w:rFonts w:ascii="Arial" w:cs="Arial" w:eastAsia="Arial" w:hAnsi="Arial"/>
          <w:sz w:val="16"/>
          <w:szCs w:val="16"/>
          <w:color w:val="auto"/>
        </w:rPr>
        <w:t>The table above assumes no exercise of the underwriters’ option to purchase 1,102,500 additional shares in this offering. If the underwriters’ option to purchase additional shares is exercised in full, the number of shares of our common stock held by existing stockholders would be reduced to approximately 69% of the total number of shares of our common stock outstanding after this offering, and the number of shares of common stock held by new investors participating in the offering would be increased to approximately 31% of the total number of shares outstanding after this offering.</w:t>
      </w:r>
    </w:p>
    <w:p>
      <w:pPr>
        <w:spacing w:after="0" w:line="86" w:lineRule="exact"/>
        <w:rPr>
          <w:sz w:val="20"/>
          <w:szCs w:val="20"/>
          <w:color w:val="auto"/>
        </w:rPr>
      </w:pPr>
    </w:p>
    <w:p>
      <w:pPr>
        <w:ind w:left="460" w:right="340"/>
        <w:spacing w:after="0" w:line="251" w:lineRule="auto"/>
        <w:rPr>
          <w:sz w:val="20"/>
          <w:szCs w:val="20"/>
          <w:color w:val="auto"/>
        </w:rPr>
      </w:pPr>
      <w:r>
        <w:rPr>
          <w:rFonts w:ascii="Arial" w:cs="Arial" w:eastAsia="Arial" w:hAnsi="Arial"/>
          <w:sz w:val="16"/>
          <w:szCs w:val="16"/>
          <w:color w:val="auto"/>
        </w:rPr>
        <w:t>The number of shares of our common stock to be outstanding after this offering is based on the 19,170,933 shares of our common stock outstanding as of March 31, 2021 (including 14,850,993 shares of common stock issuable upon conversion of our outstanding convertible preferred stock as of March 31, 2021 and 225,945 shares of common stock issuable upon the exercise of warrants to purchase shares of Series H convertible preferred stock outstanding as of March 31, 2021, which will be converted into shares of our common stock following such exercise and immediately prior to the completion of this offering, at a weighted-average exercise price of $12.40 per share), and excludes the following:</w:t>
      </w:r>
    </w:p>
    <w:p>
      <w:pPr>
        <w:spacing w:after="0" w:line="101" w:lineRule="exact"/>
        <w:rPr>
          <w:sz w:val="20"/>
          <w:szCs w:val="20"/>
          <w:color w:val="auto"/>
        </w:rPr>
      </w:pPr>
    </w:p>
    <w:p>
      <w:pPr>
        <w:ind w:left="660" w:right="780" w:hanging="209"/>
        <w:spacing w:after="0" w:line="265"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4,623,643 shares of common stock issuable upon exercise of options to purchase shares of our common stock outstanding as of March 31, 2021, at a weighted-average exercise price of $10.81 per share;</w:t>
      </w:r>
    </w:p>
    <w:p>
      <w:pPr>
        <w:spacing w:after="0" w:line="88" w:lineRule="exact"/>
        <w:rPr>
          <w:rFonts w:ascii="Arial" w:cs="Arial" w:eastAsia="Arial" w:hAnsi="Arial"/>
          <w:sz w:val="16"/>
          <w:szCs w:val="16"/>
          <w:color w:val="auto"/>
        </w:rPr>
      </w:pPr>
    </w:p>
    <w:p>
      <w:pPr>
        <w:ind w:left="660" w:right="60" w:hanging="209"/>
        <w:spacing w:after="0" w:line="265"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7,260 shares of common stock issuable upon exercise of options to purchase shares of our common stock that we granted after March 31, 2021, at a weighted-average exercise price of $19.94 per share;</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125,547 shares of common stock reserved for future issuance under our 2015 Plan as of March 31, 2021;</w:t>
      </w:r>
    </w:p>
    <w:p>
      <w:pPr>
        <w:spacing w:after="0" w:line="120" w:lineRule="exact"/>
        <w:rPr>
          <w:rFonts w:ascii="Arial" w:cs="Arial" w:eastAsia="Arial" w:hAnsi="Arial"/>
          <w:sz w:val="16"/>
          <w:szCs w:val="16"/>
          <w:color w:val="auto"/>
        </w:rPr>
      </w:pPr>
    </w:p>
    <w:p>
      <w:pPr>
        <w:ind w:left="660" w:right="640" w:hanging="209"/>
        <w:spacing w:after="0" w:line="265"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7,260,406 shares of common stock reserved for future issuance under our 2021 Plan, which became effective on the business day immediately prior to the date of effectiveness of the registration statement of which this prospectus forms a part; and</w:t>
      </w:r>
    </w:p>
    <w:p>
      <w:pPr>
        <w:spacing w:after="0" w:line="88" w:lineRule="exact"/>
        <w:rPr>
          <w:rFonts w:ascii="Arial" w:cs="Arial" w:eastAsia="Arial" w:hAnsi="Arial"/>
          <w:sz w:val="16"/>
          <w:szCs w:val="16"/>
          <w:color w:val="auto"/>
        </w:rPr>
      </w:pPr>
    </w:p>
    <w:p>
      <w:pPr>
        <w:ind w:left="660" w:right="240" w:hanging="209"/>
        <w:spacing w:after="0" w:line="265"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484,027 shares of common stock reserved for issuance under our 2021 ESPP, which became effective on the business day immediately prior to the date of effectiveness of the registration statement of which this prospectus forms a part.</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0800"/>
          </w:cols>
          <w:pgMar w:left="320" w:top="440" w:right="77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Each of our 2021 Plan and our 2021 ESPP provides for annual automatic increases in the number of shares reserved thereunder, and our 2021 Plan also provides for increases to the number of shares that may be granted thereunder based on awards under our 2015 Plan or 2006 Plan that expire, are forfeited, or otherwise repurchased by us, as more fully described in the section titled “Executive Compensation— Employee Benefit and Stock Plans.”</w:t>
      </w:r>
    </w:p>
    <w:p>
      <w:pPr>
        <w:spacing w:after="0" w:line="86" w:lineRule="exact"/>
        <w:rPr>
          <w:sz w:val="20"/>
          <w:szCs w:val="20"/>
          <w:color w:val="auto"/>
        </w:rPr>
      </w:pPr>
    </w:p>
    <w:p>
      <w:pPr>
        <w:ind w:left="460" w:right="120"/>
        <w:spacing w:after="0" w:line="256" w:lineRule="auto"/>
        <w:rPr>
          <w:sz w:val="20"/>
          <w:szCs w:val="20"/>
          <w:color w:val="auto"/>
        </w:rPr>
      </w:pPr>
      <w:r>
        <w:rPr>
          <w:rFonts w:ascii="Arial" w:cs="Arial" w:eastAsia="Arial" w:hAnsi="Arial"/>
          <w:sz w:val="16"/>
          <w:szCs w:val="16"/>
          <w:color w:val="auto"/>
        </w:rPr>
        <w:t>To the extent that any outstanding options are exercised or new options are issued under the equity benefit plans, or we issue additional shares of common stock or other securities convertible into or exercisable or exchangeable for shares of our capital stock in the future, there will be further dilution to investors participating in this offering.</w:t>
      </w:r>
    </w:p>
    <w:p>
      <w:pPr>
        <w:spacing w:after="0" w:line="121"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0780"/>
          </w:cols>
          <w:pgMar w:left="320" w:top="441" w:right="79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Selected financial data</w:t>
      </w:r>
    </w:p>
    <w:p>
      <w:pPr>
        <w:spacing w:after="0" w:line="149" w:lineRule="exact"/>
        <w:rPr>
          <w:sz w:val="20"/>
          <w:szCs w:val="20"/>
          <w:color w:val="auto"/>
        </w:rPr>
      </w:pPr>
    </w:p>
    <w:p>
      <w:pPr>
        <w:ind w:left="460" w:right="20"/>
        <w:spacing w:after="0" w:line="249" w:lineRule="auto"/>
        <w:rPr>
          <w:sz w:val="20"/>
          <w:szCs w:val="20"/>
          <w:color w:val="auto"/>
        </w:rPr>
      </w:pPr>
      <w:r>
        <w:rPr>
          <w:rFonts w:ascii="Arial" w:cs="Arial" w:eastAsia="Arial" w:hAnsi="Arial"/>
          <w:sz w:val="16"/>
          <w:szCs w:val="16"/>
          <w:color w:val="auto"/>
        </w:rPr>
        <w:t>The following tables summarize our selected financial data for the periods and as of the dates indicated. We have derived our selected statements of operations and comprehensive loss data for the years ended December 31, 2019 and 2020 (except for the pro forma net loss per share and the pro forma share information), and the balance sheets as of December 31, 2019 and 2020, from our audited financial statements and related notes included elsewhere in this prospectus. We derived the statement of operations and comprehensive loss data for the three months ended March 31, 2020 and 2021 and the balance sheet data as of March 31, 2021 from the unaudited interim financial statements included elsewhere in this prospectus. The unaudited interim financial statements have been prepared in accordance with U.S. generally accepted accounting principles on the same basis as our annual audited financial statements and, in the opinion of management, reflect all adjustments, which include only normal, recurring adjustments that are necessary to present fairly the unaudited interim financial statements. Our historical results are not necessarily indicative of the results that may be expected in the future, and the results for the three months ended March 31, 2021, are not necessarily indicative of results to be expected for the full year or any other period. You should read the following selected financial and other data below in conjunction with the section titled “Management’s Discussion and Analysis of Financial Condition and Results of Operations” and our financial statements and related notes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64770</wp:posOffset>
            </wp:positionV>
            <wp:extent cx="6569075"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29"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60" w:type="dxa"/>
            <w:vAlign w:val="bottom"/>
            <w:gridSpan w:val="10"/>
          </w:tcPr>
          <w:p>
            <w:pPr>
              <w:jc w:val="right"/>
              <w:ind w:right="260"/>
              <w:spacing w:after="0" w:line="178" w:lineRule="exact"/>
              <w:rPr>
                <w:sz w:val="20"/>
                <w:szCs w:val="20"/>
                <w:color w:val="auto"/>
              </w:rPr>
            </w:pPr>
            <w:r>
              <w:rPr>
                <w:rFonts w:ascii="Arial" w:cs="Arial" w:eastAsia="Arial" w:hAnsi="Arial"/>
                <w:sz w:val="16"/>
                <w:szCs w:val="16"/>
                <w:b w:val="1"/>
                <w:bCs w:val="1"/>
                <w:color w:val="auto"/>
              </w:rPr>
              <w:t>(in thousands, except share and per-share data)</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4"/>
          </w:tcPr>
          <w:p>
            <w:pPr>
              <w:jc w:val="right"/>
              <w:ind w:right="480"/>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5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Statements of Operations Data:</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00" w:type="dxa"/>
            <w:vAlign w:val="bottom"/>
            <w:gridSpan w:val="2"/>
          </w:tcPr>
          <w:p>
            <w:pPr>
              <w:spacing w:after="0"/>
              <w:rPr>
                <w:sz w:val="20"/>
                <w:szCs w:val="20"/>
                <w:color w:val="auto"/>
              </w:rPr>
            </w:pPr>
            <w:r>
              <w:rPr>
                <w:rFonts w:ascii="Arial" w:cs="Arial" w:eastAsia="Arial" w:hAnsi="Arial"/>
                <w:sz w:val="16"/>
                <w:szCs w:val="16"/>
                <w:color w:val="auto"/>
              </w:rPr>
              <w:t>Sales</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8"/>
              <w:spacing w:after="0"/>
              <w:rPr>
                <w:sz w:val="20"/>
                <w:szCs w:val="20"/>
                <w:color w:val="auto"/>
              </w:rPr>
            </w:pPr>
            <w:r>
              <w:rPr>
                <w:rFonts w:ascii="Arial" w:cs="Arial" w:eastAsia="Arial" w:hAnsi="Arial"/>
                <w:sz w:val="16"/>
                <w:szCs w:val="16"/>
                <w:color w:val="auto"/>
              </w:rPr>
              <w:t>2,241</w:t>
            </w:r>
          </w:p>
        </w:tc>
        <w:tc>
          <w:tcPr>
            <w:tcW w:w="36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14,678</w:t>
            </w:r>
          </w:p>
        </w:tc>
        <w:tc>
          <w:tcPr>
            <w:tcW w:w="160" w:type="dxa"/>
            <w:vAlign w:val="bottom"/>
          </w:tcPr>
          <w:p>
            <w:pPr>
              <w:spacing w:after="0"/>
              <w:rPr>
                <w:sz w:val="16"/>
                <w:szCs w:val="16"/>
                <w:color w:val="auto"/>
              </w:rPr>
            </w:pP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58"/>
              <w:spacing w:after="0"/>
              <w:rPr>
                <w:sz w:val="20"/>
                <w:szCs w:val="20"/>
                <w:color w:val="auto"/>
              </w:rPr>
            </w:pPr>
            <w:r>
              <w:rPr>
                <w:rFonts w:ascii="Arial" w:cs="Arial" w:eastAsia="Arial" w:hAnsi="Arial"/>
                <w:sz w:val="16"/>
                <w:szCs w:val="16"/>
                <w:color w:val="auto"/>
              </w:rPr>
              <w:t>2,888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3,484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2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4,060</w:t>
            </w:r>
          </w:p>
        </w:tc>
        <w:tc>
          <w:tcPr>
            <w:tcW w:w="3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12,973</w:t>
            </w:r>
          </w:p>
        </w:tc>
        <w:tc>
          <w:tcPr>
            <w:tcW w:w="1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2,810</w:t>
            </w:r>
          </w:p>
        </w:tc>
        <w:tc>
          <w:tcPr>
            <w:tcW w:w="2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Pr>
          <w:p>
            <w:pPr>
              <w:ind w:left="180"/>
              <w:spacing w:after="0"/>
              <w:rPr>
                <w:sz w:val="20"/>
                <w:szCs w:val="20"/>
                <w:color w:val="auto"/>
              </w:rPr>
            </w:pPr>
            <w:r>
              <w:rPr>
                <w:rFonts w:ascii="Arial" w:cs="Arial" w:eastAsia="Arial" w:hAnsi="Arial"/>
                <w:sz w:val="16"/>
                <w:szCs w:val="16"/>
                <w:color w:val="auto"/>
              </w:rPr>
              <w:t>Gross profit (loss)</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(1,819)</w:t>
            </w: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1,705</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78</w:t>
            </w: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5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8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8"/>
              <w:spacing w:after="0"/>
              <w:rPr>
                <w:sz w:val="20"/>
                <w:szCs w:val="20"/>
                <w:color w:val="auto"/>
              </w:rPr>
            </w:pPr>
            <w:r>
              <w:rPr>
                <w:rFonts w:ascii="Arial" w:cs="Arial" w:eastAsia="Arial" w:hAnsi="Arial"/>
                <w:sz w:val="16"/>
                <w:szCs w:val="16"/>
                <w:color w:val="auto"/>
              </w:rPr>
              <w:t>15,203</w:t>
            </w: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15,176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58"/>
              <w:spacing w:after="0"/>
              <w:rPr>
                <w:sz w:val="20"/>
                <w:szCs w:val="20"/>
                <w:color w:val="auto"/>
              </w:rPr>
            </w:pPr>
            <w:r>
              <w:rPr>
                <w:rFonts w:ascii="Arial" w:cs="Arial" w:eastAsia="Arial" w:hAnsi="Arial"/>
                <w:sz w:val="16"/>
                <w:szCs w:val="16"/>
                <w:color w:val="auto"/>
              </w:rPr>
              <w:t>3,698</w:t>
            </w: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29,569</w:t>
            </w: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21,934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5,777</w:t>
            </w: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Pr>
          <w:p>
            <w:pPr>
              <w:ind w:left="180"/>
              <w:spacing w:after="0"/>
              <w:rPr>
                <w:sz w:val="20"/>
                <w:szCs w:val="20"/>
                <w:color w:val="auto"/>
              </w:rPr>
            </w:pPr>
            <w:r>
              <w:rPr>
                <w:rFonts w:ascii="Arial" w:cs="Arial" w:eastAsia="Arial" w:hAnsi="Arial"/>
                <w:sz w:val="16"/>
                <w:szCs w:val="16"/>
                <w:color w:val="auto"/>
              </w:rPr>
              <w:t>Gain (loss) on sale of equipment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38"/>
              <w:spacing w:after="0"/>
              <w:rPr>
                <w:sz w:val="20"/>
                <w:szCs w:val="20"/>
                <w:color w:val="auto"/>
              </w:rPr>
            </w:pPr>
            <w:r>
              <w:rPr>
                <w:rFonts w:ascii="Arial" w:cs="Arial" w:eastAsia="Arial" w:hAnsi="Arial"/>
                <w:sz w:val="16"/>
                <w:szCs w:val="16"/>
                <w:color w:val="auto"/>
              </w:rPr>
              <w:t>(521)</w:t>
            </w: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operating expenses</w:t>
            </w:r>
          </w:p>
        </w:tc>
        <w:tc>
          <w:tcPr>
            <w:tcW w:w="28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44,251</w:t>
            </w: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37,117</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9,475</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900" w:type="dxa"/>
            <w:vAlign w:val="bottom"/>
            <w:gridSpan w:val="2"/>
          </w:tcPr>
          <w:p>
            <w:pPr>
              <w:spacing w:after="0"/>
              <w:rPr>
                <w:sz w:val="20"/>
                <w:szCs w:val="20"/>
                <w:color w:val="auto"/>
              </w:rPr>
            </w:pPr>
            <w:r>
              <w:rPr>
                <w:rFonts w:ascii="Arial" w:cs="Arial" w:eastAsia="Arial" w:hAnsi="Arial"/>
                <w:sz w:val="16"/>
                <w:szCs w:val="16"/>
                <w:color w:val="auto"/>
              </w:rPr>
              <w:t>Loss from operations</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8"/>
              <w:spacing w:after="0"/>
              <w:rPr>
                <w:sz w:val="20"/>
                <w:szCs w:val="20"/>
                <w:color w:val="auto"/>
              </w:rPr>
            </w:pPr>
            <w:r>
              <w:rPr>
                <w:rFonts w:ascii="Arial" w:cs="Arial" w:eastAsia="Arial" w:hAnsi="Arial"/>
                <w:sz w:val="16"/>
                <w:szCs w:val="16"/>
                <w:color w:val="auto"/>
              </w:rPr>
              <w:t>(46,070)</w:t>
            </w:r>
          </w:p>
        </w:tc>
        <w:tc>
          <w:tcPr>
            <w:tcW w:w="36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(35,412)</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8"/>
              <w:spacing w:after="0"/>
              <w:rPr>
                <w:sz w:val="20"/>
                <w:szCs w:val="20"/>
                <w:color w:val="auto"/>
              </w:rPr>
            </w:pPr>
            <w:r>
              <w:rPr>
                <w:rFonts w:ascii="Arial" w:cs="Arial" w:eastAsia="Arial" w:hAnsi="Arial"/>
                <w:sz w:val="16"/>
                <w:szCs w:val="16"/>
                <w:color w:val="auto"/>
              </w:rPr>
              <w:t>(9,397)</w:t>
            </w:r>
          </w:p>
        </w:tc>
        <w:tc>
          <w:tcPr>
            <w:tcW w:w="240" w:type="dxa"/>
            <w:vAlign w:val="bottom"/>
          </w:tcPr>
          <w:p>
            <w:pPr>
              <w:jc w:val="right"/>
              <w:spacing w:after="0"/>
              <w:rPr>
                <w:sz w:val="20"/>
                <w:szCs w:val="20"/>
                <w:color w:val="auto"/>
              </w:rPr>
            </w:pPr>
            <w:r>
              <w:rPr>
                <w:rFonts w:ascii="Arial" w:cs="Arial" w:eastAsia="Arial" w:hAnsi="Arial"/>
                <w:sz w:val="16"/>
                <w:szCs w:val="16"/>
                <w:u w:val="single" w:color="auto"/>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(11,135)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fair value of warrants</w:t>
            </w:r>
          </w:p>
        </w:tc>
        <w:tc>
          <w:tcPr>
            <w:tcW w:w="2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169,230</w:t>
            </w:r>
          </w:p>
        </w:tc>
        <w:tc>
          <w:tcPr>
            <w:tcW w:w="3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63,011</w:t>
            </w:r>
          </w:p>
        </w:tc>
        <w:tc>
          <w:tcPr>
            <w:tcW w:w="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(7,407)</w:t>
            </w:r>
          </w:p>
        </w:tc>
        <w:tc>
          <w:tcPr>
            <w:tcW w:w="2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80" w:type="dxa"/>
            <w:vAlign w:val="bottom"/>
          </w:tcPr>
          <w:p>
            <w:pPr>
              <w:ind w:left="180"/>
              <w:spacing w:after="0"/>
              <w:rPr>
                <w:sz w:val="20"/>
                <w:szCs w:val="20"/>
                <w:color w:val="auto"/>
              </w:rPr>
            </w:pPr>
            <w:r>
              <w:rPr>
                <w:rFonts w:ascii="Arial" w:cs="Arial" w:eastAsia="Arial" w:hAnsi="Arial"/>
                <w:sz w:val="16"/>
                <w:szCs w:val="16"/>
                <w:color w:val="auto"/>
              </w:rPr>
              <w:t>Expiration of warrant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8"/>
              <w:spacing w:after="0"/>
              <w:rPr>
                <w:sz w:val="20"/>
                <w:szCs w:val="20"/>
                <w:color w:val="auto"/>
              </w:rPr>
            </w:pPr>
            <w:r>
              <w:rPr>
                <w:rFonts w:ascii="Arial" w:cs="Arial" w:eastAsia="Arial" w:hAnsi="Arial"/>
                <w:sz w:val="16"/>
                <w:szCs w:val="16"/>
                <w:color w:val="auto"/>
              </w:rPr>
              <w:t>803</w:t>
            </w:r>
          </w:p>
        </w:tc>
        <w:tc>
          <w:tcPr>
            <w:tcW w:w="3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(26)</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w:t>
            </w:r>
          </w:p>
        </w:tc>
        <w:tc>
          <w:tcPr>
            <w:tcW w:w="2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Pr>
          <w:p>
            <w:pPr>
              <w:ind w:left="180"/>
              <w:spacing w:after="0"/>
              <w:rPr>
                <w:sz w:val="20"/>
                <w:szCs w:val="20"/>
                <w:color w:val="auto"/>
              </w:rPr>
            </w:pPr>
            <w:r>
              <w:rPr>
                <w:rFonts w:ascii="Arial" w:cs="Arial" w:eastAsia="Arial" w:hAnsi="Arial"/>
                <w:sz w:val="16"/>
                <w:szCs w:val="16"/>
                <w:color w:val="auto"/>
              </w:rPr>
              <w:t>Interest and other income, net</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2,307</w:t>
            </w: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312</w:t>
            </w: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(loss) before income taxes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126,244</w:t>
            </w: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27,632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(16,497)</w:t>
            </w:r>
          </w:p>
        </w:tc>
        <w:tc>
          <w:tcPr>
            <w:tcW w:w="2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(6,798)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Pr>
          <w:p>
            <w:pPr>
              <w:ind w:left="180"/>
              <w:spacing w:after="0"/>
              <w:rPr>
                <w:sz w:val="20"/>
                <w:szCs w:val="20"/>
                <w:color w:val="auto"/>
              </w:rPr>
            </w:pPr>
            <w:r>
              <w:rPr>
                <w:rFonts w:ascii="Arial" w:cs="Arial" w:eastAsia="Arial" w:hAnsi="Arial"/>
                <w:sz w:val="16"/>
                <w:szCs w:val="16"/>
                <w:color w:val="auto"/>
              </w:rPr>
              <w:t>Income tax expense</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24</w:t>
            </w: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126,220</w:t>
            </w:r>
          </w:p>
        </w:tc>
        <w:tc>
          <w:tcPr>
            <w:tcW w:w="3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27,575</w:t>
            </w:r>
          </w:p>
        </w:tc>
        <w:tc>
          <w:tcPr>
            <w:tcW w:w="1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(16,502)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(6,805)</w:t>
            </w:r>
          </w:p>
        </w:tc>
        <w:tc>
          <w:tcPr>
            <w:tcW w:w="0" w:type="dxa"/>
            <w:vAlign w:val="bottom"/>
          </w:tcPr>
          <w:p>
            <w:pPr>
              <w:spacing w:after="0"/>
              <w:rPr>
                <w:sz w:val="1"/>
                <w:szCs w:val="1"/>
                <w:color w:val="auto"/>
              </w:rPr>
            </w:pPr>
          </w:p>
        </w:tc>
      </w:tr>
      <w:tr>
        <w:trPr>
          <w:trHeight w:val="193"/>
        </w:trPr>
        <w:tc>
          <w:tcPr>
            <w:tcW w:w="5900" w:type="dxa"/>
            <w:vAlign w:val="bottom"/>
            <w:gridSpan w:val="2"/>
          </w:tcPr>
          <w:p>
            <w:pPr>
              <w:spacing w:after="0"/>
              <w:rPr>
                <w:sz w:val="20"/>
                <w:szCs w:val="20"/>
                <w:color w:val="auto"/>
              </w:rPr>
            </w:pPr>
            <w:r>
              <w:rPr>
                <w:rFonts w:ascii="Arial" w:cs="Arial" w:eastAsia="Arial" w:hAnsi="Arial"/>
                <w:sz w:val="16"/>
                <w:szCs w:val="16"/>
                <w:color w:val="auto"/>
              </w:rPr>
              <w:t>Accretion to redemption value of redeemable preferred stock and redeemable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880" w:type="dxa"/>
            <w:vAlign w:val="bottom"/>
          </w:tcPr>
          <w:p>
            <w:pPr>
              <w:ind w:left="180"/>
              <w:spacing w:after="0"/>
              <w:rPr>
                <w:sz w:val="20"/>
                <w:szCs w:val="20"/>
                <w:color w:val="auto"/>
              </w:rPr>
            </w:pPr>
            <w:r>
              <w:rPr>
                <w:rFonts w:ascii="Arial" w:cs="Arial" w:eastAsia="Arial" w:hAnsi="Arial"/>
                <w:sz w:val="16"/>
                <w:szCs w:val="16"/>
                <w:color w:val="auto"/>
              </w:rPr>
              <w:t>stock options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38"/>
              <w:spacing w:after="0"/>
              <w:rPr>
                <w:sz w:val="20"/>
                <w:szCs w:val="20"/>
                <w:color w:val="auto"/>
              </w:rPr>
            </w:pPr>
            <w:r>
              <w:rPr>
                <w:rFonts w:ascii="Arial" w:cs="Arial" w:eastAsia="Arial" w:hAnsi="Arial"/>
                <w:sz w:val="16"/>
                <w:szCs w:val="16"/>
                <w:color w:val="auto"/>
              </w:rPr>
              <w:t>(82,121)</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(24,209)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8"/>
              <w:spacing w:after="0"/>
              <w:rPr>
                <w:sz w:val="20"/>
                <w:szCs w:val="20"/>
                <w:color w:val="auto"/>
              </w:rPr>
            </w:pPr>
            <w:r>
              <w:rPr>
                <w:rFonts w:ascii="Arial" w:cs="Arial" w:eastAsia="Arial" w:hAnsi="Arial"/>
                <w:sz w:val="16"/>
                <w:szCs w:val="16"/>
                <w:color w:val="auto"/>
              </w:rPr>
              <w:t>(4,246)</w:t>
            </w:r>
          </w:p>
        </w:tc>
        <w:tc>
          <w:tcPr>
            <w:tcW w:w="24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Earnings allocated to redeemable preferred stock</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(17,972)</w:t>
            </w: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5900" w:type="dxa"/>
            <w:vAlign w:val="bottom"/>
            <w:gridSpan w:val="2"/>
          </w:tcPr>
          <w:p>
            <w:pPr>
              <w:jc w:val="right"/>
              <w:ind w:right="558"/>
              <w:spacing w:after="0"/>
              <w:rPr>
                <w:sz w:val="20"/>
                <w:szCs w:val="20"/>
                <w:color w:val="auto"/>
              </w:rPr>
            </w:pPr>
            <w:r>
              <w:rPr>
                <w:rFonts w:ascii="Arial" w:cs="Arial" w:eastAsia="Arial" w:hAnsi="Arial"/>
                <w:sz w:val="16"/>
                <w:szCs w:val="16"/>
                <w:color w:val="auto"/>
              </w:rPr>
              <w:t>96</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41" w:right="77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191770</wp:posOffset>
            </wp:positionV>
            <wp:extent cx="6569075"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329"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Three months ended</w:t>
            </w:r>
          </w:p>
        </w:tc>
      </w:tr>
      <w:tr>
        <w:trPr>
          <w:trHeight w:val="207"/>
        </w:trPr>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gridSpan w:val="4"/>
          </w:tcPr>
          <w:p>
            <w:pPr>
              <w:jc w:val="right"/>
              <w:ind w:right="34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March 31</w:t>
            </w:r>
          </w:p>
        </w:tc>
      </w:tr>
      <w:tr>
        <w:trPr>
          <w:trHeight w:val="208"/>
        </w:trPr>
        <w:tc>
          <w:tcPr>
            <w:tcW w:w="45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r>
      <w:tr>
        <w:trPr>
          <w:trHeight w:val="179"/>
        </w:trPr>
        <w:tc>
          <w:tcPr>
            <w:tcW w:w="4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520" w:type="dxa"/>
            <w:vAlign w:val="bottom"/>
            <w:gridSpan w:val="8"/>
          </w:tcPr>
          <w:p>
            <w:pPr>
              <w:jc w:val="right"/>
              <w:spacing w:after="0" w:line="178" w:lineRule="exact"/>
              <w:rPr>
                <w:sz w:val="20"/>
                <w:szCs w:val="20"/>
                <w:color w:val="auto"/>
              </w:rPr>
            </w:pPr>
            <w:r>
              <w:rPr>
                <w:rFonts w:ascii="Arial" w:cs="Arial" w:eastAsia="Arial" w:hAnsi="Arial"/>
                <w:sz w:val="16"/>
                <w:szCs w:val="16"/>
                <w:b w:val="1"/>
                <w:bCs w:val="1"/>
                <w:color w:val="auto"/>
              </w:rPr>
              <w:t>(in thousands, except share and per-share data)</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7"/>
        </w:trPr>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4"/>
          </w:tcPr>
          <w:p>
            <w:pPr>
              <w:jc w:val="right"/>
              <w:ind w:right="840"/>
              <w:spacing w:after="0"/>
              <w:rPr>
                <w:sz w:val="20"/>
                <w:szCs w:val="20"/>
                <w:color w:val="auto"/>
              </w:rPr>
            </w:pPr>
            <w:r>
              <w:rPr>
                <w:rFonts w:ascii="Arial" w:cs="Arial" w:eastAsia="Arial" w:hAnsi="Arial"/>
                <w:sz w:val="16"/>
                <w:szCs w:val="16"/>
                <w:b w:val="1"/>
                <w:bCs w:val="1"/>
                <w:color w:val="auto"/>
              </w:rPr>
              <w:t>(unaudited)</w:t>
            </w:r>
          </w:p>
        </w:tc>
      </w:tr>
      <w:tr>
        <w:trPr>
          <w:trHeight w:val="190"/>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 common stockholders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26,127</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3,366</w:t>
            </w:r>
          </w:p>
        </w:tc>
        <w:tc>
          <w:tcPr>
            <w:tcW w:w="3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(20,748)</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(6,805)</w:t>
            </w:r>
          </w:p>
        </w:tc>
      </w:tr>
      <w:tr>
        <w:trPr>
          <w:trHeight w:val="190"/>
        </w:trPr>
        <w:tc>
          <w:tcPr>
            <w:tcW w:w="4500" w:type="dxa"/>
            <w:vAlign w:val="bottom"/>
          </w:tcPr>
          <w:p>
            <w:pPr>
              <w:spacing w:after="0"/>
              <w:rPr>
                <w:sz w:val="20"/>
                <w:szCs w:val="20"/>
                <w:color w:val="auto"/>
              </w:rPr>
            </w:pPr>
            <w:r>
              <w:rPr>
                <w:rFonts w:ascii="Arial" w:cs="Arial" w:eastAsia="Arial" w:hAnsi="Arial"/>
                <w:sz w:val="16"/>
                <w:szCs w:val="16"/>
                <w:color w:val="auto"/>
              </w:rPr>
              <w:t>Unrealized gain (loss) on short-term investments</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ind w:right="198"/>
              <w:spacing w:after="0"/>
              <w:rPr>
                <w:sz w:val="20"/>
                <w:szCs w:val="20"/>
                <w:color w:val="auto"/>
              </w:rPr>
            </w:pPr>
            <w:r>
              <w:rPr>
                <w:rFonts w:ascii="Arial" w:cs="Arial" w:eastAsia="Arial" w:hAnsi="Arial"/>
                <w:sz w:val="16"/>
                <w:szCs w:val="16"/>
                <w:color w:val="auto"/>
              </w:rPr>
              <w:t>68</w:t>
            </w:r>
          </w:p>
        </w:tc>
        <w:tc>
          <w:tcPr>
            <w:tcW w:w="40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(49)</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258"/>
              <w:spacing w:after="0"/>
              <w:rPr>
                <w:sz w:val="20"/>
                <w:szCs w:val="20"/>
                <w:color w:val="auto"/>
              </w:rPr>
            </w:pPr>
            <w:r>
              <w:rPr>
                <w:rFonts w:ascii="Arial" w:cs="Arial" w:eastAsia="Arial" w:hAnsi="Arial"/>
                <w:sz w:val="16"/>
                <w:szCs w:val="16"/>
                <w:color w:val="auto"/>
              </w:rPr>
              <w:t>77</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6"/>
                <w:szCs w:val="16"/>
                <w:color w:val="auto"/>
              </w:rPr>
            </w:pPr>
          </w:p>
        </w:tc>
      </w:tr>
      <w:tr>
        <w:trPr>
          <w:trHeight w:val="190"/>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gain</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5</w:t>
            </w:r>
          </w:p>
        </w:tc>
        <w:tc>
          <w:tcPr>
            <w:tcW w:w="4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r>
      <w:tr>
        <w:trPr>
          <w:trHeight w:val="20"/>
        </w:trPr>
        <w:tc>
          <w:tcPr>
            <w:tcW w:w="4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50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8"/>
              <w:spacing w:after="0"/>
              <w:rPr>
                <w:sz w:val="20"/>
                <w:szCs w:val="20"/>
                <w:color w:val="auto"/>
              </w:rPr>
            </w:pPr>
            <w:r>
              <w:rPr>
                <w:rFonts w:ascii="Arial" w:cs="Arial" w:eastAsia="Arial" w:hAnsi="Arial"/>
                <w:sz w:val="16"/>
                <w:szCs w:val="16"/>
                <w:color w:val="auto"/>
              </w:rPr>
              <w:t>126,293</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27,526</w:t>
            </w:r>
          </w:p>
        </w:tc>
        <w:tc>
          <w:tcPr>
            <w:tcW w:w="34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8"/>
              <w:spacing w:after="0"/>
              <w:rPr>
                <w:sz w:val="20"/>
                <w:szCs w:val="20"/>
                <w:color w:val="auto"/>
              </w:rPr>
            </w:pPr>
            <w:r>
              <w:rPr>
                <w:rFonts w:ascii="Arial" w:cs="Arial" w:eastAsia="Arial" w:hAnsi="Arial"/>
                <w:sz w:val="16"/>
                <w:szCs w:val="16"/>
                <w:color w:val="auto"/>
              </w:rPr>
              <w:t>(16,426)</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(6,802)</w:t>
            </w:r>
          </w:p>
        </w:tc>
      </w:tr>
      <w:tr>
        <w:trPr>
          <w:trHeight w:val="69"/>
        </w:trPr>
        <w:tc>
          <w:tcPr>
            <w:tcW w:w="4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08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90"/>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per share:</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4500" w:type="dxa"/>
            <w:vAlign w:val="bottom"/>
          </w:tcPr>
          <w:p>
            <w:pPr>
              <w:ind w:left="200"/>
              <w:spacing w:after="0"/>
              <w:rPr>
                <w:sz w:val="20"/>
                <w:szCs w:val="20"/>
                <w:color w:val="auto"/>
              </w:rPr>
            </w:pPr>
            <w:r>
              <w:rPr>
                <w:rFonts w:ascii="Arial" w:cs="Arial" w:eastAsia="Arial" w:hAnsi="Arial"/>
                <w:sz w:val="16"/>
                <w:szCs w:val="16"/>
                <w:color w:val="auto"/>
              </w:rPr>
              <w:t>Attributable to redeemable common stock, basic</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8"/>
              <w:spacing w:after="0"/>
              <w:rPr>
                <w:sz w:val="20"/>
                <w:szCs w:val="20"/>
                <w:color w:val="auto"/>
              </w:rPr>
            </w:pPr>
            <w:r>
              <w:rPr>
                <w:rFonts w:ascii="Arial" w:cs="Arial" w:eastAsia="Arial" w:hAnsi="Arial"/>
                <w:sz w:val="16"/>
                <w:szCs w:val="16"/>
                <w:color w:val="auto"/>
              </w:rPr>
              <w:t>7.62</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0.91</w:t>
            </w:r>
          </w:p>
        </w:tc>
        <w:tc>
          <w:tcPr>
            <w:tcW w:w="34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8"/>
              <w:spacing w:after="0"/>
              <w:rPr>
                <w:sz w:val="20"/>
                <w:szCs w:val="20"/>
                <w:color w:val="auto"/>
              </w:rPr>
            </w:pPr>
            <w:r>
              <w:rPr>
                <w:rFonts w:ascii="Arial" w:cs="Arial" w:eastAsia="Arial" w:hAnsi="Arial"/>
                <w:sz w:val="16"/>
                <w:szCs w:val="16"/>
                <w:color w:val="auto"/>
              </w:rPr>
              <w:t>(5.81)</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0"/>
        </w:trPr>
        <w:tc>
          <w:tcPr>
            <w:tcW w:w="4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Attributable to redeemable common stock, diluted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6.00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3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(5.81)</w:t>
            </w:r>
          </w:p>
        </w:tc>
        <w:tc>
          <w:tcPr>
            <w:tcW w:w="3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0"/>
        </w:trPr>
        <w:tc>
          <w:tcPr>
            <w:tcW w:w="4500" w:type="dxa"/>
            <w:vAlign w:val="bottom"/>
          </w:tcPr>
          <w:p>
            <w:pPr>
              <w:ind w:left="200"/>
              <w:spacing w:after="0"/>
              <w:rPr>
                <w:sz w:val="20"/>
                <w:szCs w:val="20"/>
                <w:color w:val="auto"/>
              </w:rPr>
            </w:pPr>
            <w:r>
              <w:rPr>
                <w:rFonts w:ascii="Arial" w:cs="Arial" w:eastAsia="Arial" w:hAnsi="Arial"/>
                <w:sz w:val="16"/>
                <w:szCs w:val="16"/>
                <w:color w:val="auto"/>
              </w:rPr>
              <w:t>Attributable to Series G common stock, basic</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8"/>
              <w:spacing w:after="0"/>
              <w:rPr>
                <w:sz w:val="20"/>
                <w:szCs w:val="20"/>
                <w:color w:val="auto"/>
              </w:rPr>
            </w:pPr>
            <w:r>
              <w:rPr>
                <w:rFonts w:ascii="Arial" w:cs="Arial" w:eastAsia="Arial" w:hAnsi="Arial"/>
                <w:sz w:val="16"/>
                <w:szCs w:val="16"/>
                <w:color w:val="auto"/>
              </w:rPr>
              <w:t>0.01</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(0.39)</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8"/>
              <w:spacing w:after="0"/>
              <w:rPr>
                <w:sz w:val="20"/>
                <w:szCs w:val="20"/>
                <w:color w:val="auto"/>
              </w:rPr>
            </w:pPr>
            <w:r>
              <w:rPr>
                <w:rFonts w:ascii="Arial" w:cs="Arial" w:eastAsia="Arial" w:hAnsi="Arial"/>
                <w:sz w:val="16"/>
                <w:szCs w:val="16"/>
                <w:color w:val="auto"/>
              </w:rPr>
              <w:t>(0.66)</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(0.16)</w:t>
            </w:r>
          </w:p>
        </w:tc>
      </w:tr>
      <w:tr>
        <w:trPr>
          <w:trHeight w:val="190"/>
        </w:trPr>
        <w:tc>
          <w:tcPr>
            <w:tcW w:w="4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Attributable to Series G common stock, diluted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0.01</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(0.62)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(0.66)</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(0.16)</w:t>
            </w:r>
          </w:p>
        </w:tc>
      </w:tr>
      <w:tr>
        <w:trPr>
          <w:trHeight w:val="200"/>
        </w:trPr>
        <w:tc>
          <w:tcPr>
            <w:tcW w:w="4500" w:type="dxa"/>
            <w:vAlign w:val="bottom"/>
          </w:tcPr>
          <w:p>
            <w:pPr>
              <w:ind w:left="200"/>
              <w:spacing w:after="0"/>
              <w:rPr>
                <w:sz w:val="20"/>
                <w:szCs w:val="20"/>
                <w:color w:val="auto"/>
              </w:rPr>
            </w:pPr>
            <w:r>
              <w:rPr>
                <w:rFonts w:ascii="Arial" w:cs="Arial" w:eastAsia="Arial" w:hAnsi="Arial"/>
                <w:sz w:val="16"/>
                <w:szCs w:val="16"/>
                <w:color w:val="auto"/>
              </w:rPr>
              <w:t>Attributable to common stock, basic and diluted</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258"/>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(1.70)</w:t>
            </w:r>
          </w:p>
        </w:tc>
      </w:tr>
      <w:tr>
        <w:trPr>
          <w:trHeight w:val="53"/>
        </w:trPr>
        <w:tc>
          <w:tcPr>
            <w:tcW w:w="4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93"/>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shares used in computing net income</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4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per share:</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4500" w:type="dxa"/>
            <w:vAlign w:val="bottom"/>
          </w:tcPr>
          <w:p>
            <w:pPr>
              <w:ind w:left="200"/>
              <w:spacing w:after="0"/>
              <w:rPr>
                <w:sz w:val="20"/>
                <w:szCs w:val="20"/>
                <w:color w:val="auto"/>
              </w:rPr>
            </w:pPr>
            <w:r>
              <w:rPr>
                <w:rFonts w:ascii="Arial" w:cs="Arial" w:eastAsia="Arial" w:hAnsi="Arial"/>
                <w:sz w:val="16"/>
                <w:szCs w:val="16"/>
                <w:color w:val="auto"/>
              </w:rPr>
              <w:t>Attributable to redeemable common stock, basic</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ind w:right="198"/>
              <w:spacing w:after="0"/>
              <w:rPr>
                <w:sz w:val="20"/>
                <w:szCs w:val="20"/>
                <w:color w:val="auto"/>
              </w:rPr>
            </w:pPr>
            <w:r>
              <w:rPr>
                <w:rFonts w:ascii="Arial" w:cs="Arial" w:eastAsia="Arial" w:hAnsi="Arial"/>
                <w:sz w:val="16"/>
                <w:szCs w:val="16"/>
                <w:color w:val="auto"/>
              </w:rPr>
              <w:t>3,429,975</w:t>
            </w: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3,707,207</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258"/>
              <w:spacing w:after="0"/>
              <w:rPr>
                <w:sz w:val="20"/>
                <w:szCs w:val="20"/>
                <w:color w:val="auto"/>
              </w:rPr>
            </w:pPr>
            <w:r>
              <w:rPr>
                <w:rFonts w:ascii="Arial" w:cs="Arial" w:eastAsia="Arial" w:hAnsi="Arial"/>
                <w:sz w:val="16"/>
                <w:szCs w:val="16"/>
                <w:color w:val="auto"/>
              </w:rPr>
              <w:t>3,570,417</w:t>
            </w:r>
          </w:p>
        </w:tc>
        <w:tc>
          <w:tcPr>
            <w:tcW w:w="3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0"/>
        </w:trPr>
        <w:tc>
          <w:tcPr>
            <w:tcW w:w="4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Attributable to redeemable common stock, diluted</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20,580,003</w:t>
            </w: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5,532,305</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3,570,417</w:t>
            </w:r>
          </w:p>
        </w:tc>
        <w:tc>
          <w:tcPr>
            <w:tcW w:w="3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3"/>
        </w:trPr>
        <w:tc>
          <w:tcPr>
            <w:tcW w:w="4500" w:type="dxa"/>
            <w:vAlign w:val="bottom"/>
          </w:tcPr>
          <w:p>
            <w:pPr>
              <w:ind w:left="200"/>
              <w:spacing w:after="0"/>
              <w:rPr>
                <w:sz w:val="20"/>
                <w:szCs w:val="20"/>
                <w:color w:val="auto"/>
              </w:rPr>
            </w:pPr>
            <w:r>
              <w:rPr>
                <w:rFonts w:ascii="Arial" w:cs="Arial" w:eastAsia="Arial" w:hAnsi="Arial"/>
                <w:sz w:val="16"/>
                <w:szCs w:val="16"/>
                <w:color w:val="auto"/>
              </w:rPr>
              <w:t>Attributable to Series G common stock, basic and</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4500" w:type="dxa"/>
            <w:vAlign w:val="bottom"/>
          </w:tcPr>
          <w:p>
            <w:pPr>
              <w:ind w:left="40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258"/>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r>
      <w:tr>
        <w:trPr>
          <w:trHeight w:val="190"/>
        </w:trPr>
        <w:tc>
          <w:tcPr>
            <w:tcW w:w="4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Attributable to common stock, basic and diluted</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3,996,173</w:t>
            </w:r>
          </w:p>
        </w:tc>
        <w:tc>
          <w:tcPr>
            <w:tcW w:w="100" w:type="dxa"/>
            <w:vAlign w:val="bottom"/>
            <w:shd w:val="clear" w:color="auto" w:fill="CCEEFF"/>
          </w:tcPr>
          <w:p>
            <w:pPr>
              <w:spacing w:after="0"/>
              <w:rPr>
                <w:sz w:val="16"/>
                <w:szCs w:val="16"/>
                <w:color w:val="auto"/>
              </w:rPr>
            </w:pPr>
          </w:p>
        </w:tc>
      </w:tr>
      <w:tr>
        <w:trPr>
          <w:trHeight w:val="193"/>
        </w:trPr>
        <w:tc>
          <w:tcPr>
            <w:tcW w:w="4500" w:type="dxa"/>
            <w:vAlign w:val="bottom"/>
          </w:tcPr>
          <w:p>
            <w:pPr>
              <w:ind w:left="200"/>
              <w:spacing w:after="0"/>
              <w:rPr>
                <w:sz w:val="20"/>
                <w:szCs w:val="20"/>
                <w:color w:val="auto"/>
              </w:rPr>
            </w:pPr>
            <w:r>
              <w:rPr>
                <w:rFonts w:ascii="Arial" w:cs="Arial" w:eastAsia="Arial" w:hAnsi="Arial"/>
                <w:sz w:val="16"/>
                <w:szCs w:val="16"/>
                <w:color w:val="auto"/>
              </w:rPr>
              <w:t>Pro forma net income (loss) per share, basic and</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4500" w:type="dxa"/>
            <w:vAlign w:val="bottom"/>
          </w:tcPr>
          <w:p>
            <w:pPr>
              <w:ind w:left="400"/>
              <w:spacing w:after="0"/>
              <w:rPr>
                <w:sz w:val="20"/>
                <w:szCs w:val="20"/>
                <w:color w:val="auto"/>
              </w:rPr>
            </w:pPr>
            <w:r>
              <w:rPr>
                <w:rFonts w:ascii="Arial" w:cs="Arial" w:eastAsia="Arial" w:hAnsi="Arial"/>
                <w:sz w:val="16"/>
                <w:szCs w:val="16"/>
                <w:color w:val="auto"/>
              </w:rPr>
              <w:t>diluted (unaudited)(1)(2)</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0.18</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(0.36)</w:t>
            </w:r>
          </w:p>
        </w:tc>
      </w:tr>
      <w:tr>
        <w:trPr>
          <w:trHeight w:val="193"/>
        </w:trPr>
        <w:tc>
          <w:tcPr>
            <w:tcW w:w="4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Weighted-average shares used in computing pro forma</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45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net income (loss) per share, basic and diluted</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45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(unaudited)(1)(2)</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18,784,159</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19,073,111</w:t>
            </w:r>
          </w:p>
        </w:tc>
        <w:tc>
          <w:tcPr>
            <w:tcW w:w="100" w:type="dxa"/>
            <w:vAlign w:val="bottom"/>
            <w:shd w:val="clear" w:color="auto" w:fill="CCEEFF"/>
          </w:tcPr>
          <w:p>
            <w:pPr>
              <w:spacing w:after="0"/>
              <w:rPr>
                <w:sz w:val="16"/>
                <w:szCs w:val="16"/>
                <w:color w:val="auto"/>
              </w:rPr>
            </w:pP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3" w:lineRule="exact"/>
        <w:rPr>
          <w:sz w:val="20"/>
          <w:szCs w:val="20"/>
          <w:color w:val="auto"/>
        </w:rPr>
      </w:pPr>
    </w:p>
    <w:p>
      <w:pPr>
        <w:ind w:left="760" w:right="140" w:hanging="309"/>
        <w:spacing w:after="0" w:line="229" w:lineRule="auto"/>
        <w:tabs>
          <w:tab w:leader="none" w:pos="760" w:val="left"/>
        </w:tabs>
        <w:numPr>
          <w:ilvl w:val="0"/>
          <w:numId w:val="62"/>
        </w:numPr>
        <w:rPr>
          <w:rFonts w:ascii="Arial" w:cs="Arial" w:eastAsia="Arial" w:hAnsi="Arial"/>
          <w:sz w:val="13"/>
          <w:szCs w:val="13"/>
          <w:color w:val="auto"/>
        </w:rPr>
      </w:pPr>
      <w:r>
        <w:rPr>
          <w:rFonts w:ascii="Arial" w:cs="Arial" w:eastAsia="Arial" w:hAnsi="Arial"/>
          <w:sz w:val="13"/>
          <w:szCs w:val="13"/>
          <w:color w:val="auto"/>
        </w:rPr>
        <w:t>See Note 2 to our audited consolidated financial statements and Note 2 to our unaudited interim condensed consolidated financial statements included elsewhere in this prospectus for an explanation of the method used to calculate basic and diluted net income (loss) per share and weighted average shares of common stock outstanding and the section titled “Management’s Discussion and Analysis of Financial Condition and Results of Operations—Unaudited Pro Forma Information” for an explanation of the calculations of our pro forma net income (loss) per share, basic and diluted and the number of shares used in the computation of the per share amounts.</w:t>
      </w:r>
    </w:p>
    <w:p>
      <w:pPr>
        <w:spacing w:after="0" w:line="12" w:lineRule="exact"/>
        <w:rPr>
          <w:rFonts w:ascii="Arial" w:cs="Arial" w:eastAsia="Arial" w:hAnsi="Arial"/>
          <w:sz w:val="13"/>
          <w:szCs w:val="13"/>
          <w:color w:val="auto"/>
        </w:rPr>
      </w:pPr>
    </w:p>
    <w:p>
      <w:pPr>
        <w:ind w:left="760" w:right="140" w:hanging="309"/>
        <w:spacing w:after="0" w:line="255" w:lineRule="auto"/>
        <w:tabs>
          <w:tab w:leader="none" w:pos="7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calculation of pro forma net income (loss) per share, basic and diluted gives effect to (i) the cash exercise of 225,945 warrants to purchase Series H Preferred Stock and the conversion of such shares into 225,945 shares of common stock and (ii) the conversion of all outstanding shares of our convertible preferred stock into 14,850,993 shares of common stock, as if such conversion has occurred at the beginning of the period, or the issuance dates if later, for an aggregate total of 15,076,938 shares of common stock.</w:t>
      </w:r>
    </w:p>
    <w:p>
      <w:pPr>
        <w:spacing w:after="0" w:line="122"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0800"/>
          </w:cols>
          <w:pgMar w:left="320" w:top="440" w:right="77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191770</wp:posOffset>
            </wp:positionV>
            <wp:extent cx="6569075"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32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80" w:type="dxa"/>
            <w:vAlign w:val="bottom"/>
            <w:gridSpan w:val="5"/>
          </w:tcPr>
          <w:p>
            <w:pPr>
              <w:jc w:val="right"/>
              <w:ind w:right="100"/>
              <w:spacing w:after="0"/>
              <w:rPr>
                <w:sz w:val="20"/>
                <w:szCs w:val="20"/>
                <w:color w:val="auto"/>
              </w:rPr>
            </w:pPr>
            <w:r>
              <w:rPr>
                <w:rFonts w:ascii="Arial" w:cs="Arial" w:eastAsia="Arial" w:hAnsi="Arial"/>
                <w:sz w:val="16"/>
                <w:szCs w:val="16"/>
                <w:b w:val="1"/>
                <w:bCs w:val="1"/>
                <w:color w:val="auto"/>
              </w:rPr>
              <w:t>As of March 31, 2021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6"/>
                <w:szCs w:val="16"/>
                <w:b w:val="1"/>
                <w:bCs w:val="1"/>
                <w:color w:val="auto"/>
              </w:rPr>
              <w:t>Pro forma</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7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Actual</w:t>
            </w: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Pro forma(1)</w:t>
            </w:r>
          </w:p>
        </w:tc>
        <w:tc>
          <w:tcPr>
            <w:tcW w:w="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as adjusted(2)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spacing w:after="0" w:line="166" w:lineRule="exact"/>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58"/>
              <w:spacing w:after="0"/>
              <w:rPr>
                <w:sz w:val="20"/>
                <w:szCs w:val="20"/>
                <w:color w:val="auto"/>
              </w:rPr>
            </w:pPr>
            <w:r>
              <w:rPr>
                <w:rFonts w:ascii="Arial" w:cs="Arial" w:eastAsia="Arial" w:hAnsi="Arial"/>
                <w:sz w:val="16"/>
                <w:szCs w:val="16"/>
                <w:b w:val="1"/>
                <w:bCs w:val="1"/>
                <w:color w:val="auto"/>
              </w:rPr>
              <w:t>(unaudited)</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47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1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80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1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8"/>
              <w:spacing w:after="0"/>
              <w:rPr>
                <w:sz w:val="20"/>
                <w:szCs w:val="20"/>
                <w:color w:val="auto"/>
              </w:rPr>
            </w:pPr>
            <w:r>
              <w:rPr>
                <w:rFonts w:ascii="Arial" w:cs="Arial" w:eastAsia="Arial" w:hAnsi="Arial"/>
                <w:sz w:val="16"/>
                <w:szCs w:val="16"/>
                <w:color w:val="auto"/>
              </w:rPr>
              <w:t>24,385</w:t>
            </w: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78"/>
              <w:spacing w:after="0"/>
              <w:rPr>
                <w:sz w:val="20"/>
                <w:szCs w:val="20"/>
                <w:color w:val="auto"/>
              </w:rPr>
            </w:pPr>
            <w:r>
              <w:rPr>
                <w:rFonts w:ascii="Arial" w:cs="Arial" w:eastAsia="Arial" w:hAnsi="Arial"/>
                <w:sz w:val="16"/>
                <w:szCs w:val="16"/>
                <w:color w:val="auto"/>
              </w:rPr>
              <w:t>27,187</w:t>
            </w:r>
          </w:p>
        </w:tc>
        <w:tc>
          <w:tcPr>
            <w:tcW w:w="340" w:type="dxa"/>
            <w:vAlign w:val="bottom"/>
            <w:gridSpan w:val="2"/>
          </w:tcPr>
          <w:p>
            <w:pPr>
              <w:jc w:val="right"/>
              <w:ind w:right="38"/>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134,398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Short-term investments</w:t>
            </w:r>
          </w:p>
        </w:tc>
        <w:tc>
          <w:tcPr>
            <w:tcW w:w="1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39,997</w:t>
            </w: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78"/>
              <w:spacing w:after="0"/>
              <w:rPr>
                <w:sz w:val="20"/>
                <w:szCs w:val="20"/>
                <w:color w:val="auto"/>
              </w:rPr>
            </w:pPr>
            <w:r>
              <w:rPr>
                <w:rFonts w:ascii="Arial" w:cs="Arial" w:eastAsia="Arial" w:hAnsi="Arial"/>
                <w:sz w:val="16"/>
                <w:szCs w:val="16"/>
                <w:color w:val="auto"/>
              </w:rPr>
              <w:t>39,997</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800" w:type="dxa"/>
            <w:vAlign w:val="bottom"/>
            <w:gridSpan w:val="2"/>
          </w:tcPr>
          <w:p>
            <w:pPr>
              <w:spacing w:after="0"/>
              <w:rPr>
                <w:sz w:val="20"/>
                <w:szCs w:val="20"/>
                <w:color w:val="auto"/>
              </w:rPr>
            </w:pPr>
            <w:r>
              <w:rPr>
                <w:rFonts w:ascii="Arial" w:cs="Arial" w:eastAsia="Arial" w:hAnsi="Arial"/>
                <w:sz w:val="16"/>
                <w:szCs w:val="16"/>
                <w:color w:val="auto"/>
              </w:rPr>
              <w:t>Working capital(3)</w:t>
            </w: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38"/>
              <w:spacing w:after="0"/>
              <w:rPr>
                <w:sz w:val="20"/>
                <w:szCs w:val="20"/>
                <w:color w:val="auto"/>
              </w:rPr>
            </w:pPr>
            <w:r>
              <w:rPr>
                <w:rFonts w:ascii="Arial" w:cs="Arial" w:eastAsia="Arial" w:hAnsi="Arial"/>
                <w:sz w:val="16"/>
                <w:szCs w:val="16"/>
                <w:color w:val="auto"/>
              </w:rPr>
              <w:t>70,987</w:t>
            </w:r>
          </w:p>
        </w:tc>
        <w:tc>
          <w:tcPr>
            <w:tcW w:w="320" w:type="dxa"/>
            <w:vAlign w:val="bottom"/>
          </w:tcPr>
          <w:p>
            <w:pPr>
              <w:spacing w:after="0"/>
              <w:rPr>
                <w:sz w:val="16"/>
                <w:szCs w:val="16"/>
                <w:color w:val="auto"/>
              </w:rPr>
            </w:pPr>
          </w:p>
        </w:tc>
        <w:tc>
          <w:tcPr>
            <w:tcW w:w="1200" w:type="dxa"/>
            <w:vAlign w:val="bottom"/>
            <w:gridSpan w:val="2"/>
          </w:tcPr>
          <w:p>
            <w:pPr>
              <w:jc w:val="right"/>
              <w:ind w:right="378"/>
              <w:spacing w:after="0"/>
              <w:rPr>
                <w:sz w:val="20"/>
                <w:szCs w:val="20"/>
                <w:color w:val="auto"/>
              </w:rPr>
            </w:pPr>
            <w:r>
              <w:rPr>
                <w:rFonts w:ascii="Arial" w:cs="Arial" w:eastAsia="Arial" w:hAnsi="Arial"/>
                <w:sz w:val="16"/>
                <w:szCs w:val="16"/>
                <w:color w:val="auto"/>
              </w:rPr>
              <w:t>73,789</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96,291</w:t>
            </w: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78"/>
              <w:spacing w:after="0"/>
              <w:rPr>
                <w:sz w:val="20"/>
                <w:szCs w:val="20"/>
                <w:color w:val="auto"/>
              </w:rPr>
            </w:pPr>
            <w:r>
              <w:rPr>
                <w:rFonts w:ascii="Arial" w:cs="Arial" w:eastAsia="Arial" w:hAnsi="Arial"/>
                <w:sz w:val="16"/>
                <w:szCs w:val="16"/>
                <w:color w:val="auto"/>
              </w:rPr>
              <w:t>99,093</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206,304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80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38"/>
              <w:spacing w:after="0"/>
              <w:rPr>
                <w:sz w:val="20"/>
                <w:szCs w:val="20"/>
                <w:color w:val="auto"/>
              </w:rPr>
            </w:pPr>
            <w:r>
              <w:rPr>
                <w:rFonts w:ascii="Arial" w:cs="Arial" w:eastAsia="Arial" w:hAnsi="Arial"/>
                <w:sz w:val="16"/>
                <w:szCs w:val="16"/>
                <w:color w:val="auto"/>
              </w:rPr>
              <w:t>44,890</w:t>
            </w:r>
          </w:p>
        </w:tc>
        <w:tc>
          <w:tcPr>
            <w:tcW w:w="320" w:type="dxa"/>
            <w:vAlign w:val="bottom"/>
          </w:tcPr>
          <w:p>
            <w:pPr>
              <w:spacing w:after="0"/>
              <w:rPr>
                <w:sz w:val="16"/>
                <w:szCs w:val="16"/>
                <w:color w:val="auto"/>
              </w:rPr>
            </w:pPr>
          </w:p>
        </w:tc>
        <w:tc>
          <w:tcPr>
            <w:tcW w:w="1200" w:type="dxa"/>
            <w:vAlign w:val="bottom"/>
            <w:gridSpan w:val="2"/>
          </w:tcPr>
          <w:p>
            <w:pPr>
              <w:jc w:val="right"/>
              <w:ind w:right="378"/>
              <w:spacing w:after="0"/>
              <w:rPr>
                <w:sz w:val="20"/>
                <w:szCs w:val="20"/>
                <w:color w:val="auto"/>
              </w:rPr>
            </w:pPr>
            <w:r>
              <w:rPr>
                <w:rFonts w:ascii="Arial" w:cs="Arial" w:eastAsia="Arial" w:hAnsi="Arial"/>
                <w:sz w:val="16"/>
                <w:szCs w:val="16"/>
                <w:color w:val="auto"/>
              </w:rPr>
              <w:t>44,890</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44,890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Convertible preferred stock</w:t>
            </w:r>
          </w:p>
        </w:tc>
        <w:tc>
          <w:tcPr>
            <w:tcW w:w="1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353,300</w:t>
            </w: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78"/>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4800" w:type="dxa"/>
            <w:vAlign w:val="bottom"/>
            <w:gridSpan w:val="2"/>
          </w:tcPr>
          <w:p>
            <w:pPr>
              <w:spacing w:after="0"/>
              <w:rPr>
                <w:sz w:val="20"/>
                <w:szCs w:val="20"/>
                <w:color w:val="auto"/>
              </w:rPr>
            </w:pPr>
            <w:r>
              <w:rPr>
                <w:rFonts w:ascii="Arial" w:cs="Arial" w:eastAsia="Arial" w:hAnsi="Arial"/>
                <w:sz w:val="16"/>
                <w:szCs w:val="16"/>
                <w:color w:val="auto"/>
              </w:rPr>
              <w:t>Common stock and additional paid-in capital</w:t>
            </w: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38"/>
              <w:spacing w:after="0"/>
              <w:rPr>
                <w:sz w:val="20"/>
                <w:szCs w:val="20"/>
                <w:color w:val="auto"/>
              </w:rPr>
            </w:pPr>
            <w:r>
              <w:rPr>
                <w:rFonts w:ascii="Arial" w:cs="Arial" w:eastAsia="Arial" w:hAnsi="Arial"/>
                <w:sz w:val="16"/>
                <w:szCs w:val="16"/>
                <w:color w:val="auto"/>
              </w:rPr>
              <w:t>136,311</w:t>
            </w:r>
          </w:p>
        </w:tc>
        <w:tc>
          <w:tcPr>
            <w:tcW w:w="320" w:type="dxa"/>
            <w:vAlign w:val="bottom"/>
          </w:tcPr>
          <w:p>
            <w:pPr>
              <w:spacing w:after="0"/>
              <w:rPr>
                <w:sz w:val="16"/>
                <w:szCs w:val="16"/>
                <w:color w:val="auto"/>
              </w:rPr>
            </w:pPr>
          </w:p>
        </w:tc>
        <w:tc>
          <w:tcPr>
            <w:tcW w:w="1200" w:type="dxa"/>
            <w:vAlign w:val="bottom"/>
            <w:gridSpan w:val="2"/>
          </w:tcPr>
          <w:p>
            <w:pPr>
              <w:jc w:val="right"/>
              <w:ind w:right="378"/>
              <w:spacing w:after="0"/>
              <w:rPr>
                <w:sz w:val="20"/>
                <w:szCs w:val="20"/>
                <w:color w:val="auto"/>
              </w:rPr>
            </w:pPr>
            <w:r>
              <w:rPr>
                <w:rFonts w:ascii="Arial" w:cs="Arial" w:eastAsia="Arial" w:hAnsi="Arial"/>
                <w:sz w:val="16"/>
                <w:szCs w:val="16"/>
                <w:color w:val="auto"/>
              </w:rPr>
              <w:t>492,413</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598,807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1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(437,393)</w:t>
            </w: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18"/>
              <w:spacing w:after="0"/>
              <w:rPr>
                <w:sz w:val="20"/>
                <w:szCs w:val="20"/>
                <w:color w:val="auto"/>
              </w:rPr>
            </w:pPr>
            <w:r>
              <w:rPr>
                <w:rFonts w:ascii="Arial" w:cs="Arial" w:eastAsia="Arial" w:hAnsi="Arial"/>
                <w:sz w:val="16"/>
                <w:szCs w:val="16"/>
                <w:color w:val="auto"/>
              </w:rPr>
              <w:t>(437,393)</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(437,393)</w:t>
            </w:r>
          </w:p>
        </w:tc>
        <w:tc>
          <w:tcPr>
            <w:tcW w:w="0" w:type="dxa"/>
            <w:vAlign w:val="bottom"/>
          </w:tcPr>
          <w:p>
            <w:pPr>
              <w:spacing w:after="0"/>
              <w:rPr>
                <w:sz w:val="1"/>
                <w:szCs w:val="1"/>
                <w:color w:val="auto"/>
              </w:rPr>
            </w:pPr>
          </w:p>
        </w:tc>
      </w:tr>
      <w:tr>
        <w:trPr>
          <w:trHeight w:val="201"/>
        </w:trPr>
        <w:tc>
          <w:tcPr>
            <w:tcW w:w="4800" w:type="dxa"/>
            <w:vAlign w:val="bottom"/>
            <w:gridSpan w:val="2"/>
          </w:tcPr>
          <w:p>
            <w:pPr>
              <w:spacing w:after="0"/>
              <w:rPr>
                <w:sz w:val="20"/>
                <w:szCs w:val="20"/>
                <w:color w:val="auto"/>
              </w:rPr>
            </w:pPr>
            <w:r>
              <w:rPr>
                <w:rFonts w:ascii="Arial" w:cs="Arial" w:eastAsia="Arial" w:hAnsi="Arial"/>
                <w:sz w:val="16"/>
                <w:szCs w:val="16"/>
                <w:color w:val="auto"/>
              </w:rPr>
              <w:t>Total stockholders’ (deficit) equity</w:t>
            </w: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(301,899)</w:t>
            </w:r>
          </w:p>
        </w:tc>
        <w:tc>
          <w:tcPr>
            <w:tcW w:w="320" w:type="dxa"/>
            <w:vAlign w:val="bottom"/>
          </w:tcPr>
          <w:p>
            <w:pPr>
              <w:spacing w:after="0"/>
              <w:rPr>
                <w:sz w:val="17"/>
                <w:szCs w:val="17"/>
                <w:color w:val="auto"/>
              </w:rPr>
            </w:pPr>
          </w:p>
        </w:tc>
        <w:tc>
          <w:tcPr>
            <w:tcW w:w="1200" w:type="dxa"/>
            <w:vAlign w:val="bottom"/>
            <w:gridSpan w:val="2"/>
          </w:tcPr>
          <w:p>
            <w:pPr>
              <w:jc w:val="right"/>
              <w:ind w:right="378"/>
              <w:spacing w:after="0"/>
              <w:rPr>
                <w:sz w:val="20"/>
                <w:szCs w:val="20"/>
                <w:color w:val="auto"/>
              </w:rPr>
            </w:pPr>
            <w:r>
              <w:rPr>
                <w:rFonts w:ascii="Arial" w:cs="Arial" w:eastAsia="Arial" w:hAnsi="Arial"/>
                <w:sz w:val="16"/>
                <w:szCs w:val="16"/>
                <w:color w:val="auto"/>
              </w:rPr>
              <w:t>54,203</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161,414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780" w:type="dxa"/>
            <w:vAlign w:val="bottom"/>
            <w:tcBorders>
              <w:top w:val="single" w:sz="8" w:color="auto"/>
              <w:bottom w:val="single" w:sz="8" w:color="auto"/>
            </w:tcBorders>
          </w:tcPr>
          <w:p>
            <w:pPr>
              <w:spacing w:after="0"/>
              <w:rPr>
                <w:sz w:val="9"/>
                <w:szCs w:val="9"/>
                <w:color w:val="auto"/>
              </w:rPr>
            </w:pPr>
          </w:p>
        </w:tc>
        <w:tc>
          <w:tcPr>
            <w:tcW w:w="1600" w:type="dxa"/>
            <w:vAlign w:val="bottom"/>
            <w:tcBorders>
              <w:top w:val="single" w:sz="8" w:color="auto"/>
              <w:bottom w:val="single" w:sz="8" w:color="auto"/>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2300" w:type="dxa"/>
            <w:vAlign w:val="bottom"/>
            <w:tcBorders>
              <w:top w:val="single" w:sz="8" w:color="auto"/>
              <w:bottom w:val="single" w:sz="8" w:color="auto"/>
            </w:tcBorders>
            <w:gridSpan w:val="4"/>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1220" w:type="dxa"/>
            <w:vAlign w:val="bottom"/>
            <w:tcBorders>
              <w:top w:val="single" w:sz="8" w:color="auto"/>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jc w:val="right"/>
              <w:ind w:right="458"/>
              <w:spacing w:after="0"/>
              <w:rPr>
                <w:sz w:val="20"/>
                <w:szCs w:val="20"/>
                <w:color w:val="auto"/>
              </w:rPr>
            </w:pPr>
            <w:r>
              <w:rPr>
                <w:rFonts w:ascii="Arial" w:cs="Arial" w:eastAsia="Arial" w:hAnsi="Arial"/>
                <w:sz w:val="16"/>
                <w:szCs w:val="16"/>
                <w:b w:val="1"/>
                <w:bCs w:val="1"/>
                <w:color w:val="auto"/>
              </w:rPr>
              <w:t>As of December 31,</w:t>
            </w:r>
          </w:p>
        </w:tc>
        <w:tc>
          <w:tcPr>
            <w:tcW w:w="20" w:type="dxa"/>
            <w:vAlign w:val="bottom"/>
          </w:tcPr>
          <w:p>
            <w:pPr>
              <w:spacing w:after="0"/>
              <w:rPr>
                <w:sz w:val="19"/>
                <w:szCs w:val="19"/>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As of March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20" w:type="dxa"/>
            <w:vAlign w:val="bottom"/>
            <w:gridSpan w:val="3"/>
          </w:tcPr>
          <w:p>
            <w:pPr>
              <w:jc w:val="right"/>
              <w:ind w:right="38"/>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8"/>
                <w:szCs w:val="18"/>
                <w:color w:val="auto"/>
              </w:rPr>
            </w:pPr>
          </w:p>
        </w:tc>
        <w:tc>
          <w:tcPr>
            <w:tcW w:w="1320" w:type="dxa"/>
            <w:vAlign w:val="bottom"/>
            <w:gridSpan w:val="3"/>
            <w:vMerge w:val="restart"/>
          </w:tcPr>
          <w:p>
            <w:pPr>
              <w:jc w:val="right"/>
              <w:ind w:right="280"/>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47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1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80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80" w:type="dxa"/>
            <w:vAlign w:val="bottom"/>
          </w:tcPr>
          <w:p>
            <w:pPr>
              <w:jc w:val="right"/>
              <w:ind w:right="238"/>
              <w:spacing w:after="0"/>
              <w:rPr>
                <w:sz w:val="20"/>
                <w:szCs w:val="20"/>
                <w:color w:val="auto"/>
              </w:rPr>
            </w:pPr>
            <w:r>
              <w:rPr>
                <w:rFonts w:ascii="Arial" w:cs="Arial" w:eastAsia="Arial" w:hAnsi="Arial"/>
                <w:sz w:val="16"/>
                <w:szCs w:val="16"/>
                <w:color w:val="auto"/>
              </w:rPr>
              <w:t>7,958</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13,994</w:t>
            </w:r>
          </w:p>
        </w:tc>
        <w:tc>
          <w:tcPr>
            <w:tcW w:w="540" w:type="dxa"/>
            <w:vAlign w:val="bottom"/>
          </w:tcPr>
          <w:p>
            <w:pPr>
              <w:spacing w:after="0"/>
              <w:rPr>
                <w:sz w:val="16"/>
                <w:szCs w:val="16"/>
                <w:color w:val="auto"/>
              </w:rPr>
            </w:pPr>
          </w:p>
        </w:tc>
        <w:tc>
          <w:tcPr>
            <w:tcW w:w="340" w:type="dxa"/>
            <w:vAlign w:val="bottom"/>
            <w:gridSpan w:val="2"/>
          </w:tcPr>
          <w:p>
            <w:pPr>
              <w:jc w:val="right"/>
              <w:ind w:right="158"/>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24,385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Short-term investments</w:t>
            </w:r>
          </w:p>
        </w:tc>
        <w:tc>
          <w:tcPr>
            <w:tcW w:w="2680" w:type="dxa"/>
            <w:vAlign w:val="bottom"/>
            <w:gridSpan w:val="4"/>
            <w:shd w:val="clear" w:color="auto" w:fill="CCEEFF"/>
          </w:tcPr>
          <w:p>
            <w:pPr>
              <w:jc w:val="right"/>
              <w:ind w:right="238"/>
              <w:spacing w:after="0"/>
              <w:rPr>
                <w:sz w:val="20"/>
                <w:szCs w:val="20"/>
                <w:color w:val="auto"/>
              </w:rPr>
            </w:pPr>
            <w:r>
              <w:rPr>
                <w:rFonts w:ascii="Arial" w:cs="Arial" w:eastAsia="Arial" w:hAnsi="Arial"/>
                <w:sz w:val="16"/>
                <w:szCs w:val="16"/>
                <w:color w:val="auto"/>
              </w:rPr>
              <w:t>72,710</w:t>
            </w: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54,981</w:t>
            </w: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39,977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800" w:type="dxa"/>
            <w:vAlign w:val="bottom"/>
            <w:gridSpan w:val="2"/>
          </w:tcPr>
          <w:p>
            <w:pPr>
              <w:spacing w:after="0"/>
              <w:rPr>
                <w:sz w:val="20"/>
                <w:szCs w:val="20"/>
                <w:color w:val="auto"/>
              </w:rPr>
            </w:pPr>
            <w:r>
              <w:rPr>
                <w:rFonts w:ascii="Arial" w:cs="Arial" w:eastAsia="Arial" w:hAnsi="Arial"/>
                <w:sz w:val="16"/>
                <w:szCs w:val="16"/>
                <w:color w:val="auto"/>
              </w:rPr>
              <w:t>Working capital(3)</w:t>
            </w:r>
          </w:p>
        </w:tc>
        <w:tc>
          <w:tcPr>
            <w:tcW w:w="2680" w:type="dxa"/>
            <w:vAlign w:val="bottom"/>
            <w:gridSpan w:val="4"/>
          </w:tcPr>
          <w:p>
            <w:pPr>
              <w:jc w:val="right"/>
              <w:ind w:right="238"/>
              <w:spacing w:after="0"/>
              <w:rPr>
                <w:sz w:val="20"/>
                <w:szCs w:val="20"/>
                <w:color w:val="auto"/>
              </w:rPr>
            </w:pPr>
            <w:r>
              <w:rPr>
                <w:rFonts w:ascii="Arial" w:cs="Arial" w:eastAsia="Arial" w:hAnsi="Arial"/>
                <w:sz w:val="16"/>
                <w:szCs w:val="16"/>
                <w:color w:val="auto"/>
              </w:rPr>
              <w:t>81,742</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69,900</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70,987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2680" w:type="dxa"/>
            <w:vAlign w:val="bottom"/>
            <w:gridSpan w:val="4"/>
            <w:shd w:val="clear" w:color="auto" w:fill="CCEEFF"/>
          </w:tcPr>
          <w:p>
            <w:pPr>
              <w:jc w:val="right"/>
              <w:ind w:right="238"/>
              <w:spacing w:after="0"/>
              <w:rPr>
                <w:sz w:val="20"/>
                <w:szCs w:val="20"/>
                <w:color w:val="auto"/>
              </w:rPr>
            </w:pPr>
            <w:r>
              <w:rPr>
                <w:rFonts w:ascii="Arial" w:cs="Arial" w:eastAsia="Arial" w:hAnsi="Arial"/>
                <w:sz w:val="16"/>
                <w:szCs w:val="16"/>
                <w:color w:val="auto"/>
              </w:rPr>
              <w:t>110,432</w:t>
            </w: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100,677</w:t>
            </w: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96,291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80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2680" w:type="dxa"/>
            <w:vAlign w:val="bottom"/>
            <w:gridSpan w:val="4"/>
          </w:tcPr>
          <w:p>
            <w:pPr>
              <w:jc w:val="right"/>
              <w:ind w:right="238"/>
              <w:spacing w:after="0"/>
              <w:rPr>
                <w:sz w:val="20"/>
                <w:szCs w:val="20"/>
                <w:color w:val="auto"/>
              </w:rPr>
            </w:pPr>
            <w:r>
              <w:rPr>
                <w:rFonts w:ascii="Arial" w:cs="Arial" w:eastAsia="Arial" w:hAnsi="Arial"/>
                <w:sz w:val="16"/>
                <w:szCs w:val="16"/>
                <w:color w:val="auto"/>
              </w:rPr>
              <w:t>87,462</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44,906</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44,890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Redeemable common stock</w:t>
            </w:r>
          </w:p>
        </w:tc>
        <w:tc>
          <w:tcPr>
            <w:tcW w:w="2680" w:type="dxa"/>
            <w:vAlign w:val="bottom"/>
            <w:gridSpan w:val="4"/>
            <w:shd w:val="clear" w:color="auto" w:fill="CCEEFF"/>
          </w:tcPr>
          <w:p>
            <w:pPr>
              <w:jc w:val="right"/>
              <w:ind w:right="238"/>
              <w:spacing w:after="0"/>
              <w:rPr>
                <w:sz w:val="20"/>
                <w:szCs w:val="20"/>
                <w:color w:val="auto"/>
              </w:rPr>
            </w:pPr>
            <w:r>
              <w:rPr>
                <w:rFonts w:ascii="Arial" w:cs="Arial" w:eastAsia="Arial" w:hAnsi="Arial"/>
                <w:sz w:val="16"/>
                <w:szCs w:val="16"/>
                <w:color w:val="auto"/>
              </w:rPr>
              <w:t>56,422</w:t>
            </w: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80,780</w:t>
            </w: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4800" w:type="dxa"/>
            <w:vAlign w:val="bottom"/>
            <w:gridSpan w:val="2"/>
          </w:tcPr>
          <w:p>
            <w:pPr>
              <w:spacing w:after="0"/>
              <w:rPr>
                <w:sz w:val="20"/>
                <w:szCs w:val="20"/>
                <w:color w:val="auto"/>
              </w:rPr>
            </w:pPr>
            <w:r>
              <w:rPr>
                <w:rFonts w:ascii="Arial" w:cs="Arial" w:eastAsia="Arial" w:hAnsi="Arial"/>
                <w:sz w:val="16"/>
                <w:szCs w:val="16"/>
                <w:color w:val="auto"/>
              </w:rPr>
              <w:t>Redeemable convertible preferred stock</w:t>
            </w:r>
          </w:p>
        </w:tc>
        <w:tc>
          <w:tcPr>
            <w:tcW w:w="2680" w:type="dxa"/>
            <w:vAlign w:val="bottom"/>
            <w:gridSpan w:val="4"/>
          </w:tcPr>
          <w:p>
            <w:pPr>
              <w:jc w:val="right"/>
              <w:ind w:right="238"/>
              <w:spacing w:after="0"/>
              <w:rPr>
                <w:sz w:val="20"/>
                <w:szCs w:val="20"/>
                <w:color w:val="auto"/>
              </w:rPr>
            </w:pPr>
            <w:r>
              <w:rPr>
                <w:rFonts w:ascii="Arial" w:cs="Arial" w:eastAsia="Arial" w:hAnsi="Arial"/>
                <w:sz w:val="16"/>
                <w:szCs w:val="16"/>
                <w:color w:val="auto"/>
              </w:rPr>
              <w:t>327,581</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353,300</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353,300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Common stock and additional paid-in capital</w:t>
            </w:r>
          </w:p>
        </w:tc>
        <w:tc>
          <w:tcPr>
            <w:tcW w:w="1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58"/>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136,311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800" w:type="dxa"/>
            <w:vAlign w:val="bottom"/>
            <w:gridSpan w:val="2"/>
          </w:tcPr>
          <w:p>
            <w:pPr>
              <w:spacing w:after="0"/>
              <w:rPr>
                <w:sz w:val="20"/>
                <w:szCs w:val="20"/>
                <w:color w:val="auto"/>
              </w:rPr>
            </w:pPr>
            <w:r>
              <w:rPr>
                <w:rFonts w:ascii="Arial" w:cs="Arial" w:eastAsia="Arial" w:hAnsi="Arial"/>
                <w:sz w:val="16"/>
                <w:szCs w:val="16"/>
                <w:color w:val="auto"/>
              </w:rPr>
              <w:t>Accumulated deficit</w:t>
            </w:r>
          </w:p>
        </w:tc>
        <w:tc>
          <w:tcPr>
            <w:tcW w:w="2680" w:type="dxa"/>
            <w:vAlign w:val="bottom"/>
            <w:gridSpan w:val="4"/>
          </w:tcPr>
          <w:p>
            <w:pPr>
              <w:jc w:val="right"/>
              <w:ind w:right="198"/>
              <w:spacing w:after="0"/>
              <w:rPr>
                <w:sz w:val="20"/>
                <w:szCs w:val="20"/>
                <w:color w:val="auto"/>
              </w:rPr>
            </w:pPr>
            <w:r>
              <w:rPr>
                <w:rFonts w:ascii="Arial" w:cs="Arial" w:eastAsia="Arial" w:hAnsi="Arial"/>
                <w:sz w:val="16"/>
                <w:szCs w:val="16"/>
                <w:color w:val="auto"/>
              </w:rPr>
              <w:t>(419,855)</w:t>
            </w:r>
          </w:p>
        </w:tc>
        <w:tc>
          <w:tcPr>
            <w:tcW w:w="320" w:type="dxa"/>
            <w:vAlign w:val="bottom"/>
          </w:tcPr>
          <w:p>
            <w:pPr>
              <w:spacing w:after="0"/>
              <w:rPr>
                <w:sz w:val="16"/>
                <w:szCs w:val="16"/>
                <w:color w:val="auto"/>
              </w:rPr>
            </w:pPr>
          </w:p>
        </w:tc>
        <w:tc>
          <w:tcPr>
            <w:tcW w:w="1200" w:type="dxa"/>
            <w:vAlign w:val="bottom"/>
            <w:gridSpan w:val="2"/>
          </w:tcPr>
          <w:p>
            <w:pPr>
              <w:jc w:val="right"/>
              <w:ind w:right="398"/>
              <w:spacing w:after="0"/>
              <w:rPr>
                <w:sz w:val="20"/>
                <w:szCs w:val="20"/>
                <w:color w:val="auto"/>
              </w:rPr>
            </w:pPr>
            <w:r>
              <w:rPr>
                <w:rFonts w:ascii="Arial" w:cs="Arial" w:eastAsia="Arial" w:hAnsi="Arial"/>
                <w:sz w:val="16"/>
                <w:szCs w:val="16"/>
                <w:color w:val="auto"/>
              </w:rPr>
              <w:t>(430,588)</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(437,393)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(deficit) equity</w:t>
            </w:r>
          </w:p>
        </w:tc>
        <w:tc>
          <w:tcPr>
            <w:tcW w:w="2680" w:type="dxa"/>
            <w:vAlign w:val="bottom"/>
            <w:gridSpan w:val="4"/>
            <w:shd w:val="clear" w:color="auto" w:fill="CCEEFF"/>
          </w:tcPr>
          <w:p>
            <w:pPr>
              <w:jc w:val="right"/>
              <w:ind w:right="198"/>
              <w:spacing w:after="0"/>
              <w:rPr>
                <w:sz w:val="20"/>
                <w:szCs w:val="20"/>
                <w:color w:val="auto"/>
              </w:rPr>
            </w:pPr>
            <w:r>
              <w:rPr>
                <w:rFonts w:ascii="Arial" w:cs="Arial" w:eastAsia="Arial" w:hAnsi="Arial"/>
                <w:sz w:val="16"/>
                <w:szCs w:val="16"/>
                <w:color w:val="auto"/>
              </w:rPr>
              <w:t>(419,809)</w:t>
            </w: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98"/>
              <w:spacing w:after="0"/>
              <w:rPr>
                <w:sz w:val="20"/>
                <w:szCs w:val="20"/>
                <w:color w:val="auto"/>
              </w:rPr>
            </w:pPr>
            <w:r>
              <w:rPr>
                <w:rFonts w:ascii="Arial" w:cs="Arial" w:eastAsia="Arial" w:hAnsi="Arial"/>
                <w:sz w:val="16"/>
                <w:szCs w:val="16"/>
                <w:color w:val="auto"/>
              </w:rPr>
              <w:t>(430,591)</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(301,899)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760" w:right="100" w:hanging="309"/>
        <w:spacing w:after="0" w:line="229" w:lineRule="auto"/>
        <w:tabs>
          <w:tab w:leader="none" w:pos="7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pro forma balance sheet data gives effect to (i) the cash received and the impact of the cash exercise of 225,945 warrants to purchase Series H Preferred Stock at the weighted average exercise price of $12.40 per share, and (ii) the conversion of such shares into 225,945 shares of common stock plus the conversion of all outstanding shares of our convertible preferred stock at March 31, 2021 into 14,850,993 shares of common stock, for an aggregate total of 15,076,938 shares of common stock upon the completion of this offering and the filing and effectiveness of our amended and restated certificate of incorporation;</w:t>
      </w:r>
    </w:p>
    <w:p>
      <w:pPr>
        <w:spacing w:after="0" w:line="12" w:lineRule="exact"/>
        <w:rPr>
          <w:rFonts w:ascii="Arial" w:cs="Arial" w:eastAsia="Arial" w:hAnsi="Arial"/>
          <w:sz w:val="13"/>
          <w:szCs w:val="13"/>
          <w:color w:val="auto"/>
        </w:rPr>
      </w:pPr>
    </w:p>
    <w:p>
      <w:pPr>
        <w:ind w:left="760" w:right="40" w:hanging="309"/>
        <w:spacing w:after="0" w:line="230" w:lineRule="auto"/>
        <w:tabs>
          <w:tab w:leader="none" w:pos="7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Reflects the pro forma adjustments described in footnote (1) above and the receipt of estimated net proceeds of $106.6 million from the issuance and sale of shares of common stock in this offering at the initial public offering price of $16.00 per share, after deducting the underwriting discounts and commissions and estimated offering expenses payable by us.</w:t>
      </w:r>
    </w:p>
    <w:p>
      <w:pPr>
        <w:spacing w:after="0" w:line="13" w:lineRule="exact"/>
        <w:rPr>
          <w:rFonts w:ascii="Arial" w:cs="Arial" w:eastAsia="Arial" w:hAnsi="Arial"/>
          <w:sz w:val="13"/>
          <w:szCs w:val="13"/>
          <w:color w:val="auto"/>
        </w:rPr>
      </w:pPr>
    </w:p>
    <w:p>
      <w:pPr>
        <w:ind w:left="760" w:right="600" w:hanging="309"/>
        <w:spacing w:after="0" w:line="268" w:lineRule="auto"/>
        <w:tabs>
          <w:tab w:leader="none" w:pos="7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We define working capital as current assets less current liabilities. See our audited consolidated financial statements and related notes and unaudited interim condensed consolidated financial statements and related notes appearing at the end of this prospectus for further details regarding our current assets and current liabilities.</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0800"/>
          </w:cols>
          <w:pgMar w:left="320" w:top="440" w:right="77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right="880"/>
        <w:spacing w:after="0" w:line="287" w:lineRule="auto"/>
        <w:rPr>
          <w:sz w:val="20"/>
          <w:szCs w:val="20"/>
          <w:color w:val="auto"/>
        </w:rPr>
      </w:pPr>
      <w:r>
        <w:rPr>
          <w:rFonts w:ascii="Arial" w:cs="Arial" w:eastAsia="Arial" w:hAnsi="Arial"/>
          <w:sz w:val="30"/>
          <w:szCs w:val="30"/>
          <w:b w:val="1"/>
          <w:bCs w:val="1"/>
          <w:color w:val="auto"/>
        </w:rPr>
        <w:t>Management’s discussion and analysis of financial condition and results of operations</w:t>
      </w:r>
    </w:p>
    <w:p>
      <w:pPr>
        <w:spacing w:after="0" w:line="8" w:lineRule="exact"/>
        <w:rPr>
          <w:sz w:val="20"/>
          <w:szCs w:val="20"/>
          <w:color w:val="auto"/>
        </w:rPr>
      </w:pPr>
    </w:p>
    <w:p>
      <w:pPr>
        <w:ind w:left="460" w:right="100"/>
        <w:spacing w:after="0" w:line="256"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financial statements and the related notes to those statements included elsewhere in this prospectus.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elsewhere in this prospectus. See “Special Note Regarding Forward-Looking Statements.”</w:t>
      </w:r>
    </w:p>
    <w:p>
      <w:pPr>
        <w:spacing w:after="0" w:line="34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Overview</w:t>
      </w:r>
    </w:p>
    <w:p>
      <w:pPr>
        <w:spacing w:after="0" w:line="133"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We are a commercial-stage medical technology company dedicated to improving the vision of patients following cataract surgery. Our proprietary RxSight system, comprised of our LAL, LDD and accessories, is the first and only commercially available IOL technology that enables doctors to customize and optimize visual acuity for patients after cataract surgery. Our LAL is made of proprietary photosensitive material that changes shape in response to specific patterns of ultraviolet light generated by our LDD. With the RxSight system, the surgeon performs a standard cataract procedure to implant the LAL, determines refractive error with patient input after healing is complete, and then uses the LDD to modify the lens with the exact amount of visual correction needed to achieve the patient’s desired vision outcomes. Alternative IOL technologies, in contrast, are not adjustable following the procedure and therefore require patients to make pre-operative choices about their visual preferences, which can often result in patient dissatisfaction when visual outcomes fail to meet expectations. We designed our RxSight system to maximize patient and doctor satisfaction through superior visual outcomes. In the pivotal study that formed the basis for our FDA approval, the observed rate of eyes with 20/20 or better uncorrected distance visual acuity for our LAL was 70.1%. This compares favorably to the results of pivotal studies with similar study designs and patient populations that supported FDA approval of Alcon’s Acrysof Toric (38.4%), and J&amp;J’s Tecnis Toric (43.6%). We began commercializing our solution in the United States in the third quarter of 2019 and are focused on establishing the RxSight system as the standard of care for premium IOL procedures. As of March 31, 2021, we had an installed base of 105 LDDs in ophthalmology practices, and since our inception, surgeons have performed over 10,000 surgeries with our RxSight system.</w:t>
      </w:r>
    </w:p>
    <w:p>
      <w:pPr>
        <w:spacing w:after="0" w:line="282" w:lineRule="exact"/>
        <w:rPr>
          <w:sz w:val="20"/>
          <w:szCs w:val="20"/>
          <w:color w:val="auto"/>
        </w:rPr>
      </w:pPr>
    </w:p>
    <w:p>
      <w:pPr>
        <w:ind w:left="460" w:right="40"/>
        <w:spacing w:after="0" w:line="250" w:lineRule="auto"/>
        <w:rPr>
          <w:sz w:val="20"/>
          <w:szCs w:val="20"/>
          <w:color w:val="auto"/>
        </w:rPr>
      </w:pPr>
      <w:r>
        <w:rPr>
          <w:rFonts w:ascii="Arial" w:cs="Arial" w:eastAsia="Arial" w:hAnsi="Arial"/>
          <w:sz w:val="16"/>
          <w:szCs w:val="16"/>
          <w:color w:val="auto"/>
        </w:rPr>
        <w:t>Our products are also approved for sale in Europe and Mexico. We are not currently marketing our products for sale in Europe or Mexico; however, we have approval in both for improving uncorrected visual acuity by adjusting the LAL power to correct residual postoperative refractive error. We have one customer in Germany and one in Mexico, both of which participate in our clinical studies and perform commercial cases. The LAL is a premium IOL which is partially reimbursable under Medicare, and in some cases by private payors. Premium IOLs are sold at a higher price point than conventional IOLs, as they provide refractive correction of vision unlike a conventional IOL that only replaces the natural lens with a clear lens (which is the standard for Medicare reimbursement). We compete in the IOL market in the U.S. We are a Delaware corporation, headquartered in Aliso Viejo, California, and have one wholly owned subsidiary. Our subsidiary is located in Amsterdam, Netherlands, which has one wholly owned subsidiary in Germany and a registered branch in the United Kingdom.</w:t>
      </w:r>
    </w:p>
    <w:p>
      <w:pPr>
        <w:spacing w:after="0" w:line="90" w:lineRule="exact"/>
        <w:rPr>
          <w:sz w:val="20"/>
          <w:szCs w:val="20"/>
          <w:color w:val="auto"/>
        </w:rPr>
      </w:pPr>
    </w:p>
    <w:p>
      <w:pPr>
        <w:ind w:left="460" w:right="20"/>
        <w:spacing w:after="0" w:line="252" w:lineRule="auto"/>
        <w:rPr>
          <w:sz w:val="20"/>
          <w:szCs w:val="20"/>
          <w:color w:val="auto"/>
        </w:rPr>
      </w:pPr>
      <w:r>
        <w:rPr>
          <w:rFonts w:ascii="Arial" w:cs="Arial" w:eastAsia="Arial" w:hAnsi="Arial"/>
          <w:sz w:val="16"/>
          <w:szCs w:val="16"/>
          <w:color w:val="auto"/>
        </w:rPr>
        <w:t>Our commercial strategy is focused on a “land and expand” model through which we aim to drive new customer adoption, which generally begins with the sale of an LDD, and then helps the customer incorporate the LAL into their practice to drive utilization and premium procedure growth. We believe this commercial strategy over time may provide a degree of predictability in terms of our commercial growth and a consumable revenue stream from sales of our LALs. We are currently focused on driving adoption with surgeons performing a high volume of premium cataract procedures. MarketScope estimates that there are approximately 4,000 surgeons that perform</w:t>
      </w:r>
    </w:p>
    <w:p>
      <w:pPr>
        <w:spacing w:after="0" w:line="124"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0780"/>
          </w:cols>
          <w:pgMar w:left="320" w:top="441" w:right="79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cataract surgeries in the United States as of 2020, and we estimate that approximately 1,600 surgeons performed approximately 70 to 80% of the premium procedures in the United States in 2020. We believe this provides an attractive and concentrated market opportunity addressable with a focused sales force. We currently employ a sales team that, as of March 2021 includes 6 sales directors, and a group of over 40 clinical specialists, field service and customer service personnel. We intend to continue to make significant investments in our sales and marketing organization. We believe increasing the number of sales representatives, practice development personnel and clinical trainers will help facilitate further adoption of our products among existing customer accounts as well as broaden awareness of our products to new accounts. While we intend to initially focus our growing commercial efforts in the U.S., in the future, we may selectively pursue commercial expansion in Asia, Europe, Australia or other geographies with significant market opportunity for premium IOLs, leveraging our CE and FDA approvals.</w:t>
      </w:r>
    </w:p>
    <w:p>
      <w:pPr>
        <w:spacing w:after="0" w:line="280" w:lineRule="exact"/>
        <w:rPr>
          <w:sz w:val="20"/>
          <w:szCs w:val="20"/>
          <w:color w:val="auto"/>
        </w:rPr>
      </w:pPr>
    </w:p>
    <w:p>
      <w:pPr>
        <w:ind w:left="460" w:right="80"/>
        <w:spacing w:after="0" w:line="250" w:lineRule="auto"/>
        <w:rPr>
          <w:sz w:val="20"/>
          <w:szCs w:val="20"/>
          <w:color w:val="auto"/>
        </w:rPr>
      </w:pPr>
      <w:r>
        <w:rPr>
          <w:rFonts w:ascii="Arial" w:cs="Arial" w:eastAsia="Arial" w:hAnsi="Arial"/>
          <w:sz w:val="16"/>
          <w:szCs w:val="16"/>
          <w:color w:val="auto"/>
        </w:rPr>
        <w:t>Our near-term research and development activities are focused on enhancements to the RxSight system to improve the patient and doctor experience, expand the range of patients that can be treated, as well as expand its indications and drive adoption. We believe that over time, our adjustable lens solution can be used to address a broad range of cataract surgery patients, including those that would otherwise elect for a conventional cataract procedure today. Additional development and clinical studies that are designed to provide clinical evidence of the safety and effectiveness of our existing and future generations of products are also anticipated. Finally, we may in the future seek to acquire or invest in additional businesses, products or technologies that we believe could complement or expand our portfolio, enhance our technical capabilities or otherwise offer growth opportunities.</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date, our primary sources of capital have been private placements of preferred stock, a structured transaction with a strategic partner, debt</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financing and revenue from sales of our products. Since inception, we have raised a total of $191.3 million in net proceeds from private</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placements of preferred stock, $120 million from a strategic partner, approximately $29.5 million in net proceeds from a credit facility, and</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approximately $11.0 million from issuance of common stock primarily from stock option exercises. As of March 31, 2021, we had cash and</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equivalents of $24.4 million, short-term investments of $40.0 million, long-term debt of $29.5 million and accumulated deficit of</w:t>
      </w:r>
    </w:p>
    <w:p>
      <w:pPr>
        <w:spacing w:after="0" w:line="6"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$437.4 million. We generated sales of $14.7 million and had a net income of $27.6 million for the year ended December 31, 2020, compared to sales of $2.2 million and net income of $126.2 million for the year ended December 31, 2019. We generated sales of $3.5 million and had a net loss of $6.8 million for the three months ended March 31, 2021, compared to sales of $2.9 million and a net loss of $16.5 million for the three months ended March 31, 2020.</w:t>
      </w:r>
    </w:p>
    <w:p>
      <w:pPr>
        <w:spacing w:after="0" w:line="86" w:lineRule="exact"/>
        <w:rPr>
          <w:sz w:val="20"/>
          <w:szCs w:val="20"/>
          <w:color w:val="auto"/>
        </w:rPr>
      </w:pPr>
    </w:p>
    <w:p>
      <w:pPr>
        <w:ind w:left="460" w:right="80"/>
        <w:spacing w:after="0" w:line="250" w:lineRule="auto"/>
        <w:rPr>
          <w:sz w:val="20"/>
          <w:szCs w:val="20"/>
          <w:color w:val="auto"/>
        </w:rPr>
      </w:pPr>
      <w:r>
        <w:rPr>
          <w:rFonts w:ascii="Arial" w:cs="Arial" w:eastAsia="Arial" w:hAnsi="Arial"/>
          <w:sz w:val="16"/>
          <w:szCs w:val="16"/>
          <w:color w:val="auto"/>
        </w:rPr>
        <w:t>We intend to continue to make significant investments in our sales and marketing organization, primarily sales representatives, clinical applications specialists and technical service personnel to support new customers and upgrades and practice development personnel to facilitate adoption of use of our LALs among existing accounts. We will expand our marketing efforts with additional advertising and customer tools to expand their local advertising. We will also continue to make significant investments in research and development and clinical expenses to make enhancements in our current products. As a public company, we will incur costs that we have not previously incurred or have previously incurred at lower rates, including increased costs for employee-related expenses, director and officer insurance premiums, audit and legal fees, investor relations fees, fees to members of our board of directors and expenses for compliance with public-company reporting requirements. Because of these and other factors, we expect to continue to incur substantial net losses and negative cash flows from operations for at least the next several years.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Facility lease agreements</w:t>
      </w:r>
    </w:p>
    <w:p>
      <w:pPr>
        <w:spacing w:after="0" w:line="133" w:lineRule="exact"/>
        <w:rPr>
          <w:sz w:val="20"/>
          <w:szCs w:val="20"/>
          <w:color w:val="auto"/>
        </w:rPr>
      </w:pPr>
    </w:p>
    <w:p>
      <w:pPr>
        <w:ind w:left="460" w:right="340"/>
        <w:spacing w:after="0" w:line="265" w:lineRule="auto"/>
        <w:rPr>
          <w:sz w:val="20"/>
          <w:szCs w:val="20"/>
          <w:color w:val="auto"/>
        </w:rPr>
      </w:pPr>
      <w:r>
        <w:rPr>
          <w:rFonts w:ascii="Arial" w:cs="Arial" w:eastAsia="Arial" w:hAnsi="Arial"/>
          <w:sz w:val="16"/>
          <w:szCs w:val="16"/>
          <w:color w:val="auto"/>
        </w:rPr>
        <w:t>We currently lease three facilities housing our headquarters, manufacturing, research and development and administrative offices in Aliso Viejo, California. The facility leases are for approximately 109,822 square feet in</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0780"/>
          </w:cols>
          <w:pgMar w:left="320" w:top="440" w:right="79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160"/>
        <w:spacing w:after="0" w:line="265" w:lineRule="auto"/>
        <w:rPr>
          <w:sz w:val="20"/>
          <w:szCs w:val="20"/>
          <w:color w:val="auto"/>
        </w:rPr>
      </w:pPr>
      <w:r>
        <w:rPr>
          <w:rFonts w:ascii="Arial" w:cs="Arial" w:eastAsia="Arial" w:hAnsi="Arial"/>
          <w:sz w:val="16"/>
          <w:szCs w:val="16"/>
          <w:color w:val="auto"/>
        </w:rPr>
        <w:t>the aggregate. The leases terminate, respectively, on (i) September 30, 2024, with one option to extend for five years; (ii) January 31, 2026, with three options to extend for five years each; and (iii) March 31, 2023 with two options to extend for five years each.</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COVID-19 pandemic</w:t>
      </w:r>
    </w:p>
    <w:p>
      <w:pPr>
        <w:spacing w:after="0" w:line="133"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We are subject to the continuing risks related to the public health crises, primarily the global pandemic associated with COVID-19. In December 2019, a novel strain of coronavirus, SARS-CoV-2, was reported to have surfaced in Wuhan, China. Since then, SARS-CoV-2, and the resulting disease COVID-19, has spread to most countries, and all 50 states within the United States. The COVID-19 outbreak has negatively impacted and may continue to negatively impact our operations and revenues and overall financial condition, similar to other medical device manufacturers, by decreasing the number of our products sold. RxSight has a limited commercial history, as all but eight months of commercial history has occurred during the COVID-19 crisis. Total IOL procedure volume dropped 17% in the US and 25% globally from 2019 to 2020 due principally to the COVID-19 pandemic, as health care organizations globally have prioritized the treatment of patients with COVID-19. In the United States, governmental authorities had recommended, and in certain cases required, that elective, specialty and other procedures and appointments, be suspended or canceled to avoid non-essential patient exposure to medical environments and potential infection with COVID-19 and to focus limited resources and personnel capacity toward the treatment of COVID-19. These measures and challenges may continue for the duration of the pandemic, which is uncertain, and will reduce our revenue while the pandemic continues.</w:t>
      </w:r>
    </w:p>
    <w:p>
      <w:pPr>
        <w:spacing w:after="0" w:line="94" w:lineRule="exact"/>
        <w:rPr>
          <w:sz w:val="20"/>
          <w:szCs w:val="20"/>
          <w:color w:val="auto"/>
        </w:rPr>
      </w:pPr>
    </w:p>
    <w:p>
      <w:pPr>
        <w:ind w:left="460" w:right="40"/>
        <w:spacing w:after="0" w:line="249" w:lineRule="auto"/>
        <w:rPr>
          <w:sz w:val="20"/>
          <w:szCs w:val="20"/>
          <w:color w:val="auto"/>
        </w:rPr>
      </w:pPr>
      <w:r>
        <w:rPr>
          <w:rFonts w:ascii="Arial" w:cs="Arial" w:eastAsia="Arial" w:hAnsi="Arial"/>
          <w:sz w:val="16"/>
          <w:szCs w:val="16"/>
          <w:color w:val="auto"/>
        </w:rPr>
        <w:t>Numerous state and local jurisdictions imposed, and in the future may impose, “shelter-in-place” orders, quarantines, executive orders and similar government orders and restrictions for their residents to control the spread of COVID-19. Starting in mid-March 2020, the governor of California, where our headquarters is located, issued “shelter-in-place” or “stay at home” orders restricting non-essential activities, travel and business operations for an indefinite period of time, subject to certain exceptions for necessary activities. Such orders or restrictions have resulted in our headquarters closing, work stoppages, slowdowns and delays, travel restrictions and cancellation of training and other events, among other effects, thereby negatively impacting our operations. Other disruptions or potential disruptions to our business and supply chain include restrictions on our personnel and personnel of partners to travel and access customers for training and case support; delays in approvals by regulatory bodies; delays in product development efforts; and additional government requirements or other incremental mitigation efforts that may further impact our capacity to manufacture, sell and support the use of our RxSight system. In addition, even after the “shelter-in-place” orders, quarantines, executive orders and similar government orders and restrictions for their residents to control the spread of COVID-19 were significantly reduced in the second quarter of 2021, we continue to experience disruptions to our business, including patients and customers continuing to be cautious in restarting elective procedures in light of the continued risk posed by the virus.</w:t>
      </w:r>
    </w:p>
    <w:p>
      <w:pPr>
        <w:spacing w:after="0" w:line="93" w:lineRule="exact"/>
        <w:rPr>
          <w:sz w:val="20"/>
          <w:szCs w:val="20"/>
          <w:color w:val="auto"/>
        </w:rPr>
      </w:pPr>
    </w:p>
    <w:p>
      <w:pPr>
        <w:ind w:left="460" w:right="80"/>
        <w:spacing w:after="0" w:line="250" w:lineRule="auto"/>
        <w:rPr>
          <w:sz w:val="20"/>
          <w:szCs w:val="20"/>
          <w:color w:val="auto"/>
        </w:rPr>
      </w:pPr>
      <w:r>
        <w:rPr>
          <w:rFonts w:ascii="Arial" w:cs="Arial" w:eastAsia="Arial" w:hAnsi="Arial"/>
          <w:sz w:val="16"/>
          <w:szCs w:val="16"/>
          <w:color w:val="auto"/>
        </w:rPr>
        <w:t>As we continue to actively advance our clinical, discovery and research programs, we are in close contact with the third parties we engage with, who are primarily located in the United States, and are assessing the impact of the COVID-19 pandemic on each of our programs, expected timelines and costs on an ongoing basis. In light of ongoing developments relating to the COVID-19 pandemic, the focus of healthcare providers on fighting the virus, and consistent with the FDA’s industry guidance for conducting clinical trials, we and our contract research organizations have made certain adjustments to the operation of our clinical trials in an effort to ensure the monitoring and safety of patients and minimize risk to trial integrity during the pandemic and generally. Other COVID-related guidance recently released by the FDA includes statistical considerations for clinical trials conducted during the COVID-19 public health emergency and post marketing adverse event</w:t>
      </w:r>
    </w:p>
    <w:p>
      <w:pPr>
        <w:spacing w:after="0" w:line="319"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0760"/>
          </w:cols>
          <w:pgMar w:left="320" w:top="440" w:right="81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20"/>
        <w:spacing w:after="0" w:line="265" w:lineRule="auto"/>
        <w:rPr>
          <w:sz w:val="20"/>
          <w:szCs w:val="20"/>
          <w:color w:val="auto"/>
        </w:rPr>
      </w:pPr>
      <w:r>
        <w:rPr>
          <w:rFonts w:ascii="Arial" w:cs="Arial" w:eastAsia="Arial" w:hAnsi="Arial"/>
          <w:sz w:val="16"/>
          <w:szCs w:val="16"/>
          <w:color w:val="auto"/>
        </w:rPr>
        <w:t>reporting for medical products during a pandemic. We may need to make further adjustments in the future, including implementation of new policies and procedures.</w:t>
      </w:r>
    </w:p>
    <w:p>
      <w:pPr>
        <w:spacing w:after="0" w:line="75" w:lineRule="exact"/>
        <w:rPr>
          <w:sz w:val="20"/>
          <w:szCs w:val="20"/>
          <w:color w:val="auto"/>
        </w:rPr>
      </w:pPr>
    </w:p>
    <w:p>
      <w:pPr>
        <w:ind w:left="460" w:right="40"/>
        <w:spacing w:after="0" w:line="250" w:lineRule="auto"/>
        <w:rPr>
          <w:sz w:val="20"/>
          <w:szCs w:val="20"/>
          <w:color w:val="auto"/>
        </w:rPr>
      </w:pPr>
      <w:r>
        <w:rPr>
          <w:rFonts w:ascii="Arial" w:cs="Arial" w:eastAsia="Arial" w:hAnsi="Arial"/>
          <w:sz w:val="16"/>
          <w:szCs w:val="16"/>
          <w:color w:val="auto"/>
        </w:rPr>
        <w:t>While the potential economic impact brought by and the duration of COVID-19 may be difficult to assess or predict, the widespread pandemic has resulted in, and may continue to result in, significant disruption of global financial markets, reducing our ability to access capital, which could in the future negatively affect our liquidity. We expect any further shelter-in-place policies and restrictions on elective surgical procedures worldwide to have a substantial near-term impact on our revenue. During the COVID-19 pandemic, our customers, including doctors, have experienced financial hardship and some of them may not fully recover. This could lead to some of these customers temporarily or permanently shutting down, filing for bankruptcy or being acquired by larger health systems, leading to reduced procedures and/or additional pricing pressure on our products. The COVID-19 pandemic has also resulted in a significant increase in unemployment in the United States which may continue even after the pandemic. The occurrence of any such events may lead to reduced disposable income and access to health insurance which could adversely affect the number of our RxSight systems sold after the pandemic has ended.</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Key business metrics</w:t>
      </w:r>
    </w:p>
    <w:p>
      <w:pPr>
        <w:spacing w:after="0" w:line="133" w:lineRule="exact"/>
        <w:rPr>
          <w:sz w:val="20"/>
          <w:szCs w:val="20"/>
          <w:color w:val="auto"/>
        </w:rPr>
      </w:pPr>
    </w:p>
    <w:p>
      <w:pPr>
        <w:ind w:left="460" w:right="40"/>
        <w:spacing w:after="0" w:line="251" w:lineRule="auto"/>
        <w:rPr>
          <w:sz w:val="20"/>
          <w:szCs w:val="20"/>
          <w:color w:val="auto"/>
        </w:rPr>
      </w:pPr>
      <w:r>
        <w:rPr>
          <w:rFonts w:ascii="Arial" w:cs="Arial" w:eastAsia="Arial" w:hAnsi="Arial"/>
          <w:sz w:val="16"/>
          <w:szCs w:val="16"/>
          <w:color w:val="auto"/>
        </w:rPr>
        <w:t>We regularly review several operating and financial metrics to evaluate our business, measure our performance, identify trends affecting our business, formulate our business plan and make strategic decisions. We believe the number of LDDs installed, LALs implanted and the number of doctors performing surgery with our products are indicators of our ability to drive adoption and generate revenue. We believe these are important metrics for our business. Due to our limited commercial history, all but eight months of which have occurred during the COVID-19 pandemic, we are not yet able to assess seasonality and other trends, and we will continue to evaluate our business in the future using these and other financial metrics as we observe trends in our business.</w:t>
      </w:r>
    </w:p>
    <w:p>
      <w:pPr>
        <w:spacing w:after="0" w:line="88" w:lineRule="exact"/>
        <w:rPr>
          <w:sz w:val="20"/>
          <w:szCs w:val="20"/>
          <w:color w:val="auto"/>
        </w:rPr>
      </w:pPr>
    </w:p>
    <w:p>
      <w:pPr>
        <w:ind w:left="460" w:right="540"/>
        <w:spacing w:after="0" w:line="265" w:lineRule="auto"/>
        <w:rPr>
          <w:sz w:val="20"/>
          <w:szCs w:val="20"/>
          <w:color w:val="auto"/>
        </w:rPr>
      </w:pPr>
      <w:r>
        <w:rPr>
          <w:rFonts w:ascii="Arial" w:cs="Arial" w:eastAsia="Arial" w:hAnsi="Arial"/>
          <w:sz w:val="16"/>
          <w:szCs w:val="16"/>
          <w:color w:val="auto"/>
        </w:rPr>
        <w:t>We believe the number of LDDs sold in each quarter and installed at the end of each period are important metrics as they represent an installed base into which we can sell our LALs.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53975</wp:posOffset>
            </wp:positionV>
            <wp:extent cx="6569075"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58"/>
              <w:spacing w:after="0"/>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4"/>
          </w:tcPr>
          <w:p>
            <w:pPr>
              <w:jc w:val="right"/>
              <w:ind w:right="38"/>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8"/>
                <w:szCs w:val="18"/>
                <w:color w:val="auto"/>
              </w:rPr>
            </w:pPr>
          </w:p>
        </w:tc>
      </w:tr>
      <w:tr>
        <w:trPr>
          <w:trHeight w:val="259"/>
        </w:trPr>
        <w:tc>
          <w:tcPr>
            <w:tcW w:w="668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Q1</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Q2</w:t>
            </w:r>
          </w:p>
        </w:tc>
        <w:tc>
          <w:tcPr>
            <w:tcW w:w="46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Q3</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Q4</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Q1</w:t>
            </w:r>
          </w:p>
        </w:tc>
        <w:tc>
          <w:tcPr>
            <w:tcW w:w="16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Q2</w:t>
            </w:r>
          </w:p>
        </w:tc>
        <w:tc>
          <w:tcPr>
            <w:tcW w:w="16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w w:val="93"/>
              </w:rPr>
              <w:t>Q3</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Q4</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Q1</w:t>
            </w:r>
          </w:p>
        </w:tc>
        <w:tc>
          <w:tcPr>
            <w:tcW w:w="40" w:type="dxa"/>
            <w:vAlign w:val="bottom"/>
            <w:tcBorders>
              <w:bottom w:val="single" w:sz="8" w:color="auto"/>
            </w:tcBorders>
          </w:tcPr>
          <w:p>
            <w:pPr>
              <w:spacing w:after="0"/>
              <w:rPr>
                <w:sz w:val="22"/>
                <w:szCs w:val="22"/>
                <w:color w:val="auto"/>
              </w:rPr>
            </w:pPr>
          </w:p>
        </w:tc>
      </w:tr>
      <w:tr>
        <w:trPr>
          <w:trHeight w:val="183"/>
        </w:trPr>
        <w:tc>
          <w:tcPr>
            <w:tcW w:w="66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LDDs Sold</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w:t>
            </w:r>
          </w:p>
        </w:tc>
        <w:tc>
          <w:tcPr>
            <w:tcW w:w="3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15</w:t>
            </w:r>
          </w:p>
        </w:tc>
        <w:tc>
          <w:tcPr>
            <w:tcW w:w="4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15</w:t>
            </w:r>
          </w:p>
        </w:tc>
        <w:tc>
          <w:tcPr>
            <w:tcW w:w="620" w:type="dxa"/>
            <w:vAlign w:val="bottom"/>
            <w:gridSpan w:val="3"/>
            <w:shd w:val="clear" w:color="auto" w:fill="CCEEFF"/>
          </w:tcPr>
          <w:p>
            <w:pPr>
              <w:jc w:val="right"/>
              <w:ind w:right="160"/>
              <w:spacing w:after="0" w:line="183" w:lineRule="exact"/>
              <w:rPr>
                <w:sz w:val="20"/>
                <w:szCs w:val="20"/>
                <w:color w:val="auto"/>
              </w:rPr>
            </w:pPr>
            <w:r>
              <w:rPr>
                <w:rFonts w:ascii="Arial" w:cs="Arial" w:eastAsia="Arial" w:hAnsi="Arial"/>
                <w:sz w:val="16"/>
                <w:szCs w:val="16"/>
                <w:color w:val="auto"/>
              </w:rPr>
              <w:t>20*</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23</w:t>
            </w:r>
          </w:p>
        </w:tc>
        <w:tc>
          <w:tcPr>
            <w:tcW w:w="520" w:type="dxa"/>
            <w:vAlign w:val="bottom"/>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13</w:t>
            </w:r>
          </w:p>
        </w:tc>
        <w:tc>
          <w:tcPr>
            <w:tcW w:w="40" w:type="dxa"/>
            <w:vAlign w:val="bottom"/>
            <w:shd w:val="clear" w:color="auto" w:fill="CCEEFF"/>
          </w:tcPr>
          <w:p>
            <w:pPr>
              <w:spacing w:after="0"/>
              <w:rPr>
                <w:sz w:val="15"/>
                <w:szCs w:val="15"/>
                <w:color w:val="auto"/>
              </w:rPr>
            </w:pPr>
          </w:p>
        </w:tc>
      </w:tr>
      <w:tr>
        <w:trPr>
          <w:trHeight w:val="201"/>
        </w:trPr>
        <w:tc>
          <w:tcPr>
            <w:tcW w:w="6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Installed Base at End of Period</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40" w:type="dxa"/>
            <w:vAlign w:val="bottom"/>
            <w:gridSpan w:val="2"/>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40" w:type="dxa"/>
            <w:vAlign w:val="bottom"/>
          </w:tcPr>
          <w:p>
            <w:pPr>
              <w:spacing w:after="0"/>
              <w:rPr>
                <w:sz w:val="17"/>
                <w:szCs w:val="17"/>
                <w:color w:val="auto"/>
              </w:rPr>
            </w:pPr>
          </w:p>
        </w:tc>
      </w:tr>
    </w:tbl>
    <w:p>
      <w:pPr>
        <w:spacing w:after="0" w:line="63" w:lineRule="exact"/>
        <w:rPr>
          <w:sz w:val="20"/>
          <w:szCs w:val="20"/>
          <w:color w:val="auto"/>
        </w:rPr>
      </w:pPr>
    </w:p>
    <w:p>
      <w:pPr>
        <w:ind w:left="760" w:hanging="309"/>
        <w:spacing w:after="0"/>
        <w:tabs>
          <w:tab w:leader="none" w:pos="760" w:val="left"/>
        </w:tabs>
        <w:numPr>
          <w:ilvl w:val="0"/>
          <w:numId w:val="64"/>
        </w:numPr>
        <w:rPr>
          <w:rFonts w:ascii="Arial" w:cs="Arial" w:eastAsia="Arial" w:hAnsi="Arial"/>
          <w:sz w:val="13"/>
          <w:szCs w:val="13"/>
          <w:color w:val="auto"/>
        </w:rPr>
      </w:pPr>
      <w:r>
        <w:rPr>
          <w:rFonts w:ascii="Arial" w:cs="Arial" w:eastAsia="Arial" w:hAnsi="Arial"/>
          <w:sz w:val="13"/>
          <w:szCs w:val="13"/>
          <w:color w:val="auto"/>
        </w:rPr>
        <w:t>One LDD placed for rent Q3 2019 at a university &amp; one LDD converted from clinical to commercial use in Q3 2020</w:t>
      </w:r>
    </w:p>
    <w:p>
      <w:pPr>
        <w:spacing w:after="0" w:line="95" w:lineRule="exact"/>
        <w:rPr>
          <w:sz w:val="20"/>
          <w:szCs w:val="20"/>
          <w:color w:val="auto"/>
        </w:rPr>
      </w:pPr>
    </w:p>
    <w:p>
      <w:pPr>
        <w:ind w:left="460" w:right="80"/>
        <w:spacing w:after="0" w:line="250" w:lineRule="auto"/>
        <w:rPr>
          <w:sz w:val="20"/>
          <w:szCs w:val="20"/>
          <w:color w:val="auto"/>
        </w:rPr>
      </w:pPr>
      <w:r>
        <w:rPr>
          <w:rFonts w:ascii="Arial" w:cs="Arial" w:eastAsia="Arial" w:hAnsi="Arial"/>
          <w:sz w:val="16"/>
          <w:szCs w:val="16"/>
          <w:color w:val="auto"/>
        </w:rPr>
        <w:t>We believe the number of LALs sold (reported as implanted in a patient) in each quarter is an important metric indicative of adoption and utilization of our RxSight system. While an important metric, the COVID-19 pandemic and severe weather in the first quarter 2021 impacted trends in our business. In the second quarter of 2020, the number of our LALs sold decreased as compared to the first quarter of 2020 as ambulatory surgery centers (ASCs), where most cataract surgeries are performed, were closed to elective surgeries for six or more weeks. In the third quarter 2020, LALs sold increased as compared to the second quarter of 2020, reflecting, we believe, some resurgence of surgeries when ASCs re-opened, with sales of LALs in the fourth quarter of 2020 continuing to increase sequentially, despite seasonal holidays. During the first quarter of 2021, however, the U.S. saw a resurgence in COVID-19 cases attributed to holiday travel and gatherings and severe weather in Texas and other southern states, resulting in reduced LAL sales for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62865</wp:posOffset>
            </wp:positionV>
            <wp:extent cx="6569075"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8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158"/>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38"/>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8"/>
                <w:szCs w:val="18"/>
                <w:color w:val="auto"/>
              </w:rPr>
            </w:pPr>
          </w:p>
        </w:tc>
      </w:tr>
      <w:tr>
        <w:trPr>
          <w:trHeight w:val="259"/>
        </w:trPr>
        <w:tc>
          <w:tcPr>
            <w:tcW w:w="288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Q1</w:t>
            </w:r>
          </w:p>
        </w:tc>
        <w:tc>
          <w:tcPr>
            <w:tcW w:w="4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Q2</w:t>
            </w:r>
          </w:p>
        </w:tc>
        <w:tc>
          <w:tcPr>
            <w:tcW w:w="4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Q3</w:t>
            </w:r>
          </w:p>
        </w:tc>
        <w:tc>
          <w:tcPr>
            <w:tcW w:w="5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Q4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Q1</w:t>
            </w:r>
          </w:p>
        </w:tc>
        <w:tc>
          <w:tcPr>
            <w:tcW w:w="1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Q2</w:t>
            </w:r>
          </w:p>
        </w:tc>
        <w:tc>
          <w:tcPr>
            <w:tcW w:w="1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Q3</w:t>
            </w: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Q4</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Q1</w:t>
            </w:r>
          </w:p>
        </w:tc>
      </w:tr>
      <w:tr>
        <w:trPr>
          <w:trHeight w:val="183"/>
        </w:trPr>
        <w:tc>
          <w:tcPr>
            <w:tcW w:w="28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LALs Sold</w:t>
            </w:r>
          </w:p>
        </w:tc>
        <w:tc>
          <w:tcPr>
            <w:tcW w:w="30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8"/>
              <w:spacing w:after="0" w:line="183" w:lineRule="exact"/>
              <w:rPr>
                <w:sz w:val="20"/>
                <w:szCs w:val="20"/>
                <w:color w:val="auto"/>
              </w:rPr>
            </w:pPr>
            <w:r>
              <w:rPr>
                <w:rFonts w:ascii="Arial" w:cs="Arial" w:eastAsia="Arial" w:hAnsi="Arial"/>
                <w:sz w:val="16"/>
                <w:szCs w:val="16"/>
                <w:color w:val="auto"/>
              </w:rPr>
              <w:t>26</w:t>
            </w:r>
          </w:p>
        </w:tc>
        <w:tc>
          <w:tcPr>
            <w:tcW w:w="480" w:type="dxa"/>
            <w:vAlign w:val="bottom"/>
            <w:shd w:val="clear" w:color="auto" w:fill="CCEEFF"/>
          </w:tcPr>
          <w:p>
            <w:pPr>
              <w:jc w:val="right"/>
              <w:ind w:right="18"/>
              <w:spacing w:after="0" w:line="183" w:lineRule="exact"/>
              <w:rPr>
                <w:sz w:val="20"/>
                <w:szCs w:val="20"/>
                <w:color w:val="auto"/>
              </w:rPr>
            </w:pPr>
            <w:r>
              <w:rPr>
                <w:rFonts w:ascii="Arial" w:cs="Arial" w:eastAsia="Arial" w:hAnsi="Arial"/>
                <w:sz w:val="16"/>
                <w:szCs w:val="16"/>
                <w:color w:val="auto"/>
              </w:rPr>
              <w:t>336</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575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719</w:t>
            </w:r>
          </w:p>
        </w:tc>
        <w:tc>
          <w:tcPr>
            <w:tcW w:w="4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662</w:t>
            </w:r>
          </w:p>
        </w:tc>
        <w:tc>
          <w:tcPr>
            <w:tcW w:w="6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1,513</w:t>
            </w:r>
          </w:p>
        </w:tc>
        <w:tc>
          <w:tcPr>
            <w:tcW w:w="6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1,577</w:t>
            </w:r>
          </w:p>
        </w:tc>
        <w:tc>
          <w:tcPr>
            <w:tcW w:w="620" w:type="dxa"/>
            <w:vAlign w:val="bottom"/>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1,567</w:t>
            </w:r>
          </w:p>
        </w:tc>
        <w:tc>
          <w:tcPr>
            <w:tcW w:w="40" w:type="dxa"/>
            <w:vAlign w:val="bottom"/>
            <w:shd w:val="clear" w:color="auto" w:fill="CCEEFF"/>
          </w:tcPr>
          <w:p>
            <w:pPr>
              <w:spacing w:after="0"/>
              <w:rPr>
                <w:sz w:val="15"/>
                <w:szCs w:val="15"/>
                <w:color w:val="auto"/>
              </w:rPr>
            </w:pPr>
          </w:p>
        </w:tc>
      </w:tr>
      <w:tr>
        <w:trPr>
          <w:trHeight w:val="20"/>
        </w:trPr>
        <w:tc>
          <w:tcPr>
            <w:tcW w:w="28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5"/>
        </w:trPr>
        <w:tc>
          <w:tcPr>
            <w:tcW w:w="2880" w:type="dxa"/>
            <w:vAlign w:val="bottom"/>
          </w:tcPr>
          <w:p>
            <w:pPr>
              <w:spacing w:after="0"/>
              <w:rPr>
                <w:sz w:val="24"/>
                <w:szCs w:val="24"/>
                <w:color w:val="auto"/>
              </w:rPr>
            </w:pPr>
          </w:p>
        </w:tc>
        <w:tc>
          <w:tcPr>
            <w:tcW w:w="3000" w:type="dxa"/>
            <w:vAlign w:val="bottom"/>
          </w:tcPr>
          <w:p>
            <w:pPr>
              <w:jc w:val="right"/>
              <w:ind w:right="498"/>
              <w:spacing w:after="0"/>
              <w:rPr>
                <w:sz w:val="20"/>
                <w:szCs w:val="20"/>
                <w:color w:val="auto"/>
              </w:rPr>
            </w:pPr>
            <w:r>
              <w:rPr>
                <w:rFonts w:ascii="Arial" w:cs="Arial" w:eastAsia="Arial" w:hAnsi="Arial"/>
                <w:sz w:val="16"/>
                <w:szCs w:val="16"/>
                <w:color w:val="auto"/>
              </w:rPr>
              <w:t>102</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00"/>
          </w:cols>
          <w:pgMar w:left="320" w:top="440" w:right="77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Components of results of operations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Sales</w:t>
      </w:r>
    </w:p>
    <w:p>
      <w:pPr>
        <w:spacing w:after="0" w:line="128" w:lineRule="exact"/>
        <w:rPr>
          <w:sz w:val="20"/>
          <w:szCs w:val="20"/>
          <w:color w:val="auto"/>
        </w:rPr>
      </w:pPr>
    </w:p>
    <w:p>
      <w:pPr>
        <w:ind w:left="460" w:right="20"/>
        <w:spacing w:after="0" w:line="251" w:lineRule="auto"/>
        <w:rPr>
          <w:sz w:val="20"/>
          <w:szCs w:val="20"/>
          <w:color w:val="auto"/>
        </w:rPr>
      </w:pPr>
      <w:r>
        <w:rPr>
          <w:rFonts w:ascii="Arial" w:cs="Arial" w:eastAsia="Arial" w:hAnsi="Arial"/>
          <w:sz w:val="16"/>
          <w:szCs w:val="16"/>
          <w:color w:val="auto"/>
        </w:rPr>
        <w:t>Our revenue consists of the sale of LALs used in cataract surgeries, the LDDs for delivering light to the LALs to adjust the lens post-surgery, as needed, and service and accessories (UV protective glasses and LAL insertion devices). Revenue is derived from sales of products primarily in the U.S. and sales to a single customer in each of Germany and Mexico. Customers are primarily comprised of ophthalmic practices (LDD sales) and ambulatory surgery centers (LAL sales). We expect revenue to increase in absolute dollars as we expand our sales organization and sales territories, add customers, expand the base of doctors that are trained to use our products, and expand awareness of our products with new and existing customers and as doctors perform more procedures using our products.</w:t>
      </w:r>
    </w:p>
    <w:p>
      <w:pPr>
        <w:spacing w:after="0" w:line="88" w:lineRule="exact"/>
        <w:rPr>
          <w:sz w:val="20"/>
          <w:szCs w:val="20"/>
          <w:color w:val="auto"/>
        </w:rPr>
      </w:pPr>
    </w:p>
    <w:p>
      <w:pPr>
        <w:ind w:left="460" w:right="340"/>
        <w:spacing w:after="0" w:line="265" w:lineRule="auto"/>
        <w:rPr>
          <w:sz w:val="20"/>
          <w:szCs w:val="20"/>
          <w:color w:val="auto"/>
        </w:rPr>
      </w:pPr>
      <w:r>
        <w:rPr>
          <w:rFonts w:ascii="Arial" w:cs="Arial" w:eastAsia="Arial" w:hAnsi="Arial"/>
          <w:sz w:val="16"/>
          <w:szCs w:val="16"/>
          <w:color w:val="auto"/>
        </w:rPr>
        <w:t>LALs are held at customer sites on consignment. The single performance obligation is satisfied, and revenue is recognized for LALs upon customer notification that the LALs have been implanted in a patient.</w:t>
      </w:r>
    </w:p>
    <w:p>
      <w:pPr>
        <w:spacing w:after="0" w:line="75" w:lineRule="exact"/>
        <w:rPr>
          <w:sz w:val="20"/>
          <w:szCs w:val="20"/>
          <w:color w:val="auto"/>
        </w:rPr>
      </w:pPr>
    </w:p>
    <w:p>
      <w:pPr>
        <w:ind w:left="460" w:right="200"/>
        <w:spacing w:after="0" w:line="251" w:lineRule="auto"/>
        <w:rPr>
          <w:sz w:val="20"/>
          <w:szCs w:val="20"/>
          <w:color w:val="auto"/>
        </w:rPr>
      </w:pPr>
      <w:r>
        <w:rPr>
          <w:rFonts w:ascii="Arial" w:cs="Arial" w:eastAsia="Arial" w:hAnsi="Arial"/>
          <w:sz w:val="16"/>
          <w:szCs w:val="16"/>
          <w:color w:val="auto"/>
        </w:rPr>
        <w:t>Our LDD contracts contain multiple performance obligations bundled into one transaction price, with all obligations generally satisfied within one year. The LDD capital asset and related components revenue is recognized upon installation and customer acceptance training is recognized upon completion of at least one doctor and the initial warranty and service agreement are recognized ratably over the service period. After the first year, service contracts can be purchased separately on a standalone basis. As of December 31, 2019, the Company deferred revenue of $10,000 related to such service agreements and $345,000 as of December 31, 2020. Revenue for such service agreements will be recognized over the term of each contract.</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2019 and 2020, revenue from contracts with customers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6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2019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r>
      <w:tr>
        <w:trPr>
          <w:trHeight w:val="208"/>
        </w:trPr>
        <w:tc>
          <w:tcPr>
            <w:tcW w:w="56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(in thousands)</w:t>
            </w:r>
          </w:p>
        </w:tc>
      </w:tr>
      <w:tr>
        <w:trPr>
          <w:trHeight w:val="183"/>
        </w:trPr>
        <w:tc>
          <w:tcPr>
            <w:tcW w:w="56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LDD (including training)</w:t>
            </w:r>
          </w:p>
        </w:tc>
        <w:tc>
          <w:tcPr>
            <w:tcW w:w="3840" w:type="dxa"/>
            <w:vAlign w:val="bottom"/>
            <w:gridSpan w:val="2"/>
            <w:shd w:val="clear" w:color="auto" w:fill="CCEEFF"/>
          </w:tcPr>
          <w:p>
            <w:pPr>
              <w:jc w:val="right"/>
              <w:ind w:right="58"/>
              <w:spacing w:after="0" w:line="183" w:lineRule="exact"/>
              <w:rPr>
                <w:sz w:val="20"/>
                <w:szCs w:val="20"/>
                <w:color w:val="auto"/>
              </w:rPr>
            </w:pPr>
            <w:r>
              <w:rPr>
                <w:rFonts w:ascii="Arial" w:cs="Arial" w:eastAsia="Arial" w:hAnsi="Arial"/>
                <w:sz w:val="16"/>
                <w:szCs w:val="16"/>
                <w:color w:val="auto"/>
              </w:rPr>
              <w:t>$ 1,187</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$ 10,159</w:t>
            </w:r>
          </w:p>
        </w:tc>
        <w:tc>
          <w:tcPr>
            <w:tcW w:w="60" w:type="dxa"/>
            <w:vAlign w:val="bottom"/>
            <w:shd w:val="clear" w:color="auto" w:fill="CCEEFF"/>
          </w:tcPr>
          <w:p>
            <w:pPr>
              <w:spacing w:after="0"/>
              <w:rPr>
                <w:sz w:val="15"/>
                <w:szCs w:val="15"/>
                <w:color w:val="auto"/>
              </w:rPr>
            </w:pPr>
          </w:p>
        </w:tc>
      </w:tr>
      <w:tr>
        <w:trPr>
          <w:trHeight w:val="190"/>
        </w:trPr>
        <w:tc>
          <w:tcPr>
            <w:tcW w:w="5640" w:type="dxa"/>
            <w:vAlign w:val="bottom"/>
          </w:tcPr>
          <w:p>
            <w:pPr>
              <w:spacing w:after="0"/>
              <w:rPr>
                <w:sz w:val="20"/>
                <w:szCs w:val="20"/>
                <w:color w:val="auto"/>
              </w:rPr>
            </w:pPr>
            <w:r>
              <w:rPr>
                <w:rFonts w:ascii="Arial" w:cs="Arial" w:eastAsia="Arial" w:hAnsi="Arial"/>
                <w:sz w:val="16"/>
                <w:szCs w:val="16"/>
                <w:color w:val="auto"/>
              </w:rPr>
              <w:t>LAL</w:t>
            </w:r>
          </w:p>
        </w:tc>
        <w:tc>
          <w:tcPr>
            <w:tcW w:w="3840" w:type="dxa"/>
            <w:vAlign w:val="bottom"/>
            <w:gridSpan w:val="2"/>
          </w:tcPr>
          <w:p>
            <w:pPr>
              <w:jc w:val="right"/>
              <w:ind w:right="58"/>
              <w:spacing w:after="0"/>
              <w:rPr>
                <w:sz w:val="20"/>
                <w:szCs w:val="20"/>
                <w:color w:val="auto"/>
              </w:rPr>
            </w:pPr>
            <w:r>
              <w:rPr>
                <w:rFonts w:ascii="Arial" w:cs="Arial" w:eastAsia="Arial" w:hAnsi="Arial"/>
                <w:sz w:val="16"/>
                <w:szCs w:val="16"/>
                <w:color w:val="auto"/>
              </w:rPr>
              <w:t>1,026</w:t>
            </w:r>
          </w:p>
        </w:tc>
        <w:tc>
          <w:tcPr>
            <w:tcW w:w="800" w:type="dxa"/>
            <w:vAlign w:val="bottom"/>
          </w:tcPr>
          <w:p>
            <w:pPr>
              <w:jc w:val="right"/>
              <w:spacing w:after="0"/>
              <w:rPr>
                <w:sz w:val="20"/>
                <w:szCs w:val="20"/>
                <w:color w:val="auto"/>
              </w:rPr>
            </w:pPr>
            <w:r>
              <w:rPr>
                <w:rFonts w:ascii="Arial" w:cs="Arial" w:eastAsia="Arial" w:hAnsi="Arial"/>
                <w:sz w:val="16"/>
                <w:szCs w:val="16"/>
                <w:color w:val="auto"/>
              </w:rPr>
              <w:t>4,256</w:t>
            </w:r>
          </w:p>
        </w:tc>
        <w:tc>
          <w:tcPr>
            <w:tcW w:w="60" w:type="dxa"/>
            <w:vAlign w:val="bottom"/>
          </w:tcPr>
          <w:p>
            <w:pPr>
              <w:spacing w:after="0"/>
              <w:rPr>
                <w:sz w:val="16"/>
                <w:szCs w:val="16"/>
                <w:color w:val="auto"/>
              </w:rPr>
            </w:pPr>
          </w:p>
        </w:tc>
      </w:tr>
      <w:tr>
        <w:trPr>
          <w:trHeight w:val="190"/>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Accessories and Service Warranty</w:t>
            </w:r>
          </w:p>
        </w:tc>
        <w:tc>
          <w:tcPr>
            <w:tcW w:w="314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28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60" w:type="dxa"/>
            <w:vAlign w:val="bottom"/>
            <w:shd w:val="clear" w:color="auto" w:fill="CCEEFF"/>
          </w:tcPr>
          <w:p>
            <w:pPr>
              <w:spacing w:after="0"/>
              <w:rPr>
                <w:sz w:val="16"/>
                <w:szCs w:val="16"/>
                <w:color w:val="auto"/>
              </w:rPr>
            </w:pPr>
          </w:p>
        </w:tc>
      </w:tr>
      <w:tr>
        <w:trPr>
          <w:trHeight w:val="207"/>
        </w:trPr>
        <w:tc>
          <w:tcPr>
            <w:tcW w:w="564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2"/>
          </w:tcPr>
          <w:p>
            <w:pPr>
              <w:jc w:val="right"/>
              <w:ind w:right="58"/>
              <w:spacing w:after="0"/>
              <w:rPr>
                <w:sz w:val="20"/>
                <w:szCs w:val="20"/>
                <w:color w:val="auto"/>
              </w:rPr>
            </w:pPr>
            <w:r>
              <w:rPr>
                <w:rFonts w:ascii="Arial" w:cs="Arial" w:eastAsia="Arial" w:hAnsi="Arial"/>
                <w:sz w:val="16"/>
                <w:szCs w:val="16"/>
                <w:color w:val="auto"/>
              </w:rPr>
              <w:t>$ 2,241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$ 14,678</w:t>
            </w:r>
          </w:p>
        </w:tc>
        <w:tc>
          <w:tcPr>
            <w:tcW w:w="60" w:type="dxa"/>
            <w:vAlign w:val="bottom"/>
          </w:tcPr>
          <w:p>
            <w:pPr>
              <w:spacing w:after="0"/>
              <w:rPr>
                <w:sz w:val="17"/>
                <w:szCs w:val="17"/>
                <w:color w:val="auto"/>
              </w:rPr>
            </w:pPr>
          </w:p>
        </w:tc>
      </w:tr>
    </w:tbl>
    <w:p>
      <w:pPr>
        <w:spacing w:after="0" w:line="104" w:lineRule="exact"/>
        <w:rPr>
          <w:sz w:val="20"/>
          <w:szCs w:val="20"/>
          <w:color w:val="auto"/>
        </w:rPr>
      </w:pPr>
    </w:p>
    <w:p>
      <w:pPr>
        <w:ind w:left="460" w:right="180"/>
        <w:spacing w:after="0" w:line="265" w:lineRule="auto"/>
        <w:rPr>
          <w:sz w:val="20"/>
          <w:szCs w:val="20"/>
          <w:color w:val="auto"/>
        </w:rPr>
      </w:pPr>
      <w:r>
        <w:rPr>
          <w:rFonts w:ascii="Arial" w:cs="Arial" w:eastAsia="Arial" w:hAnsi="Arial"/>
          <w:sz w:val="16"/>
          <w:szCs w:val="16"/>
          <w:color w:val="auto"/>
        </w:rPr>
        <w:t>For the year ended December 31, 2019, we had two customers who individually accounted for approximately 35% and 14% of revenue. For the year ended December 31, 2020, we had one customer who individually accounted for approximately 27% of revenue.</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Cost of sales</w:t>
      </w:r>
    </w:p>
    <w:p>
      <w:pPr>
        <w:spacing w:after="0" w:line="128" w:lineRule="exact"/>
        <w:rPr>
          <w:sz w:val="20"/>
          <w:szCs w:val="20"/>
          <w:color w:val="auto"/>
        </w:rPr>
      </w:pPr>
    </w:p>
    <w:p>
      <w:pPr>
        <w:ind w:left="460" w:right="60"/>
        <w:spacing w:after="0" w:line="252" w:lineRule="auto"/>
        <w:rPr>
          <w:sz w:val="20"/>
          <w:szCs w:val="20"/>
          <w:color w:val="auto"/>
        </w:rPr>
      </w:pPr>
      <w:r>
        <w:rPr>
          <w:rFonts w:ascii="Arial" w:cs="Arial" w:eastAsia="Arial" w:hAnsi="Arial"/>
          <w:sz w:val="16"/>
          <w:szCs w:val="16"/>
          <w:color w:val="auto"/>
        </w:rPr>
        <w:t>Cost of sales consists of materials, labor and manufacturing overhead internally to produce the Company’s products as well as the cost of shipping and handling. Overhead costs include the cost of quality assurance, material procurement, inventory control, facilities, equipment and operations supervision and management, including stock-based compensation. Cost of sales also includes depreciation expense for production equipment and certain direct costs such as shipping costs and royalty and license fee expense. Shipping costs billed to customers are included in sales. We expect cost of sales to increase in absolute dollars as our revenue grows and more of our products are sold.</w:t>
      </w:r>
    </w:p>
    <w:p>
      <w:pPr>
        <w:spacing w:after="0" w:line="86" w:lineRule="exact"/>
        <w:rPr>
          <w:sz w:val="20"/>
          <w:szCs w:val="20"/>
          <w:color w:val="auto"/>
        </w:rPr>
      </w:pPr>
    </w:p>
    <w:p>
      <w:pPr>
        <w:ind w:left="460" w:right="80"/>
        <w:spacing w:after="0" w:line="253" w:lineRule="auto"/>
        <w:rPr>
          <w:sz w:val="20"/>
          <w:szCs w:val="20"/>
          <w:color w:val="auto"/>
        </w:rPr>
      </w:pPr>
      <w:r>
        <w:rPr>
          <w:rFonts w:ascii="Arial" w:cs="Arial" w:eastAsia="Arial" w:hAnsi="Arial"/>
          <w:sz w:val="16"/>
          <w:szCs w:val="16"/>
          <w:color w:val="auto"/>
        </w:rPr>
        <w:t>We calculate gross margin as gross profit/loss divided by revenue. Our gross margin has been and will continue to be affected by a variety of factors, including average selling prices, product sales mix, production and ordering volumes, manufacturing costs, product yields, headcount and cost-reduction strategies. Our gross margin could fluctuate from quarter to quarter as we introduce new products, and as we adopt new manufacturing processes and technologies.</w:t>
      </w:r>
    </w:p>
    <w:p>
      <w:pPr>
        <w:spacing w:after="0" w:line="124"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0800"/>
          </w:cols>
          <w:pgMar w:left="320" w:top="440" w:right="77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0"/>
        <w:spacing w:after="0" w:line="253" w:lineRule="auto"/>
        <w:rPr>
          <w:sz w:val="20"/>
          <w:szCs w:val="20"/>
          <w:color w:val="auto"/>
        </w:rPr>
      </w:pPr>
      <w:r>
        <w:rPr>
          <w:rFonts w:ascii="Arial" w:cs="Arial" w:eastAsia="Arial" w:hAnsi="Arial"/>
          <w:sz w:val="16"/>
          <w:szCs w:val="16"/>
          <w:color w:val="auto"/>
        </w:rPr>
        <w:t>Our LDD, as is typical of many medical device capital equipment products, has a low gross margin, as the material cost of the LDD is significant, representing close to 50% of the total cost to manufacture. In addition, we do not mark up our LDD substantially, as LDDs, as sold, generate LAL procedures. Our LAL gross margin is higher, with low material cost but high fixed overhead costs. As our manufacturing volume of the LAL increases, we expect the gross margin may improve significantly.</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Operating expenses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128"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Selling, general and administrative, or SG&amp;A, expenses consist primarily of compensation for personnel, including stock-based compensation, related to administrative, selling and marketing functions, education programs for doctors, commercial operations and analytics, finance, information technology and human resource functions. Other SG&amp;A expenses include sales commissions, travel expenses, promotional activities, marketing initiatives, market research and analysis, conferences and trade shows, training for doctors, professional services fees (including legal, audit and tax fees), insurance costs, general corporate expenses and facilities-related expenses. We expect SG&amp;A expenses to continue to increase in absolute dollars as we expand our sales and marketing organization and infrastructure to both drive and support the anticipated growth in revenue and due to additional legal, accounting, insurance and other expenses associated with being a public company.</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28" w:lineRule="exact"/>
        <w:rPr>
          <w:sz w:val="20"/>
          <w:szCs w:val="20"/>
          <w:color w:val="auto"/>
        </w:rPr>
      </w:pPr>
    </w:p>
    <w:p>
      <w:pPr>
        <w:ind w:left="460" w:right="60"/>
        <w:spacing w:after="0" w:line="250" w:lineRule="auto"/>
        <w:rPr>
          <w:sz w:val="20"/>
          <w:szCs w:val="20"/>
          <w:color w:val="auto"/>
        </w:rPr>
      </w:pPr>
      <w:r>
        <w:rPr>
          <w:rFonts w:ascii="Arial" w:cs="Arial" w:eastAsia="Arial" w:hAnsi="Arial"/>
          <w:sz w:val="16"/>
          <w:szCs w:val="16"/>
          <w:color w:val="auto"/>
        </w:rPr>
        <w:t>Research and development expenses consist of expenses incurred in performing research and development and engineering activities for new products and technology, clinical studies and regulatory submissions and compliance. The expenses include compensation and benefits (including stock-based compensation), costs incurred at clinical trial sites, regulatory and manufacturing engineering costs, including those related to various laboratory and research equipment and supplies, expense of pre-approved inventory utilized for clinical trial and research purposes, costs incurred in the development of manufacturing processes in excess of capitalizable value, fees paid to consultants and contract clinical organizations and direct FDA related costs and costs related to FDA premarket approval submission preparation. Research and development expenses are expensed as incurred. We expect R&amp;D expenses as a percentage of revenue to vary over time depending on the level and timing of our new product development efforts, as well as our clinical development, clinical trials and registries and other related activities.</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Gain/loss on sale of equipment</w:t>
      </w:r>
    </w:p>
    <w:p>
      <w:pPr>
        <w:spacing w:after="0" w:line="128" w:lineRule="exact"/>
        <w:rPr>
          <w:sz w:val="20"/>
          <w:szCs w:val="20"/>
          <w:color w:val="auto"/>
        </w:rPr>
      </w:pPr>
    </w:p>
    <w:p>
      <w:pPr>
        <w:ind w:left="460" w:right="20"/>
        <w:spacing w:after="0" w:line="265" w:lineRule="auto"/>
        <w:rPr>
          <w:sz w:val="20"/>
          <w:szCs w:val="20"/>
          <w:color w:val="auto"/>
        </w:rPr>
      </w:pPr>
      <w:r>
        <w:rPr>
          <w:rFonts w:ascii="Arial" w:cs="Arial" w:eastAsia="Arial" w:hAnsi="Arial"/>
          <w:sz w:val="16"/>
          <w:szCs w:val="16"/>
          <w:color w:val="auto"/>
        </w:rPr>
        <w:t>Gain/loss on sale of equipment in 2019 primarily represents the gain or loss on the sale of LDDs classified as fixed assets (originally placed at clinical sites) six of which were subsequently sold to those clinical sites for commercial use.</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Change in fair value of warrants</w:t>
      </w:r>
    </w:p>
    <w:p>
      <w:pPr>
        <w:spacing w:after="0" w:line="128" w:lineRule="exact"/>
        <w:rPr>
          <w:sz w:val="20"/>
          <w:szCs w:val="20"/>
          <w:color w:val="auto"/>
        </w:rPr>
      </w:pPr>
    </w:p>
    <w:p>
      <w:pPr>
        <w:ind w:left="460" w:right="20"/>
        <w:spacing w:after="0" w:line="256" w:lineRule="auto"/>
        <w:rPr>
          <w:sz w:val="20"/>
          <w:szCs w:val="20"/>
          <w:color w:val="auto"/>
        </w:rPr>
      </w:pPr>
      <w:r>
        <w:rPr>
          <w:rFonts w:ascii="Arial" w:cs="Arial" w:eastAsia="Arial" w:hAnsi="Arial"/>
          <w:sz w:val="16"/>
          <w:szCs w:val="16"/>
          <w:color w:val="auto"/>
        </w:rPr>
        <w:t>Change in fair value of warrants consists of gains and losses resulting from the remeasurement of the fair value of our preferred stock warrant liabilities at each balance sheet date. We will continue to record adjustments to the estimated fair value of the preferred stock warrants until they are exercised, expire or at such time as the warrants are treated as equity for accounting.</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Expiration of warrants</w:t>
      </w:r>
    </w:p>
    <w:p>
      <w:pPr>
        <w:spacing w:after="0" w:line="128" w:lineRule="exact"/>
        <w:rPr>
          <w:sz w:val="20"/>
          <w:szCs w:val="20"/>
          <w:color w:val="auto"/>
        </w:rPr>
      </w:pPr>
    </w:p>
    <w:p>
      <w:pPr>
        <w:ind w:left="460" w:right="20"/>
        <w:spacing w:after="0" w:line="265" w:lineRule="auto"/>
        <w:rPr>
          <w:sz w:val="20"/>
          <w:szCs w:val="20"/>
          <w:color w:val="auto"/>
        </w:rPr>
      </w:pPr>
      <w:r>
        <w:rPr>
          <w:rFonts w:ascii="Arial" w:cs="Arial" w:eastAsia="Arial" w:hAnsi="Arial"/>
          <w:sz w:val="16"/>
          <w:szCs w:val="16"/>
          <w:color w:val="auto"/>
        </w:rPr>
        <w:t>Expiration of warrants represents the gain from the expiration of warrants unexercised and the reversal of the corresponding warrant liability is recorded.</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28" w:lineRule="exact"/>
        <w:rPr>
          <w:sz w:val="20"/>
          <w:szCs w:val="20"/>
          <w:color w:val="auto"/>
        </w:rPr>
      </w:pPr>
    </w:p>
    <w:p>
      <w:pPr>
        <w:ind w:left="460" w:right="200"/>
        <w:spacing w:after="0" w:line="265" w:lineRule="auto"/>
        <w:rPr>
          <w:sz w:val="20"/>
          <w:szCs w:val="20"/>
          <w:color w:val="auto"/>
        </w:rPr>
      </w:pPr>
      <w:r>
        <w:rPr>
          <w:rFonts w:ascii="Arial" w:cs="Arial" w:eastAsia="Arial" w:hAnsi="Arial"/>
          <w:sz w:val="16"/>
          <w:szCs w:val="16"/>
          <w:color w:val="auto"/>
        </w:rPr>
        <w:t>Interest expense consists primarily of interest incurred on our outstanding indebtedness and non-cash interest related to the amortization of debt discount and issuance costs associated with our indebtedness.</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0800"/>
          </w:cols>
          <w:pgMar w:left="320" w:top="441" w:right="77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Interest and other income, net</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and other income, net consists primarily of interest income earned on our cash and cash equivalents.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Accretion to redemption value of redeemable preferred stock and preferred stock options</w:t>
      </w:r>
    </w:p>
    <w:p>
      <w:pPr>
        <w:spacing w:after="0" w:line="128"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Due to the Special Redemption provision in place in our Articles of Incorporation and until the unexercised Series W Warrant expiration on March 31, 2021 all equity instruments were redeemable and evaluated as probable of redemption through early December 2020. No accretion was calculated during the three months ended March 31, 2021. For common and preferred stock, the value of the accretion was calculated as the estimated future redemption amount accreted to the estimated redemption date using the effective interest rate. For stock options the value of accretion was calculated at the estimated future redemption amount less the strike price, recognized over the same period as the corresponding service period for which stock-based compensation is recognized.</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Earnings allocated to redeemable preferred stock</w:t>
      </w:r>
    </w:p>
    <w:p>
      <w:pPr>
        <w:spacing w:after="0" w:line="128" w:lineRule="exact"/>
        <w:rPr>
          <w:sz w:val="20"/>
          <w:szCs w:val="20"/>
          <w:color w:val="auto"/>
        </w:rPr>
      </w:pPr>
    </w:p>
    <w:p>
      <w:pPr>
        <w:ind w:left="460" w:right="20"/>
        <w:spacing w:after="0" w:line="251" w:lineRule="auto"/>
        <w:rPr>
          <w:sz w:val="20"/>
          <w:szCs w:val="20"/>
          <w:color w:val="auto"/>
        </w:rPr>
      </w:pPr>
      <w:r>
        <w:rPr>
          <w:rFonts w:ascii="Arial" w:cs="Arial" w:eastAsia="Arial" w:hAnsi="Arial"/>
          <w:sz w:val="16"/>
          <w:szCs w:val="16"/>
          <w:color w:val="auto"/>
        </w:rPr>
        <w:t>The Company has two classes of common stock and participating securities, which include convertible preferred stock. The Company’s participating securities do not have a contractual obligation to share in the Company’s losses. Basic and diluted net income (loss) per share attributable to common stockholders is presented in conformity with the two-class method required for participating securities. In periods of net income, after adjusting for accretion and dividends, net income is attributed to both common stockholders and participating security holders, as if all of the earnings for the period had been distributed. Diluted earnings per share under the two-class method is calculated using the more dilutive of the treasury stock or the two-class method.</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Comprehensive income</w:t>
      </w:r>
    </w:p>
    <w:p>
      <w:pPr>
        <w:spacing w:after="0" w:line="128" w:lineRule="exact"/>
        <w:rPr>
          <w:sz w:val="20"/>
          <w:szCs w:val="20"/>
          <w:color w:val="auto"/>
        </w:rPr>
      </w:pPr>
    </w:p>
    <w:p>
      <w:pPr>
        <w:ind w:left="460" w:right="80"/>
        <w:spacing w:after="0" w:line="253" w:lineRule="auto"/>
        <w:rPr>
          <w:sz w:val="20"/>
          <w:szCs w:val="20"/>
          <w:color w:val="auto"/>
        </w:rPr>
      </w:pPr>
      <w:r>
        <w:rPr>
          <w:rFonts w:ascii="Arial" w:cs="Arial" w:eastAsia="Arial" w:hAnsi="Arial"/>
          <w:sz w:val="16"/>
          <w:szCs w:val="16"/>
          <w:color w:val="auto"/>
        </w:rPr>
        <w:t>All components of comprehensive income, including net income (loss), are reported in the consolidated financial statements in the period in which they are recognized. Comprehensive income is defined as the change in equity during a period from transactions and other events and circumstances from non-owner sources, including unrealized gains and losses on short-term investments and foreign currency translation adjustments.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Unaudited Pro Forma Information</w:t>
      </w:r>
    </w:p>
    <w:p>
      <w:pPr>
        <w:spacing w:after="0" w:line="128"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Upon the closing of this offering, all outstanding shares of our convertible preferred stock will convert into shares of our common stock assuming the sale of shares in this offering at the public offering price of $16.00 per share. The pro forma net income (loss) per share attributable to common stockholders, basic and diluted for the year ended December 31, 2020 was computed using the weighted average shares of common stock outstanding, basic and diluted including the pro forma effect of (i) the impact of the cash exercise of 225,945 warrants to purchase Series H Preferred Stock and the conversion of such shares into 225,945 shares of common stock and (ii) the conversion of all outstanding shares of our convertible preferred stock into 14,850,993 shares of common stock, as if such conversion had occurred at the beginning of the period, or the issuance dates if later, for an aggregate total of 15,076,938 shares of common stock. Pro forma net income (loss) per share does not include the shares expected to be sold in this offering.</w:t>
      </w:r>
    </w:p>
    <w:p>
      <w:pPr>
        <w:spacing w:after="0" w:line="128"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0800"/>
          </w:cols>
          <w:pgMar w:left="320" w:top="440" w:right="77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65" w:lineRule="auto"/>
        <w:rPr>
          <w:sz w:val="20"/>
          <w:szCs w:val="20"/>
          <w:color w:val="auto"/>
        </w:rPr>
      </w:pPr>
      <w:r>
        <w:rPr>
          <w:rFonts w:ascii="Arial" w:cs="Arial" w:eastAsia="Arial" w:hAnsi="Arial"/>
          <w:sz w:val="16"/>
          <w:szCs w:val="16"/>
          <w:color w:val="auto"/>
        </w:rPr>
        <w:t>The following table sets forth the computation of the pro forma net income per share attributable to common stockholders, basic and diluted for the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1345565</wp:posOffset>
            </wp:positionH>
            <wp:positionV relativeFrom="paragraph">
              <wp:posOffset>53975</wp:posOffset>
            </wp:positionV>
            <wp:extent cx="4459605"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459605" cy="15875"/>
                    </a:xfrm>
                    <a:prstGeom prst="rect">
                      <a:avLst/>
                    </a:prstGeom>
                    <a:noFill/>
                  </pic:spPr>
                </pic:pic>
              </a:graphicData>
            </a:graphic>
          </wp:anchor>
        </w:drawing>
      </w:r>
    </w:p>
    <w:p>
      <w:pPr>
        <w:spacing w:after="0" w:line="112" w:lineRule="exact"/>
        <w:rPr>
          <w:sz w:val="20"/>
          <w:szCs w:val="20"/>
          <w:color w:val="auto"/>
        </w:rPr>
      </w:pPr>
    </w:p>
    <w:p>
      <w:pPr>
        <w:ind w:left="818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jc w:val="right"/>
        <w:ind w:right="1520"/>
        <w:spacing w:after="0"/>
        <w:rPr>
          <w:sz w:val="20"/>
          <w:szCs w:val="20"/>
          <w:color w:val="auto"/>
        </w:rPr>
      </w:pPr>
      <w:r>
        <w:rPr>
          <w:rFonts w:ascii="Arial" w:cs="Arial" w:eastAsia="Arial" w:hAnsi="Arial"/>
          <w:sz w:val="16"/>
          <w:szCs w:val="16"/>
          <w:b w:val="1"/>
          <w:bCs w:val="1"/>
          <w:color w:val="auto"/>
        </w:rPr>
        <w:t>December 31,</w:t>
      </w:r>
    </w:p>
    <w:p>
      <w:pPr>
        <w:spacing w:after="0" w:line="6" w:lineRule="exact"/>
        <w:rPr>
          <w:sz w:val="20"/>
          <w:szCs w:val="20"/>
          <w:color w:val="auto"/>
        </w:rPr>
      </w:pPr>
    </w:p>
    <w:p>
      <w:pPr>
        <w:jc w:val="right"/>
        <w:ind w:right="1520"/>
        <w:spacing w:after="0"/>
        <w:rPr>
          <w:sz w:val="20"/>
          <w:szCs w:val="20"/>
          <w:color w:val="auto"/>
        </w:rPr>
      </w:pP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4388485</wp:posOffset>
            </wp:positionH>
            <wp:positionV relativeFrom="paragraph">
              <wp:posOffset>1905</wp:posOffset>
            </wp:positionV>
            <wp:extent cx="13849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jc w:val="right"/>
        <w:ind w:right="1520"/>
        <w:spacing w:after="0"/>
        <w:rPr>
          <w:sz w:val="20"/>
          <w:szCs w:val="20"/>
          <w:color w:val="auto"/>
        </w:rPr>
      </w:pPr>
      <w:r>
        <w:rPr>
          <w:rFonts w:ascii="Arial" w:cs="Arial" w:eastAsia="Arial" w:hAnsi="Arial"/>
          <w:sz w:val="16"/>
          <w:szCs w:val="16"/>
          <w:b w:val="1"/>
          <w:bCs w:val="1"/>
          <w:color w:val="auto"/>
        </w:rPr>
        <w:t>(in thousands, except share</w:t>
      </w:r>
    </w:p>
    <w:p>
      <w:pPr>
        <w:spacing w:after="0" w:line="12" w:lineRule="exact"/>
        <w:rPr>
          <w:sz w:val="20"/>
          <w:szCs w:val="20"/>
          <w:color w:val="auto"/>
        </w:rPr>
      </w:pPr>
    </w:p>
    <w:tbl>
      <w:tblPr>
        <w:tblLayout w:type="fixed"/>
        <w:tblInd w:w="2120" w:type="dxa"/>
        <w:tblCellMar>
          <w:top w:w="0" w:type="dxa"/>
          <w:left w:w="0" w:type="dxa"/>
          <w:bottom w:w="0" w:type="dxa"/>
          <w:right w:w="0" w:type="dxa"/>
        </w:tblCellMar>
      </w:tblPr>
      <w:tr>
        <w:trPr>
          <w:trHeight w:val="187"/>
        </w:trPr>
        <w:tc>
          <w:tcPr>
            <w:tcW w:w="3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2"/>
          </w:tcPr>
          <w:p>
            <w:pPr>
              <w:ind w:left="40"/>
              <w:spacing w:after="0"/>
              <w:rPr>
                <w:sz w:val="20"/>
                <w:szCs w:val="20"/>
                <w:color w:val="auto"/>
              </w:rPr>
            </w:pPr>
            <w:r>
              <w:rPr>
                <w:rFonts w:ascii="Arial" w:cs="Arial" w:eastAsia="Arial" w:hAnsi="Arial"/>
                <w:sz w:val="16"/>
                <w:szCs w:val="16"/>
                <w:b w:val="1"/>
                <w:bCs w:val="1"/>
                <w:color w:val="auto"/>
              </w:rPr>
              <w:t>and per-share amounts)</w:t>
            </w:r>
          </w:p>
        </w:tc>
      </w:tr>
      <w:tr>
        <w:trPr>
          <w:trHeight w:val="210"/>
        </w:trPr>
        <w:tc>
          <w:tcPr>
            <w:tcW w:w="3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jc w:val="right"/>
              <w:ind w:right="578"/>
              <w:spacing w:after="0"/>
              <w:rPr>
                <w:sz w:val="20"/>
                <w:szCs w:val="20"/>
                <w:color w:val="auto"/>
              </w:rPr>
            </w:pPr>
            <w:r>
              <w:rPr>
                <w:rFonts w:ascii="Arial" w:cs="Arial" w:eastAsia="Arial" w:hAnsi="Arial"/>
                <w:sz w:val="16"/>
                <w:szCs w:val="16"/>
                <w:b w:val="1"/>
                <w:bCs w:val="1"/>
                <w:color w:val="auto"/>
              </w:rPr>
              <w:t>(unaudited)</w:t>
            </w:r>
          </w:p>
        </w:tc>
        <w:tc>
          <w:tcPr>
            <w:tcW w:w="40" w:type="dxa"/>
            <w:vAlign w:val="bottom"/>
          </w:tcPr>
          <w:p>
            <w:pPr>
              <w:spacing w:after="0"/>
              <w:rPr>
                <w:sz w:val="18"/>
                <w:szCs w:val="18"/>
                <w:color w:val="auto"/>
              </w:rPr>
            </w:pPr>
          </w:p>
        </w:tc>
      </w:tr>
      <w:tr>
        <w:trPr>
          <w:trHeight w:val="36"/>
        </w:trPr>
        <w:tc>
          <w:tcPr>
            <w:tcW w:w="3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8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90"/>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3"/>
        </w:trPr>
        <w:tc>
          <w:tcPr>
            <w:tcW w:w="3340" w:type="dxa"/>
            <w:vAlign w:val="bottom"/>
          </w:tcPr>
          <w:p>
            <w:pPr>
              <w:spacing w:after="0"/>
              <w:rPr>
                <w:sz w:val="20"/>
                <w:szCs w:val="20"/>
                <w:color w:val="auto"/>
              </w:rPr>
            </w:pPr>
            <w:r>
              <w:rPr>
                <w:rFonts w:ascii="Arial" w:cs="Arial" w:eastAsia="Arial" w:hAnsi="Arial"/>
                <w:sz w:val="16"/>
                <w:szCs w:val="16"/>
                <w:color w:val="auto"/>
              </w:rPr>
              <w:t>Net income used in calculating pro forma net</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3340" w:type="dxa"/>
            <w:vAlign w:val="bottom"/>
          </w:tcPr>
          <w:p>
            <w:pPr>
              <w:ind w:left="200"/>
              <w:spacing w:after="0"/>
              <w:rPr>
                <w:sz w:val="20"/>
                <w:szCs w:val="20"/>
                <w:color w:val="auto"/>
              </w:rPr>
            </w:pPr>
            <w:r>
              <w:rPr>
                <w:rFonts w:ascii="Arial" w:cs="Arial" w:eastAsia="Arial" w:hAnsi="Arial"/>
                <w:sz w:val="16"/>
                <w:szCs w:val="16"/>
                <w:color w:val="auto"/>
              </w:rPr>
              <w:t>income per share attributable to common</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7"/>
        </w:trPr>
        <w:tc>
          <w:tcPr>
            <w:tcW w:w="3340" w:type="dxa"/>
            <w:vAlign w:val="bottom"/>
          </w:tcPr>
          <w:p>
            <w:pPr>
              <w:ind w:left="200"/>
              <w:spacing w:after="0"/>
              <w:rPr>
                <w:sz w:val="20"/>
                <w:szCs w:val="20"/>
                <w:color w:val="auto"/>
              </w:rPr>
            </w:pPr>
            <w:r>
              <w:rPr>
                <w:rFonts w:ascii="Arial" w:cs="Arial" w:eastAsia="Arial" w:hAnsi="Arial"/>
                <w:sz w:val="16"/>
                <w:szCs w:val="16"/>
                <w:color w:val="auto"/>
              </w:rPr>
              <w:t>stockholders, basic and diluted</w:t>
            </w:r>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3,366</w:t>
            </w:r>
          </w:p>
        </w:tc>
        <w:tc>
          <w:tcPr>
            <w:tcW w:w="40" w:type="dxa"/>
            <w:vAlign w:val="bottom"/>
          </w:tcPr>
          <w:p>
            <w:pPr>
              <w:spacing w:after="0"/>
              <w:rPr>
                <w:sz w:val="17"/>
                <w:szCs w:val="17"/>
                <w:color w:val="auto"/>
              </w:rPr>
            </w:pPr>
          </w:p>
        </w:tc>
      </w:tr>
      <w:tr>
        <w:trPr>
          <w:trHeight w:val="53"/>
        </w:trPr>
        <w:tc>
          <w:tcPr>
            <w:tcW w:w="33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90"/>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Denominator:</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3"/>
        </w:trPr>
        <w:tc>
          <w:tcPr>
            <w:tcW w:w="3340" w:type="dxa"/>
            <w:vAlign w:val="bottom"/>
          </w:tcPr>
          <w:p>
            <w:pPr>
              <w:ind w:left="400"/>
              <w:spacing w:after="0"/>
              <w:rPr>
                <w:sz w:val="20"/>
                <w:szCs w:val="20"/>
                <w:color w:val="auto"/>
              </w:rPr>
            </w:pPr>
            <w:r>
              <w:rPr>
                <w:rFonts w:ascii="Arial" w:cs="Arial" w:eastAsia="Arial" w:hAnsi="Arial"/>
                <w:sz w:val="16"/>
                <w:szCs w:val="16"/>
                <w:color w:val="auto"/>
              </w:rPr>
              <w:t>Weighted-average common shares</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3340" w:type="dxa"/>
            <w:vAlign w:val="bottom"/>
          </w:tcPr>
          <w:p>
            <w:pPr>
              <w:ind w:left="600"/>
              <w:spacing w:after="0"/>
              <w:rPr>
                <w:sz w:val="20"/>
                <w:szCs w:val="20"/>
                <w:color w:val="auto"/>
              </w:rPr>
            </w:pPr>
            <w:r>
              <w:rPr>
                <w:rFonts w:ascii="Arial" w:cs="Arial" w:eastAsia="Arial" w:hAnsi="Arial"/>
                <w:sz w:val="16"/>
                <w:szCs w:val="16"/>
                <w:color w:val="auto"/>
              </w:rPr>
              <w:t>outstanding</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3,707,207</w:t>
            </w:r>
          </w:p>
        </w:tc>
        <w:tc>
          <w:tcPr>
            <w:tcW w:w="40" w:type="dxa"/>
            <w:vAlign w:val="bottom"/>
          </w:tcPr>
          <w:p>
            <w:pPr>
              <w:spacing w:after="0"/>
              <w:rPr>
                <w:sz w:val="16"/>
                <w:szCs w:val="16"/>
                <w:color w:val="auto"/>
              </w:rPr>
            </w:pPr>
          </w:p>
        </w:tc>
      </w:tr>
      <w:tr>
        <w:trPr>
          <w:trHeight w:val="193"/>
        </w:trPr>
        <w:tc>
          <w:tcPr>
            <w:tcW w:w="3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Weighted-average convertible preferred</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7"/>
        </w:trPr>
        <w:tc>
          <w:tcPr>
            <w:tcW w:w="33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stock</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15,076,952</w:t>
            </w:r>
          </w:p>
        </w:tc>
        <w:tc>
          <w:tcPr>
            <w:tcW w:w="40" w:type="dxa"/>
            <w:vAlign w:val="bottom"/>
            <w:shd w:val="clear" w:color="auto" w:fill="CCEEFF"/>
          </w:tcPr>
          <w:p>
            <w:pPr>
              <w:spacing w:after="0"/>
              <w:rPr>
                <w:sz w:val="16"/>
                <w:szCs w:val="16"/>
                <w:color w:val="auto"/>
              </w:rPr>
            </w:pPr>
          </w:p>
        </w:tc>
      </w:tr>
      <w:tr>
        <w:trPr>
          <w:trHeight w:val="193"/>
        </w:trPr>
        <w:tc>
          <w:tcPr>
            <w:tcW w:w="3340" w:type="dxa"/>
            <w:vAlign w:val="bottom"/>
          </w:tcPr>
          <w:p>
            <w:pPr>
              <w:spacing w:after="0"/>
              <w:rPr>
                <w:sz w:val="20"/>
                <w:szCs w:val="20"/>
                <w:color w:val="auto"/>
              </w:rPr>
            </w:pPr>
            <w:r>
              <w:rPr>
                <w:rFonts w:ascii="Arial" w:cs="Arial" w:eastAsia="Arial" w:hAnsi="Arial"/>
                <w:sz w:val="16"/>
                <w:szCs w:val="16"/>
                <w:color w:val="auto"/>
              </w:rPr>
              <w:t>Pro forma weighted-average shares</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3"/>
        </w:trPr>
        <w:tc>
          <w:tcPr>
            <w:tcW w:w="3340" w:type="dxa"/>
            <w:vAlign w:val="bottom"/>
          </w:tcPr>
          <w:p>
            <w:pPr>
              <w:ind w:left="200"/>
              <w:spacing w:after="0"/>
              <w:rPr>
                <w:sz w:val="20"/>
                <w:szCs w:val="20"/>
                <w:color w:val="auto"/>
              </w:rPr>
            </w:pPr>
            <w:r>
              <w:rPr>
                <w:rFonts w:ascii="Arial" w:cs="Arial" w:eastAsia="Arial" w:hAnsi="Arial"/>
                <w:sz w:val="16"/>
                <w:szCs w:val="16"/>
                <w:color w:val="auto"/>
              </w:rPr>
              <w:t>outstanding, basic and diluted</w:t>
            </w:r>
          </w:p>
        </w:tc>
        <w:tc>
          <w:tcPr>
            <w:tcW w:w="1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18,784,159</w:t>
            </w:r>
          </w:p>
        </w:tc>
        <w:tc>
          <w:tcPr>
            <w:tcW w:w="40" w:type="dxa"/>
            <w:vAlign w:val="bottom"/>
          </w:tcPr>
          <w:p>
            <w:pPr>
              <w:spacing w:after="0"/>
              <w:rPr>
                <w:sz w:val="16"/>
                <w:szCs w:val="16"/>
                <w:color w:val="auto"/>
              </w:rPr>
            </w:pPr>
          </w:p>
        </w:tc>
      </w:tr>
      <w:tr>
        <w:trPr>
          <w:trHeight w:val="193"/>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Pro forma weighted-average net income per</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7"/>
        </w:trPr>
        <w:tc>
          <w:tcPr>
            <w:tcW w:w="3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 basic and diluted</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40" w:type="dxa"/>
            <w:vAlign w:val="bottom"/>
            <w:shd w:val="clear" w:color="auto" w:fill="CCEEFF"/>
          </w:tcPr>
          <w:p>
            <w:pPr>
              <w:spacing w:after="0"/>
              <w:rPr>
                <w:sz w:val="16"/>
                <w:szCs w:val="16"/>
                <w:color w:val="auto"/>
              </w:rPr>
            </w:pPr>
          </w:p>
        </w:tc>
      </w:tr>
      <w:tr>
        <w:trPr>
          <w:trHeight w:val="345"/>
        </w:trPr>
        <w:tc>
          <w:tcPr>
            <w:tcW w:w="3340" w:type="dxa"/>
            <w:vAlign w:val="bottom"/>
          </w:tcPr>
          <w:p>
            <w:pPr>
              <w:spacing w:after="0"/>
              <w:rPr>
                <w:sz w:val="24"/>
                <w:szCs w:val="24"/>
                <w:color w:val="auto"/>
              </w:rPr>
            </w:pPr>
          </w:p>
        </w:tc>
        <w:tc>
          <w:tcPr>
            <w:tcW w:w="1460" w:type="dxa"/>
            <w:vAlign w:val="bottom"/>
          </w:tcPr>
          <w:p>
            <w:pPr>
              <w:jc w:val="right"/>
              <w:ind w:right="1078"/>
              <w:spacing w:after="0"/>
              <w:rPr>
                <w:sz w:val="20"/>
                <w:szCs w:val="20"/>
                <w:color w:val="auto"/>
              </w:rPr>
            </w:pPr>
            <w:r>
              <w:rPr>
                <w:rFonts w:ascii="Arial" w:cs="Arial" w:eastAsia="Arial" w:hAnsi="Arial"/>
                <w:sz w:val="16"/>
                <w:szCs w:val="16"/>
                <w:color w:val="auto"/>
              </w:rPr>
              <w:t>106</w:t>
            </w:r>
          </w:p>
        </w:tc>
        <w:tc>
          <w:tcPr>
            <w:tcW w:w="10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600"/>
          </w:cols>
          <w:pgMar w:left="320" w:top="440" w:right="97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Results of operations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Comparison of the three months ended March 31, 2020 and 2021</w:t>
      </w:r>
    </w:p>
    <w:p>
      <w:pPr>
        <w:spacing w:after="0" w:line="128" w:lineRule="exact"/>
        <w:rPr>
          <w:sz w:val="20"/>
          <w:szCs w:val="20"/>
          <w:color w:val="auto"/>
        </w:rPr>
      </w:pPr>
    </w:p>
    <w:p>
      <w:pPr>
        <w:ind w:left="460" w:right="200"/>
        <w:spacing w:after="0" w:line="265" w:lineRule="auto"/>
        <w:rPr>
          <w:sz w:val="20"/>
          <w:szCs w:val="20"/>
          <w:color w:val="auto"/>
        </w:rPr>
      </w:pPr>
      <w:r>
        <w:rPr>
          <w:rFonts w:ascii="Arial" w:cs="Arial" w:eastAsia="Arial" w:hAnsi="Arial"/>
          <w:sz w:val="16"/>
          <w:szCs w:val="16"/>
          <w:color w:val="auto"/>
        </w:rPr>
        <w:t>The following table summarizes our unaudited results of operations for the three months ended March 31, 2020 and 2021, together with the dollar increase or decrease and percentage change in those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53975</wp:posOffset>
            </wp:positionV>
            <wp:extent cx="6569075"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6"/>
                <w:szCs w:val="16"/>
                <w:b w:val="1"/>
                <w:bCs w:val="1"/>
                <w:color w:val="auto"/>
              </w:rPr>
              <w:t>(unaudited)</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166"/>
        </w:trPr>
        <w:tc>
          <w:tcPr>
            <w:tcW w:w="20" w:type="dxa"/>
            <w:vAlign w:val="bottom"/>
          </w:tcPr>
          <w:p>
            <w:pPr>
              <w:spacing w:after="0"/>
              <w:rPr>
                <w:sz w:val="14"/>
                <w:szCs w:val="14"/>
                <w:color w:val="auto"/>
              </w:rPr>
            </w:pPr>
          </w:p>
        </w:tc>
        <w:tc>
          <w:tcPr>
            <w:tcW w:w="6220" w:type="dxa"/>
            <w:vAlign w:val="bottom"/>
          </w:tcPr>
          <w:p>
            <w:pPr>
              <w:spacing w:after="0" w:line="166" w:lineRule="exact"/>
              <w:rPr>
                <w:sz w:val="20"/>
                <w:szCs w:val="20"/>
                <w:color w:val="auto"/>
              </w:rPr>
            </w:pPr>
            <w:r>
              <w:rPr>
                <w:rFonts w:ascii="Arial" w:cs="Arial" w:eastAsia="Arial" w:hAnsi="Arial"/>
                <w:sz w:val="16"/>
                <w:szCs w:val="16"/>
                <w:b w:val="1"/>
                <w:bCs w:val="1"/>
                <w:color w:val="auto"/>
              </w:rPr>
              <w:t>(in thousands, except share amounts, per-share data and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7"/>
        </w:trPr>
        <w:tc>
          <w:tcPr>
            <w:tcW w:w="6240" w:type="dxa"/>
            <w:vAlign w:val="bottom"/>
            <w:gridSpan w:val="2"/>
          </w:tcPr>
          <w:p>
            <w:pPr>
              <w:spacing w:after="0"/>
              <w:rPr>
                <w:sz w:val="20"/>
                <w:szCs w:val="20"/>
                <w:color w:val="auto"/>
              </w:rPr>
            </w:pPr>
            <w:r>
              <w:rPr>
                <w:rFonts w:ascii="Arial" w:cs="Arial" w:eastAsia="Arial" w:hAnsi="Arial"/>
                <w:sz w:val="16"/>
                <w:szCs w:val="16"/>
                <w:b w:val="1"/>
                <w:bCs w:val="1"/>
                <w:color w:val="auto"/>
              </w:rPr>
              <w:t>percentages)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98"/>
              <w:spacing w:after="0"/>
              <w:rPr>
                <w:sz w:val="20"/>
                <w:szCs w:val="20"/>
                <w:color w:val="auto"/>
              </w:rPr>
            </w:pPr>
            <w:r>
              <w:rPr>
                <w:rFonts w:ascii="Arial" w:cs="Arial" w:eastAsia="Arial" w:hAnsi="Arial"/>
                <w:sz w:val="16"/>
                <w:szCs w:val="16"/>
                <w:b w:val="1"/>
                <w:bCs w:val="1"/>
                <w:color w:val="auto"/>
              </w:rPr>
              <w:t>2020</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98"/>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62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Sales</w:t>
            </w:r>
          </w:p>
        </w:tc>
        <w:tc>
          <w:tcPr>
            <w:tcW w:w="300" w:type="dxa"/>
            <w:vAlign w:val="bottom"/>
            <w:tcBorders>
              <w:top w:val="single" w:sz="8" w:color="auto"/>
            </w:tcBorders>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ind w:right="98"/>
              <w:spacing w:after="0" w:line="183" w:lineRule="exact"/>
              <w:rPr>
                <w:sz w:val="20"/>
                <w:szCs w:val="20"/>
                <w:color w:val="auto"/>
              </w:rPr>
            </w:pPr>
            <w:r>
              <w:rPr>
                <w:rFonts w:ascii="Arial" w:cs="Arial" w:eastAsia="Arial" w:hAnsi="Arial"/>
                <w:sz w:val="16"/>
                <w:szCs w:val="16"/>
                <w:color w:val="auto"/>
              </w:rPr>
              <w:t>2,888</w:t>
            </w:r>
          </w:p>
        </w:tc>
        <w:tc>
          <w:tcPr>
            <w:tcW w:w="2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3.484</w:t>
            </w:r>
          </w:p>
        </w:tc>
        <w:tc>
          <w:tcPr>
            <w:tcW w:w="1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98"/>
              <w:spacing w:after="0" w:line="183" w:lineRule="exact"/>
              <w:rPr>
                <w:sz w:val="20"/>
                <w:szCs w:val="20"/>
                <w:color w:val="auto"/>
              </w:rPr>
            </w:pPr>
            <w:r>
              <w:rPr>
                <w:rFonts w:ascii="Arial" w:cs="Arial" w:eastAsia="Arial" w:hAnsi="Arial"/>
                <w:sz w:val="16"/>
                <w:szCs w:val="16"/>
                <w:color w:val="auto"/>
              </w:rPr>
              <w:t>596</w:t>
            </w: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20.6%</w:t>
            </w:r>
          </w:p>
        </w:tc>
        <w:tc>
          <w:tcPr>
            <w:tcW w:w="100" w:type="dxa"/>
            <w:vAlign w:val="bottom"/>
            <w:tcBorders>
              <w:top w:val="single" w:sz="8" w:color="auto"/>
            </w:tcBorders>
            <w:shd w:val="clear" w:color="auto" w:fill="CCEEFF"/>
          </w:tcPr>
          <w:p>
            <w:pPr>
              <w:spacing w:after="0"/>
              <w:rPr>
                <w:sz w:val="15"/>
                <w:szCs w:val="15"/>
                <w:color w:val="auto"/>
              </w:rPr>
            </w:pPr>
          </w:p>
        </w:tc>
      </w:tr>
      <w:tr>
        <w:trPr>
          <w:trHeight w:val="196"/>
        </w:trPr>
        <w:tc>
          <w:tcPr>
            <w:tcW w:w="6240" w:type="dxa"/>
            <w:vAlign w:val="bottom"/>
            <w:gridSpan w:val="2"/>
          </w:tcPr>
          <w:p>
            <w:pPr>
              <w:spacing w:after="0"/>
              <w:rPr>
                <w:sz w:val="20"/>
                <w:szCs w:val="20"/>
                <w:color w:val="auto"/>
              </w:rPr>
            </w:pPr>
            <w:r>
              <w:rPr>
                <w:rFonts w:ascii="Arial" w:cs="Arial" w:eastAsia="Arial" w:hAnsi="Arial"/>
                <w:sz w:val="16"/>
                <w:szCs w:val="16"/>
                <w:color w:val="auto"/>
              </w:rPr>
              <w:t>Cost of sales</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2,810</w:t>
            </w: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2,365</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445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62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Gross profit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78</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1,041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1,334.6%</w:t>
            </w:r>
          </w:p>
        </w:tc>
        <w:tc>
          <w:tcPr>
            <w:tcW w:w="100" w:type="dxa"/>
            <w:vAlign w:val="bottom"/>
            <w:shd w:val="clear" w:color="auto" w:fill="CCEEFF"/>
          </w:tcPr>
          <w:p>
            <w:pPr>
              <w:spacing w:after="0"/>
              <w:rPr>
                <w:sz w:val="16"/>
                <w:szCs w:val="16"/>
                <w:color w:val="auto"/>
              </w:rPr>
            </w:pPr>
          </w:p>
        </w:tc>
      </w:tr>
      <w:tr>
        <w:trPr>
          <w:trHeight w:val="196"/>
        </w:trPr>
        <w:tc>
          <w:tcPr>
            <w:tcW w:w="624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62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3,698</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5,611</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1,913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5,777</w:t>
            </w: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6,643</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866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9,475</w:t>
            </w:r>
          </w:p>
        </w:tc>
        <w:tc>
          <w:tcPr>
            <w:tcW w:w="2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12,254</w:t>
            </w:r>
          </w:p>
        </w:tc>
        <w:tc>
          <w:tcPr>
            <w:tcW w:w="1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2,779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6"/>
                <w:szCs w:val="16"/>
                <w:color w:val="auto"/>
              </w:rPr>
            </w:pPr>
          </w:p>
        </w:tc>
      </w:tr>
      <w:tr>
        <w:trPr>
          <w:trHeight w:val="201"/>
        </w:trPr>
        <w:tc>
          <w:tcPr>
            <w:tcW w:w="6240" w:type="dxa"/>
            <w:vAlign w:val="bottom"/>
            <w:gridSpan w:val="2"/>
          </w:tcPr>
          <w:p>
            <w:pPr>
              <w:spacing w:after="0"/>
              <w:rPr>
                <w:sz w:val="20"/>
                <w:szCs w:val="20"/>
                <w:color w:val="auto"/>
              </w:rPr>
            </w:pPr>
            <w:r>
              <w:rPr>
                <w:rFonts w:ascii="Arial" w:cs="Arial" w:eastAsia="Arial" w:hAnsi="Arial"/>
                <w:sz w:val="16"/>
                <w:szCs w:val="16"/>
                <w:color w:val="auto"/>
              </w:rPr>
              <w:t>Loss from operations</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8"/>
              <w:spacing w:after="0"/>
              <w:rPr>
                <w:sz w:val="20"/>
                <w:szCs w:val="20"/>
                <w:color w:val="auto"/>
              </w:rPr>
            </w:pPr>
            <w:r>
              <w:rPr>
                <w:rFonts w:ascii="Arial" w:cs="Arial" w:eastAsia="Arial" w:hAnsi="Arial"/>
                <w:sz w:val="16"/>
                <w:szCs w:val="16"/>
                <w:color w:val="auto"/>
              </w:rPr>
              <w:t>(9,397)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(11,135)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8"/>
              <w:spacing w:after="0"/>
              <w:rPr>
                <w:sz w:val="20"/>
                <w:szCs w:val="20"/>
                <w:color w:val="auto"/>
              </w:rPr>
            </w:pPr>
            <w:r>
              <w:rPr>
                <w:rFonts w:ascii="Arial" w:cs="Arial" w:eastAsia="Arial" w:hAnsi="Arial"/>
                <w:sz w:val="16"/>
                <w:szCs w:val="16"/>
                <w:color w:val="auto"/>
              </w:rPr>
              <w:t>(1,738)</w:t>
            </w:r>
          </w:p>
        </w:tc>
        <w:tc>
          <w:tcPr>
            <w:tcW w:w="82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Change in fair value of warrants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58"/>
              <w:spacing w:after="0"/>
              <w:rPr>
                <w:sz w:val="20"/>
                <w:szCs w:val="20"/>
                <w:color w:val="auto"/>
              </w:rPr>
            </w:pPr>
            <w:r>
              <w:rPr>
                <w:rFonts w:ascii="Arial" w:cs="Arial" w:eastAsia="Arial" w:hAnsi="Arial"/>
                <w:sz w:val="16"/>
                <w:szCs w:val="16"/>
                <w:color w:val="auto"/>
              </w:rPr>
              <w:t>(7,407)</w:t>
            </w:r>
          </w:p>
        </w:tc>
        <w:tc>
          <w:tcPr>
            <w:tcW w:w="2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58"/>
              <w:spacing w:after="0"/>
              <w:rPr>
                <w:sz w:val="20"/>
                <w:szCs w:val="20"/>
                <w:color w:val="auto"/>
              </w:rPr>
            </w:pPr>
            <w:r>
              <w:rPr>
                <w:rFonts w:ascii="Arial" w:cs="Arial" w:eastAsia="Arial" w:hAnsi="Arial"/>
                <w:sz w:val="16"/>
                <w:szCs w:val="16"/>
                <w:color w:val="auto"/>
              </w:rPr>
              <w:t>(7,407)</w:t>
            </w: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62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Expiration of warrant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(5,018)</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r>
      <w:tr>
        <w:trPr>
          <w:trHeight w:val="190"/>
        </w:trPr>
        <w:tc>
          <w:tcPr>
            <w:tcW w:w="20" w:type="dxa"/>
            <w:vAlign w:val="bottom"/>
          </w:tcPr>
          <w:p>
            <w:pPr>
              <w:spacing w:after="0"/>
              <w:rPr>
                <w:sz w:val="16"/>
                <w:szCs w:val="16"/>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58"/>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(698)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98"/>
              <w:spacing w:after="0"/>
              <w:rPr>
                <w:sz w:val="20"/>
                <w:szCs w:val="20"/>
                <w:color w:val="auto"/>
              </w:rPr>
            </w:pPr>
            <w:r>
              <w:rPr>
                <w:rFonts w:ascii="Arial" w:cs="Arial" w:eastAsia="Arial" w:hAnsi="Arial"/>
                <w:sz w:val="16"/>
                <w:szCs w:val="16"/>
                <w:color w:val="auto"/>
              </w:rPr>
              <w:t>693</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(138.6)</w:t>
            </w:r>
          </w:p>
        </w:tc>
      </w:tr>
      <w:tr>
        <w:trPr>
          <w:trHeight w:val="190"/>
        </w:trPr>
        <w:tc>
          <w:tcPr>
            <w:tcW w:w="20" w:type="dxa"/>
            <w:vAlign w:val="bottom"/>
          </w:tcPr>
          <w:p>
            <w:pPr>
              <w:spacing w:after="0"/>
              <w:rPr>
                <w:sz w:val="16"/>
                <w:szCs w:val="16"/>
                <w:color w:val="auto"/>
              </w:rPr>
            </w:pPr>
          </w:p>
        </w:tc>
        <w:tc>
          <w:tcPr>
            <w:tcW w:w="62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 and other income</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312</w:t>
            </w:r>
          </w:p>
        </w:tc>
        <w:tc>
          <w:tcPr>
            <w:tcW w:w="2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295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00" w:type="dxa"/>
            <w:vAlign w:val="bottom"/>
            <w:shd w:val="clear" w:color="auto" w:fill="CCEEFF"/>
          </w:tcPr>
          <w:p>
            <w:pPr>
              <w:spacing w:after="0"/>
              <w:rPr>
                <w:sz w:val="16"/>
                <w:szCs w:val="16"/>
                <w:color w:val="auto"/>
              </w:rPr>
            </w:pPr>
          </w:p>
        </w:tc>
      </w:tr>
      <w:tr>
        <w:trPr>
          <w:trHeight w:val="201"/>
        </w:trPr>
        <w:tc>
          <w:tcPr>
            <w:tcW w:w="6240" w:type="dxa"/>
            <w:vAlign w:val="bottom"/>
            <w:gridSpan w:val="2"/>
          </w:tcPr>
          <w:p>
            <w:pPr>
              <w:spacing w:after="0"/>
              <w:rPr>
                <w:sz w:val="20"/>
                <w:szCs w:val="20"/>
                <w:color w:val="auto"/>
              </w:rPr>
            </w:pPr>
            <w:r>
              <w:rPr>
                <w:rFonts w:ascii="Arial" w:cs="Arial" w:eastAsia="Arial" w:hAnsi="Arial"/>
                <w:sz w:val="16"/>
                <w:szCs w:val="16"/>
                <w:color w:val="auto"/>
              </w:rPr>
              <w:t>Loss before income taxes</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(16,497)</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(6,798)</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9,699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6"/>
                <w:szCs w:val="16"/>
                <w:color w:val="auto"/>
              </w:rPr>
            </w:pPr>
          </w:p>
        </w:tc>
      </w:tr>
      <w:tr>
        <w:trPr>
          <w:trHeight w:val="201"/>
        </w:trPr>
        <w:tc>
          <w:tcPr>
            <w:tcW w:w="624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8"/>
              <w:spacing w:after="0"/>
              <w:rPr>
                <w:sz w:val="20"/>
                <w:szCs w:val="20"/>
                <w:color w:val="auto"/>
              </w:rPr>
            </w:pPr>
            <w:r>
              <w:rPr>
                <w:rFonts w:ascii="Arial" w:cs="Arial" w:eastAsia="Arial" w:hAnsi="Arial"/>
                <w:sz w:val="16"/>
                <w:szCs w:val="16"/>
                <w:color w:val="auto"/>
              </w:rPr>
              <w:t>(16,502)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(6,805)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98"/>
              <w:spacing w:after="0"/>
              <w:rPr>
                <w:sz w:val="20"/>
                <w:szCs w:val="20"/>
                <w:color w:val="auto"/>
              </w:rPr>
            </w:pPr>
            <w:r>
              <w:rPr>
                <w:rFonts w:ascii="Arial" w:cs="Arial" w:eastAsia="Arial" w:hAnsi="Arial"/>
                <w:sz w:val="16"/>
                <w:szCs w:val="16"/>
                <w:color w:val="auto"/>
              </w:rPr>
              <w:t>9,697</w:t>
            </w:r>
          </w:p>
        </w:tc>
        <w:tc>
          <w:tcPr>
            <w:tcW w:w="820" w:type="dxa"/>
            <w:vAlign w:val="bottom"/>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Accretion to redemption value of redeemable preferred stock and redeemable stock</w:t>
            </w: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options</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(4,246)</w:t>
            </w: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4,246</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6"/>
                <w:szCs w:val="16"/>
                <w:color w:val="auto"/>
              </w:rPr>
            </w:pPr>
          </w:p>
        </w:tc>
      </w:tr>
      <w:tr>
        <w:trPr>
          <w:trHeight w:val="190"/>
        </w:trPr>
        <w:tc>
          <w:tcPr>
            <w:tcW w:w="6240" w:type="dxa"/>
            <w:vAlign w:val="bottom"/>
            <w:gridSpan w:val="2"/>
          </w:tcPr>
          <w:p>
            <w:pPr>
              <w:spacing w:after="0"/>
              <w:rPr>
                <w:sz w:val="20"/>
                <w:szCs w:val="20"/>
                <w:color w:val="auto"/>
              </w:rPr>
            </w:pPr>
            <w:r>
              <w:rPr>
                <w:rFonts w:ascii="Arial" w:cs="Arial" w:eastAsia="Arial" w:hAnsi="Arial"/>
                <w:sz w:val="16"/>
                <w:szCs w:val="16"/>
                <w:color w:val="auto"/>
              </w:rPr>
              <w:t>Net loss attributable to common stockholders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58"/>
              <w:spacing w:after="0"/>
              <w:rPr>
                <w:sz w:val="20"/>
                <w:szCs w:val="20"/>
                <w:color w:val="auto"/>
              </w:rPr>
            </w:pPr>
            <w:r>
              <w:rPr>
                <w:rFonts w:ascii="Arial" w:cs="Arial" w:eastAsia="Arial" w:hAnsi="Arial"/>
                <w:sz w:val="16"/>
                <w:szCs w:val="16"/>
                <w:color w:val="auto"/>
              </w:rPr>
              <w:t>(20,748)</w:t>
            </w:r>
          </w:p>
        </w:tc>
        <w:tc>
          <w:tcPr>
            <w:tcW w:w="2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(6,805)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58"/>
              <w:spacing w:after="0"/>
              <w:rPr>
                <w:sz w:val="20"/>
                <w:szCs w:val="20"/>
                <w:color w:val="auto"/>
              </w:rPr>
            </w:pPr>
            <w:r>
              <w:rPr>
                <w:rFonts w:ascii="Arial" w:cs="Arial" w:eastAsia="Arial" w:hAnsi="Arial"/>
                <w:sz w:val="16"/>
                <w:szCs w:val="16"/>
                <w:color w:val="auto"/>
              </w:rPr>
              <w:t>(13,943)</w:t>
            </w:r>
          </w:p>
        </w:tc>
        <w:tc>
          <w:tcPr>
            <w:tcW w:w="820" w:type="dxa"/>
            <w:vAlign w:val="bottom"/>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6220" w:type="dxa"/>
            <w:vAlign w:val="bottom"/>
          </w:tcPr>
          <w:p>
            <w:pPr>
              <w:ind w:left="380"/>
              <w:spacing w:after="0"/>
              <w:rPr>
                <w:sz w:val="20"/>
                <w:szCs w:val="20"/>
                <w:color w:val="auto"/>
              </w:rPr>
            </w:pPr>
            <w:r>
              <w:rPr>
                <w:rFonts w:ascii="Arial" w:cs="Arial" w:eastAsia="Arial" w:hAnsi="Arial"/>
                <w:sz w:val="16"/>
                <w:szCs w:val="16"/>
                <w:color w:val="auto"/>
              </w:rPr>
              <w:t>Unrealized gain on short-term investments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98"/>
              <w:spacing w:after="0"/>
              <w:rPr>
                <w:sz w:val="20"/>
                <w:szCs w:val="20"/>
                <w:color w:val="auto"/>
              </w:rPr>
            </w:pPr>
            <w:r>
              <w:rPr>
                <w:rFonts w:ascii="Arial" w:cs="Arial" w:eastAsia="Arial" w:hAnsi="Arial"/>
                <w:sz w:val="16"/>
                <w:szCs w:val="16"/>
                <w:color w:val="auto"/>
              </w:rPr>
              <w:t>77</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58"/>
              <w:spacing w:after="0"/>
              <w:rPr>
                <w:sz w:val="20"/>
                <w:szCs w:val="20"/>
                <w:color w:val="auto"/>
              </w:rPr>
            </w:pPr>
            <w:r>
              <w:rPr>
                <w:rFonts w:ascii="Arial" w:cs="Arial" w:eastAsia="Arial" w:hAnsi="Arial"/>
                <w:sz w:val="16"/>
                <w:szCs w:val="16"/>
                <w:color w:val="auto"/>
              </w:rPr>
              <w:t>(70)</w:t>
            </w:r>
          </w:p>
        </w:tc>
        <w:tc>
          <w:tcPr>
            <w:tcW w:w="820" w:type="dxa"/>
            <w:vAlign w:val="bottom"/>
          </w:tcPr>
          <w:p>
            <w:pPr>
              <w:jc w:val="right"/>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62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 currency translation loss</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(300.0)</w:t>
            </w:r>
          </w:p>
        </w:tc>
      </w:tr>
      <w:tr>
        <w:trPr>
          <w:trHeight w:val="20"/>
        </w:trPr>
        <w:tc>
          <w:tcPr>
            <w:tcW w:w="6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40" w:type="dxa"/>
            <w:vAlign w:val="bottom"/>
            <w:gridSpan w:val="2"/>
          </w:tcPr>
          <w:p>
            <w:pPr>
              <w:spacing w:after="0"/>
              <w:rPr>
                <w:sz w:val="20"/>
                <w:szCs w:val="20"/>
                <w:color w:val="auto"/>
              </w:rPr>
            </w:pPr>
            <w:r>
              <w:rPr>
                <w:rFonts w:ascii="Arial" w:cs="Arial" w:eastAsia="Arial" w:hAnsi="Arial"/>
                <w:sz w:val="16"/>
                <w:szCs w:val="16"/>
                <w:color w:val="auto"/>
              </w:rPr>
              <w:t>Total other comprehensive income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98"/>
              <w:spacing w:after="0"/>
              <w:rPr>
                <w:sz w:val="20"/>
                <w:szCs w:val="20"/>
                <w:color w:val="auto"/>
              </w:rPr>
            </w:pPr>
            <w:r>
              <w:rPr>
                <w:rFonts w:ascii="Arial" w:cs="Arial" w:eastAsia="Arial" w:hAnsi="Arial"/>
                <w:sz w:val="16"/>
                <w:szCs w:val="16"/>
                <w:color w:val="auto"/>
              </w:rPr>
              <w:t>76</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58"/>
              <w:spacing w:after="0"/>
              <w:rPr>
                <w:sz w:val="20"/>
                <w:szCs w:val="20"/>
                <w:color w:val="auto"/>
              </w:rPr>
            </w:pPr>
            <w:r>
              <w:rPr>
                <w:rFonts w:ascii="Arial" w:cs="Arial" w:eastAsia="Arial" w:hAnsi="Arial"/>
                <w:sz w:val="16"/>
                <w:szCs w:val="16"/>
                <w:color w:val="auto"/>
              </w:rPr>
              <w:t>(73)</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(96.1)</w:t>
            </w:r>
          </w:p>
        </w:tc>
      </w:tr>
      <w:tr>
        <w:trPr>
          <w:trHeight w:val="25"/>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Comprehensive loss</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(16,426)</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(6,802)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(9,624)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Sales</w:t>
      </w:r>
    </w:p>
    <w:p>
      <w:pPr>
        <w:spacing w:after="0" w:line="128" w:lineRule="exact"/>
        <w:rPr>
          <w:sz w:val="20"/>
          <w:szCs w:val="20"/>
          <w:color w:val="auto"/>
        </w:rPr>
      </w:pPr>
    </w:p>
    <w:p>
      <w:pPr>
        <w:ind w:left="460" w:right="40"/>
        <w:spacing w:after="0" w:line="251" w:lineRule="auto"/>
        <w:rPr>
          <w:sz w:val="20"/>
          <w:szCs w:val="20"/>
          <w:color w:val="auto"/>
        </w:rPr>
      </w:pPr>
      <w:r>
        <w:rPr>
          <w:rFonts w:ascii="Arial" w:cs="Arial" w:eastAsia="Arial" w:hAnsi="Arial"/>
          <w:sz w:val="16"/>
          <w:szCs w:val="16"/>
          <w:color w:val="auto"/>
        </w:rPr>
        <w:t>Sales increased by $0.6 million to $3.5 million for the three months ended March 31, 2021 from $2.9 million for the three months ended March 31, 2020. The increase in total sales was due to sales of 848 more LALs and an increase in accessories and service warranties for a total of $0.9 million, due to an increase in our installed base of LDDs. This increase was offset partially by a decrease in sales of 2 fewer LDDs of $0.3 million for the three months ended March 31, 2021 as compared to the three months ended March 31, 2020. However, LAL sales in the first quarter of 2021 were slightly lower than the preceding fourth quarter of 2020 as the U.S. saw a resurgence in COVID-19 cases attributed to holiday travel and gatherings and severe weather in Texas and other southern states, resulting in reduced LAL sales in the first quarter of 2021.</w:t>
      </w:r>
    </w:p>
    <w:p>
      <w:pPr>
        <w:spacing w:after="0" w:line="316"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0800"/>
          </w:cols>
          <w:pgMar w:left="320" w:top="441" w:right="77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Cost of sales</w:t>
      </w:r>
    </w:p>
    <w:p>
      <w:pPr>
        <w:spacing w:after="0" w:line="128" w:lineRule="exact"/>
        <w:rPr>
          <w:sz w:val="20"/>
          <w:szCs w:val="20"/>
          <w:color w:val="auto"/>
        </w:rPr>
      </w:pPr>
    </w:p>
    <w:p>
      <w:pPr>
        <w:ind w:left="460" w:right="260"/>
        <w:spacing w:after="0" w:line="253" w:lineRule="auto"/>
        <w:rPr>
          <w:sz w:val="20"/>
          <w:szCs w:val="20"/>
          <w:color w:val="auto"/>
        </w:rPr>
      </w:pPr>
      <w:r>
        <w:rPr>
          <w:rFonts w:ascii="Arial" w:cs="Arial" w:eastAsia="Arial" w:hAnsi="Arial"/>
          <w:sz w:val="16"/>
          <w:szCs w:val="16"/>
          <w:color w:val="auto"/>
        </w:rPr>
        <w:t>Cost of sales decreased by $0.4 million to $2.4 million for the three months ended March 31, 2021 from $2.8 million for the three months ended March 31, 2020 due to the decrease in the number of LDDs sold and associated service warranties partially offset by an increase in LALs sold. Gross margin increased to 32.1% in the three months ended March 31, 2021 from 2.7% for the three months ended March 31, 2020 due to improved operating leverage as well as an increase in gross margin on LDDs.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Selling, general and administrative expenses increased by $1.9 million to $5.6 million for the three months ended March 31, 2021 from</w:t>
      </w:r>
    </w:p>
    <w:p>
      <w:pPr>
        <w:spacing w:after="0" w:line="6" w:lineRule="exact"/>
        <w:rPr>
          <w:sz w:val="20"/>
          <w:szCs w:val="20"/>
          <w:color w:val="auto"/>
        </w:rPr>
      </w:pPr>
    </w:p>
    <w:p>
      <w:pPr>
        <w:ind w:left="460" w:right="60"/>
        <w:spacing w:after="0" w:line="253" w:lineRule="auto"/>
        <w:rPr>
          <w:sz w:val="20"/>
          <w:szCs w:val="20"/>
          <w:color w:val="auto"/>
        </w:rPr>
      </w:pPr>
      <w:r>
        <w:rPr>
          <w:rFonts w:ascii="Arial" w:cs="Arial" w:eastAsia="Arial" w:hAnsi="Arial"/>
          <w:sz w:val="16"/>
          <w:szCs w:val="16"/>
          <w:color w:val="auto"/>
        </w:rPr>
        <w:t>$3.7 million for the three months ended March 31, 2020, an increase of 52%. This increase was primarily attributable to an increase in selling and marketing personnel costs of $1.0 million due mainly to additional headcount as well as an increase in general and administrative expenses of $0.9 million due primarily to an increase in accounting and legal expenses of $0.4 million, personnel-related expenses of $0.3 million as well as stock-based compensation, facilities and other expenses of $0.2 million.</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28" w:lineRule="exact"/>
        <w:rPr>
          <w:sz w:val="20"/>
          <w:szCs w:val="20"/>
          <w:color w:val="auto"/>
        </w:rPr>
      </w:pPr>
    </w:p>
    <w:p>
      <w:pPr>
        <w:ind w:left="460" w:right="160"/>
        <w:spacing w:after="0" w:line="253" w:lineRule="auto"/>
        <w:rPr>
          <w:sz w:val="20"/>
          <w:szCs w:val="20"/>
          <w:color w:val="auto"/>
        </w:rPr>
      </w:pPr>
      <w:r>
        <w:rPr>
          <w:rFonts w:ascii="Arial" w:cs="Arial" w:eastAsia="Arial" w:hAnsi="Arial"/>
          <w:sz w:val="16"/>
          <w:szCs w:val="16"/>
          <w:color w:val="auto"/>
        </w:rPr>
        <w:t>Research and development expenses increased by $0.9 million to $6.6 million for the three months ended March 31, 2021 from $5.8 million for the three months ended March 31, 2020, an increase of 15%. This increase was primarily attributable to an increase of $0.5 million in personnel costs due primarily to higher incentive pay, as well as increased material costs of $0.4 million and an increase in stock-based compensation expense of $0.2 million partially offset by a decrease in facilities and information technology expense of $0.2 million.</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128"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Other income (expense), net, increased by $11.4 million to $4.3 million for the three months ended March 31, 2021 from a $7.1 million loss for the three months ended March 31, 2020 due to the change in the fair value of the liability classified warrants of $7.4 million and the expiration of an unexercised liability classified common stock warrant resulting in a revaluation gain for the three months ended March 31, 2021 of $5.0 million, partially offset by an increase in interest expense of $0.7 million and reduced interest income of $0.3 million.</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Accretion to redemption value of redeemable preferred stock and redeemable stock options</w:t>
      </w:r>
    </w:p>
    <w:p>
      <w:pPr>
        <w:spacing w:after="0" w:line="128" w:lineRule="exact"/>
        <w:rPr>
          <w:sz w:val="20"/>
          <w:szCs w:val="20"/>
          <w:color w:val="auto"/>
        </w:rPr>
      </w:pPr>
    </w:p>
    <w:p>
      <w:pPr>
        <w:jc w:val="both"/>
        <w:ind w:left="460" w:right="360"/>
        <w:spacing w:after="0" w:line="256" w:lineRule="auto"/>
        <w:rPr>
          <w:sz w:val="20"/>
          <w:szCs w:val="20"/>
          <w:color w:val="auto"/>
        </w:rPr>
      </w:pPr>
      <w:r>
        <w:rPr>
          <w:rFonts w:ascii="Arial" w:cs="Arial" w:eastAsia="Arial" w:hAnsi="Arial"/>
          <w:sz w:val="16"/>
          <w:szCs w:val="16"/>
          <w:color w:val="auto"/>
        </w:rPr>
        <w:t>Accretion to redemption value of redeemable preferred stock and redeemable stock options was $0.0 million for the three months ended March 31, 2021 and $4.2 million for the three months ended March 31, 2020 due to the determination that the redemption of these equity instruments was no longer probable in December 2020 when accretion ceased.</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Other comprehensive income</w:t>
      </w:r>
    </w:p>
    <w:p>
      <w:pPr>
        <w:spacing w:after="0" w:line="128" w:lineRule="exact"/>
        <w:rPr>
          <w:sz w:val="20"/>
          <w:szCs w:val="20"/>
          <w:color w:val="auto"/>
        </w:rPr>
      </w:pPr>
    </w:p>
    <w:p>
      <w:pPr>
        <w:ind w:left="460" w:right="100"/>
        <w:spacing w:after="0" w:line="265" w:lineRule="auto"/>
        <w:rPr>
          <w:sz w:val="20"/>
          <w:szCs w:val="20"/>
          <w:color w:val="auto"/>
        </w:rPr>
      </w:pPr>
      <w:r>
        <w:rPr>
          <w:rFonts w:ascii="Arial" w:cs="Arial" w:eastAsia="Arial" w:hAnsi="Arial"/>
          <w:sz w:val="16"/>
          <w:szCs w:val="16"/>
          <w:color w:val="auto"/>
        </w:rPr>
        <w:t>Other comprehensive income decreased by $0.1 million to $0.0 million for the year ended March 31, 2021 from income of $0.1 million for the three months ended March 31, 2020 due primarily to a decrease of $0.1 million in the unrealized gain on short-term investments.</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0780"/>
          </w:cols>
          <w:pgMar w:left="320" w:top="440" w:right="79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Comparison of the years ended December 31, 2019 and 2020</w:t>
      </w:r>
    </w:p>
    <w:p>
      <w:pPr>
        <w:spacing w:after="0" w:line="128" w:lineRule="exact"/>
        <w:rPr>
          <w:sz w:val="20"/>
          <w:szCs w:val="20"/>
          <w:color w:val="auto"/>
        </w:rPr>
      </w:pPr>
    </w:p>
    <w:p>
      <w:pPr>
        <w:ind w:left="460" w:right="100"/>
        <w:spacing w:after="0" w:line="265" w:lineRule="auto"/>
        <w:rPr>
          <w:sz w:val="20"/>
          <w:szCs w:val="20"/>
          <w:color w:val="auto"/>
        </w:rPr>
      </w:pPr>
      <w:r>
        <w:rPr>
          <w:rFonts w:ascii="Arial" w:cs="Arial" w:eastAsia="Arial" w:hAnsi="Arial"/>
          <w:sz w:val="16"/>
          <w:szCs w:val="16"/>
          <w:color w:val="auto"/>
        </w:rPr>
        <w:t>The following table summarizes our results of operations for the years ended December 31, 2019 and 2020, together with the dollar increase or decrease and percentage change in those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53975</wp:posOffset>
            </wp:positionV>
            <wp:extent cx="6569075"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Year ended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28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share amounts, per-share data and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53"/>
        </w:trPr>
        <w:tc>
          <w:tcPr>
            <w:tcW w:w="62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6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percentages)</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Sales</w:t>
            </w:r>
          </w:p>
        </w:tc>
        <w:tc>
          <w:tcPr>
            <w:tcW w:w="34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2,241</w:t>
            </w:r>
          </w:p>
        </w:tc>
        <w:tc>
          <w:tcPr>
            <w:tcW w:w="4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14,678</w:t>
            </w:r>
          </w:p>
        </w:tc>
        <w:tc>
          <w:tcPr>
            <w:tcW w:w="1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8"/>
              <w:spacing w:after="0" w:line="183" w:lineRule="exact"/>
              <w:rPr>
                <w:sz w:val="20"/>
                <w:szCs w:val="20"/>
                <w:color w:val="auto"/>
              </w:rPr>
            </w:pPr>
            <w:r>
              <w:rPr>
                <w:rFonts w:ascii="Arial" w:cs="Arial" w:eastAsia="Arial" w:hAnsi="Arial"/>
                <w:sz w:val="16"/>
                <w:szCs w:val="16"/>
                <w:color w:val="auto"/>
              </w:rPr>
              <w:t>12,437</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555.0%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80" w:type="dxa"/>
            <w:vAlign w:val="bottom"/>
          </w:tcPr>
          <w:p>
            <w:pPr>
              <w:spacing w:after="0"/>
              <w:rPr>
                <w:sz w:val="20"/>
                <w:szCs w:val="20"/>
                <w:color w:val="auto"/>
              </w:rPr>
            </w:pPr>
            <w:r>
              <w:rPr>
                <w:rFonts w:ascii="Arial" w:cs="Arial" w:eastAsia="Arial" w:hAnsi="Arial"/>
                <w:sz w:val="16"/>
                <w:szCs w:val="16"/>
                <w:color w:val="auto"/>
              </w:rPr>
              <w:t>Cost of sales</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4,060</w:t>
            </w:r>
          </w:p>
        </w:tc>
        <w:tc>
          <w:tcPr>
            <w:tcW w:w="4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12,973</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8,913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2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Gross profit (loss)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w:t>
            </w:r>
          </w:p>
        </w:tc>
        <w:tc>
          <w:tcPr>
            <w:tcW w:w="1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3,524</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r>
              <w:rPr>
                <w:rFonts w:ascii="Arial" w:cs="Arial" w:eastAsia="Arial" w:hAnsi="Arial"/>
                <w:sz w:val="16"/>
                <w:szCs w:val="16"/>
                <w:u w:val="single" w:color="auto"/>
                <w:color w:val="auto"/>
              </w:rPr>
              <w:t>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80" w:type="dxa"/>
            <w:vAlign w:val="bottom"/>
          </w:tcPr>
          <w:p>
            <w:pPr>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2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15,203</w:t>
            </w:r>
          </w:p>
        </w:tc>
        <w:tc>
          <w:tcPr>
            <w:tcW w:w="4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15,176</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27</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280" w:type="dxa"/>
            <w:vAlign w:val="bottom"/>
          </w:tcPr>
          <w:p>
            <w:pPr>
              <w:ind w:left="400"/>
              <w:spacing w:after="0"/>
              <w:rPr>
                <w:sz w:val="20"/>
                <w:szCs w:val="20"/>
                <w:color w:val="auto"/>
              </w:rPr>
            </w:pPr>
            <w:r>
              <w:rPr>
                <w:rFonts w:ascii="Arial" w:cs="Arial" w:eastAsia="Arial" w:hAnsi="Arial"/>
                <w:sz w:val="16"/>
                <w:szCs w:val="16"/>
                <w:color w:val="auto"/>
              </w:rPr>
              <w:t>Research and development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29,569</w:t>
            </w:r>
          </w:p>
        </w:tc>
        <w:tc>
          <w:tcPr>
            <w:tcW w:w="4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21,934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(7,635)</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190"/>
        </w:trPr>
        <w:tc>
          <w:tcPr>
            <w:tcW w:w="62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(Gain) loss on sale of equipment</w:t>
            </w:r>
          </w:p>
        </w:tc>
        <w:tc>
          <w:tcPr>
            <w:tcW w:w="2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4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528</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8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44,251</w:t>
            </w:r>
          </w:p>
        </w:tc>
        <w:tc>
          <w:tcPr>
            <w:tcW w:w="4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37,117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(7,134)</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5"/>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(46,070)</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(35,412)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10,658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8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2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Change in fair value of warrants</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169,230</w:t>
            </w:r>
          </w:p>
        </w:tc>
        <w:tc>
          <w:tcPr>
            <w:tcW w:w="4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63,011</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(106,219)</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280" w:type="dxa"/>
            <w:vAlign w:val="bottom"/>
          </w:tcPr>
          <w:p>
            <w:pPr>
              <w:ind w:left="400"/>
              <w:spacing w:after="0"/>
              <w:rPr>
                <w:sz w:val="20"/>
                <w:szCs w:val="20"/>
                <w:color w:val="auto"/>
              </w:rPr>
            </w:pPr>
            <w:r>
              <w:rPr>
                <w:rFonts w:ascii="Arial" w:cs="Arial" w:eastAsia="Arial" w:hAnsi="Arial"/>
                <w:sz w:val="16"/>
                <w:szCs w:val="16"/>
                <w:color w:val="auto"/>
              </w:rPr>
              <w:t>Expiration of warrants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803</w:t>
            </w:r>
          </w:p>
        </w:tc>
        <w:tc>
          <w:tcPr>
            <w:tcW w:w="4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(803)</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0"/>
        </w:trPr>
        <w:tc>
          <w:tcPr>
            <w:tcW w:w="62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4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80" w:type="dxa"/>
            <w:vAlign w:val="bottom"/>
          </w:tcPr>
          <w:p>
            <w:pPr>
              <w:ind w:left="400"/>
              <w:spacing w:after="0"/>
              <w:rPr>
                <w:sz w:val="20"/>
                <w:szCs w:val="20"/>
                <w:color w:val="auto"/>
              </w:rPr>
            </w:pPr>
            <w:r>
              <w:rPr>
                <w:rFonts w:ascii="Arial" w:cs="Arial" w:eastAsia="Arial" w:hAnsi="Arial"/>
                <w:sz w:val="16"/>
                <w:szCs w:val="16"/>
                <w:color w:val="auto"/>
              </w:rPr>
              <w:t>Interest and other income</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2,307</w:t>
            </w:r>
          </w:p>
        </w:tc>
        <w:tc>
          <w:tcPr>
            <w:tcW w:w="4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2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126,244</w:t>
            </w:r>
          </w:p>
        </w:tc>
        <w:tc>
          <w:tcPr>
            <w:tcW w:w="4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27,632</w:t>
            </w:r>
          </w:p>
        </w:tc>
        <w:tc>
          <w:tcPr>
            <w:tcW w:w="1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(98,612)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280" w:type="dxa"/>
            <w:vAlign w:val="bottom"/>
          </w:tcPr>
          <w:p>
            <w:pPr>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4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33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126,220</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27,575</w:t>
            </w:r>
          </w:p>
        </w:tc>
        <w:tc>
          <w:tcPr>
            <w:tcW w:w="1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(98,645)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r>
              <w:rPr>
                <w:rFonts w:ascii="Arial" w:cs="Arial" w:eastAsia="Arial" w:hAnsi="Arial"/>
                <w:sz w:val="16"/>
                <w:szCs w:val="16"/>
                <w:u w:val="single" w:color="auto"/>
                <w:color w:val="auto"/>
              </w:rPr>
              <w:t>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280" w:type="dxa"/>
            <w:vAlign w:val="bottom"/>
          </w:tcPr>
          <w:p>
            <w:pPr>
              <w:spacing w:after="0"/>
              <w:rPr>
                <w:sz w:val="20"/>
                <w:szCs w:val="20"/>
                <w:color w:val="auto"/>
              </w:rPr>
            </w:pPr>
            <w:r>
              <w:rPr>
                <w:rFonts w:ascii="Arial" w:cs="Arial" w:eastAsia="Arial" w:hAnsi="Arial"/>
                <w:sz w:val="16"/>
                <w:szCs w:val="16"/>
                <w:color w:val="auto"/>
              </w:rPr>
              <w:t>Accretion to redemption value of redeemable preferred stock and redeemable stock</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280" w:type="dxa"/>
            <w:vAlign w:val="bottom"/>
          </w:tcPr>
          <w:p>
            <w:pPr>
              <w:ind w:left="200"/>
              <w:spacing w:after="0"/>
              <w:rPr>
                <w:sz w:val="20"/>
                <w:szCs w:val="20"/>
                <w:color w:val="auto"/>
              </w:rPr>
            </w:pPr>
            <w:r>
              <w:rPr>
                <w:rFonts w:ascii="Arial" w:cs="Arial" w:eastAsia="Arial" w:hAnsi="Arial"/>
                <w:sz w:val="16"/>
                <w:szCs w:val="16"/>
                <w:color w:val="auto"/>
              </w:rPr>
              <w:t>options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(82,121)</w:t>
            </w:r>
          </w:p>
        </w:tc>
        <w:tc>
          <w:tcPr>
            <w:tcW w:w="4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(24,209)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58"/>
              <w:spacing w:after="0"/>
              <w:rPr>
                <w:sz w:val="20"/>
                <w:szCs w:val="20"/>
                <w:color w:val="auto"/>
              </w:rPr>
            </w:pPr>
            <w:r>
              <w:rPr>
                <w:rFonts w:ascii="Arial" w:cs="Arial" w:eastAsia="Arial" w:hAnsi="Arial"/>
                <w:sz w:val="16"/>
                <w:szCs w:val="16"/>
                <w:color w:val="auto"/>
              </w:rPr>
              <w:t>57,912</w:t>
            </w:r>
          </w:p>
        </w:tc>
        <w:tc>
          <w:tcPr>
            <w:tcW w:w="700" w:type="dxa"/>
            <w:vAlign w:val="bottom"/>
          </w:tcPr>
          <w:p>
            <w:pPr>
              <w:jc w:val="right"/>
              <w:spacing w:after="0"/>
              <w:rPr>
                <w:sz w:val="20"/>
                <w:szCs w:val="20"/>
                <w:color w:val="auto"/>
              </w:rPr>
            </w:pPr>
            <w:r>
              <w:rPr>
                <w:rFonts w:ascii="Arial" w:cs="Arial" w:eastAsia="Arial" w:hAnsi="Arial"/>
                <w:sz w:val="16"/>
                <w:szCs w:val="16"/>
                <w:color w:val="auto"/>
              </w:rPr>
              <w:t>70.5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Earnings allocated to redeemable preferred stock</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(17,972)</w:t>
            </w:r>
          </w:p>
        </w:tc>
        <w:tc>
          <w:tcPr>
            <w:tcW w:w="4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17,972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0"/>
        </w:trPr>
        <w:tc>
          <w:tcPr>
            <w:tcW w:w="6280" w:type="dxa"/>
            <w:vAlign w:val="bottom"/>
          </w:tcPr>
          <w:p>
            <w:pPr>
              <w:spacing w:after="0"/>
              <w:rPr>
                <w:sz w:val="20"/>
                <w:szCs w:val="20"/>
                <w:color w:val="auto"/>
              </w:rPr>
            </w:pPr>
            <w:r>
              <w:rPr>
                <w:rFonts w:ascii="Arial" w:cs="Arial" w:eastAsia="Arial" w:hAnsi="Arial"/>
                <w:sz w:val="16"/>
                <w:szCs w:val="16"/>
                <w:color w:val="auto"/>
              </w:rPr>
              <w:t>Net income attributable to common stockholders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26,127</w:t>
            </w:r>
          </w:p>
        </w:tc>
        <w:tc>
          <w:tcPr>
            <w:tcW w:w="4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3,366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(22,761)</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190"/>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(loss)</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280" w:type="dxa"/>
            <w:vAlign w:val="bottom"/>
          </w:tcPr>
          <w:p>
            <w:pPr>
              <w:ind w:left="400"/>
              <w:spacing w:after="0"/>
              <w:rPr>
                <w:sz w:val="20"/>
                <w:szCs w:val="20"/>
                <w:color w:val="auto"/>
              </w:rPr>
            </w:pPr>
            <w:r>
              <w:rPr>
                <w:rFonts w:ascii="Arial" w:cs="Arial" w:eastAsia="Arial" w:hAnsi="Arial"/>
                <w:sz w:val="16"/>
                <w:szCs w:val="16"/>
                <w:color w:val="auto"/>
              </w:rPr>
              <w:t>Unrealized gain (loss) on short-term investments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68</w:t>
            </w:r>
          </w:p>
        </w:tc>
        <w:tc>
          <w:tcPr>
            <w:tcW w:w="4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58"/>
              <w:spacing w:after="0"/>
              <w:rPr>
                <w:sz w:val="20"/>
                <w:szCs w:val="20"/>
                <w:color w:val="auto"/>
              </w:rPr>
            </w:pPr>
            <w:r>
              <w:rPr>
                <w:rFonts w:ascii="Arial" w:cs="Arial" w:eastAsia="Arial" w:hAnsi="Arial"/>
                <w:sz w:val="16"/>
                <w:szCs w:val="16"/>
                <w:color w:val="auto"/>
              </w:rPr>
              <w:t>117</w:t>
            </w:r>
          </w:p>
        </w:tc>
        <w:tc>
          <w:tcPr>
            <w:tcW w:w="700" w:type="dxa"/>
            <w:vAlign w:val="bottom"/>
          </w:tcPr>
          <w:p>
            <w:pPr>
              <w:jc w:val="right"/>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2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Foreign currency translation gain</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5</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80" w:type="dxa"/>
            <w:vAlign w:val="bottom"/>
          </w:tcPr>
          <w:p>
            <w:pPr>
              <w:spacing w:after="0"/>
              <w:rPr>
                <w:sz w:val="20"/>
                <w:szCs w:val="20"/>
                <w:color w:val="auto"/>
              </w:rPr>
            </w:pPr>
            <w:r>
              <w:rPr>
                <w:rFonts w:ascii="Arial" w:cs="Arial" w:eastAsia="Arial" w:hAnsi="Arial"/>
                <w:sz w:val="16"/>
                <w:szCs w:val="16"/>
                <w:color w:val="auto"/>
              </w:rPr>
              <w:t>Total other comprehensive income (loss)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w:t>
            </w:r>
          </w:p>
        </w:tc>
        <w:tc>
          <w:tcPr>
            <w:tcW w:w="4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(167.1)</w:t>
            </w:r>
          </w:p>
        </w:tc>
        <w:tc>
          <w:tcPr>
            <w:tcW w:w="0" w:type="dxa"/>
            <w:vAlign w:val="bottom"/>
          </w:tcPr>
          <w:p>
            <w:pPr>
              <w:spacing w:after="0"/>
              <w:rPr>
                <w:sz w:val="1"/>
                <w:szCs w:val="1"/>
                <w:color w:val="auto"/>
              </w:rPr>
            </w:pPr>
          </w:p>
        </w:tc>
      </w:tr>
      <w:tr>
        <w:trPr>
          <w:trHeight w:val="25"/>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126,293</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27,526</w:t>
            </w:r>
          </w:p>
        </w:tc>
        <w:tc>
          <w:tcPr>
            <w:tcW w:w="1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(98,767)</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Sales</w:t>
      </w:r>
    </w:p>
    <w:p>
      <w:pPr>
        <w:spacing w:after="0" w:line="128"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Sales increased by $12.4 million to $14.7 million for the year ended December 31, 2020 from $2.2 million for the year ended December 31, 2019. The increase in sales was due to sales of 60 more LDDs within an ASP increase of $42,130 per LDD and 3,534 more LALs. During 2020 the COVID-19 pandemic has made sequential quarter-to-quarter trending difficult. In mid-March 2020, ambulatory surgery centers (ASCs), where most cataract surgeries were performed, were closed to elective surgeries for six or more weeks, with the second quarter 2020 LAL sales lower than the first quarter, an increase in LAL sales in the third quarter as ASC’s re-opened and a slight increase again in the fourth quarter, despite seasonal holidays.</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Cost of sales</w:t>
      </w:r>
    </w:p>
    <w:p>
      <w:pPr>
        <w:spacing w:after="0" w:line="128" w:lineRule="exact"/>
        <w:rPr>
          <w:sz w:val="20"/>
          <w:szCs w:val="20"/>
          <w:color w:val="auto"/>
        </w:rPr>
      </w:pPr>
    </w:p>
    <w:p>
      <w:pPr>
        <w:ind w:left="460" w:right="860"/>
        <w:spacing w:after="0" w:line="265" w:lineRule="auto"/>
        <w:rPr>
          <w:sz w:val="20"/>
          <w:szCs w:val="20"/>
          <w:color w:val="auto"/>
        </w:rPr>
      </w:pPr>
      <w:r>
        <w:rPr>
          <w:rFonts w:ascii="Arial" w:cs="Arial" w:eastAsia="Arial" w:hAnsi="Arial"/>
          <w:sz w:val="16"/>
          <w:szCs w:val="16"/>
          <w:color w:val="auto"/>
        </w:rPr>
        <w:t>Cost of sales increased by $8.9 million to $13.0 million for the year ended December 31, 2020 from $4.1 million for the year ended December 31, 2019 due to the increase in the number of products sold and associated</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0800"/>
          </w:cols>
          <w:pgMar w:left="320" w:top="440" w:right="77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60"/>
        <w:spacing w:after="0" w:line="265" w:lineRule="auto"/>
        <w:rPr>
          <w:sz w:val="20"/>
          <w:szCs w:val="20"/>
          <w:color w:val="auto"/>
        </w:rPr>
      </w:pPr>
      <w:r>
        <w:rPr>
          <w:rFonts w:ascii="Arial" w:cs="Arial" w:eastAsia="Arial" w:hAnsi="Arial"/>
          <w:sz w:val="16"/>
          <w:szCs w:val="16"/>
          <w:color w:val="auto"/>
        </w:rPr>
        <w:t>service warranties. Gross margin increased to 11.6% in the year ended December 31, 2020 from an 81.2% loss due to improved operating leverage on a higher volume of units sold.</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128" w:lineRule="exact"/>
        <w:rPr>
          <w:sz w:val="20"/>
          <w:szCs w:val="20"/>
          <w:color w:val="auto"/>
        </w:rPr>
      </w:pPr>
    </w:p>
    <w:p>
      <w:pPr>
        <w:ind w:left="460" w:right="100"/>
        <w:spacing w:after="0" w:line="256" w:lineRule="auto"/>
        <w:rPr>
          <w:sz w:val="20"/>
          <w:szCs w:val="20"/>
          <w:color w:val="auto"/>
        </w:rPr>
      </w:pPr>
      <w:r>
        <w:rPr>
          <w:rFonts w:ascii="Arial" w:cs="Arial" w:eastAsia="Arial" w:hAnsi="Arial"/>
          <w:sz w:val="16"/>
          <w:szCs w:val="16"/>
          <w:color w:val="auto"/>
        </w:rPr>
        <w:t>Selling, general and administrative expenses remained at $15.2 million for the years ended December 31, 2020 and 2019. An increase in selling and marketing personnel related expenses of $2.1 million due mainly to additional headcount was offset by a decrease in general and administrative costs of $2.1 million due to lower facilities costs and lower stock-based compensation costs.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28" w:lineRule="exact"/>
        <w:rPr>
          <w:sz w:val="20"/>
          <w:szCs w:val="20"/>
          <w:color w:val="auto"/>
        </w:rPr>
      </w:pPr>
    </w:p>
    <w:p>
      <w:pPr>
        <w:ind w:left="460" w:right="60"/>
        <w:spacing w:after="0" w:line="251" w:lineRule="auto"/>
        <w:rPr>
          <w:sz w:val="20"/>
          <w:szCs w:val="20"/>
          <w:color w:val="auto"/>
        </w:rPr>
      </w:pPr>
      <w:r>
        <w:rPr>
          <w:rFonts w:ascii="Arial" w:cs="Arial" w:eastAsia="Arial" w:hAnsi="Arial"/>
          <w:sz w:val="16"/>
          <w:szCs w:val="16"/>
          <w:color w:val="auto"/>
        </w:rPr>
        <w:t>Research and development expenses decreased by $7.6 million to $21.9 million for the year ended December 31, 2020 from $29.6 million for the year ended December 31, 2019, a decrease of 26%. This decrease was primarily attributable to a decrease of $5.6 million in personnel costs due primarily to reduced personnel headcount and lower incentive pay due to the cancelation of accrued incentives that were subsequently determined would not be earned, as well as a decrease of $1.7 million in clinical costs due to the completion of two clinical studies in 2019 and decreased material costs of $1.1 million, partially offset by an increase in facilities and information technology expense of $0.5 million as well as an increase in stock-based compensation expense of $0.3 million.</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Gain/loss on sale of equipment</w:t>
      </w:r>
    </w:p>
    <w:p>
      <w:pPr>
        <w:spacing w:after="0" w:line="128" w:lineRule="exact"/>
        <w:rPr>
          <w:sz w:val="20"/>
          <w:szCs w:val="20"/>
          <w:color w:val="auto"/>
        </w:rPr>
      </w:pPr>
    </w:p>
    <w:p>
      <w:pPr>
        <w:ind w:left="460" w:right="220"/>
        <w:spacing w:after="0" w:line="265" w:lineRule="auto"/>
        <w:rPr>
          <w:sz w:val="20"/>
          <w:szCs w:val="20"/>
          <w:color w:val="auto"/>
        </w:rPr>
      </w:pPr>
      <w:r>
        <w:rPr>
          <w:rFonts w:ascii="Arial" w:cs="Arial" w:eastAsia="Arial" w:hAnsi="Arial"/>
          <w:sz w:val="16"/>
          <w:szCs w:val="16"/>
          <w:color w:val="auto"/>
        </w:rPr>
        <w:t>Gain/loss on sales of equipment was $0.5 million for the year ended December 31, 2019 as compared to a loss of $0.06 million for the year ended December 31, 2020 from a gain on the sale of fully depreciated assets in 2019.</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income, net, decreased by $109.3 million to $63.0 million for the year ended December 31, 2020 from $172.3 million for the year ended</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December 31, 2019 due primarily to the revaluation of the fair value of warrant liabilities of $106.2 million, a decrease in interest income of</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$1.8 million and a gain on expiration of preferred stock warrants classified as liabilities of $0.8 million, partially offset by an increase in interest</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expense of $0.5 million on $25 million debt drawn on October 28, 2020.</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Accretion to redemption value of redeemable preferred stock and redeemable stock options</w:t>
      </w:r>
    </w:p>
    <w:p>
      <w:pPr>
        <w:spacing w:after="0" w:line="128"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Accretion to redemption value of redeemable preferred stock and redeemable stock options decreased by $64.8 million to $38.3 million for the year ended December 31, 2020 from $103.1 million for the year ended December 31, 2019 due to the reduction in the estimated per-share amount used to calculate accretion for common and preferred stock and also due to negative accretion for the year ended December 2020 caused by the same reduction in the estimated per-share amount for stock options.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Earnings allocated to redeemable preferred stock</w:t>
      </w:r>
    </w:p>
    <w:p>
      <w:pPr>
        <w:spacing w:after="0" w:line="128" w:lineRule="exact"/>
        <w:rPr>
          <w:sz w:val="20"/>
          <w:szCs w:val="20"/>
          <w:color w:val="auto"/>
        </w:rPr>
      </w:pPr>
    </w:p>
    <w:p>
      <w:pPr>
        <w:ind w:left="460" w:right="140"/>
        <w:spacing w:after="0" w:line="253" w:lineRule="auto"/>
        <w:rPr>
          <w:sz w:val="20"/>
          <w:szCs w:val="20"/>
          <w:color w:val="auto"/>
        </w:rPr>
      </w:pPr>
      <w:r>
        <w:rPr>
          <w:rFonts w:ascii="Arial" w:cs="Arial" w:eastAsia="Arial" w:hAnsi="Arial"/>
          <w:sz w:val="16"/>
          <w:szCs w:val="16"/>
          <w:color w:val="auto"/>
        </w:rPr>
        <w:t>Earnings allocated to redeemable preferred stock decreased to zero for the year ended December 31, 2020 from $18.0 million for the year ended December 31, 2019. For the year ended December 31, 2020, no undistributed earnings were available to redeemable preferred stock after adjusting net income for accretion to estimated redemption value for all categories of securities; preferred stockholders are not contractually obligated to share in undistributed losses.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Other comprehensive income (loss)</w:t>
      </w:r>
    </w:p>
    <w:p>
      <w:pPr>
        <w:spacing w:after="0" w:line="128" w:lineRule="exact"/>
        <w:rPr>
          <w:sz w:val="20"/>
          <w:szCs w:val="20"/>
          <w:color w:val="auto"/>
        </w:rPr>
      </w:pPr>
    </w:p>
    <w:p>
      <w:pPr>
        <w:ind w:left="460" w:right="160"/>
        <w:spacing w:after="0" w:line="265" w:lineRule="auto"/>
        <w:rPr>
          <w:sz w:val="20"/>
          <w:szCs w:val="20"/>
          <w:color w:val="auto"/>
        </w:rPr>
      </w:pPr>
      <w:r>
        <w:rPr>
          <w:rFonts w:ascii="Arial" w:cs="Arial" w:eastAsia="Arial" w:hAnsi="Arial"/>
          <w:sz w:val="16"/>
          <w:szCs w:val="16"/>
          <w:color w:val="auto"/>
        </w:rPr>
        <w:t>Other comprehensive income increased by $0.1 million to $0.1 million for the year ended December 31, 2020 from a loss of $.049 million for the year ended December 31, 2019 due primarily to an increase of $0.1 million in the unrealized gain on short-term investments.</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0800"/>
          </w:cols>
          <w:pgMar w:left="320" w:top="440" w:right="77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Liquidity and capital resources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Sources of liquidity</w:t>
      </w:r>
    </w:p>
    <w:p>
      <w:pPr>
        <w:spacing w:after="0" w:line="128"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We have incurred significant operating losses and negative cash flows from operations since our inception, and we anticipate that we will incur significant losses for at least the next several years. As of March 31, 2021, we had cash, cash equivalents and short-term investments of $64.4 million. For the years ended December 31, 2020 and 2019, our net losses from operations were $35.4 and $46.1 million, respectively, and our net cash used in operating activities was $35.2 million and $40.6, respectively. For the three months ended March 31, 2021 and 2020 we had a loss from operations of $11.1 million and $9.4 million, respectively. We had an accumulated deficit of $437.4 million as of March 31, 2021.</w:t>
      </w:r>
    </w:p>
    <w:p>
      <w:pPr>
        <w:spacing w:after="0" w:line="280" w:lineRule="exact"/>
        <w:rPr>
          <w:sz w:val="20"/>
          <w:szCs w:val="20"/>
          <w:color w:val="auto"/>
        </w:rPr>
      </w:pPr>
    </w:p>
    <w:p>
      <w:pPr>
        <w:ind w:left="460" w:right="60"/>
        <w:spacing w:after="0" w:line="265" w:lineRule="auto"/>
        <w:rPr>
          <w:sz w:val="20"/>
          <w:szCs w:val="20"/>
          <w:color w:val="auto"/>
        </w:rPr>
      </w:pPr>
      <w:r>
        <w:rPr>
          <w:rFonts w:ascii="Arial" w:cs="Arial" w:eastAsia="Arial" w:hAnsi="Arial"/>
          <w:sz w:val="16"/>
          <w:szCs w:val="16"/>
          <w:color w:val="auto"/>
        </w:rPr>
        <w:t>To date, our primary sources of capital have been private placements of preferred stock, a structured transaction with a strategic partner, debt financing and revenue from sales of our products.</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Funding requirements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future liquidity and capital funding requirements will depend on numerous factors, including:</w:t>
      </w:r>
    </w:p>
    <w:p>
      <w:pPr>
        <w:spacing w:after="0" w:line="120" w:lineRule="exact"/>
        <w:rPr>
          <w:sz w:val="20"/>
          <w:szCs w:val="20"/>
          <w:color w:val="auto"/>
        </w:rPr>
      </w:pPr>
    </w:p>
    <w:p>
      <w:pPr>
        <w:ind w:left="660" w:hanging="209"/>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our revenue growth;</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our research and development efforts;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our sales and marketing activities;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our ability to raise additional funds to finance our operations;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outcome, costs and timing of any clinical trial results for our current or future products;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emergence and effect of competing or complementary products;</w:t>
      </w:r>
    </w:p>
    <w:p>
      <w:pPr>
        <w:spacing w:after="0" w:line="120" w:lineRule="exact"/>
        <w:rPr>
          <w:rFonts w:ascii="Arial" w:cs="Arial" w:eastAsia="Arial" w:hAnsi="Arial"/>
          <w:sz w:val="16"/>
          <w:szCs w:val="16"/>
          <w:color w:val="auto"/>
        </w:rPr>
      </w:pPr>
    </w:p>
    <w:p>
      <w:pPr>
        <w:ind w:left="660" w:right="120" w:hanging="209"/>
        <w:spacing w:after="0" w:line="256" w:lineRule="auto"/>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95" w:lineRule="exact"/>
        <w:rPr>
          <w:rFonts w:ascii="Arial" w:cs="Arial" w:eastAsia="Arial" w:hAnsi="Arial"/>
          <w:sz w:val="16"/>
          <w:szCs w:val="16"/>
          <w:color w:val="auto"/>
        </w:rPr>
      </w:pPr>
    </w:p>
    <w:p>
      <w:pPr>
        <w:ind w:left="660" w:right="500" w:hanging="209"/>
        <w:spacing w:after="0" w:line="265" w:lineRule="auto"/>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our ability to retain our current employees and the need and ability to hire additional management, sales, research and development, scientific and customer support personnel;</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terms and timing of any collaborative, licensing or other arrangements that we have or may establish;</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debt service requirements;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extent to which we acquire or invest in businesses, products or technologies; and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impact of the COVID-19 pandemic.</w:t>
      </w:r>
    </w:p>
    <w:p>
      <w:pPr>
        <w:spacing w:after="0" w:line="108" w:lineRule="exact"/>
        <w:rPr>
          <w:sz w:val="20"/>
          <w:szCs w:val="20"/>
          <w:color w:val="auto"/>
        </w:rPr>
      </w:pPr>
    </w:p>
    <w:p>
      <w:pPr>
        <w:ind w:left="460" w:right="140"/>
        <w:spacing w:after="0" w:line="251" w:lineRule="auto"/>
        <w:rPr>
          <w:sz w:val="20"/>
          <w:szCs w:val="20"/>
          <w:color w:val="auto"/>
        </w:rPr>
      </w:pPr>
      <w:r>
        <w:rPr>
          <w:rFonts w:ascii="Arial" w:cs="Arial" w:eastAsia="Arial" w:hAnsi="Arial"/>
          <w:sz w:val="16"/>
          <w:szCs w:val="16"/>
          <w:color w:val="auto"/>
        </w:rPr>
        <w:t>Based on our current planned operations, we expect that our current cash, cash equivalents and short-term investments will be sufficient to fund our operations for at least 12 months after the date our most recent financial statements were issued. Our ability to continue as a going concern is dependent upon our ability to successfully secure sources of financing and ultimately achieve profitable operations. We may require additional financing to fund working capital and pay our obligations. We may seek to raise any necessary additional capital through a combination of public or private equity offerings and/or debt financings. There can be no assurance that we will be successful in acquiring additional funding at levels sufficient to fund our operations or on terms favorable to us, if at all. If adequate funds are not available on acceptable terms when</w:t>
      </w:r>
    </w:p>
    <w:p>
      <w:pPr>
        <w:spacing w:after="0" w:line="31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0800"/>
          </w:cols>
          <w:pgMar w:left="320" w:top="441" w:right="77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140"/>
        <w:spacing w:after="0" w:line="251" w:lineRule="auto"/>
        <w:rPr>
          <w:sz w:val="20"/>
          <w:szCs w:val="20"/>
          <w:color w:val="auto"/>
        </w:rPr>
      </w:pPr>
      <w:r>
        <w:rPr>
          <w:rFonts w:ascii="Arial" w:cs="Arial" w:eastAsia="Arial" w:hAnsi="Arial"/>
          <w:sz w:val="16"/>
          <w:szCs w:val="16"/>
          <w:color w:val="auto"/>
        </w:rPr>
        <w:t>needed, we may be required to significantly reduce operating activities, which may have a material adverse effect on our business and/or results of operations and financial condition. If we do raise additional capital through public or private equity or convertible debt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Additional capital may not be available on reasonable terms, or at all.</w:t>
      </w:r>
    </w:p>
    <w:p>
      <w:pPr>
        <w:spacing w:after="0" w:line="88" w:lineRule="exact"/>
        <w:rPr>
          <w:sz w:val="20"/>
          <w:szCs w:val="20"/>
          <w:color w:val="auto"/>
        </w:rPr>
      </w:pPr>
    </w:p>
    <w:p>
      <w:pPr>
        <w:ind w:left="460" w:right="1180"/>
        <w:spacing w:after="0" w:line="380" w:lineRule="auto"/>
        <w:rPr>
          <w:sz w:val="20"/>
          <w:szCs w:val="20"/>
          <w:color w:val="auto"/>
        </w:rPr>
      </w:pPr>
      <w:r>
        <w:rPr>
          <w:rFonts w:ascii="Arial" w:cs="Arial" w:eastAsia="Arial" w:hAnsi="Arial"/>
          <w:sz w:val="16"/>
          <w:szCs w:val="16"/>
          <w:color w:val="auto"/>
        </w:rPr>
        <w:t xml:space="preserve">See the section of this prospectus titled “Risk Factors” for additional risks associated with our substantial capital requirements. </w:t>
      </w:r>
      <w:r>
        <w:rPr>
          <w:rFonts w:ascii="Arial" w:cs="Arial" w:eastAsia="Arial" w:hAnsi="Arial"/>
          <w:sz w:val="16"/>
          <w:szCs w:val="16"/>
          <w:b w:val="1"/>
          <w:bCs w:val="1"/>
          <w:i w:val="1"/>
          <w:iCs w:val="1"/>
          <w:color w:val="auto"/>
        </w:rPr>
        <w:t>Summary statement of cash flows</w:t>
      </w:r>
    </w:p>
    <w:p>
      <w:pPr>
        <w:spacing w:after="0" w:line="1" w:lineRule="exact"/>
        <w:rPr>
          <w:sz w:val="20"/>
          <w:szCs w:val="20"/>
          <w:color w:val="auto"/>
        </w:rPr>
      </w:pPr>
    </w:p>
    <w:p>
      <w:pPr>
        <w:ind w:left="460" w:right="200"/>
        <w:spacing w:after="0" w:line="265" w:lineRule="auto"/>
        <w:rPr>
          <w:sz w:val="20"/>
          <w:szCs w:val="20"/>
          <w:color w:val="auto"/>
        </w:rPr>
      </w:pPr>
      <w:r>
        <w:rPr>
          <w:rFonts w:ascii="Arial" w:cs="Arial" w:eastAsia="Arial" w:hAnsi="Arial"/>
          <w:sz w:val="16"/>
          <w:szCs w:val="16"/>
          <w:color w:val="auto"/>
        </w:rPr>
        <w:t>The following table sets forth the primary sources and uses of cash, cash equivalents, and restricted cash for each of the periods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53975</wp:posOffset>
            </wp:positionV>
            <wp:extent cx="6569075"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Three months</w:t>
            </w:r>
          </w:p>
        </w:tc>
      </w:tr>
      <w:tr>
        <w:trPr>
          <w:trHeight w:val="190"/>
        </w:trPr>
        <w:tc>
          <w:tcPr>
            <w:tcW w:w="6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gridSpan w:val="2"/>
          </w:tcPr>
          <w:p>
            <w:pPr>
              <w:jc w:val="right"/>
              <w:ind w:right="98"/>
              <w:spacing w:after="0"/>
              <w:rPr>
                <w:sz w:val="20"/>
                <w:szCs w:val="20"/>
                <w:color w:val="auto"/>
              </w:rPr>
            </w:pPr>
            <w:r>
              <w:rPr>
                <w:rFonts w:ascii="Arial" w:cs="Arial" w:eastAsia="Arial" w:hAnsi="Arial"/>
                <w:sz w:val="16"/>
                <w:szCs w:val="16"/>
                <w:b w:val="1"/>
                <w:bCs w:val="1"/>
                <w:color w:val="auto"/>
              </w:rPr>
              <w:t>Years ended</w:t>
            </w:r>
          </w:p>
        </w:tc>
        <w:tc>
          <w:tcPr>
            <w:tcW w:w="280" w:type="dxa"/>
            <w:vAlign w:val="bottom"/>
          </w:tcPr>
          <w:p>
            <w:pPr>
              <w:spacing w:after="0"/>
              <w:rPr>
                <w:sz w:val="16"/>
                <w:szCs w:val="16"/>
                <w:color w:val="auto"/>
              </w:rPr>
            </w:pPr>
          </w:p>
        </w:tc>
        <w:tc>
          <w:tcPr>
            <w:tcW w:w="174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ended March 31,</w:t>
            </w:r>
          </w:p>
        </w:tc>
      </w:tr>
      <w:tr>
        <w:trPr>
          <w:trHeight w:val="207"/>
        </w:trPr>
        <w:tc>
          <w:tcPr>
            <w:tcW w:w="6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gridSpan w:val="2"/>
          </w:tcPr>
          <w:p>
            <w:pPr>
              <w:jc w:val="right"/>
              <w:ind w:right="98"/>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(unaudited)</w:t>
            </w:r>
          </w:p>
        </w:tc>
      </w:tr>
      <w:tr>
        <w:trPr>
          <w:trHeight w:val="183"/>
        </w:trPr>
        <w:tc>
          <w:tcPr>
            <w:tcW w:w="6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780" w:type="dxa"/>
            <w:vAlign w:val="bottom"/>
            <w:tcBorders>
              <w:top w:val="single" w:sz="8" w:color="auto"/>
              <w:bottom w:val="single" w:sz="8" w:color="auto"/>
            </w:tcBorders>
            <w:gridSpan w:val="3"/>
          </w:tcPr>
          <w:p>
            <w:pPr>
              <w:jc w:val="right"/>
              <w:ind w:right="438"/>
              <w:spacing w:after="0" w:line="183" w:lineRule="exact"/>
              <w:rPr>
                <w:sz w:val="20"/>
                <w:szCs w:val="20"/>
                <w:color w:val="auto"/>
              </w:rPr>
            </w:pPr>
            <w:r>
              <w:rPr>
                <w:rFonts w:ascii="Arial" w:cs="Arial" w:eastAsia="Arial" w:hAnsi="Arial"/>
                <w:sz w:val="16"/>
                <w:szCs w:val="16"/>
                <w:b w:val="1"/>
                <w:bCs w:val="1"/>
                <w:color w:val="auto"/>
              </w:rPr>
              <w:t>(In thousands)</w:t>
            </w:r>
          </w:p>
        </w:tc>
        <w:tc>
          <w:tcPr>
            <w:tcW w:w="3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8"/>
        </w:trPr>
        <w:tc>
          <w:tcPr>
            <w:tcW w:w="6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r>
      <w:tr>
        <w:trPr>
          <w:trHeight w:val="43"/>
        </w:trPr>
        <w:tc>
          <w:tcPr>
            <w:tcW w:w="6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0"/>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provided by:</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6100" w:type="dxa"/>
            <w:vAlign w:val="bottom"/>
          </w:tcPr>
          <w:p>
            <w:pPr>
              <w:ind w:left="400"/>
              <w:spacing w:after="0"/>
              <w:rPr>
                <w:sz w:val="20"/>
                <w:szCs w:val="20"/>
                <w:color w:val="auto"/>
              </w:rPr>
            </w:pPr>
            <w:r>
              <w:rPr>
                <w:rFonts w:ascii="Arial" w:cs="Arial" w:eastAsia="Arial" w:hAnsi="Arial"/>
                <w:sz w:val="16"/>
                <w:szCs w:val="16"/>
                <w:color w:val="auto"/>
              </w:rPr>
              <w:t>Operating activities</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(40,619)</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8"/>
              <w:spacing w:after="0"/>
              <w:rPr>
                <w:sz w:val="20"/>
                <w:szCs w:val="20"/>
                <w:color w:val="auto"/>
              </w:rPr>
            </w:pPr>
            <w:r>
              <w:rPr>
                <w:rFonts w:ascii="Arial" w:cs="Arial" w:eastAsia="Arial" w:hAnsi="Arial"/>
                <w:sz w:val="16"/>
                <w:szCs w:val="16"/>
                <w:color w:val="auto"/>
              </w:rPr>
              <w:t>(35,203)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(12,218)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(10,252)</w:t>
            </w:r>
          </w:p>
        </w:tc>
      </w:tr>
      <w:tr>
        <w:trPr>
          <w:trHeight w:val="190"/>
        </w:trPr>
        <w:tc>
          <w:tcPr>
            <w:tcW w:w="61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Investing activities</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( 5,870)</w:t>
            </w:r>
          </w:p>
        </w:tc>
        <w:tc>
          <w:tcPr>
            <w:tcW w:w="4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15,591</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24,225</w:t>
            </w: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14,503</w:t>
            </w:r>
          </w:p>
        </w:tc>
        <w:tc>
          <w:tcPr>
            <w:tcW w:w="100" w:type="dxa"/>
            <w:vAlign w:val="bottom"/>
            <w:shd w:val="clear" w:color="auto" w:fill="CCEEFF"/>
          </w:tcPr>
          <w:p>
            <w:pPr>
              <w:spacing w:after="0"/>
              <w:rPr>
                <w:sz w:val="16"/>
                <w:szCs w:val="16"/>
                <w:color w:val="auto"/>
              </w:rPr>
            </w:pPr>
          </w:p>
        </w:tc>
      </w:tr>
      <w:tr>
        <w:trPr>
          <w:trHeight w:val="190"/>
        </w:trPr>
        <w:tc>
          <w:tcPr>
            <w:tcW w:w="6100" w:type="dxa"/>
            <w:vAlign w:val="bottom"/>
          </w:tcPr>
          <w:p>
            <w:pPr>
              <w:ind w:left="400"/>
              <w:spacing w:after="0"/>
              <w:rPr>
                <w:sz w:val="20"/>
                <w:szCs w:val="20"/>
                <w:color w:val="auto"/>
              </w:rPr>
            </w:pPr>
            <w:r>
              <w:rPr>
                <w:rFonts w:ascii="Arial" w:cs="Arial" w:eastAsia="Arial" w:hAnsi="Arial"/>
                <w:sz w:val="16"/>
                <w:szCs w:val="16"/>
                <w:color w:val="auto"/>
              </w:rPr>
              <w:t>Financing activities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1,330</w:t>
            </w:r>
          </w:p>
        </w:tc>
        <w:tc>
          <w:tcPr>
            <w:tcW w:w="480" w:type="dxa"/>
            <w:vAlign w:val="bottom"/>
          </w:tcPr>
          <w:p>
            <w:pPr>
              <w:spacing w:after="0"/>
              <w:rPr>
                <w:sz w:val="16"/>
                <w:szCs w:val="16"/>
                <w:color w:val="auto"/>
              </w:rPr>
            </w:pPr>
          </w:p>
        </w:tc>
        <w:tc>
          <w:tcPr>
            <w:tcW w:w="800" w:type="dxa"/>
            <w:vAlign w:val="bottom"/>
          </w:tcPr>
          <w:p>
            <w:pPr>
              <w:jc w:val="right"/>
              <w:ind w:right="98"/>
              <w:spacing w:after="0"/>
              <w:rPr>
                <w:sz w:val="20"/>
                <w:szCs w:val="20"/>
                <w:color w:val="auto"/>
              </w:rPr>
            </w:pPr>
            <w:r>
              <w:rPr>
                <w:rFonts w:ascii="Arial" w:cs="Arial" w:eastAsia="Arial" w:hAnsi="Arial"/>
                <w:sz w:val="16"/>
                <w:szCs w:val="16"/>
                <w:color w:val="auto"/>
              </w:rPr>
              <w:t>25,237</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6,144</w:t>
            </w:r>
          </w:p>
        </w:tc>
        <w:tc>
          <w:tcPr>
            <w:tcW w:w="100" w:type="dxa"/>
            <w:vAlign w:val="bottom"/>
          </w:tcPr>
          <w:p>
            <w:pPr>
              <w:spacing w:after="0"/>
              <w:rPr>
                <w:sz w:val="16"/>
                <w:szCs w:val="16"/>
                <w:color w:val="auto"/>
              </w:rPr>
            </w:pPr>
          </w:p>
        </w:tc>
      </w:tr>
      <w:tr>
        <w:trPr>
          <w:trHeight w:val="190"/>
        </w:trPr>
        <w:tc>
          <w:tcPr>
            <w:tcW w:w="61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Effect of foreign exchange rate on cash, cash equivalents and restricted cash</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r>
      <w:tr>
        <w:trPr>
          <w:trHeight w:val="20"/>
        </w:trPr>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6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(45,154)</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5,625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10,391</w:t>
            </w:r>
          </w:p>
        </w:tc>
        <w:tc>
          <w:tcPr>
            <w:tcW w:w="100" w:type="dxa"/>
            <w:vAlign w:val="bottom"/>
          </w:tcPr>
          <w:p>
            <w:pPr>
              <w:spacing w:after="0"/>
              <w:rPr>
                <w:sz w:val="17"/>
                <w:szCs w:val="17"/>
                <w:color w:val="auto"/>
              </w:rPr>
            </w:pPr>
          </w:p>
        </w:tc>
      </w:tr>
    </w:tbl>
    <w:p>
      <w:pPr>
        <w:spacing w:after="0" w:line="173"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Cash used in operating activities</w:t>
      </w:r>
    </w:p>
    <w:p>
      <w:pPr>
        <w:spacing w:after="0" w:line="133" w:lineRule="exact"/>
        <w:rPr>
          <w:sz w:val="20"/>
          <w:szCs w:val="20"/>
          <w:color w:val="auto"/>
        </w:rPr>
      </w:pPr>
    </w:p>
    <w:p>
      <w:pPr>
        <w:ind w:left="460" w:right="580"/>
        <w:spacing w:after="0" w:line="256" w:lineRule="auto"/>
        <w:rPr>
          <w:sz w:val="20"/>
          <w:szCs w:val="20"/>
          <w:color w:val="auto"/>
        </w:rPr>
      </w:pPr>
      <w:r>
        <w:rPr>
          <w:rFonts w:ascii="Arial" w:cs="Arial" w:eastAsia="Arial" w:hAnsi="Arial"/>
          <w:sz w:val="16"/>
          <w:szCs w:val="16"/>
          <w:color w:val="auto"/>
        </w:rPr>
        <w:t>Net cash used in operating activities for the three months ended March 31, 2021 was $10.3 million, consisting primarily of a net loss of $6.8 million, a non-cash gain on expiration of an unexercised warrant of $5.0 million, an increase in operating assets and liabilities of $0.7 million, offset by non-cash stock-based compensation of $1.2 million and depreciation and amortization of $1.0 million.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used in operating activities for the three months ended March 31, 2020 was $12.2 million, consisting primarily of a net loss of</w:t>
      </w:r>
    </w:p>
    <w:p>
      <w:pPr>
        <w:spacing w:after="0" w:line="6" w:lineRule="exact"/>
        <w:rPr>
          <w:sz w:val="20"/>
          <w:szCs w:val="20"/>
          <w:color w:val="auto"/>
        </w:rPr>
      </w:pPr>
    </w:p>
    <w:p>
      <w:pPr>
        <w:ind w:left="460" w:right="360"/>
        <w:spacing w:after="0" w:line="265" w:lineRule="auto"/>
        <w:rPr>
          <w:sz w:val="20"/>
          <w:szCs w:val="20"/>
          <w:color w:val="auto"/>
        </w:rPr>
      </w:pPr>
      <w:r>
        <w:rPr>
          <w:rFonts w:ascii="Arial" w:cs="Arial" w:eastAsia="Arial" w:hAnsi="Arial"/>
          <w:sz w:val="16"/>
          <w:szCs w:val="16"/>
          <w:color w:val="auto"/>
        </w:rPr>
        <w:t>$16.5 million, an increase in operating assets and liabilities of $4.4 million, offset by the non-cash change in fair value of liability classified warrants of $7.4 million, depreciation of $0.9 million and stock-based compensation of $0.6 million.</w:t>
      </w:r>
    </w:p>
    <w:p>
      <w:pPr>
        <w:spacing w:after="0" w:line="75" w:lineRule="exact"/>
        <w:rPr>
          <w:sz w:val="20"/>
          <w:szCs w:val="20"/>
          <w:color w:val="auto"/>
        </w:rPr>
      </w:pPr>
    </w:p>
    <w:p>
      <w:pPr>
        <w:jc w:val="both"/>
        <w:ind w:left="460" w:right="140"/>
        <w:spacing w:after="0" w:line="256" w:lineRule="auto"/>
        <w:rPr>
          <w:sz w:val="20"/>
          <w:szCs w:val="20"/>
          <w:color w:val="auto"/>
        </w:rPr>
      </w:pPr>
      <w:r>
        <w:rPr>
          <w:rFonts w:ascii="Arial" w:cs="Arial" w:eastAsia="Arial" w:hAnsi="Arial"/>
          <w:sz w:val="16"/>
          <w:szCs w:val="16"/>
          <w:color w:val="auto"/>
        </w:rPr>
        <w:t>Net cash used in operating activities for the year ended December 31, 2020 was $35.2 million, consisting primarily of loss from operations of $35.4 million, an increase in operating assets and liabilities of $7.8 million, offset by non-cash stock-based compensation of $4.2 million and depreciation and amortization of $3.9 million.</w:t>
      </w:r>
    </w:p>
    <w:p>
      <w:pPr>
        <w:spacing w:after="0" w:line="83" w:lineRule="exact"/>
        <w:rPr>
          <w:sz w:val="20"/>
          <w:szCs w:val="20"/>
          <w:color w:val="auto"/>
        </w:rPr>
      </w:pPr>
    </w:p>
    <w:p>
      <w:pPr>
        <w:ind w:left="460" w:right="320"/>
        <w:spacing w:after="0" w:line="253" w:lineRule="auto"/>
        <w:rPr>
          <w:sz w:val="20"/>
          <w:szCs w:val="20"/>
          <w:color w:val="auto"/>
        </w:rPr>
      </w:pPr>
      <w:r>
        <w:rPr>
          <w:rFonts w:ascii="Arial" w:cs="Arial" w:eastAsia="Arial" w:hAnsi="Arial"/>
          <w:sz w:val="16"/>
          <w:szCs w:val="16"/>
          <w:color w:val="auto"/>
        </w:rPr>
        <w:t>Net cash used in operating activities for the year ended December 31, 2019 was $40.6 million, consisting primarily loss from operations of $46.1 million, an increase in operating assets and liabilities of $4.0 million and the amortization of discount of short-term investments of $2.0 million, partially offset by non-cash stock-based compensation of $4.6 million, depreciation and amortization of $3.8 million and the provision for obsolete and excess inventory of $1.1 million.</w:t>
      </w:r>
    </w:p>
    <w:p>
      <w:pPr>
        <w:spacing w:after="0" w:line="124"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0800"/>
          </w:cols>
          <w:pgMar w:left="320" w:top="440" w:right="77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Cash used in investing activities</w:t>
      </w:r>
    </w:p>
    <w:p>
      <w:pPr>
        <w:spacing w:after="0" w:line="133" w:lineRule="exact"/>
        <w:rPr>
          <w:sz w:val="20"/>
          <w:szCs w:val="20"/>
          <w:color w:val="auto"/>
        </w:rPr>
      </w:pPr>
    </w:p>
    <w:p>
      <w:pPr>
        <w:ind w:left="460" w:right="200"/>
        <w:spacing w:after="0" w:line="265" w:lineRule="auto"/>
        <w:rPr>
          <w:sz w:val="20"/>
          <w:szCs w:val="20"/>
          <w:color w:val="auto"/>
        </w:rPr>
      </w:pPr>
      <w:r>
        <w:rPr>
          <w:rFonts w:ascii="Arial" w:cs="Arial" w:eastAsia="Arial" w:hAnsi="Arial"/>
          <w:sz w:val="16"/>
          <w:szCs w:val="16"/>
          <w:color w:val="auto"/>
        </w:rPr>
        <w:t>Net cash provided by investing activities for the three months ended March 31, 2021 was $14.5 million, consisting of net maturities of short-term investments of $15.0 million, offset by net purchases of property and equipment of $0.5 million.</w:t>
      </w:r>
    </w:p>
    <w:p>
      <w:pPr>
        <w:spacing w:after="0" w:line="75" w:lineRule="exact"/>
        <w:rPr>
          <w:sz w:val="20"/>
          <w:szCs w:val="20"/>
          <w:color w:val="auto"/>
        </w:rPr>
      </w:pPr>
    </w:p>
    <w:p>
      <w:pPr>
        <w:ind w:left="460" w:right="200"/>
        <w:spacing w:after="0" w:line="265" w:lineRule="auto"/>
        <w:rPr>
          <w:sz w:val="20"/>
          <w:szCs w:val="20"/>
          <w:color w:val="auto"/>
        </w:rPr>
      </w:pPr>
      <w:r>
        <w:rPr>
          <w:rFonts w:ascii="Arial" w:cs="Arial" w:eastAsia="Arial" w:hAnsi="Arial"/>
          <w:sz w:val="16"/>
          <w:szCs w:val="16"/>
          <w:color w:val="auto"/>
        </w:rPr>
        <w:t>Net cash provided by investing activities for the three months ended March 31, 2020 was $24.2 million, consisting of net maturities of short-term investments of $25.1 million, offset by net purchases of property and equipment of $0.8 million.</w:t>
      </w:r>
    </w:p>
    <w:p>
      <w:pPr>
        <w:spacing w:after="0" w:line="75" w:lineRule="exact"/>
        <w:rPr>
          <w:sz w:val="20"/>
          <w:szCs w:val="20"/>
          <w:color w:val="auto"/>
        </w:rPr>
      </w:pPr>
    </w:p>
    <w:p>
      <w:pPr>
        <w:ind w:left="460" w:right="220"/>
        <w:spacing w:after="0" w:line="265" w:lineRule="auto"/>
        <w:rPr>
          <w:sz w:val="20"/>
          <w:szCs w:val="20"/>
          <w:color w:val="auto"/>
        </w:rPr>
      </w:pPr>
      <w:r>
        <w:rPr>
          <w:rFonts w:ascii="Arial" w:cs="Arial" w:eastAsia="Arial" w:hAnsi="Arial"/>
          <w:sz w:val="16"/>
          <w:szCs w:val="16"/>
          <w:color w:val="auto"/>
        </w:rPr>
        <w:t>Net cash provided by investing activities for the year ended December 31, 2020 was $15.6 million, consisting of net maturities in short-term investments of $18.1 million, offset by net purchases of property and equipment of $2.5 million.</w:t>
      </w:r>
    </w:p>
    <w:p>
      <w:pPr>
        <w:spacing w:after="0" w:line="75" w:lineRule="exact"/>
        <w:rPr>
          <w:sz w:val="20"/>
          <w:szCs w:val="20"/>
          <w:color w:val="auto"/>
        </w:rPr>
      </w:pPr>
    </w:p>
    <w:p>
      <w:pPr>
        <w:ind w:left="460" w:right="220"/>
        <w:spacing w:after="0" w:line="256" w:lineRule="auto"/>
        <w:rPr>
          <w:sz w:val="20"/>
          <w:szCs w:val="20"/>
          <w:color w:val="auto"/>
        </w:rPr>
      </w:pPr>
      <w:r>
        <w:rPr>
          <w:rFonts w:ascii="Arial" w:cs="Arial" w:eastAsia="Arial" w:hAnsi="Arial"/>
          <w:sz w:val="16"/>
          <w:szCs w:val="16"/>
          <w:color w:val="auto"/>
        </w:rPr>
        <w:t>Net cash used in investing activities for the year ended December 31, 2019 was $5.9 million, consisting of purchases of property and equipment and leasehold improvements of $4.1 million and net maturities of short-term investments of $2.4 million, offset by proceeds from sale of equipment of $0.6 million.</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Cash from financing activities</w:t>
      </w:r>
    </w:p>
    <w:p>
      <w:pPr>
        <w:spacing w:after="0" w:line="133" w:lineRule="exact"/>
        <w:rPr>
          <w:sz w:val="20"/>
          <w:szCs w:val="20"/>
          <w:color w:val="auto"/>
        </w:rPr>
      </w:pPr>
    </w:p>
    <w:p>
      <w:pPr>
        <w:ind w:left="460" w:right="200"/>
        <w:spacing w:after="0" w:line="265" w:lineRule="auto"/>
        <w:rPr>
          <w:sz w:val="20"/>
          <w:szCs w:val="20"/>
          <w:color w:val="auto"/>
        </w:rPr>
      </w:pPr>
      <w:r>
        <w:rPr>
          <w:rFonts w:ascii="Arial" w:cs="Arial" w:eastAsia="Arial" w:hAnsi="Arial"/>
          <w:sz w:val="16"/>
          <w:szCs w:val="16"/>
          <w:color w:val="auto"/>
        </w:rPr>
        <w:t>Net cash from financing activities for the three months ended March 31, 2021 was $6.1 million, consisting primarily of proceeds from a draw on the Company’s term loan of $5.0 million and proceeds from stock options exercised of $1.2 million.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significant financing cash flow activities in the three months ended March 31, 2020.</w:t>
      </w:r>
    </w:p>
    <w:p>
      <w:pPr>
        <w:spacing w:after="0" w:line="108" w:lineRule="exact"/>
        <w:rPr>
          <w:sz w:val="20"/>
          <w:szCs w:val="20"/>
          <w:color w:val="auto"/>
        </w:rPr>
      </w:pPr>
    </w:p>
    <w:p>
      <w:pPr>
        <w:ind w:left="460" w:right="100"/>
        <w:spacing w:after="0" w:line="256" w:lineRule="auto"/>
        <w:rPr>
          <w:sz w:val="20"/>
          <w:szCs w:val="20"/>
          <w:color w:val="auto"/>
        </w:rPr>
      </w:pPr>
      <w:r>
        <w:rPr>
          <w:rFonts w:ascii="Arial" w:cs="Arial" w:eastAsia="Arial" w:hAnsi="Arial"/>
          <w:sz w:val="16"/>
          <w:szCs w:val="16"/>
          <w:color w:val="auto"/>
        </w:rPr>
        <w:t>Net cash from financing activities for the year ended December 31, 2020 was $25.2 million, consisting of a draw on the Company’s term loan of $24.3 million, net, proceeds of stock options and warrants exercised of $1.1 million, offset in part by principal payments on finance lease liabilities of $0.1 million.</w:t>
      </w:r>
    </w:p>
    <w:p>
      <w:pPr>
        <w:spacing w:after="0" w:line="83" w:lineRule="exact"/>
        <w:rPr>
          <w:sz w:val="20"/>
          <w:szCs w:val="20"/>
          <w:color w:val="auto"/>
        </w:rPr>
      </w:pPr>
    </w:p>
    <w:p>
      <w:pPr>
        <w:ind w:left="460" w:right="400"/>
        <w:spacing w:after="0" w:line="265" w:lineRule="auto"/>
        <w:rPr>
          <w:sz w:val="20"/>
          <w:szCs w:val="20"/>
          <w:color w:val="auto"/>
        </w:rPr>
      </w:pPr>
      <w:r>
        <w:rPr>
          <w:rFonts w:ascii="Arial" w:cs="Arial" w:eastAsia="Arial" w:hAnsi="Arial"/>
          <w:sz w:val="16"/>
          <w:szCs w:val="16"/>
          <w:color w:val="auto"/>
        </w:rPr>
        <w:t>Net cash from financing activities for the year ended December 31, 2019 was $1.3 million, consisting of proceeds from stock options and warrants exercised of $1.5 million, offset in part by principal payments on finance lease liabilities of $0.2 million.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Contractual obligations and commitments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contractual commitments as of March 31,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As of March 31, 2021</w:t>
            </w:r>
          </w:p>
        </w:tc>
      </w:tr>
      <w:tr>
        <w:trPr>
          <w:trHeight w:val="207"/>
        </w:trPr>
        <w:tc>
          <w:tcPr>
            <w:tcW w:w="3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(unaudited)</w:t>
            </w:r>
          </w:p>
        </w:tc>
      </w:tr>
      <w:tr>
        <w:trPr>
          <w:trHeight w:val="166"/>
        </w:trPr>
        <w:tc>
          <w:tcPr>
            <w:tcW w:w="3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2"/>
          </w:tcPr>
          <w:p>
            <w:pPr>
              <w:ind w:left="200"/>
              <w:spacing w:after="0" w:line="166" w:lineRule="exact"/>
              <w:rPr>
                <w:sz w:val="20"/>
                <w:szCs w:val="20"/>
                <w:color w:val="auto"/>
              </w:rPr>
            </w:pPr>
            <w:r>
              <w:rPr>
                <w:rFonts w:ascii="Arial" w:cs="Arial" w:eastAsia="Arial" w:hAnsi="Arial"/>
                <w:sz w:val="16"/>
                <w:szCs w:val="16"/>
                <w:b w:val="1"/>
                <w:bCs w:val="1"/>
                <w:color w:val="auto"/>
              </w:rPr>
              <w:t>Less than</w:t>
            </w:r>
          </w:p>
        </w:tc>
        <w:tc>
          <w:tcPr>
            <w:tcW w:w="3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jc w:val="right"/>
              <w:spacing w:after="0" w:line="166" w:lineRule="exact"/>
              <w:rPr>
                <w:sz w:val="20"/>
                <w:szCs w:val="20"/>
                <w:color w:val="auto"/>
              </w:rPr>
            </w:pPr>
            <w:r>
              <w:rPr>
                <w:rFonts w:ascii="Arial" w:cs="Arial" w:eastAsia="Arial" w:hAnsi="Arial"/>
                <w:sz w:val="16"/>
                <w:szCs w:val="16"/>
                <w:b w:val="1"/>
                <w:bCs w:val="1"/>
                <w:color w:val="auto"/>
              </w:rPr>
              <w:t>More than</w:t>
            </w:r>
          </w:p>
        </w:tc>
        <w:tc>
          <w:tcPr>
            <w:tcW w:w="40" w:type="dxa"/>
            <w:vAlign w:val="bottom"/>
          </w:tcPr>
          <w:p>
            <w:pPr>
              <w:spacing w:after="0"/>
              <w:rPr>
                <w:sz w:val="14"/>
                <w:szCs w:val="14"/>
                <w:color w:val="auto"/>
              </w:rPr>
            </w:pPr>
          </w:p>
        </w:tc>
      </w:tr>
      <w:tr>
        <w:trPr>
          <w:trHeight w:val="207"/>
        </w:trPr>
        <w:tc>
          <w:tcPr>
            <w:tcW w:w="36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Total</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1 year</w:t>
            </w:r>
          </w:p>
        </w:tc>
        <w:tc>
          <w:tcPr>
            <w:tcW w:w="112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1-3 Years</w:t>
            </w:r>
          </w:p>
        </w:tc>
        <w:tc>
          <w:tcPr>
            <w:tcW w:w="106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3-5 Years</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5 Years</w:t>
            </w:r>
          </w:p>
        </w:tc>
      </w:tr>
      <w:tr>
        <w:trPr>
          <w:trHeight w:val="183"/>
        </w:trPr>
        <w:tc>
          <w:tcPr>
            <w:tcW w:w="36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Operating lease commitments</w:t>
            </w:r>
          </w:p>
        </w:tc>
        <w:tc>
          <w:tcPr>
            <w:tcW w:w="15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18"/>
              <w:spacing w:after="0" w:line="183" w:lineRule="exact"/>
              <w:rPr>
                <w:sz w:val="20"/>
                <w:szCs w:val="20"/>
                <w:color w:val="auto"/>
              </w:rPr>
            </w:pPr>
            <w:r>
              <w:rPr>
                <w:rFonts w:ascii="Arial" w:cs="Arial" w:eastAsia="Arial" w:hAnsi="Arial"/>
                <w:sz w:val="16"/>
                <w:szCs w:val="16"/>
                <w:color w:val="auto"/>
              </w:rPr>
              <w:t>7,442</w:t>
            </w:r>
          </w:p>
        </w:tc>
        <w:tc>
          <w:tcPr>
            <w:tcW w:w="380" w:type="dxa"/>
            <w:vAlign w:val="bottom"/>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18"/>
              <w:spacing w:after="0" w:line="183" w:lineRule="exact"/>
              <w:rPr>
                <w:sz w:val="20"/>
                <w:szCs w:val="20"/>
                <w:color w:val="auto"/>
              </w:rPr>
            </w:pPr>
            <w:r>
              <w:rPr>
                <w:rFonts w:ascii="Arial" w:cs="Arial" w:eastAsia="Arial" w:hAnsi="Arial"/>
                <w:sz w:val="16"/>
                <w:szCs w:val="16"/>
                <w:color w:val="auto"/>
              </w:rPr>
              <w:t>1,862</w:t>
            </w:r>
          </w:p>
        </w:tc>
        <w:tc>
          <w:tcPr>
            <w:tcW w:w="360" w:type="dxa"/>
            <w:vAlign w:val="bottom"/>
            <w:shd w:val="clear" w:color="auto" w:fill="CCEEFF"/>
          </w:tcPr>
          <w:p>
            <w:pPr>
              <w:ind w:left="200"/>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18"/>
              <w:spacing w:after="0" w:line="183" w:lineRule="exact"/>
              <w:rPr>
                <w:sz w:val="20"/>
                <w:szCs w:val="20"/>
                <w:color w:val="auto"/>
              </w:rPr>
            </w:pPr>
            <w:r>
              <w:rPr>
                <w:rFonts w:ascii="Arial" w:cs="Arial" w:eastAsia="Arial" w:hAnsi="Arial"/>
                <w:sz w:val="16"/>
                <w:szCs w:val="16"/>
                <w:color w:val="auto"/>
              </w:rPr>
              <w:t>3,500</w:t>
            </w:r>
          </w:p>
        </w:tc>
        <w:tc>
          <w:tcPr>
            <w:tcW w:w="340" w:type="dxa"/>
            <w:vAlign w:val="bottom"/>
            <w:shd w:val="clear" w:color="auto" w:fill="CCEEFF"/>
          </w:tcPr>
          <w:p>
            <w:pPr>
              <w:ind w:left="200"/>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58"/>
              <w:spacing w:after="0" w:line="183" w:lineRule="exact"/>
              <w:rPr>
                <w:sz w:val="20"/>
                <w:szCs w:val="20"/>
                <w:color w:val="auto"/>
              </w:rPr>
            </w:pPr>
            <w:r>
              <w:rPr>
                <w:rFonts w:ascii="Arial" w:cs="Arial" w:eastAsia="Arial" w:hAnsi="Arial"/>
                <w:sz w:val="16"/>
                <w:szCs w:val="16"/>
                <w:color w:val="auto"/>
              </w:rPr>
              <w:t>2,080</w:t>
            </w:r>
          </w:p>
        </w:tc>
        <w:tc>
          <w:tcPr>
            <w:tcW w:w="4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w:t>
            </w:r>
          </w:p>
        </w:tc>
      </w:tr>
      <w:tr>
        <w:trPr>
          <w:trHeight w:val="20"/>
        </w:trPr>
        <w:tc>
          <w:tcPr>
            <w:tcW w:w="3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640" w:type="dxa"/>
            <w:vAlign w:val="bottom"/>
          </w:tcPr>
          <w:p>
            <w:pPr>
              <w:spacing w:after="0"/>
              <w:rPr>
                <w:sz w:val="20"/>
                <w:szCs w:val="20"/>
                <w:color w:val="auto"/>
              </w:rPr>
            </w:pPr>
            <w:r>
              <w:rPr>
                <w:rFonts w:ascii="Arial" w:cs="Arial" w:eastAsia="Arial" w:hAnsi="Arial"/>
                <w:sz w:val="16"/>
                <w:szCs w:val="16"/>
                <w:color w:val="auto"/>
              </w:rPr>
              <w:t>Debt, principal and interest</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18"/>
              <w:spacing w:after="0"/>
              <w:rPr>
                <w:sz w:val="20"/>
                <w:szCs w:val="20"/>
                <w:color w:val="auto"/>
              </w:rPr>
            </w:pPr>
            <w:r>
              <w:rPr>
                <w:rFonts w:ascii="Arial" w:cs="Arial" w:eastAsia="Arial" w:hAnsi="Arial"/>
                <w:sz w:val="16"/>
                <w:szCs w:val="16"/>
                <w:color w:val="auto"/>
              </w:rPr>
              <w:t>41,607</w:t>
            </w:r>
          </w:p>
        </w:tc>
        <w:tc>
          <w:tcPr>
            <w:tcW w:w="380" w:type="dxa"/>
            <w:vAlign w:val="bottom"/>
          </w:tcPr>
          <w:p>
            <w:pPr>
              <w:ind w:left="18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8"/>
              <w:spacing w:after="0"/>
              <w:rPr>
                <w:sz w:val="20"/>
                <w:szCs w:val="20"/>
                <w:color w:val="auto"/>
              </w:rPr>
            </w:pPr>
            <w:r>
              <w:rPr>
                <w:rFonts w:ascii="Arial" w:cs="Arial" w:eastAsia="Arial" w:hAnsi="Arial"/>
                <w:sz w:val="16"/>
                <w:szCs w:val="16"/>
                <w:color w:val="auto"/>
              </w:rPr>
              <w:t>2,805</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8"/>
              <w:spacing w:after="0"/>
              <w:rPr>
                <w:sz w:val="20"/>
                <w:szCs w:val="20"/>
                <w:color w:val="auto"/>
              </w:rPr>
            </w:pPr>
            <w:r>
              <w:rPr>
                <w:rFonts w:ascii="Arial" w:cs="Arial" w:eastAsia="Arial" w:hAnsi="Arial"/>
                <w:sz w:val="16"/>
                <w:szCs w:val="16"/>
                <w:color w:val="auto"/>
              </w:rPr>
              <w:t>10,826</w:t>
            </w:r>
          </w:p>
        </w:tc>
        <w:tc>
          <w:tcPr>
            <w:tcW w:w="340" w:type="dxa"/>
            <w:vAlign w:val="bottom"/>
          </w:tcPr>
          <w:p>
            <w:pPr>
              <w:ind w:left="20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8"/>
              <w:spacing w:after="0"/>
              <w:rPr>
                <w:sz w:val="20"/>
                <w:szCs w:val="20"/>
                <w:color w:val="auto"/>
              </w:rPr>
            </w:pPr>
            <w:r>
              <w:rPr>
                <w:rFonts w:ascii="Arial" w:cs="Arial" w:eastAsia="Arial" w:hAnsi="Arial"/>
                <w:sz w:val="16"/>
                <w:szCs w:val="16"/>
                <w:color w:val="auto"/>
              </w:rPr>
              <w:t>27,975</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0"/>
        </w:trPr>
        <w:tc>
          <w:tcPr>
            <w:tcW w:w="3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49,049</w:t>
            </w:r>
          </w:p>
        </w:tc>
        <w:tc>
          <w:tcPr>
            <w:tcW w:w="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4,667</w:t>
            </w:r>
          </w:p>
        </w:tc>
        <w:tc>
          <w:tcPr>
            <w:tcW w:w="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14,326</w:t>
            </w:r>
          </w:p>
        </w:tc>
        <w:tc>
          <w:tcPr>
            <w:tcW w:w="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30,055</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right="100"/>
        <w:spacing w:after="0" w:line="265" w:lineRule="auto"/>
        <w:rPr>
          <w:sz w:val="20"/>
          <w:szCs w:val="20"/>
          <w:color w:val="auto"/>
        </w:rPr>
      </w:pPr>
      <w:r>
        <w:rPr>
          <w:rFonts w:ascii="Arial" w:cs="Arial" w:eastAsia="Arial" w:hAnsi="Arial"/>
          <w:sz w:val="16"/>
          <w:szCs w:val="16"/>
          <w:color w:val="auto"/>
        </w:rPr>
        <w:t>We also have a standby letter of credit, expiring September 30, 2024, issued by a financial institution as a required security for one operating lease. The aggregate amount of the letter of credit was $0.6 million and $0.4 million as of December 31, 2019 and December 31, 2020.</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0800"/>
          </w:cols>
          <w:pgMar w:left="320" w:top="440" w:right="77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Term Loan</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October 2020, we entered into a loan and security agreement, or the Credit Agreement, with Bank of America, or BofA, as collateral agent,</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and Oxford Finance LLC, or Oxford Finance, as lender. The Credit Agreement provides for a tranche one loan advance in the amount of</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$25.0 million, which was fully funded on the closing date by the lender, a second tranche of $5.0 million in the first quarter of 2021, which was</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advanced on March 29, 2021 and a third tranche of $10.0 million in the second quarter of 2021, which was advanced on June 28, 2021. The</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Credit Agreement also provides for an additional two tranches in the amount of $5.0 million each in 2021, subject to remaining in compliance</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the terms of the credit facility. A final tranche in an amount of $10.0 million is available in the first quarter of 2022, subject to our</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achievement of a revenue milestone and remaining in compliance with the terms of the credit facility. We refer to our tranche one loan</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advance, tranche two loan advance, tranche three loan advance, tranche four loan advance, tranche five loan advance, and tranche six loan</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advance collectively as our credit facility.</w:t>
      </w:r>
    </w:p>
    <w:p>
      <w:pPr>
        <w:spacing w:after="0" w:line="108"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The credit facility is secured by substantially all of our personal property other than our intellectual property, but includes any accounts receivable, other amounts owed and any proceeds of intellectual property. We also entered into a negative pledge arrangement with the collateral agent and lenders where we agreed not to encumber any of our intellectual property. Outstanding borrowings under the credit facility bear interest at an annual rate equal to the greater of (i) the Wall Street Journal 30-day LIBOR plus 9.09% and 0.16% or (ii) 9.25%. At our election, we may also switch to an interest rate equal to 10.25% plus the greater of (i) The Wall Street Journal Prime rate or (ii) 7%. The interest rate resets monthly on the last day of the month prior to the month in which interest accrues, and an actual/360-day convention applies. If we are considered to be in default, additional interest of 5% applies. We are required to make monthly payments of interest only through December 1, 2023, or the interest-only period; provided that the interest-only period maybe extended to December 1, 2024.</w:t>
      </w:r>
    </w:p>
    <w:p>
      <w:pPr>
        <w:spacing w:after="0" w:line="90" w:lineRule="exact"/>
        <w:rPr>
          <w:sz w:val="20"/>
          <w:szCs w:val="20"/>
          <w:color w:val="auto"/>
        </w:rPr>
      </w:pPr>
    </w:p>
    <w:p>
      <w:pPr>
        <w:ind w:left="460" w:right="160"/>
        <w:spacing w:after="0" w:line="253" w:lineRule="auto"/>
        <w:rPr>
          <w:sz w:val="20"/>
          <w:szCs w:val="20"/>
          <w:color w:val="auto"/>
        </w:rPr>
      </w:pPr>
      <w:r>
        <w:rPr>
          <w:rFonts w:ascii="Arial" w:cs="Arial" w:eastAsia="Arial" w:hAnsi="Arial"/>
          <w:sz w:val="16"/>
          <w:szCs w:val="16"/>
          <w:color w:val="auto"/>
        </w:rPr>
        <w:t>The Term Loan requires 36 months of interest-only payments, followed by 23-months of amortization. If the Company is in compliance with the Performance to Plan covenant through October 31, 2023, the interest-only period is extended by 12 months, and the amortization period is reduced by 11 months. Payments are due on the first day of each month in arrears. All unpaid amounts under the Term Loan mature on October 1, 2025.</w:t>
      </w:r>
    </w:p>
    <w:p>
      <w:pPr>
        <w:spacing w:after="0" w:line="86" w:lineRule="exact"/>
        <w:rPr>
          <w:sz w:val="20"/>
          <w:szCs w:val="20"/>
          <w:color w:val="auto"/>
        </w:rPr>
      </w:pPr>
    </w:p>
    <w:p>
      <w:pPr>
        <w:ind w:left="460" w:right="360"/>
        <w:spacing w:after="0" w:line="265" w:lineRule="auto"/>
        <w:rPr>
          <w:sz w:val="20"/>
          <w:szCs w:val="20"/>
          <w:color w:val="auto"/>
        </w:rPr>
      </w:pPr>
      <w:r>
        <w:rPr>
          <w:rFonts w:ascii="Arial" w:cs="Arial" w:eastAsia="Arial" w:hAnsi="Arial"/>
          <w:sz w:val="16"/>
          <w:szCs w:val="16"/>
          <w:color w:val="auto"/>
        </w:rPr>
        <w:t>The Term Loan is prepayable at any time without penalty; however, the loan must be prepaid in full or in specific increments and amounts prepaid may not be subsequently reborrowed. The loan may also be accelerated by the lender in the event of a default.</w:t>
      </w:r>
    </w:p>
    <w:p>
      <w:pPr>
        <w:spacing w:after="0" w:line="75"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Borrowings under the credit facility are pre-payable at any time without penalty; however, the loan must be prepaid in full or in part one time in an amount not less than $5.0 million and amounts prepaid may not be subsequently reborrowed. If the loan is not fully prepaid by December 31, 2021, the Company will become subject to an additional fee (the “Exit Fee”). The fee is 3% of the original loan amount if prepaid between January 1, 2022 and October 31, 2022 ($750k); 4% if prepaid between November 1, 2022 and October 31, 2023 ($1 million); and 5% ($1.25 million) if paid subsequently, including at maturity. The loan may be accelerated by Oxford in the event of a default. The credit facility also includes certain customary affirmative and negative covenants, including certain financial covenants if the lenders make us the additional tranche advances. We were in compliance with all covenants under the credit facility as of December 31, 2020.</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Critical accounting policies, significant judgments and use of estimates</w:t>
      </w:r>
    </w:p>
    <w:p>
      <w:pPr>
        <w:spacing w:after="0" w:line="133" w:lineRule="exact"/>
        <w:rPr>
          <w:sz w:val="20"/>
          <w:szCs w:val="20"/>
          <w:color w:val="auto"/>
        </w:rPr>
      </w:pPr>
    </w:p>
    <w:p>
      <w:pPr>
        <w:ind w:left="460" w:right="200"/>
        <w:spacing w:after="0" w:line="256"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financial statements, which have been prepared in accordance with U.S. generally accepted accounting principles, or GAAP. The preparation of these financial statements requires us to make estimates and</w:t>
      </w:r>
    </w:p>
    <w:p>
      <w:pPr>
        <w:spacing w:after="0" w:line="121"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0800"/>
          </w:cols>
          <w:pgMar w:left="320" w:top="441" w:right="77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140"/>
        <w:spacing w:after="0" w:line="250" w:lineRule="auto"/>
        <w:rPr>
          <w:sz w:val="20"/>
          <w:szCs w:val="20"/>
          <w:color w:val="auto"/>
        </w:rPr>
      </w:pPr>
      <w:r>
        <w:rPr>
          <w:rFonts w:ascii="Arial" w:cs="Arial" w:eastAsia="Arial" w:hAnsi="Arial"/>
          <w:sz w:val="16"/>
          <w:szCs w:val="16"/>
          <w:color w:val="auto"/>
        </w:rPr>
        <w:t>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While our significant accounting policies are more fully described in the notes to our financial statements included elsewhere in this prospectus, we believe that the following accounting policies are critical to the process of making significant judgments and estimates in the preparation of our financial statements and understanding and evaluating our reported financial results.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Fair value of liability classified warrants to purchase stock</w:t>
      </w:r>
    </w:p>
    <w:p>
      <w:pPr>
        <w:spacing w:after="0" w:line="128" w:lineRule="exact"/>
        <w:rPr>
          <w:sz w:val="20"/>
          <w:szCs w:val="20"/>
          <w:color w:val="auto"/>
        </w:rPr>
      </w:pPr>
    </w:p>
    <w:p>
      <w:pPr>
        <w:ind w:left="460" w:right="20"/>
        <w:spacing w:after="0" w:line="249" w:lineRule="auto"/>
        <w:rPr>
          <w:sz w:val="20"/>
          <w:szCs w:val="20"/>
          <w:color w:val="auto"/>
        </w:rPr>
      </w:pPr>
      <w:r>
        <w:rPr>
          <w:rFonts w:ascii="Arial" w:cs="Arial" w:eastAsia="Arial" w:hAnsi="Arial"/>
          <w:sz w:val="16"/>
          <w:szCs w:val="16"/>
          <w:color w:val="auto"/>
        </w:rPr>
        <w:t>We recognize the freestanding warrants to purchase shares of convertible preferred stock as liabilities at fair value as these warrant instruments are embedded in contracts that may be cash settled. The convertible preferred stock warrants were issued for no cash consideration as detachable freestanding instruments but can be converted to convertible preferred stock at the holder’s option based on the exercise price of the warrant. However, the deemed liquidation provisions of the convertible preferred stock are considered contingent redemption provisions that are not solely within our control. Therefore, the convertible preferred stock is classified in temporary equity on the consolidated balance sheets, and the warrants to purchase the convertible preferred stock are classified as liabilities. We recognized a freestanding warrant to purchase a share of Series W common stock as a liability at fair value because this instrument was not indexed to our own stock as the settlement calculation incorporated variables other than those used to determine the fair value of a fixed-for-fixed forward or option on equity shares. The common stock warrant was issued for cash consideration as a freestanding instrument and could be converted to one share of common stock, Series W, at the holder’s option based on the exercise price of the warrant.</w:t>
      </w:r>
    </w:p>
    <w:p>
      <w:pPr>
        <w:spacing w:after="0" w:line="94"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The warrants were recorded at their fair value on the date of issuance and are subject to re-measurement to fair value at each balance sheet date. Upon issuance of the Series W common stock warrant, we engaged valuation specialists to assist with determining the common stock warrant at an estimated fair value using a Monte Carlo simulation (“MCS”) approach. This valuation approach used a discounted cash flow (“DCF”) method to calculate the starting equity value of the Company based upon future cash flow generation. The starting equity value of the Company was determined utilizing significant unobservable inputs, including (1) forecasted financial projections for the next five years developed by management, (2) a terminal value assigned using an exit multiple method, and (3) a discount rate based on the weighted average cost of capital. Then a simulated equity value of the Company as of the expected exercise date was determined using the MCS method. The MCS inputs include: (1) the assumed amount of time until the exercise of the warrant, (2) the risk-free interest rate over the period until the assumed warrant exercise, (3) the assumed volatility in the value of the equity of the company, and (4) the starting equity value of the Company as determined from the discounted cash flow method. In order to determine the overall value of the warrant, the valuation specialists also simulated the payments for sales-based, operating and regulatory milestones based upon similar inputs to determine the expected overall purchase price of the Company. The net difference between the expected purchase price and the average simulated equity value determined the “option payoff”. Finally, management assigned a probability that the warrant would be exercised, based on the perspective of a market participant and the Company’s consideration of negotiations with and circumstances know about the warrant holder, which was applied to the present value of the “option payoff” to arrive at the fair value recorded at each reporting period.</w:t>
      </w:r>
    </w:p>
    <w:p>
      <w:pPr>
        <w:spacing w:after="0" w:line="91" w:lineRule="exact"/>
        <w:rPr>
          <w:sz w:val="20"/>
          <w:szCs w:val="20"/>
          <w:color w:val="auto"/>
        </w:rPr>
      </w:pPr>
    </w:p>
    <w:p>
      <w:pPr>
        <w:ind w:left="460" w:right="40"/>
        <w:spacing w:after="0" w:line="265" w:lineRule="auto"/>
        <w:rPr>
          <w:sz w:val="20"/>
          <w:szCs w:val="20"/>
          <w:color w:val="auto"/>
        </w:rPr>
      </w:pPr>
      <w:r>
        <w:rPr>
          <w:rFonts w:ascii="Arial" w:cs="Arial" w:eastAsia="Arial" w:hAnsi="Arial"/>
          <w:sz w:val="16"/>
          <w:szCs w:val="16"/>
          <w:color w:val="auto"/>
        </w:rPr>
        <w:t>In addition, we engaged the valuation specialists to derive an estimated fair value of the preferred stock warrants using a probability weighted expected return model/option pricing model (“PWERM/OPM”) hybrid</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0760"/>
          </w:cols>
          <w:pgMar w:left="320" w:top="441" w:right="81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100"/>
        <w:spacing w:after="0" w:line="250" w:lineRule="auto"/>
        <w:rPr>
          <w:sz w:val="20"/>
          <w:szCs w:val="20"/>
          <w:color w:val="auto"/>
        </w:rPr>
      </w:pPr>
      <w:r>
        <w:rPr>
          <w:rFonts w:ascii="Arial" w:cs="Arial" w:eastAsia="Arial" w:hAnsi="Arial"/>
          <w:sz w:val="16"/>
          <w:szCs w:val="16"/>
          <w:color w:val="auto"/>
        </w:rPr>
        <w:t>valuation model. This method essentially utilized a combination of market and income method approaches for each part of the calculation of enterprise value and combines them in a probabilistic manner. The valuation considered several future scenarios for the Company, each of which assumed a shareholder exit either through initial public offering (“IPO”), sale (“M&amp;A”) or dissolution. Implicit in the timing used in the application of the PWERM/OPM Hybrid Method is also the possibility of no exit. The option pricing model’s significant unobservable inputs included: (1) the assumed time until a liquidity event, (2) the risk-free interest rate over the period until the assumed liquidity event, (3) the assumed volatility in the value of the equity of the company (which corresponds to the model’s underlying asset volatility), (4) the enterprise value and preferred investment amount and (5) the key price points in the Company’s capital structure in terms of exit levels on the assumed liquidation date. A significant increase (decrease) in any of these inputs in isolation, particularly the estimated price of the Company’s preferred stock, would have resulted in a significantly higher (lower) fair value measurement.</w:t>
      </w:r>
    </w:p>
    <w:p>
      <w:pPr>
        <w:spacing w:after="0" w:line="88"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We will continue to revalue the warrant liabilities for changes in fair value until the earlier of the exercise or expiration of the warrants, the completion of a deemed liquidation event, or the conversion of convertible preferred stock into common stock or until the holders of the convertible preferred stock can no longer trigger a deemed liquidation event. Pursuant to the terms of the preferred stock warrants, upon the conversion of the class of preferred stock underlying the warrant, the warrants automatically become exercisable for shares of our common stock based upon the conversion ratio of the underlying class of preferred stock. The exercise of the common stock warrant or consummation of a qualified initial public offering would result in the automatic conversion of all classes of our preferred stock into common stock. Upon such conversion of the underlying classes of preferred stock, the warrants would be classified as a component of equity and will no longer be subject to remeasurement.</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28" w:lineRule="exact"/>
        <w:rPr>
          <w:sz w:val="20"/>
          <w:szCs w:val="20"/>
          <w:color w:val="auto"/>
        </w:rPr>
      </w:pPr>
    </w:p>
    <w:p>
      <w:pPr>
        <w:ind w:left="460" w:right="60"/>
        <w:spacing w:after="0" w:line="253" w:lineRule="auto"/>
        <w:rPr>
          <w:sz w:val="20"/>
          <w:szCs w:val="20"/>
          <w:color w:val="auto"/>
        </w:rPr>
      </w:pPr>
      <w:r>
        <w:rPr>
          <w:rFonts w:ascii="Arial" w:cs="Arial" w:eastAsia="Arial" w:hAnsi="Arial"/>
          <w:sz w:val="16"/>
          <w:szCs w:val="16"/>
          <w:color w:val="auto"/>
        </w:rPr>
        <w:t>Our revenue is generated from the sale of light adjustable intraocular lenses (LAL) used in cataract surgery along with a specifically designed machine for delivering light to the eye, the Light Delivery Device (LDD), to adjust the lens post-surgery, as needed. Revenue is recognized from sales of products in the U.S. and Europe. Customers are primarily comprised of ambulatory surgery centers, hospitals, and physician private practices.</w:t>
      </w:r>
    </w:p>
    <w:p>
      <w:pPr>
        <w:spacing w:after="0" w:line="86" w:lineRule="exact"/>
        <w:rPr>
          <w:sz w:val="20"/>
          <w:szCs w:val="20"/>
          <w:color w:val="auto"/>
        </w:rPr>
      </w:pPr>
    </w:p>
    <w:p>
      <w:pPr>
        <w:jc w:val="both"/>
        <w:ind w:left="460" w:right="60"/>
        <w:spacing w:after="0" w:line="248" w:lineRule="auto"/>
        <w:rPr>
          <w:sz w:val="20"/>
          <w:szCs w:val="20"/>
          <w:color w:val="auto"/>
        </w:rPr>
      </w:pPr>
      <w:r>
        <w:rPr>
          <w:rFonts w:ascii="Arial" w:cs="Arial" w:eastAsia="Arial" w:hAnsi="Arial"/>
          <w:sz w:val="16"/>
          <w:szCs w:val="16"/>
          <w:color w:val="auto"/>
        </w:rPr>
        <w:t>We recognize revenue when promised goods or services are transferred to customers at a transaction price that reflects the consideration to which we expect to be entitled in exchange for those goods and services. Specifically, we apply the following five steps to recognize revenue:</w:t>
      </w:r>
    </w:p>
    <w:p>
      <w:pPr>
        <w:ind w:left="640" w:hanging="189"/>
        <w:spacing w:after="0"/>
        <w:tabs>
          <w:tab w:leader="none" w:pos="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identify the contract(s) with a customer; (ii) identify the performance obligations in the contract; (iii) determine the transaction price;</w:t>
      </w:r>
    </w:p>
    <w:p>
      <w:pPr>
        <w:spacing w:after="0" w:line="6" w:lineRule="exact"/>
        <w:rPr>
          <w:rFonts w:ascii="Arial" w:cs="Arial" w:eastAsia="Arial" w:hAnsi="Arial"/>
          <w:sz w:val="16"/>
          <w:szCs w:val="16"/>
          <w:color w:val="auto"/>
        </w:rPr>
      </w:pPr>
    </w:p>
    <w:p>
      <w:pPr>
        <w:ind w:left="460" w:hanging="9"/>
        <w:spacing w:after="0" w:line="250" w:lineRule="auto"/>
        <w:tabs>
          <w:tab w:leader="none" w:pos="735" w:val="left"/>
        </w:tabs>
        <w:numPr>
          <w:ilvl w:val="0"/>
          <w:numId w:val="67"/>
        </w:numPr>
        <w:rPr>
          <w:rFonts w:ascii="Arial" w:cs="Arial" w:eastAsia="Arial" w:hAnsi="Arial"/>
          <w:sz w:val="16"/>
          <w:szCs w:val="16"/>
          <w:color w:val="auto"/>
        </w:rPr>
      </w:pPr>
      <w:r>
        <w:rPr>
          <w:rFonts w:ascii="Arial" w:cs="Arial" w:eastAsia="Arial" w:hAnsi="Arial"/>
          <w:sz w:val="16"/>
          <w:szCs w:val="16"/>
          <w:color w:val="auto"/>
        </w:rPr>
        <w:t>allocate the transaction price to the performance obligations in the contract; and (v) recognize revenue when, or as, we satisfy a performance obligation. We apply the five-step model to contracts when it is probable that it will collect the consideration to which it is entitled in exchange for the goods or services it transfers to the customer. At contract inception, we assess the goods promised within each customer contract to determine the individual deliverables in its product offerings as separate performance obligations and assesses whether each promised good or service is distinct. The transaction price is determined based on the consideration expected to be received, either on the stated value in contractual arrangements or the estimated cash to be collected in non-contracted arrangements. We recognize revenue as the amount of the transaction price that is allocated to the respective performance obligation when, or as, the performance obligation is satisfied, considering whether or not this occurs at a point in time or over time. We elected to account for shipping costs as fulfillment costs rather than a promised service and exclude from revenue any taxes collected from customers that are remitted to government authorities.</w:t>
      </w:r>
    </w:p>
    <w:p>
      <w:pPr>
        <w:spacing w:after="0" w:line="88" w:lineRule="exact"/>
        <w:rPr>
          <w:sz w:val="20"/>
          <w:szCs w:val="20"/>
          <w:color w:val="auto"/>
        </w:rPr>
      </w:pPr>
    </w:p>
    <w:p>
      <w:pPr>
        <w:ind w:left="460" w:right="260"/>
        <w:spacing w:after="0" w:line="265" w:lineRule="auto"/>
        <w:rPr>
          <w:sz w:val="20"/>
          <w:szCs w:val="20"/>
          <w:color w:val="auto"/>
        </w:rPr>
      </w:pPr>
      <w:r>
        <w:rPr>
          <w:rFonts w:ascii="Arial" w:cs="Arial" w:eastAsia="Arial" w:hAnsi="Arial"/>
          <w:sz w:val="16"/>
          <w:szCs w:val="16"/>
          <w:color w:val="auto"/>
        </w:rPr>
        <w:t>Our LDD contracts contain multiple performance obligations bundled for one transaction price, with all obligations generally satisfied within one year. For these bundled arrangements, we account for individual</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0780"/>
          </w:cols>
          <w:pgMar w:left="320" w:top="440" w:right="79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120"/>
        <w:spacing w:after="0" w:line="248" w:lineRule="auto"/>
        <w:rPr>
          <w:sz w:val="20"/>
          <w:szCs w:val="20"/>
          <w:color w:val="auto"/>
        </w:rPr>
      </w:pPr>
      <w:r>
        <w:rPr>
          <w:rFonts w:ascii="Arial" w:cs="Arial" w:eastAsia="Arial" w:hAnsi="Arial"/>
          <w:sz w:val="16"/>
          <w:szCs w:val="16"/>
          <w:color w:val="auto"/>
        </w:rPr>
        <w:t>products and services as separate performance obligations if they are distinct, that is, if a product or service is separately identifiable from other items in the bundled package, and if a customer can benefit from it on its own or with other resources that are readily available to the customer. Our LDD contracts include a combination of the following performance obligations: (1) LDD capital asset and related components,</w:t>
      </w:r>
    </w:p>
    <w:p>
      <w:pPr>
        <w:ind w:left="460" w:hanging="9"/>
        <w:spacing w:after="0" w:line="249" w:lineRule="auto"/>
        <w:tabs>
          <w:tab w:leader="none" w:pos="707" w:val="left"/>
        </w:tabs>
        <w:numPr>
          <w:ilvl w:val="0"/>
          <w:numId w:val="68"/>
        </w:numPr>
        <w:rPr>
          <w:rFonts w:ascii="Arial" w:cs="Arial" w:eastAsia="Arial" w:hAnsi="Arial"/>
          <w:sz w:val="16"/>
          <w:szCs w:val="16"/>
          <w:color w:val="auto"/>
        </w:rPr>
      </w:pPr>
      <w:r>
        <w:rPr>
          <w:rFonts w:ascii="Arial" w:cs="Arial" w:eastAsia="Arial" w:hAnsi="Arial"/>
          <w:sz w:val="16"/>
          <w:szCs w:val="16"/>
          <w:color w:val="auto"/>
        </w:rPr>
        <w:t>training and (3) device service (initial year). Each of these three performance obligations are considered distinct. The LDD capital asset is distinct because the customer can benefit from it together with other resources that are readily available to the customer. Training on the use of the machine is offered as a distinct activity after installation of the LDD to enhance the customer’s ability to utilize the machine by having an industry professional provide best practices and customize training to the specific needs of the customer. Each LDD comes with a twelve-month manufacturer’s warranty (service-type) that includes preventative maintenance, unscheduled service (labor and parts) and software updates. After the first year, service contracts can be purchased separately on a standalone basis. We recognize revenue as performance obligations are satisfied by transferring control of the product or service to a customer. We have determined that the transaction price is the invoice price, net of adjustments, if any. The allocation to the separate performance obligations is based upon the relative standalone selling price. Standalone selling prices are based on observable prices at which we separately sell the products or services, and we estimate the standalone selling price using the market assessment approach considering market conditions and entity-specific factors including, but not limited to, features and functionality of the products and services, geographies, type of customer and market conditions. We regularly review and update standalone selling prices as necessary.</w:t>
      </w:r>
    </w:p>
    <w:p>
      <w:pPr>
        <w:spacing w:after="0" w:line="93" w:lineRule="exact"/>
        <w:rPr>
          <w:sz w:val="20"/>
          <w:szCs w:val="20"/>
          <w:color w:val="auto"/>
        </w:rPr>
      </w:pPr>
    </w:p>
    <w:p>
      <w:pPr>
        <w:ind w:left="460" w:right="20"/>
        <w:spacing w:after="0" w:line="256" w:lineRule="auto"/>
        <w:rPr>
          <w:sz w:val="20"/>
          <w:szCs w:val="20"/>
          <w:color w:val="auto"/>
        </w:rPr>
      </w:pPr>
      <w:r>
        <w:rPr>
          <w:rFonts w:ascii="Arial" w:cs="Arial" w:eastAsia="Arial" w:hAnsi="Arial"/>
          <w:sz w:val="16"/>
          <w:szCs w:val="16"/>
          <w:color w:val="auto"/>
        </w:rPr>
        <w:t>LALs are held at customer sites on consignment. The single performance obligation is satisfied, and revenue is recognized for LALs upon customer notification that the LALs have been implanted in a patient. For the three months ended March 31, 2021 and 2020, credits related to returns and rebates on list prices were not significant.</w:t>
      </w:r>
    </w:p>
    <w:p>
      <w:pPr>
        <w:spacing w:after="0" w:line="83" w:lineRule="exact"/>
        <w:rPr>
          <w:sz w:val="20"/>
          <w:szCs w:val="20"/>
          <w:color w:val="auto"/>
        </w:rPr>
      </w:pPr>
    </w:p>
    <w:p>
      <w:pPr>
        <w:ind w:left="460" w:right="120"/>
        <w:spacing w:after="0" w:line="265" w:lineRule="auto"/>
        <w:rPr>
          <w:sz w:val="20"/>
          <w:szCs w:val="20"/>
          <w:color w:val="auto"/>
        </w:rPr>
      </w:pPr>
      <w:r>
        <w:rPr>
          <w:rFonts w:ascii="Arial" w:cs="Arial" w:eastAsia="Arial" w:hAnsi="Arial"/>
          <w:sz w:val="16"/>
          <w:szCs w:val="16"/>
          <w:color w:val="auto"/>
        </w:rPr>
        <w:t>We have adopted the practical expedient permitting the direct expensing of costs incurred to obtain contracts where the amortization of such costs would occur over one year or less, and it applied to substantially all our contracts.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Determination of fair value of common stock</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required to estimate the fair value of the common stock underlying our stock-based awards.</w:t>
      </w:r>
    </w:p>
    <w:p>
      <w:pPr>
        <w:spacing w:after="0" w:line="108" w:lineRule="exact"/>
        <w:rPr>
          <w:sz w:val="20"/>
          <w:szCs w:val="20"/>
          <w:color w:val="auto"/>
        </w:rPr>
      </w:pPr>
    </w:p>
    <w:p>
      <w:pPr>
        <w:ind w:left="460" w:right="20"/>
        <w:spacing w:after="0" w:line="251" w:lineRule="auto"/>
        <w:rPr>
          <w:sz w:val="20"/>
          <w:szCs w:val="20"/>
          <w:color w:val="auto"/>
        </w:rPr>
      </w:pPr>
      <w:r>
        <w:rPr>
          <w:rFonts w:ascii="Arial" w:cs="Arial" w:eastAsia="Arial" w:hAnsi="Arial"/>
          <w:sz w:val="16"/>
          <w:szCs w:val="16"/>
          <w:color w:val="auto"/>
        </w:rPr>
        <w:t>Since there has been no public market of our common stock to date, the fair value of the shares of common stock underlying our share-based awards was estimated on each stock-based award grant date by our board of directors. To determine the fair value of our common stock, our board of directors considered input from management, valuations of our common stock prepared by independent valuation specialists using approaches and assumptions consistent with the American Institute of Certified Public Accountants Statement on Standards for Valuation Services, and assessment of additional factors that it believed were relevant or that may have changed from the date of the most recent valuation through the date of the grant. These factors include, but are not limited to:</w:t>
      </w:r>
    </w:p>
    <w:p>
      <w:pPr>
        <w:spacing w:after="0" w:line="101" w:lineRule="exact"/>
        <w:rPr>
          <w:sz w:val="20"/>
          <w:szCs w:val="20"/>
          <w:color w:val="auto"/>
        </w:rPr>
      </w:pPr>
    </w:p>
    <w:p>
      <w:pPr>
        <w:ind w:left="660" w:hanging="209"/>
        <w:spacing w:after="0"/>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our results of operations, financial position, and capital resources;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our stage of development and progress of our research and development and commercialization activities;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our business conditions and projections;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external market conditions affecting the medical device industry sector;</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trends and developments in our industry;</w:t>
      </w:r>
    </w:p>
    <w:p>
      <w:pPr>
        <w:spacing w:after="0" w:line="146"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0780"/>
          </w:cols>
          <w:pgMar w:left="320" w:top="440" w:right="79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660" w:right="800" w:hanging="209"/>
        <w:spacing w:after="0" w:line="265"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valuation of publicly traded companies in our industry sector, as well as recently completed mergers and acquisitions of peer companies;</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lack of marketability of our common stock as a private company;</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prices at which we sold shares of our convertible preferred stock to outside investors in arms- length transactions;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rights, preferences, and privileges of our convertible preferred stock relative to those of our common stock; and</w:t>
      </w:r>
    </w:p>
    <w:p>
      <w:pPr>
        <w:spacing w:after="0" w:line="120" w:lineRule="exact"/>
        <w:rPr>
          <w:rFonts w:ascii="Arial" w:cs="Arial" w:eastAsia="Arial" w:hAnsi="Arial"/>
          <w:sz w:val="16"/>
          <w:szCs w:val="16"/>
          <w:color w:val="auto"/>
        </w:rPr>
      </w:pPr>
    </w:p>
    <w:p>
      <w:pPr>
        <w:ind w:left="660" w:right="620" w:hanging="209"/>
        <w:spacing w:after="0" w:line="265"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likelihood of achieving a liquidity event for our security holders, such as an initial public offering or a sale of our company, given prevailing market conditions.</w:t>
      </w:r>
    </w:p>
    <w:p>
      <w:pPr>
        <w:spacing w:after="0" w:line="75"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For our valuations performed as of dates subsequent to December 31, 2019, we used a hybrid method of OPM and the Probability-weighted Expected Return Method, or PWERM. PWERM considers various potential liquidity outcomes. Our approach included the use of an initial public offering scenario and a scenario assuming continued operation as a private entity. Under the hybrid OPM and PWERM approach, the per share value calculated under OPM and PWERM are weighted based on expected exit outcomes and the quality of the information specific to each allocation methodology to arrive at a final estimated fair value per share of the common stock before a discount for lack of marketability is applied.</w:t>
      </w:r>
    </w:p>
    <w:p>
      <w:pPr>
        <w:spacing w:after="0" w:line="280" w:lineRule="exact"/>
        <w:rPr>
          <w:sz w:val="20"/>
          <w:szCs w:val="20"/>
          <w:color w:val="auto"/>
        </w:rPr>
      </w:pPr>
    </w:p>
    <w:p>
      <w:pPr>
        <w:jc w:val="both"/>
        <w:ind w:left="460" w:right="340"/>
        <w:spacing w:after="0" w:line="256" w:lineRule="auto"/>
        <w:rPr>
          <w:sz w:val="20"/>
          <w:szCs w:val="20"/>
          <w:color w:val="auto"/>
        </w:rPr>
      </w:pPr>
      <w:r>
        <w:rPr>
          <w:rFonts w:ascii="Arial" w:cs="Arial" w:eastAsia="Arial" w:hAnsi="Arial"/>
          <w:sz w:val="16"/>
          <w:szCs w:val="16"/>
          <w:color w:val="auto"/>
        </w:rPr>
        <w:t>Following the completion of this offering, it will no longer be necessary for our board of directors to estimate the fair value of our common stock in connection with our accounting for stock-based awards we may grant, as the fair value of our common stock will be based on the closing price as reported on the date of grant on the primary stock exchange on which our common stock is traded.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28" w:lineRule="exact"/>
        <w:rPr>
          <w:sz w:val="20"/>
          <w:szCs w:val="20"/>
          <w:color w:val="auto"/>
        </w:rPr>
      </w:pPr>
    </w:p>
    <w:p>
      <w:pPr>
        <w:ind w:left="460" w:right="40"/>
        <w:spacing w:after="0" w:line="252" w:lineRule="auto"/>
        <w:rPr>
          <w:sz w:val="20"/>
          <w:szCs w:val="20"/>
          <w:color w:val="auto"/>
        </w:rPr>
      </w:pPr>
      <w:r>
        <w:rPr>
          <w:rFonts w:ascii="Arial" w:cs="Arial" w:eastAsia="Arial" w:hAnsi="Arial"/>
          <w:sz w:val="16"/>
          <w:szCs w:val="16"/>
          <w:color w:val="auto"/>
        </w:rPr>
        <w:t>We account for stock-based payments at fair value. For stock-based awards that vest subject to the satisfaction of a service requirement, the fair value measurement date for such awards is the date of grant and the expense is recognized on a straight-line basis, over the expected vesting period. For stock-based awards that vest subject to a performance condition, we recognize compensation cost for awards if and when we conclude that it is probable that the awards with a performance condition will be achieved on an accelerated attribution method. We account for forfeitures as they occur.</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calculate the fair value measurement of stock options using the Black-Scholes option pricing model and assumptions discussed below.</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of these inputs is subjective and generally requires significant judgement.</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Fair value of common stock</w:t>
      </w:r>
      <w:r>
        <w:rPr>
          <w:rFonts w:ascii="Arial" w:cs="Arial" w:eastAsia="Arial" w:hAnsi="Arial"/>
          <w:sz w:val="16"/>
          <w:szCs w:val="16"/>
          <w:color w:val="auto"/>
        </w:rPr>
        <w:t>—see the subsection titled “Determination of fair value of common stock” above.</w:t>
      </w:r>
    </w:p>
    <w:p>
      <w:pPr>
        <w:spacing w:after="0" w:line="108" w:lineRule="exact"/>
        <w:rPr>
          <w:sz w:val="20"/>
          <w:szCs w:val="20"/>
          <w:color w:val="auto"/>
        </w:rPr>
      </w:pPr>
    </w:p>
    <w:p>
      <w:pPr>
        <w:ind w:left="460" w:right="120"/>
        <w:spacing w:after="0" w:line="286"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expected term represents the period that we expect our stock-based awards to be outstanding. We used the simplified</w:t>
      </w:r>
      <w:r>
        <w:rPr>
          <w:rFonts w:ascii="Arial" w:cs="Arial" w:eastAsia="Arial" w:hAnsi="Arial"/>
          <w:sz w:val="16"/>
          <w:szCs w:val="16"/>
          <w:i w:val="1"/>
          <w:iCs w:val="1"/>
          <w:color w:val="auto"/>
        </w:rPr>
        <w:t xml:space="preserve"> </w:t>
      </w:r>
      <w:r>
        <w:rPr>
          <w:rFonts w:ascii="Arial" w:cs="Arial" w:eastAsia="Arial" w:hAnsi="Arial"/>
          <w:sz w:val="16"/>
          <w:szCs w:val="16"/>
          <w:color w:val="auto"/>
        </w:rPr>
        <w:t>method (based on the mid-point between the vesting date and the end of the contractual term) to determine the expected term.</w:t>
      </w:r>
    </w:p>
    <w:p>
      <w:pPr>
        <w:spacing w:after="0" w:line="43" w:lineRule="exact"/>
        <w:rPr>
          <w:sz w:val="20"/>
          <w:szCs w:val="20"/>
          <w:color w:val="auto"/>
        </w:rPr>
      </w:pPr>
    </w:p>
    <w:p>
      <w:pPr>
        <w:ind w:left="460" w:right="20"/>
        <w:spacing w:after="0" w:line="258" w:lineRule="auto"/>
        <w:rPr>
          <w:sz w:val="20"/>
          <w:szCs w:val="20"/>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—Since we are privately held and do not have any trading history for our common stock, the expected volatility was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based on the average historical volatilities for comparable publicly traded medical device companies over a period equal to the expected term of the stock option grants. The comparable companies were chosen based on their similar size, stage in the life cycle and area of specialty. We will continue to apply this process until a sufficient amount of historical information regarding the volatility of our stock price becomes available.</w:t>
      </w:r>
    </w:p>
    <w:p>
      <w:pPr>
        <w:spacing w:after="0" w:line="315"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0780"/>
          </w:cols>
          <w:pgMar w:left="320" w:top="441" w:right="79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60"/>
        <w:spacing w:after="0" w:line="286" w:lineRule="auto"/>
        <w:rPr>
          <w:sz w:val="20"/>
          <w:szCs w:val="20"/>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—The risk-free interest rate is based on the U.S. Treasury zero coupon issues in effect at the time of grant for periods</w:t>
      </w:r>
      <w:r>
        <w:rPr>
          <w:rFonts w:ascii="Arial" w:cs="Arial" w:eastAsia="Arial" w:hAnsi="Arial"/>
          <w:sz w:val="16"/>
          <w:szCs w:val="16"/>
          <w:i w:val="1"/>
          <w:iCs w:val="1"/>
          <w:color w:val="auto"/>
        </w:rPr>
        <w:t xml:space="preserve"> </w:t>
      </w:r>
      <w:r>
        <w:rPr>
          <w:rFonts w:ascii="Arial" w:cs="Arial" w:eastAsia="Arial" w:hAnsi="Arial"/>
          <w:sz w:val="16"/>
          <w:szCs w:val="16"/>
          <w:color w:val="auto"/>
        </w:rPr>
        <w:t>corresponding with the expected term of option.</w:t>
      </w:r>
    </w:p>
    <w:p>
      <w:pPr>
        <w:spacing w:after="0" w:line="43" w:lineRule="exact"/>
        <w:rPr>
          <w:sz w:val="20"/>
          <w:szCs w:val="20"/>
          <w:color w:val="auto"/>
        </w:rPr>
      </w:pPr>
    </w:p>
    <w:p>
      <w:pPr>
        <w:ind w:left="460" w:right="220"/>
        <w:spacing w:after="0" w:line="286" w:lineRule="auto"/>
        <w:rPr>
          <w:sz w:val="20"/>
          <w:szCs w:val="20"/>
          <w:color w:val="auto"/>
        </w:rPr>
      </w:pPr>
      <w:r>
        <w:rPr>
          <w:rFonts w:ascii="Arial" w:cs="Arial" w:eastAsia="Arial" w:hAnsi="Arial"/>
          <w:sz w:val="16"/>
          <w:szCs w:val="16"/>
          <w:i w:val="1"/>
          <w:iCs w:val="1"/>
          <w:color w:val="auto"/>
        </w:rPr>
        <w:t>Dividend Yield</w:t>
      </w:r>
      <w:r>
        <w:rPr>
          <w:rFonts w:ascii="Arial" w:cs="Arial" w:eastAsia="Arial" w:hAnsi="Arial"/>
          <w:sz w:val="16"/>
          <w:szCs w:val="16"/>
          <w:color w:val="auto"/>
        </w:rPr>
        <w:t>—We have never paid dividends on common stock and have no plans to pay dividends on our common stock. Therefore, we</w:t>
      </w:r>
      <w:r>
        <w:rPr>
          <w:rFonts w:ascii="Arial" w:cs="Arial" w:eastAsia="Arial" w:hAnsi="Arial"/>
          <w:sz w:val="16"/>
          <w:szCs w:val="16"/>
          <w:i w:val="1"/>
          <w:iCs w:val="1"/>
          <w:color w:val="auto"/>
        </w:rPr>
        <w:t xml:space="preserve"> </w:t>
      </w:r>
      <w:r>
        <w:rPr>
          <w:rFonts w:ascii="Arial" w:cs="Arial" w:eastAsia="Arial" w:hAnsi="Arial"/>
          <w:sz w:val="16"/>
          <w:szCs w:val="16"/>
          <w:color w:val="auto"/>
        </w:rPr>
        <w:t>used an expected dividend yield of zero.</w:t>
      </w:r>
    </w:p>
    <w:p>
      <w:pPr>
        <w:spacing w:after="0" w:line="59" w:lineRule="exact"/>
        <w:rPr>
          <w:sz w:val="20"/>
          <w:szCs w:val="20"/>
          <w:color w:val="auto"/>
        </w:rPr>
      </w:pPr>
    </w:p>
    <w:p>
      <w:pPr>
        <w:ind w:left="460" w:right="20"/>
        <w:spacing w:after="0" w:line="252" w:lineRule="auto"/>
        <w:rPr>
          <w:sz w:val="20"/>
          <w:szCs w:val="20"/>
          <w:color w:val="auto"/>
        </w:rPr>
      </w:pPr>
      <w:r>
        <w:rPr>
          <w:rFonts w:ascii="Arial" w:cs="Arial" w:eastAsia="Arial" w:hAnsi="Arial"/>
          <w:sz w:val="16"/>
          <w:szCs w:val="16"/>
          <w:color w:val="auto"/>
        </w:rPr>
        <w:t>See Note 12 to our audited consolidated financial statements and Note 9 to our unaudited interim condensed consolidated financial statements included elsewhere in this prospectus for more information concerning certain of the specific assumptions we used in applying the Black-Scholes option pricing model to determine the estimated fair value of our stock options. Certain of such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86" w:lineRule="exact"/>
        <w:rPr>
          <w:sz w:val="20"/>
          <w:szCs w:val="20"/>
          <w:color w:val="auto"/>
        </w:rPr>
      </w:pPr>
    </w:p>
    <w:p>
      <w:pPr>
        <w:ind w:left="460" w:right="60"/>
        <w:spacing w:after="0" w:line="265" w:lineRule="auto"/>
        <w:rPr>
          <w:sz w:val="20"/>
          <w:szCs w:val="20"/>
          <w:color w:val="auto"/>
        </w:rPr>
      </w:pPr>
      <w:r>
        <w:rPr>
          <w:rFonts w:ascii="Arial" w:cs="Arial" w:eastAsia="Arial" w:hAnsi="Arial"/>
          <w:sz w:val="16"/>
          <w:szCs w:val="16"/>
          <w:color w:val="auto"/>
        </w:rPr>
        <w:t>Based upon the initial public offering price of $16.00 per share, the aggregate intrinsic value of options outstanding as of March 31, 2021 was $24.0 million, of which $23.5 million related to vested options and $0.5 million related to unvested options.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Off-balance sheet arrangements</w:t>
      </w:r>
    </w:p>
    <w:p>
      <w:pPr>
        <w:spacing w:after="0" w:line="133" w:lineRule="exact"/>
        <w:rPr>
          <w:sz w:val="20"/>
          <w:szCs w:val="20"/>
          <w:color w:val="auto"/>
        </w:rPr>
      </w:pPr>
    </w:p>
    <w:p>
      <w:pPr>
        <w:ind w:left="460" w:right="300"/>
        <w:spacing w:after="0" w:line="265" w:lineRule="auto"/>
        <w:rPr>
          <w:sz w:val="20"/>
          <w:szCs w:val="20"/>
          <w:color w:val="auto"/>
        </w:rPr>
      </w:pPr>
      <w:r>
        <w:rPr>
          <w:rFonts w:ascii="Arial" w:cs="Arial" w:eastAsia="Arial" w:hAnsi="Arial"/>
          <w:sz w:val="16"/>
          <w:szCs w:val="16"/>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Indemnification agreements</w:t>
      </w:r>
    </w:p>
    <w:p>
      <w:pPr>
        <w:spacing w:after="0" w:line="133" w:lineRule="exact"/>
        <w:rPr>
          <w:sz w:val="20"/>
          <w:szCs w:val="20"/>
          <w:color w:val="auto"/>
        </w:rPr>
      </w:pPr>
    </w:p>
    <w:p>
      <w:pPr>
        <w:ind w:left="460" w:right="60"/>
        <w:spacing w:after="0" w:line="250" w:lineRule="auto"/>
        <w:rPr>
          <w:sz w:val="20"/>
          <w:szCs w:val="20"/>
          <w:color w:val="auto"/>
        </w:rPr>
      </w:pPr>
      <w:r>
        <w:rPr>
          <w:rFonts w:ascii="Arial" w:cs="Arial" w:eastAsia="Arial" w:hAnsi="Arial"/>
          <w:sz w:val="16"/>
          <w:szCs w:val="16"/>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misappropriation or other violation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Recent accounting pronouncements</w:t>
      </w:r>
    </w:p>
    <w:p>
      <w:pPr>
        <w:spacing w:after="0" w:line="133" w:lineRule="exact"/>
        <w:rPr>
          <w:sz w:val="20"/>
          <w:szCs w:val="20"/>
          <w:color w:val="auto"/>
        </w:rPr>
      </w:pPr>
    </w:p>
    <w:p>
      <w:pPr>
        <w:ind w:left="460" w:right="820"/>
        <w:spacing w:after="0" w:line="265" w:lineRule="auto"/>
        <w:rPr>
          <w:sz w:val="20"/>
          <w:szCs w:val="20"/>
          <w:color w:val="auto"/>
        </w:rPr>
      </w:pPr>
      <w:r>
        <w:rPr>
          <w:rFonts w:ascii="Arial" w:cs="Arial" w:eastAsia="Arial" w:hAnsi="Arial"/>
          <w:sz w:val="16"/>
          <w:szCs w:val="16"/>
          <w:color w:val="auto"/>
        </w:rPr>
        <w:t>See the section titled “Summary of Significant Accounting Policies—Recent Accounting Pronouncements” in Note 2 to our financial statements included elsewhere in this prospectus for additional information.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Emerging growth company and smaller reporting company status</w:t>
      </w:r>
    </w:p>
    <w:p>
      <w:pPr>
        <w:spacing w:after="0" w:line="133"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As such, we are eligible for exemptions from various reporting requirements applicable to other public companies that are not emerging growth companies, including, but not limited to, presenting only two years of audited financial statements in addition to any required unaudited interim financial statements with correspondingly reduced “Management’s Discussion and Analysis of Financial Condition and Results of Operations” disclosure in this prospectus, not being required to comply with the auditor attestation requirements of Section 404 of the Sarbanes-Oxley Act, reduced disclosure obligations regarding executive</w:t>
      </w:r>
    </w:p>
    <w:p>
      <w:pPr>
        <w:spacing w:after="0" w:line="12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0780"/>
          </w:cols>
          <w:pgMar w:left="320" w:top="440" w:right="79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compensation, and an exemption from the requirements to obtain a non-binding advisory vote on executive compensation or golden parachute arrangements. We have elected to take advantage of certain of the reduced disclosure obligations in this prospectus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p>
    <w:p>
      <w:pPr>
        <w:spacing w:after="0" w:line="86" w:lineRule="exact"/>
        <w:rPr>
          <w:sz w:val="20"/>
          <w:szCs w:val="20"/>
          <w:color w:val="auto"/>
        </w:rPr>
      </w:pPr>
    </w:p>
    <w:p>
      <w:pPr>
        <w:ind w:left="460" w:right="20"/>
        <w:spacing w:after="0" w:line="253" w:lineRule="auto"/>
        <w:rPr>
          <w:sz w:val="20"/>
          <w:szCs w:val="20"/>
          <w:color w:val="auto"/>
        </w:rPr>
      </w:pPr>
      <w:r>
        <w:rPr>
          <w:rFonts w:ascii="Arial" w:cs="Arial" w:eastAsia="Arial" w:hAnsi="Arial"/>
          <w:sz w:val="16"/>
          <w:szCs w:val="16"/>
          <w:color w:val="auto"/>
        </w:rPr>
        <w:t>The JOBS Act permits an “emerging growth company” such as us to take advantage of an extended transition period to comply with new or revised accounting standards applicable to public companies. However, we have chosen to irrevocably “opt out” of such extended transition period, and as a result, we will comply with new or revised accounting standards on the relevant dates on which adoption of such standards is required for non-emerging growth companies.</w:t>
      </w:r>
    </w:p>
    <w:p>
      <w:pPr>
        <w:spacing w:after="0" w:line="86" w:lineRule="exact"/>
        <w:rPr>
          <w:sz w:val="20"/>
          <w:szCs w:val="20"/>
          <w:color w:val="auto"/>
        </w:rPr>
      </w:pPr>
    </w:p>
    <w:p>
      <w:pPr>
        <w:ind w:left="460" w:right="80"/>
        <w:spacing w:after="0" w:line="251" w:lineRule="auto"/>
        <w:rPr>
          <w:sz w:val="20"/>
          <w:szCs w:val="20"/>
          <w:color w:val="auto"/>
        </w:rPr>
      </w:pPr>
      <w:r>
        <w:rPr>
          <w:rFonts w:ascii="Arial" w:cs="Arial" w:eastAsia="Arial" w:hAnsi="Arial"/>
          <w:sz w:val="16"/>
          <w:szCs w:val="16"/>
          <w:color w:val="auto"/>
        </w:rPr>
        <w:t>We will remain an emerging growth company until the earliest of: (i) the last day of the fiscal year following the fifth anniversary of the consummation of this offering;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88" w:lineRule="exact"/>
        <w:rPr>
          <w:sz w:val="20"/>
          <w:szCs w:val="20"/>
          <w:color w:val="auto"/>
        </w:rPr>
      </w:pPr>
    </w:p>
    <w:p>
      <w:pPr>
        <w:ind w:left="460" w:right="160"/>
        <w:spacing w:after="0" w:line="251" w:lineRule="auto"/>
        <w:rPr>
          <w:sz w:val="20"/>
          <w:szCs w:val="20"/>
          <w:color w:val="auto"/>
        </w:rPr>
      </w:pPr>
      <w:r>
        <w:rPr>
          <w:rFonts w:ascii="Arial" w:cs="Arial" w:eastAsia="Arial" w:hAnsi="Arial"/>
          <w:sz w:val="16"/>
          <w:szCs w:val="16"/>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Quantitative and qualitative disclosures about market risk</w:t>
      </w:r>
    </w:p>
    <w:p>
      <w:pPr>
        <w:spacing w:after="0" w:line="133" w:lineRule="exact"/>
        <w:rPr>
          <w:sz w:val="20"/>
          <w:szCs w:val="20"/>
          <w:color w:val="auto"/>
        </w:rPr>
      </w:pPr>
    </w:p>
    <w:p>
      <w:pPr>
        <w:ind w:left="460" w:right="40"/>
        <w:spacing w:after="0" w:line="256" w:lineRule="auto"/>
        <w:rPr>
          <w:sz w:val="20"/>
          <w:szCs w:val="20"/>
          <w:color w:val="auto"/>
        </w:rPr>
      </w:pPr>
      <w:r>
        <w:rPr>
          <w:rFonts w:ascii="Arial" w:cs="Arial" w:eastAsia="Arial" w:hAnsi="Arial"/>
          <w:sz w:val="16"/>
          <w:szCs w:val="16"/>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28" w:lineRule="exact"/>
        <w:rPr>
          <w:sz w:val="20"/>
          <w:szCs w:val="20"/>
          <w:color w:val="auto"/>
        </w:rPr>
      </w:pPr>
    </w:p>
    <w:p>
      <w:pPr>
        <w:ind w:left="460" w:right="40"/>
        <w:spacing w:after="0" w:line="250" w:lineRule="auto"/>
        <w:rPr>
          <w:sz w:val="20"/>
          <w:szCs w:val="20"/>
          <w:color w:val="auto"/>
        </w:rPr>
      </w:pPr>
      <w:r>
        <w:rPr>
          <w:rFonts w:ascii="Arial" w:cs="Arial" w:eastAsia="Arial" w:hAnsi="Arial"/>
          <w:sz w:val="16"/>
          <w:szCs w:val="16"/>
          <w:color w:val="auto"/>
        </w:rPr>
        <w:t>Our cash, cash equivalents and marketable securities as of March 31, 2021 consisted of $40.0 million, invested in government securities as well as $24.4 million invested in bank deposits and money market funds. Our historical interest income has not fluctuated significantly. We do not believe that a hypothetical 10% change in interest rates would have a material impact on our consolidated financial statements included elsewhere in this prospectus. We do not enter into investments for trading or speculative purposes and have not used any derivative financial instruments to manage our interest rate risk exposure. As of March 31, 2021, we had $29.5 million in variable rate debt outstanding. Our Credit Agreement bears interest at an annual rate equal to the greater of (i) the Wall Street Journal prime rate plus 9.09% or (ii) 9.25%. A hypothetical change in interest rates of 10% would have resulted in a change of $0.1 million in interest expense in for the three months ended March 31, 2021.</w:t>
      </w:r>
    </w:p>
    <w:p>
      <w:pPr>
        <w:spacing w:after="0" w:line="128"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0780"/>
          </w:cols>
          <w:pgMar w:left="320" w:top="440" w:right="79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Foreign currency exchange risk</w:t>
      </w:r>
    </w:p>
    <w:p>
      <w:pPr>
        <w:spacing w:after="0" w:line="128"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Our reporting currency is the U.S. dollar and our sales outside the United States are primarily denominated in Euros and GBP. For the years ended December 31, 2020 and 2019, approximately 0.3% and 0.5%, respectively, of our sales were denominated in currencies other than U.S. dollars. Our expenses are generally denominated in the currencies in which our operations are located, which are primarily in the United States and Europe. If our operations in countries outside of the United States grows, our results of operations and cash flows will be subject to fluctuations due to changes in foreign currency exchange rates, which could harm our business in the future. For example, if the value of the U.S. dollar increases relative to foreign currencies, in the absence of a corresponding change in local currency prices, our revenue could be adversely affected as we convert revenue from local currencies to U.S. dollars. In addition, because we conduct business in currencies other than U.S. dollars, but report our results of operations in U.S. dollars, we also face remeasurement exposure to fluctuations in currency exchange rates, which could hinder our ability to predict our future results and earnings and could impact our results of operations. We do not currently maintain a program to hedge exposures to non-U.S. dollar currencies. We do not believe that a hypothetical 10% change in the relative value of the U.S. dollar to other currencies would have a material impact on our consolidated financial statements included elsewhere in this prospectus.</w:t>
      </w:r>
    </w:p>
    <w:p>
      <w:pPr>
        <w:spacing w:after="0" w:line="322"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0800"/>
          </w:cols>
          <w:pgMar w:left="320" w:top="440" w:right="77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Business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Overview</w:t>
      </w:r>
    </w:p>
    <w:p>
      <w:pPr>
        <w:spacing w:after="0" w:line="133"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We are a commercial-stage medical technology company dedicated to improving the vision of patients following cataract surgery. Our proprietary RxSight Light Adjustable Lens system (“RxSight system”), comprised of our RxSight Light Adjustable Lens (“LAL”), RxSight Light Delivery Device (“LDD”) and accessories, is the first and only commercially available intraocular lens (“IOL”) technology that enables doctors to customize and optimize visual acuity for patients after cataract surgery. Our LAL is made of proprietary photosensitive material that changes shape in response to specific patterns of ultraviolet (“UV”) light generated by our LDD. With the RxSight system, the surgeon performs a standard cataract procedure to implant the LAL, determines refractive error with patient input after healing is complete, and then uses the LDD to modify the lens with the exact amount of visual correction needed to achieve the patient’s desired vision outcomes. Alternative IOL technologies, in contrast, are not adjustable following the procedure and therefore require patients to make pre-operative choices about their visual preferences, which can often result in patient dissatisfaction when visual outcomes fail to meet expectations. We designed our RxSight system to maximize patient and doctor satisfaction through superior visual outcomes. In the pivotal study that formed the basis for our FDA approval, the observed rate of eyes with 20/20 or better uncorrected distance visual acuity for our LAL was 70.1%. This compares favorably to the results of pivotal studies with similar study designs and patient populations that supported FDA approval of Alcon’s Acrysof Toric (38.4%), and J&amp;J’s Tecnis Toric (43.6%). We began commercializing our solution in the United States in the third quarter of 2019 and are focused on establishing the RxSight system as the standard of care for premium IOL procedures. As of March 31, 2020, we had an installed base of 105 LDDs in ophthalmology practices, and we estimate 125 surgeons are regularly implanting our IOL. Since our inception, surgeons have performed over 10,000 surgeries with our RxSight system.</w:t>
      </w:r>
    </w:p>
    <w:p>
      <w:pPr>
        <w:spacing w:after="0" w:line="281"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Cataract surgery is the most common surgical procedure in the world, with approximately 22 million cataract surgeries performed worldwide in 2020, including 3.7 million in the United States. A cataract is a loss of transparency in the normally clear lens of the eye that can cause blurry or hazy vision, significantly interfering with daily activities and affecting quality of life. Cataracts increase in prevalence with age and develop in approximately 50% of individuals by age 60 affecting both eyes 80 to 90% of the time and requiring surgery to restore vision in most cases. During cataract surgery, the patient’s natural lens is replaced with a clear artificial lens called an intraocular lens (“IOL”). There are two broad categories of IOLs used, conventional and premium. Based on the category of IOL used, cataracts surgeries can be differentiated as either conventional or premium procedures. In conventional cataract surgery, patients receive conventional monofocal IOLs that are designed to provide vision at one distance, and do not correct for corneal astigmatism and presbyopia. Nearly all conventional IOL patients therefore will need spectacles to attain their best vision after surgery. With premium cataract surgery, patients receive premium IOLs designed to correct for corneal astigmatism and/or presbyopia and therefore to provide for reduced spectacle dependence. Because 60% of cataract patients rate being spectacle free after cataract surgery as extremely important, we believe the premium IOL market is underpenetrated as only 11% and 16% of the total procedures worldwide and in the United States in 2020, respectively, were premium procedures. However, according to MarketScope, the premium IOL market represented 37% of the total IOL market for 2020, due to higher lens pricing, and is projected to grow significantly faster. According to MarketScope, the premium IOL market was an approximately $1.4 billion market worldwide in 2020, and while worldwide cataract procedure volumes were down approximately 25% due to the COVID-19 pandemic, the total revenue from premium IOLs to manufacturers was unchanged from 2019. This market is expected to grow at a compound annual growth rate (“CAGR”) of 14% from 2020 to 2026, relative to an approximately $2.3 billion market in 2020 and a 10.5% CAGR for the conventional IOL market. Premium cataract procedures are between 10 and 15 times more profitable for the doctors and ophthalmology practices than conventional cataract procedures. The premium IOL market is also less impacted by changes in</w:t>
      </w:r>
    </w:p>
    <w:p>
      <w:pPr>
        <w:spacing w:after="0" w:line="12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0780"/>
          </w:cols>
          <w:pgMar w:left="320" w:top="441" w:right="79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400"/>
        <w:spacing w:after="0" w:line="265" w:lineRule="auto"/>
        <w:rPr>
          <w:sz w:val="20"/>
          <w:szCs w:val="20"/>
          <w:color w:val="auto"/>
        </w:rPr>
      </w:pPr>
      <w:r>
        <w:rPr>
          <w:rFonts w:ascii="Arial" w:cs="Arial" w:eastAsia="Arial" w:hAnsi="Arial"/>
          <w:sz w:val="16"/>
          <w:szCs w:val="16"/>
          <w:color w:val="auto"/>
        </w:rPr>
        <w:t>reimbursement because patients are required to pay out-of-pocket to cover the full or incremental costs of premium cataract procedures (depending on the country), while healthcare payors typically cover the full cost of conventional cataract procedures.</w:t>
      </w:r>
    </w:p>
    <w:p>
      <w:pPr>
        <w:spacing w:after="0" w:line="75" w:lineRule="exact"/>
        <w:rPr>
          <w:sz w:val="20"/>
          <w:szCs w:val="20"/>
          <w:color w:val="auto"/>
        </w:rPr>
      </w:pPr>
    </w:p>
    <w:p>
      <w:pPr>
        <w:ind w:left="460" w:right="140"/>
        <w:spacing w:after="0" w:line="250" w:lineRule="auto"/>
        <w:rPr>
          <w:sz w:val="20"/>
          <w:szCs w:val="20"/>
          <w:color w:val="auto"/>
        </w:rPr>
      </w:pPr>
      <w:r>
        <w:rPr>
          <w:rFonts w:ascii="Arial" w:cs="Arial" w:eastAsia="Arial" w:hAnsi="Arial"/>
          <w:sz w:val="16"/>
          <w:szCs w:val="16"/>
          <w:color w:val="auto"/>
        </w:rPr>
        <w:t>We believe that the premium cataract surgery market remains underpenetrated due to both doctors’ reluctance to recommend premium IOL offerings to the full universe of eligible patients and patients’ confusion in assessing the tradeoffs associated with the wide range of commercially available premium IOL offerings. We believe current premium IOL offerings often cannot deliver on patient expectations with respect to the patient’s ability to see at near, intermediate and far distances without reliance on spectacles. Once a patient has selected a premium IOL, the surgeon must rely on a series of pre-operative diagnostic tests and predictive formulae to choose a lens that delivers the accuracy and outcomes desired by the patient. According to published clinical data from the pivotal studies of alternative premium IOL technologies, the percentage of patients that achieved 20/20 vision with both eyes at all distances was only 40%. As a result, doctors often lack confidence with current premium IOL offerings given their inability to meet patients’ expectations consistently.</w:t>
      </w:r>
    </w:p>
    <w:p>
      <w:pPr>
        <w:spacing w:after="0" w:line="90"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We designed our RxSight system to address the shortcomings of existing premium IOL technologies and provide a solution that doctors can trust to improve visual outcomes. In contrast to alternative premium IOL solutions, for which patients are required (before surgery) to specify their visual priorities and willingness to accept optical trade-offs associated with those choices, our RxSight system offers peace of mind that patients can iterate their final vision characteristics with customized post-surgical adjustments. The surgeon first performs a standard cataract implant procedure, replacing the patient’s natural lens with the LAL. Approximately three weeks post cataract surgery, after healing has occurred, the patient undergoes a standard post-operative refraction to determine the refractive error and the prescription required to give the patient the best vision. This prescription is much like that used for spectacle lenses, but instead is used as an input to the LDD. To adjust the LAL, the patient is positioned at the LDD for a treatment that lasts between approximately 30 seconds and 2.5 minutes, depending on the required prescription. The patient returns after approximately three to five days, at which time they can undergo another refraction and adjustment, if needed, to “dial in” their best vision. Once the patient and the doctor are satisfied, then the adjustment is locked in for life with another light treatment. While up to three post-surgical adjustment visits are offered by the doctor, in our pivotal clinical study, patients had an average of 1.6 adjustments. While many patients choose to have both eyes corrected for distance, approximately 80% elect for what is called a blended vision approach that takes advantage of the LAL’s depth of focus to deliver a customized blended vision solution. By titrating the correction for near, intermediate or far in each eye, this approach provides the highest rates of excellent vision with both eyes at all distances.</w:t>
      </w:r>
    </w:p>
    <w:p>
      <w:pPr>
        <w:spacing w:after="0" w:line="91" w:lineRule="exact"/>
        <w:rPr>
          <w:sz w:val="20"/>
          <w:szCs w:val="20"/>
          <w:color w:val="auto"/>
        </w:rPr>
      </w:pPr>
    </w:p>
    <w:p>
      <w:pPr>
        <w:ind w:left="460" w:right="480"/>
        <w:spacing w:after="0" w:line="265" w:lineRule="auto"/>
        <w:rPr>
          <w:sz w:val="20"/>
          <w:szCs w:val="20"/>
          <w:color w:val="auto"/>
        </w:rPr>
      </w:pPr>
      <w:r>
        <w:rPr>
          <w:rFonts w:ascii="Arial" w:cs="Arial" w:eastAsia="Arial" w:hAnsi="Arial"/>
          <w:sz w:val="16"/>
          <w:szCs w:val="16"/>
          <w:color w:val="auto"/>
        </w:rPr>
        <w:t>We believe the RxSight Light Adjustable Lens system offers significant advantages over other commercially available conventional and premium IOLs that will drive its broad adoption. The primary benefits of our solution include:</w:t>
      </w:r>
    </w:p>
    <w:p>
      <w:pPr>
        <w:spacing w:after="0" w:line="88" w:lineRule="exact"/>
        <w:rPr>
          <w:sz w:val="20"/>
          <w:szCs w:val="20"/>
          <w:color w:val="auto"/>
        </w:rPr>
      </w:pPr>
    </w:p>
    <w:p>
      <w:pPr>
        <w:ind w:left="660" w:hanging="209"/>
        <w:spacing w:after="0"/>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first and only IOL that can be customized after surgery and healing of the eye;</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provides doctors and patients with confidence in better visual outcomes and a low risk of side effects;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provides a precise treatment range and excellent vision rates with both eyes at all distances;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uses a familiar industry standard IOL implantation procedure and an IOL adjustment procedure that is easy-to-learn;</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allows patients to preview their vision selection prior to LAL adjustment; and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provides a premium IOL alternative that can help doctors grow their practice revenues and profits.</w:t>
      </w:r>
    </w:p>
    <w:p>
      <w:pPr>
        <w:spacing w:after="0" w:line="146"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0740"/>
          </w:cols>
          <w:pgMar w:left="320" w:top="440" w:right="83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80"/>
        <w:spacing w:after="0" w:line="249" w:lineRule="auto"/>
        <w:rPr>
          <w:sz w:val="20"/>
          <w:szCs w:val="20"/>
          <w:color w:val="auto"/>
        </w:rPr>
      </w:pPr>
      <w:r>
        <w:rPr>
          <w:rFonts w:ascii="Arial" w:cs="Arial" w:eastAsia="Arial" w:hAnsi="Arial"/>
          <w:sz w:val="16"/>
          <w:szCs w:val="16"/>
          <w:color w:val="auto"/>
        </w:rPr>
        <w:t>Our RxSight system has FDA approval for the reduction of residual astigmatism to improve uncorrected visual acuity after removal of the cataractous natural lens by phacoemulsification and implantation of the intraocular lens in the capsular bag, in adult patients with pre-existing corneal astigmatism of &gt; 0.75 diopters and without pre-existing macular disease. Our system has also received the CE mark and marketing approval in Mexico for improving uncorrected visual acuity by adjusting the LAL power to correct residual postoperative refractive error, including for -2.0 to + 2.0 diopters of sphere and -3.0 to -0.50 diopters of cylinder and by changing lens curvature to introduce controlled amounts of spherical aberration (+/- 1 micron) and center near add (up to 2.0 diopters). We are currently focusing our commercial efforts in the United States. Our commercial strategy is focused on a “land and expand” model through which we aim to drive new customer adoption, which generally begins with the sale of an LDD, and then help the customer incorporate the LAL into their practice to drive utilization and premium procedure growth. We believe this commercial strategy over time may provide a degree of predictability in terms of our commercial growth and a consumable revenue stream from sales of our LALs. We are currently focused on driving adoption with surgeons performing a high volume of premium cataract procedures. MarketScope estimates that there are approximately 4,000 surgeons that perform cataract surgeries in the United States as of 2020, and we estimate that approximately 1,600 surgeons performed approximately 70 to 80% of the premium procedures in the United States in 2020. We believe this provides an attractive and concentrated market opportunity addressable with a focused sales force. We currently employ a sales team that, as of April 2020 includes 6 sales directors, and a group of over 40 clinical specialists, field service and customer service personnel. While we intend to initially focus our growing commercial efforts in the United States, in the future, we may selectively pursue commercial expansion in Japan, Europe, Australia or other geographies with significant market opportunity for premium IOLs.</w:t>
      </w:r>
    </w:p>
    <w:p>
      <w:pPr>
        <w:spacing w:after="0" w:line="280"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color w:val="auto"/>
        </w:rPr>
        <w:t>Our near-term research and development activities are focused on enhancements to the RxSight system to improve the patient and doctor experience, expand the range of patients that can be treated as well as expand its indications. We believe that over time, our adjustable lens solution can be used to address a broad range of cataract surgery patients, including those that would otherwise elect for a conventional cataract procedure today. Our vision is that a vast majority of the patients and surgeons that undergo or perform a cataract surgery procedure, will elect to use our RxSight technology that provides a customizable solution delivering better visual outcomes.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Our success factors</w:t>
      </w:r>
    </w:p>
    <w:p>
      <w:pPr>
        <w:spacing w:after="0" w:line="133" w:lineRule="exact"/>
        <w:rPr>
          <w:sz w:val="20"/>
          <w:szCs w:val="20"/>
          <w:color w:val="auto"/>
        </w:rPr>
      </w:pPr>
    </w:p>
    <w:p>
      <w:pPr>
        <w:ind w:left="460" w:right="320"/>
        <w:spacing w:after="0" w:line="256" w:lineRule="auto"/>
        <w:rPr>
          <w:sz w:val="20"/>
          <w:szCs w:val="20"/>
          <w:color w:val="auto"/>
        </w:rPr>
      </w:pPr>
      <w:r>
        <w:rPr>
          <w:rFonts w:ascii="Arial" w:cs="Arial" w:eastAsia="Arial" w:hAnsi="Arial"/>
          <w:sz w:val="16"/>
          <w:szCs w:val="16"/>
          <w:color w:val="auto"/>
        </w:rPr>
        <w:t>We are focused on establishing our RxSight system as the standard of care for premium cataract surgery and providing a solution that doctors and patients can trust to deliver optimal visual outcomes without unwanted visual side effects. We believe our key success factors include:</w:t>
      </w:r>
    </w:p>
    <w:p>
      <w:pPr>
        <w:spacing w:after="0" w:line="76" w:lineRule="exact"/>
        <w:rPr>
          <w:sz w:val="20"/>
          <w:szCs w:val="20"/>
          <w:color w:val="auto"/>
        </w:rPr>
      </w:pPr>
    </w:p>
    <w:p>
      <w:pPr>
        <w:ind w:left="660" w:hanging="209"/>
        <w:spacing w:after="0"/>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First and only commercially available IOL technology that allows customization and optimization of patient vision after surgery</w:t>
      </w:r>
      <w:r>
        <w:rPr>
          <w:rFonts w:ascii="Arial" w:cs="Arial" w:eastAsia="Arial" w:hAnsi="Arial"/>
          <w:sz w:val="16"/>
          <w:szCs w:val="16"/>
          <w:b w:val="1"/>
          <w:bCs w:val="1"/>
          <w:color w:val="auto"/>
        </w:rPr>
        <w:t>.</w:t>
      </w:r>
    </w:p>
    <w:p>
      <w:pPr>
        <w:spacing w:after="0" w:line="26"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6"/>
          <w:szCs w:val="16"/>
          <w:color w:val="auto"/>
        </w:rPr>
        <w:t>We have developed our RxSight system over the last 20 years and have incorporated expertise and proprietary technologies across</w:t>
      </w:r>
    </w:p>
    <w:p>
      <w:pPr>
        <w:spacing w:after="0" w:line="6" w:lineRule="exact"/>
        <w:rPr>
          <w:sz w:val="20"/>
          <w:szCs w:val="20"/>
          <w:color w:val="auto"/>
        </w:rPr>
      </w:pPr>
    </w:p>
    <w:p>
      <w:pPr>
        <w:ind w:left="660" w:right="60"/>
        <w:spacing w:after="0" w:line="250" w:lineRule="auto"/>
        <w:rPr>
          <w:sz w:val="20"/>
          <w:szCs w:val="20"/>
          <w:color w:val="auto"/>
        </w:rPr>
      </w:pPr>
      <w:r>
        <w:rPr>
          <w:rFonts w:ascii="Arial" w:cs="Arial" w:eastAsia="Arial" w:hAnsi="Arial"/>
          <w:sz w:val="16"/>
          <w:szCs w:val="16"/>
          <w:color w:val="auto"/>
        </w:rPr>
        <w:t>multiple disciplines, including optics, material science, chemistry, software and hardware engineering. Our LAL uses a proprietary silicone formulation that enables changing the mechanical and optical properties of the lens following implantation. Unlike other currently available IOLs, the vast majority of which are made from acrylic, the LAL contains both long and short silicone polymers, along with other photo-active compounds that enable permanent polymerization of the silicone post-operatively using UV light. Our LDD uses proprietary software and algorithms to deliver a short UV exposure treatment that polymerizes specific portions of the lens that allows doctors to adjust spherical and cylindrical refraction in 0.25 diopter increments, similar to the adjustment increments used to refract patients for glasses or contact lenses, as well as in other refractive procedures like LASIK. We believe our commitment to innovation, extensive technical capabilities, and world-class engineering teams will enable us to deliver future product enhancements and expansion of indications for our platform. Certain aspects of our RxSight system are protected by our portfolio of patents. As of March 31, 2021, we owned or exclusively in-licensed</w:t>
      </w:r>
    </w:p>
    <w:p>
      <w:pPr>
        <w:spacing w:after="0" w:line="31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0800"/>
          </w:cols>
          <w:pgMar w:left="320" w:top="440" w:right="77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660"/>
        <w:spacing w:after="0" w:line="265" w:lineRule="auto"/>
        <w:rPr>
          <w:sz w:val="20"/>
          <w:szCs w:val="20"/>
          <w:color w:val="auto"/>
        </w:rPr>
      </w:pPr>
      <w:r>
        <w:rPr>
          <w:rFonts w:ascii="Arial" w:cs="Arial" w:eastAsia="Arial" w:hAnsi="Arial"/>
          <w:sz w:val="16"/>
          <w:szCs w:val="16"/>
          <w:color w:val="auto"/>
        </w:rPr>
        <w:t>approximately 31 issued U.S. patents, 26 issued patents outside the United States, 11 pending non-provisional U.S. patent applications, 13 pending foreign patent applications and three pending Patent Cooperation Treaty applications.</w:t>
      </w:r>
    </w:p>
    <w:p>
      <w:pPr>
        <w:spacing w:after="0" w:line="68" w:lineRule="exact"/>
        <w:rPr>
          <w:sz w:val="20"/>
          <w:szCs w:val="20"/>
          <w:color w:val="auto"/>
        </w:rPr>
      </w:pPr>
    </w:p>
    <w:p>
      <w:pPr>
        <w:ind w:left="660" w:hanging="199"/>
        <w:spacing w:after="0" w:line="254" w:lineRule="auto"/>
        <w:tabs>
          <w:tab w:leader="none" w:pos="6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b w:val="1"/>
          <w:bCs w:val="1"/>
          <w:i w:val="1"/>
          <w:iCs w:val="1"/>
          <w:color w:val="auto"/>
        </w:rPr>
        <w:t xml:space="preserve">Superior visual outcomes and premium IOL experience for patients. </w:t>
      </w:r>
      <w:r>
        <w:rPr>
          <w:rFonts w:ascii="Arial" w:cs="Arial" w:eastAsia="Arial" w:hAnsi="Arial"/>
          <w:sz w:val="16"/>
          <w:szCs w:val="16"/>
          <w:color w:val="auto"/>
        </w:rPr>
        <w:t>In the pivotal study that formed the basis for our FDA approval,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observed rate of eyes with 20/20 or better uncorrected distance visual acuity for our LAL was 70.1%. This compares favorably to the results of pivotal studies with similar study designs and patient populations that supported FDA approval of Alcon’s Acrysof Toric (38.4%), and J&amp;J’s Tecnis Toric (43.6%). Additionally, LAL patients reported a low rate of glare or halo, visual side effects that are frequently reported with presbyopia correcting IOLs. We believe our system also delivers a premium experience for patients by shifting patient decisions from before surgery (after which they are difficult to change) to after surgery, when patients work with their doctors to dial-in their optimal visual acuity, thereby lowering the likelihood for remedial or secondary corrective procedures. We believe these qualities will lead to broad commercial adoption of the RxSight system.</w:t>
      </w:r>
    </w:p>
    <w:p>
      <w:pPr>
        <w:spacing w:after="0" w:line="78" w:lineRule="exact"/>
        <w:rPr>
          <w:sz w:val="20"/>
          <w:szCs w:val="20"/>
          <w:color w:val="auto"/>
        </w:rPr>
      </w:pPr>
    </w:p>
    <w:p>
      <w:pPr>
        <w:ind w:left="660" w:right="20" w:hanging="209"/>
        <w:spacing w:after="0" w:line="250"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Attractive value proposition for doctors. </w:t>
      </w:r>
      <w:r>
        <w:rPr>
          <w:rFonts w:ascii="Arial" w:cs="Arial" w:eastAsia="Arial" w:hAnsi="Arial"/>
          <w:sz w:val="16"/>
          <w:szCs w:val="16"/>
          <w:color w:val="auto"/>
        </w:rPr>
        <w:t>We believe the RxSight system provides a myriad of benefits for doctors that will help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facilitate adoption and incorporation into their clinical practice. The clinical benefit of “dialing-in” to achieve superior visual outcomes after the procedure will give doctors more confidence to recommend a premium IOL solution that can meet patients’ expectations. This can provide economic benefits by empowering doctors to grow their practice by increasing the number of premium IOL surgeries, which generally have higher revenue and profit margin than conventional procedures. Over the longer term, we also believe that using our technology can help drive patient referrals to the practice. We designed and are offering our LDD at a price to create an attractive return on investment for our customers over a reasonable period of time. For example, an online, third-party survey by Haffey &amp; Company of 15 practices that use the RxSight system revealed that LAL procedures were sourced from all other categories of other IOLs and were well balanced across monofocal, astigmatism-correcting and presbyopia-correcting IOLs. Based on an average of 16 LAL cases per month at these practices, a payback period of five months for the purchase price of the LDD was seen. Using lower national average selling prices for astigmatism-correcting and presbyopia-correcting IOLs and a monthly procedural volume of only six cases resulted in a payback period of 17 months for such practices. Following the payback period, practices continue to reap the financial benefits of converting patients to the higher revenue RxSight procedure. Our RxSight system also offers several practice and workflow benefits. Because the RxSight is a versatile lens that can be used to address a wide variety of different patients and their needs, we believe doctors can use the LAL as their primary and first choice of premium IOL, rather than having to choose between, and hold in inventory, different IOLs to address different patient needs. The RxSight implantation procedure is a familiar industry standard IOL implantation procedure and the light adjustment procedure is easy to learn, which we believe will help lower barriers to adoption.</w:t>
      </w:r>
    </w:p>
    <w:p>
      <w:pPr>
        <w:spacing w:after="0" w:line="88" w:lineRule="exact"/>
        <w:rPr>
          <w:rFonts w:ascii="Arial" w:cs="Arial" w:eastAsia="Arial" w:hAnsi="Arial"/>
          <w:sz w:val="16"/>
          <w:szCs w:val="16"/>
          <w:color w:val="auto"/>
        </w:rPr>
      </w:pPr>
    </w:p>
    <w:p>
      <w:pPr>
        <w:ind w:left="660" w:right="60" w:hanging="209"/>
        <w:spacing w:after="0" w:line="250"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Large and growing IOL market underpenetrated within broader IOL industry. </w:t>
      </w:r>
      <w:r>
        <w:rPr>
          <w:rFonts w:ascii="Arial" w:cs="Arial" w:eastAsia="Arial" w:hAnsi="Arial"/>
          <w:sz w:val="16"/>
          <w:szCs w:val="16"/>
          <w:color w:val="auto"/>
        </w:rPr>
        <w:t>Cataract surgery is the most common surgical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procedure in the United and worldwide, with over 22 million procedures performed globally and 3.7 million procedures performed in the United States in 2020. While 60% of cataract patients rate being spectacle free after cataract surgery as extremely important, only 11% and 16% of the total procedures worldwide and in the United States, respectively were premium procedures in 2020. According to MarketScope’s 2021 IOL Report, the market for premium IOLs was approximately $450 million in the United States and $1.4 billion worldwide in 2020, and is expected to grow at a CAGR of 14% and 14%, respectively, through 2026. We believe our RxSight system addresses key limitations that have slowed adoption of premium cataract procedures and premium IOL market growth. We believe there is an opportunity to not only gain share in the premium IOL segment of the market but also increase penetration of premium IOLs in the broader IOL market, by converting doctors as well as</w:t>
      </w:r>
    </w:p>
    <w:p>
      <w:pPr>
        <w:spacing w:after="0" w:line="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patients with astigmatism currently electing for conventional cataract surgery.</w:t>
      </w:r>
    </w:p>
    <w:p>
      <w:pPr>
        <w:spacing w:after="0" w:line="14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0780"/>
          </w:cols>
          <w:pgMar w:left="320" w:top="440" w:right="79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660" w:right="60" w:hanging="209"/>
        <w:spacing w:after="0" w:line="254"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Primarily out-of-pocket, cash-pay procedure, which we believe makes the premium IOL market less sensitive to reimbursement. </w:t>
      </w:r>
      <w:r>
        <w:rPr>
          <w:rFonts w:ascii="Arial" w:cs="Arial" w:eastAsia="Arial" w:hAnsi="Arial"/>
          <w:sz w:val="16"/>
          <w:szCs w:val="16"/>
          <w:color w:val="auto"/>
        </w:rPr>
        <w:t>The premium IOL market benefits from well-established and attractive payment dynamics with, we believe, limited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reimbursement risk. In the U.S., healthcare payors typically reimburse the surgeon and facility fee, which represent a fraction of the total procedure cost, while patients pay the surgeon an additional fee, which accounts for a significantly larger component of the total cost. Patients have traditionally demonstrated a willingness to pay the incremental out-of-pocket fee to achieve differentiated visual outcomes associated with premium IOLs and premium-cash pay ophthalmic procedures, such as LASIK, are well established. Given the unique benefits and advantages of the RxSight system, we believe customers will find our value proposition to be compelling and affordable in the context of other premium IOL offerings available today.</w:t>
      </w:r>
    </w:p>
    <w:p>
      <w:pPr>
        <w:spacing w:after="0" w:line="272" w:lineRule="exact"/>
        <w:rPr>
          <w:rFonts w:ascii="Arial" w:cs="Arial" w:eastAsia="Arial" w:hAnsi="Arial"/>
          <w:sz w:val="16"/>
          <w:szCs w:val="16"/>
          <w:color w:val="auto"/>
        </w:rPr>
      </w:pPr>
    </w:p>
    <w:p>
      <w:pPr>
        <w:ind w:left="660" w:hanging="209"/>
        <w:spacing w:after="0" w:line="254"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Concentrated potential customer base, addressable with a focused commercial organization. </w:t>
      </w:r>
      <w:r>
        <w:rPr>
          <w:rFonts w:ascii="Arial" w:cs="Arial" w:eastAsia="Arial" w:hAnsi="Arial"/>
          <w:sz w:val="16"/>
          <w:szCs w:val="16"/>
          <w:color w:val="auto"/>
        </w:rPr>
        <w:t>We are initially focusing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commercial efforts in the United States and on driving adoption with doctors performing a high volume of premium cataract procedures. There were approximately 4,000 surgeons performing cataract surgeries today in the United States, and we estimate that approximately 1,600 surgeons performed approximately 70 to 80% of premium IOL procedures in the United States in 2020. We believe this concentrated nature of the premium IOL customer base is easily addressable with a focused sales force and lends itself well to our “land and expand” business model, which is focused on winning customers and driving increased utilization of our LALs. Our direct sales team currently includes 6 sales directors supported by a group of over 40 sales specialists, field service and customer service personnel and covers the entire United States.</w:t>
      </w:r>
    </w:p>
    <w:p>
      <w:pPr>
        <w:spacing w:after="0" w:line="272" w:lineRule="exact"/>
        <w:rPr>
          <w:rFonts w:ascii="Arial" w:cs="Arial" w:eastAsia="Arial" w:hAnsi="Arial"/>
          <w:sz w:val="16"/>
          <w:szCs w:val="16"/>
          <w:color w:val="auto"/>
        </w:rPr>
      </w:pPr>
    </w:p>
    <w:p>
      <w:pPr>
        <w:ind w:left="660" w:right="20" w:hanging="209"/>
        <w:spacing w:after="0" w:line="255"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Proven management team with a track record of establishing adoption of multiple innovative technology platforms in ophthalmology. </w:t>
      </w:r>
      <w:r>
        <w:rPr>
          <w:rFonts w:ascii="Arial" w:cs="Arial" w:eastAsia="Arial" w:hAnsi="Arial"/>
          <w:sz w:val="16"/>
          <w:szCs w:val="16"/>
          <w:color w:val="auto"/>
        </w:rPr>
        <w:t>Our leadership team has extensive experience in scaling novel ophthalmology businesses, guiding them through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approval, launch and commercialization of transformative medical devices. The team is well complemented by leaders with extensive experience in the full product lifecycle including designing and developing new technologies, collaborating closely with regulatory agencies, identifying the appropriate path to market and subsequently attracting and effectively managing sales and marketing talent. Members of our team have previously worked with leading ophthalmology medical technology companies including Chiron, IntraLase, eyeonics, and LenSx Lasers.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Our growth strategies</w:t>
      </w:r>
    </w:p>
    <w:p>
      <w:pPr>
        <w:spacing w:after="0" w:line="133" w:lineRule="exact"/>
        <w:rPr>
          <w:sz w:val="20"/>
          <w:szCs w:val="20"/>
          <w:color w:val="auto"/>
        </w:rPr>
      </w:pPr>
    </w:p>
    <w:p>
      <w:pPr>
        <w:ind w:left="460" w:right="480"/>
        <w:spacing w:after="0" w:line="256" w:lineRule="auto"/>
        <w:rPr>
          <w:sz w:val="20"/>
          <w:szCs w:val="20"/>
          <w:color w:val="auto"/>
        </w:rPr>
      </w:pPr>
      <w:r>
        <w:rPr>
          <w:rFonts w:ascii="Arial" w:cs="Arial" w:eastAsia="Arial" w:hAnsi="Arial"/>
          <w:sz w:val="16"/>
          <w:szCs w:val="16"/>
          <w:color w:val="auto"/>
        </w:rPr>
        <w:t>Our vision is that a vast majority of the patients and doctors that undergo or perform a cataract surgery procedure, will elect to use our RxSight technology that provides a customizable solution delivering better visual outcomes. Our growth strategies to achieve this vision include:</w:t>
      </w:r>
    </w:p>
    <w:p>
      <w:pPr>
        <w:spacing w:after="0" w:line="76" w:lineRule="exact"/>
        <w:rPr>
          <w:sz w:val="20"/>
          <w:szCs w:val="20"/>
          <w:color w:val="auto"/>
        </w:rPr>
      </w:pPr>
    </w:p>
    <w:p>
      <w:pPr>
        <w:ind w:left="660" w:hanging="209"/>
        <w:spacing w:after="0" w:line="253"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 xml:space="preserve">Strategically expanding our salesforce and marketing activities. </w:t>
      </w:r>
      <w:r>
        <w:rPr>
          <w:rFonts w:ascii="Arial" w:cs="Arial" w:eastAsia="Arial" w:hAnsi="Arial"/>
          <w:sz w:val="16"/>
          <w:szCs w:val="16"/>
          <w:color w:val="auto"/>
        </w:rPr>
        <w:t>We launched of the RxSight system in the third quarter of 2019</w:t>
      </w:r>
      <w:r>
        <w:rPr>
          <w:rFonts w:ascii="Arial" w:cs="Arial" w:eastAsia="Arial" w:hAnsi="Arial"/>
          <w:sz w:val="16"/>
          <w:szCs w:val="16"/>
          <w:b w:val="1"/>
          <w:bCs w:val="1"/>
          <w:color w:val="auto"/>
        </w:rPr>
        <w:t xml:space="preserve"> </w:t>
      </w:r>
      <w:r>
        <w:rPr>
          <w:rFonts w:ascii="Arial" w:cs="Arial" w:eastAsia="Arial" w:hAnsi="Arial"/>
          <w:sz w:val="16"/>
          <w:szCs w:val="16"/>
          <w:color w:val="auto"/>
        </w:rPr>
        <w:t>and, as of March 31, 2021 we have grown our commercial team to include 6 sales directors, supported by a group of over 40 clinical specialists, field service and customer service personnel. Our sales directors are focused on selling the LDD and establishing doctor relationships, and our clinical specialists, field service and customer service personnel are responsible for installing and training on the use of the LDD, fostering patient and doctor education, and assisting with patient flow processes for our RxSight system. While we believe a large proportion of our target market is concentrated within a group of high volume cataract surgeons and addressable with a focused commercial effort, we plan to continue to add highly qualified personnel to our commercial organization, with a strategic mix of sales directors and clinical specialists, to drive further awareness and penetration within our target doctor base performing premium cataract surgeries. As our customer base continues to grow, we also expect to accelerate marketing initiatives and professional education, including training on best practices and techniques.</w:t>
      </w:r>
    </w:p>
    <w:p>
      <w:pPr>
        <w:spacing w:after="0" w:line="316"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0780"/>
          </w:cols>
          <w:pgMar w:left="320" w:top="441" w:right="79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660" w:hanging="209"/>
        <w:spacing w:after="0" w:line="251"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 xml:space="preserve">Establishing new customers and growing our installed base of LDDs. </w:t>
      </w:r>
      <w:r>
        <w:rPr>
          <w:rFonts w:ascii="Arial" w:cs="Arial" w:eastAsia="Arial" w:hAnsi="Arial"/>
          <w:sz w:val="16"/>
          <w:szCs w:val="16"/>
          <w:color w:val="auto"/>
        </w:rPr>
        <w:t>We believe our novel technology provides a differentiated</w:t>
      </w:r>
      <w:r>
        <w:rPr>
          <w:rFonts w:ascii="Arial" w:cs="Arial" w:eastAsia="Arial" w:hAnsi="Arial"/>
          <w:sz w:val="16"/>
          <w:szCs w:val="16"/>
          <w:b w:val="1"/>
          <w:bCs w:val="1"/>
          <w:color w:val="auto"/>
        </w:rPr>
        <w:t xml:space="preserve"> </w:t>
      </w:r>
      <w:r>
        <w:rPr>
          <w:rFonts w:ascii="Arial" w:cs="Arial" w:eastAsia="Arial" w:hAnsi="Arial"/>
          <w:sz w:val="16"/>
          <w:szCs w:val="16"/>
          <w:color w:val="auto"/>
        </w:rPr>
        <w:t>value proposition to doctors as well as patients and provides us the opportunity to both gain market share in the premium IOL market as well as increase the penetration of premium IOL surgery in the broader cataract surgery market. Our initial focus is to grow our market share by winning customers within the 1,600 cataract surgeons that perform a high volume of premium IOL procedures in the United States. To do so, we aim to convert these doctors to the RxSight system by highlighting the clinical, economic and workflow benefits of our solution over other premium IOL technologies. We also intend to address the broader universe of the remaining 2,400 doctors that may perform only a small portion of premium procedures or only perform conventional cataract surgery. We will address this customer universe by promoting broader awareness at industry conferences and tradeshows and highlighting the practice building and economic benefits of our solution, its ease of use, as well as the improved visual outcomes. We are investing in professional education, additional clinical studies and registries that expand our evidence base, facilitating peer-to-peer dialogue and forums and communicating the benefits of our technology through marketing initiatives, publications and podium presentations. We believe that as more patients and doctors gain confidence in our technology, this will drive broader adoption, awareness and confidence amongst the industry to adopt, use and recommend our technology.</w:t>
      </w:r>
    </w:p>
    <w:p>
      <w:pPr>
        <w:spacing w:after="0" w:line="277" w:lineRule="exact"/>
        <w:rPr>
          <w:rFonts w:ascii="Arial" w:cs="Arial" w:eastAsia="Arial" w:hAnsi="Arial"/>
          <w:sz w:val="16"/>
          <w:szCs w:val="16"/>
          <w:color w:val="auto"/>
        </w:rPr>
      </w:pPr>
    </w:p>
    <w:p>
      <w:pPr>
        <w:ind w:left="660" w:right="100" w:hanging="209"/>
        <w:spacing w:after="0" w:line="256"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 xml:space="preserve">Increasing the utilization of our LALs by empowering doctors to grow their practices. </w:t>
      </w:r>
      <w:r>
        <w:rPr>
          <w:rFonts w:ascii="Arial" w:cs="Arial" w:eastAsia="Arial" w:hAnsi="Arial"/>
          <w:sz w:val="16"/>
          <w:szCs w:val="16"/>
          <w:color w:val="auto"/>
        </w:rPr>
        <w:t>Following winning a customer account, we</w:t>
      </w:r>
      <w:r>
        <w:rPr>
          <w:rFonts w:ascii="Arial" w:cs="Arial" w:eastAsia="Arial" w:hAnsi="Arial"/>
          <w:sz w:val="16"/>
          <w:szCs w:val="16"/>
          <w:b w:val="1"/>
          <w:bCs w:val="1"/>
          <w:color w:val="auto"/>
        </w:rPr>
        <w:t xml:space="preserve"> </w:t>
      </w:r>
      <w:r>
        <w:rPr>
          <w:rFonts w:ascii="Arial" w:cs="Arial" w:eastAsia="Arial" w:hAnsi="Arial"/>
          <w:sz w:val="16"/>
          <w:szCs w:val="16"/>
          <w:color w:val="auto"/>
        </w:rPr>
        <w:t>aim to drive increased utilization of our LALs by helping our customers build their practices. We believe this will ultimately result in a growing consumable revenue stream from sales of our LALs. Our team of clinical specialists, field service and customer service personnel are focused on helping our customers be successful with our solution. In addition to personnel support, we provide doctors with marketing materials, such as patient brochures, literature and digital content for website and social media promotions. We also provide ongoing training to doctors on new technology features and developments and education on the benefits of our solution for patients.</w:t>
      </w:r>
    </w:p>
    <w:p>
      <w:pPr>
        <w:spacing w:after="0" w:line="77" w:lineRule="exact"/>
        <w:rPr>
          <w:rFonts w:ascii="Arial" w:cs="Arial" w:eastAsia="Arial" w:hAnsi="Arial"/>
          <w:sz w:val="16"/>
          <w:szCs w:val="16"/>
          <w:color w:val="auto"/>
        </w:rPr>
      </w:pPr>
    </w:p>
    <w:p>
      <w:pPr>
        <w:ind w:left="660" w:right="160" w:hanging="209"/>
        <w:spacing w:after="0" w:line="252"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 xml:space="preserve">Investing in system enhancements to meet the evolving needs of doctors as well as patients. </w:t>
      </w:r>
      <w:r>
        <w:rPr>
          <w:rFonts w:ascii="Arial" w:cs="Arial" w:eastAsia="Arial" w:hAnsi="Arial"/>
          <w:sz w:val="16"/>
          <w:szCs w:val="16"/>
          <w:color w:val="auto"/>
        </w:rPr>
        <w:t>We will continue to enhance our</w:t>
      </w:r>
      <w:r>
        <w:rPr>
          <w:rFonts w:ascii="Arial" w:cs="Arial" w:eastAsia="Arial" w:hAnsi="Arial"/>
          <w:sz w:val="16"/>
          <w:szCs w:val="16"/>
          <w:b w:val="1"/>
          <w:bCs w:val="1"/>
          <w:color w:val="auto"/>
        </w:rPr>
        <w:t xml:space="preserve"> </w:t>
      </w:r>
      <w:r>
        <w:rPr>
          <w:rFonts w:ascii="Arial" w:cs="Arial" w:eastAsia="Arial" w:hAnsi="Arial"/>
          <w:sz w:val="16"/>
          <w:szCs w:val="16"/>
          <w:color w:val="auto"/>
        </w:rPr>
        <w:t>RxSight system to improve the patient and doctor experience, which we expect will help drive adoption. Since our commercial launch, we have implemented a number of impactful product enhancements across our hardware and software platforms, including increasing the range of available LAL powers, modifying the LAL to improve image quality, reducing the margin of residual refractive error, developing new UV spectacles with improved aesthetics and usability and adding a photosensitive anterior layer to help protect the lens from unwanted UV exposure. Our near-term product enhancement efforts are focused on improving ease of use, functionality, cost and efficiency. For example, we are at an advanced stage of development with a working prototype of a lower cost version of the LDD, which we believe will help increase its affordability to lower volume premium IOL practices and facilitate broader adoption across the ophthalmic surgery community. It is anticipated that this lower cost LDD would require a 180 day PMA Supplement for approval in the United States and will require CE Mark certification through a notified body for registration in the European Union.</w:t>
      </w:r>
    </w:p>
    <w:p>
      <w:pPr>
        <w:spacing w:after="0" w:line="83" w:lineRule="exact"/>
        <w:rPr>
          <w:rFonts w:ascii="Arial" w:cs="Arial" w:eastAsia="Arial" w:hAnsi="Arial"/>
          <w:sz w:val="16"/>
          <w:szCs w:val="16"/>
          <w:color w:val="auto"/>
        </w:rPr>
      </w:pPr>
    </w:p>
    <w:p>
      <w:pPr>
        <w:ind w:left="660" w:right="80" w:hanging="209"/>
        <w:spacing w:after="0" w:line="258"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 xml:space="preserve">Expanding the RxSight system’s indications to address additional patients and procedures. </w:t>
      </w:r>
      <w:r>
        <w:rPr>
          <w:rFonts w:ascii="Arial" w:cs="Arial" w:eastAsia="Arial" w:hAnsi="Arial"/>
          <w:sz w:val="16"/>
          <w:szCs w:val="16"/>
          <w:color w:val="auto"/>
        </w:rPr>
        <w:t>We believe our RxSight system is a</w:t>
      </w:r>
      <w:r>
        <w:rPr>
          <w:rFonts w:ascii="Arial" w:cs="Arial" w:eastAsia="Arial" w:hAnsi="Arial"/>
          <w:sz w:val="16"/>
          <w:szCs w:val="16"/>
          <w:b w:val="1"/>
          <w:bCs w:val="1"/>
          <w:color w:val="auto"/>
        </w:rPr>
        <w:t xml:space="preserve"> </w:t>
      </w:r>
      <w:r>
        <w:rPr>
          <w:rFonts w:ascii="Arial" w:cs="Arial" w:eastAsia="Arial" w:hAnsi="Arial"/>
          <w:sz w:val="16"/>
          <w:szCs w:val="16"/>
          <w:color w:val="auto"/>
        </w:rPr>
        <w:t>platform technology that can be used to address a substantial portion of the IOL market. Since our initial FDA approval in November 2017, we have received fifteen supplemental approvals that enable the RxSight system to meet evolving customer needs. These approvals include increasing the range of LAL powers, treatment of lower amounts of residual astigmatism, allowing an optional third refractive adjustment, additional UV protection from ambient UV sources and improved surgical tools.</w:t>
      </w:r>
    </w:p>
    <w:p>
      <w:pPr>
        <w:spacing w:after="0" w:line="121"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0800"/>
          </w:cols>
          <w:pgMar w:left="320" w:top="440" w:right="77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660" w:right="60" w:hanging="209"/>
        <w:spacing w:after="0" w:line="255"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 xml:space="preserve">Growing our commercial operations in international markets. </w:t>
      </w:r>
      <w:r>
        <w:rPr>
          <w:rFonts w:ascii="Arial" w:cs="Arial" w:eastAsia="Arial" w:hAnsi="Arial"/>
          <w:sz w:val="16"/>
          <w:szCs w:val="16"/>
          <w:color w:val="auto"/>
        </w:rPr>
        <w:t>While our current commercial focus is on the large opportunity within</w:t>
      </w:r>
      <w:r>
        <w:rPr>
          <w:rFonts w:ascii="Arial" w:cs="Arial" w:eastAsia="Arial" w:hAnsi="Arial"/>
          <w:sz w:val="16"/>
          <w:szCs w:val="16"/>
          <w:b w:val="1"/>
          <w:bCs w:val="1"/>
          <w:color w:val="auto"/>
        </w:rPr>
        <w:t xml:space="preserve"> </w:t>
      </w:r>
      <w:r>
        <w:rPr>
          <w:rFonts w:ascii="Arial" w:cs="Arial" w:eastAsia="Arial" w:hAnsi="Arial"/>
          <w:sz w:val="16"/>
          <w:szCs w:val="16"/>
          <w:color w:val="auto"/>
        </w:rPr>
        <w:t>the United States, we believe the RxSight system offers compelling benefits for the large population of cataract patients in international markets. According to MarketScope, 75% of the premium IOL procedures in 2020 were outside the United States. Our system has CE Mark approval and approval in Mexico for improving uncorrected visual acuity by adjusting the LAL power to correct residual postoperative refractive error. We may selectively pursue commercial expansion in these or other geographies that accept these approvals in the future, with a priority on markets where we see significant potential opportunity. New approvals may also be sought in large cataract markets with more complex regulatory processes in Asia.</w:t>
      </w:r>
    </w:p>
    <w:p>
      <w:pPr>
        <w:spacing w:after="0" w:line="76" w:lineRule="exact"/>
        <w:rPr>
          <w:rFonts w:ascii="Arial" w:cs="Arial" w:eastAsia="Arial" w:hAnsi="Arial"/>
          <w:sz w:val="16"/>
          <w:szCs w:val="16"/>
          <w:color w:val="auto"/>
        </w:rPr>
      </w:pPr>
    </w:p>
    <w:p>
      <w:pPr>
        <w:ind w:left="660" w:right="80" w:hanging="209"/>
        <w:spacing w:after="0" w:line="258"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 xml:space="preserve">Scaling our business to achieve cost and production efficiencies. </w:t>
      </w:r>
      <w:r>
        <w:rPr>
          <w:rFonts w:ascii="Arial" w:cs="Arial" w:eastAsia="Arial" w:hAnsi="Arial"/>
          <w:sz w:val="16"/>
          <w:szCs w:val="16"/>
          <w:color w:val="auto"/>
        </w:rPr>
        <w:t>We expect to realize operating leverage through increased scale</w:t>
      </w:r>
      <w:r>
        <w:rPr>
          <w:rFonts w:ascii="Arial" w:cs="Arial" w:eastAsia="Arial" w:hAnsi="Arial"/>
          <w:sz w:val="16"/>
          <w:szCs w:val="16"/>
          <w:b w:val="1"/>
          <w:bCs w:val="1"/>
          <w:color w:val="auto"/>
        </w:rPr>
        <w:t xml:space="preserve"> </w:t>
      </w:r>
      <w:r>
        <w:rPr>
          <w:rFonts w:ascii="Arial" w:cs="Arial" w:eastAsia="Arial" w:hAnsi="Arial"/>
          <w:sz w:val="16"/>
          <w:szCs w:val="16"/>
          <w:color w:val="auto"/>
        </w:rPr>
        <w:t>efficiencies as our commercial operations grow. We have executed a number of design and manufacturing process improvements to streamline both LAL and LDD production, while also improving quality and reducing cost. We are also concurrently executing on our strategy to optimize our diverse supply chain and to develop second sources from less expensive suppliers. We anticipate that the combination of these strategies will drive margin improvement.</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Our market and industry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Overview of cataracts</w:t>
      </w:r>
    </w:p>
    <w:p>
      <w:pPr>
        <w:spacing w:after="0" w:line="128" w:lineRule="exact"/>
        <w:rPr>
          <w:sz w:val="20"/>
          <w:szCs w:val="20"/>
          <w:color w:val="auto"/>
        </w:rPr>
      </w:pPr>
    </w:p>
    <w:p>
      <w:pPr>
        <w:ind w:left="460" w:right="20"/>
        <w:spacing w:after="0" w:line="251" w:lineRule="auto"/>
        <w:rPr>
          <w:sz w:val="20"/>
          <w:szCs w:val="20"/>
          <w:color w:val="auto"/>
        </w:rPr>
      </w:pPr>
      <w:r>
        <w:rPr>
          <w:rFonts w:ascii="Arial" w:cs="Arial" w:eastAsia="Arial" w:hAnsi="Arial"/>
          <w:sz w:val="16"/>
          <w:szCs w:val="16"/>
          <w:color w:val="auto"/>
        </w:rPr>
        <w:t>Cataracts are an irreversible and progressive ophthalmic condition in which the eye’s natural lens loses its original transparency and increasingly obstructs or otherwise interferes with the passage of light to the retina, leading to loss of vision and (in advanced cases) to blindness. While there are multiple causes of cataracts, most are age-related. Cataracts affect approximately 50% of all adults by the age of 60 with prevalence continuing to increase with age. As cataracts progress, they also can increase the eye’s sensitivity to light, particularly at night. Cataract formations occur at different rates but affect both eyes in most cases. According to the National Eye Institute, cataracts are the leading cause of blindness worldwide, despite the availability of effective surgical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2721610</wp:posOffset>
            </wp:positionH>
            <wp:positionV relativeFrom="paragraph">
              <wp:posOffset>62230</wp:posOffset>
            </wp:positionV>
            <wp:extent cx="1698625" cy="17551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698625" cy="175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Cataract patients are also often burdened by other common visual disorders, such as refractive error and presbyopia. Refractive errors, caused by mismatches in the focusing power of the anterior structure of the eye (cornea and lens) that prevents proper focus of light onto the retina, includes myopia (near-sightedness, or the inability to see clearly at distance), hyperopia (farsightedness or the inability to see clearly at close up) and astigmatism (distorted vision at all distances). Astigmatism generally is caused by an imperfection in curvature of the cornea. Presbyopia typically occurs in middle age and is caused by the loss of accommodation (flexibility) of the lens of the eye, resulting in the gradual loss of the eyes’ ability to focus on nearby objects.</w:t>
      </w:r>
    </w:p>
    <w:p>
      <w:pPr>
        <w:spacing w:after="0" w:line="126"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0780"/>
          </w:cols>
          <w:pgMar w:left="320" w:top="440" w:right="79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100"/>
        <w:spacing w:after="0" w:line="253" w:lineRule="auto"/>
        <w:rPr>
          <w:sz w:val="20"/>
          <w:szCs w:val="20"/>
          <w:color w:val="auto"/>
        </w:rPr>
      </w:pPr>
      <w:r>
        <w:rPr>
          <w:rFonts w:ascii="Arial" w:cs="Arial" w:eastAsia="Arial" w:hAnsi="Arial"/>
          <w:sz w:val="16"/>
          <w:szCs w:val="16"/>
          <w:color w:val="auto"/>
        </w:rPr>
        <w:t>Amongst the common visual disorders, cataracts are unique in that they cannot be treated non-invasively with eyeglasses or contact lenses. Most patients are typically diagnosed with cataracts during a routine annual visit to their optometrist (“OD”). Once a patient has been diagnosed with cataracts, eyeglasses may help improve vision temporarily; however, surgery is usually recommended to replace the affected natural lens and the OD may refer the patient to a cataract surgeon (ophthalmologist).</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Overview of cataract surgery</w:t>
      </w:r>
    </w:p>
    <w:p>
      <w:pPr>
        <w:spacing w:after="0" w:line="128" w:lineRule="exact"/>
        <w:rPr>
          <w:sz w:val="20"/>
          <w:szCs w:val="20"/>
          <w:color w:val="auto"/>
        </w:rPr>
      </w:pPr>
    </w:p>
    <w:p>
      <w:pPr>
        <w:ind w:left="460" w:right="40"/>
        <w:spacing w:after="0" w:line="253" w:lineRule="auto"/>
        <w:rPr>
          <w:sz w:val="20"/>
          <w:szCs w:val="20"/>
          <w:color w:val="auto"/>
        </w:rPr>
      </w:pPr>
      <w:r>
        <w:rPr>
          <w:rFonts w:ascii="Arial" w:cs="Arial" w:eastAsia="Arial" w:hAnsi="Arial"/>
          <w:sz w:val="16"/>
          <w:szCs w:val="16"/>
          <w:color w:val="auto"/>
        </w:rPr>
        <w:t>Cataract surgery is the most common surgical procedure in the world. In 2020, 22 million cataract surgeries were performed globally, of which 3.7 million were performed in the United States. The number of cataract surgeries performed globally and in the United States is expected to continue to expand as the population over 60 years old is expected to double by 2050, increasing from 962 million (13% of the total population) in 2017 to two billion (21% of the total population) by 2050.</w:t>
      </w:r>
    </w:p>
    <w:p>
      <w:pPr>
        <w:spacing w:after="0" w:line="86"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Cataract surgery involves replacement of the patient’s natural cloudy lens with a clear artificial IOL. Cataract surgery is often bifurcated into two procedure categories, conventional and premium, delineated by the type of lens used during surgery. In conventional cataract surgery, the patient receives a monofocal IOL implant, which is designed to provide vision at one pre-defined distance without correction for other visual problems that often affect cataract surgery patients such as corneal astigmatism and presbyopia. Nearly all patients undergoing conventional cataract surgery will need to rely on glasses to achieve the best distance, intermediate and near vision. Premium cataract surgery involves the use of premium IOLs which are designed also to correct for corneal astigmatism and/or presbyopia. The most commonly used premium IOLs in the market today include multifocal, EDOF and toric lenses. These product offerings reduce the need for spectacles relative to conventional IOLs, but still impose trade-offs with respect to their ability to provide spectacle-free near, intermediate and distance vision.</w:t>
      </w:r>
    </w:p>
    <w:p>
      <w:pPr>
        <w:spacing w:after="0" w:line="90" w:lineRule="exact"/>
        <w:rPr>
          <w:sz w:val="20"/>
          <w:szCs w:val="20"/>
          <w:color w:val="auto"/>
        </w:rPr>
      </w:pPr>
    </w:p>
    <w:p>
      <w:pPr>
        <w:ind w:left="460" w:right="40"/>
        <w:spacing w:after="0" w:line="250" w:lineRule="auto"/>
        <w:rPr>
          <w:sz w:val="20"/>
          <w:szCs w:val="20"/>
          <w:color w:val="auto"/>
        </w:rPr>
      </w:pPr>
      <w:r>
        <w:rPr>
          <w:rFonts w:ascii="Arial" w:cs="Arial" w:eastAsia="Arial" w:hAnsi="Arial"/>
          <w:sz w:val="16"/>
          <w:szCs w:val="16"/>
          <w:color w:val="auto"/>
        </w:rPr>
        <w:t>When preparing patients for cataract surgery, surgeons must have a comprehensive understanding of available IOL options and how to best match a patient to the technology that fits their priorities. Patient decisions are based on a number of factors and tend to be heavily influenced by surgeon recommendations as well as the individual patient’s motivation for spectacle independence as well as willingness to tolerate side effects. During an initial consultation, cataract surgeons often ask patients to fill out a survey regarding their vision experiences and expectations to determine if the patient is a good candidate for a premium IOLs. If the patient is deemed to be a candidate, the surgeon then helps select the appropriate IOL based upon the patient’s lifestyle and therefore the type of vision they most value (i.e., near, intermediate or distance). Significant time is often required to educate patients on the various trade-offs with respect to the visual outcomes associated with each type of premium IOL. Following the patient consultation, surgery is usually scheduled within several weeks or months.</w:t>
      </w:r>
    </w:p>
    <w:p>
      <w:pPr>
        <w:spacing w:after="0" w:line="90" w:lineRule="exact"/>
        <w:rPr>
          <w:sz w:val="20"/>
          <w:szCs w:val="20"/>
          <w:color w:val="auto"/>
        </w:rPr>
      </w:pPr>
    </w:p>
    <w:p>
      <w:pPr>
        <w:ind w:left="460" w:right="60"/>
        <w:spacing w:after="0" w:line="253" w:lineRule="auto"/>
        <w:rPr>
          <w:sz w:val="20"/>
          <w:szCs w:val="20"/>
          <w:color w:val="auto"/>
        </w:rPr>
      </w:pPr>
      <w:r>
        <w:rPr>
          <w:rFonts w:ascii="Arial" w:cs="Arial" w:eastAsia="Arial" w:hAnsi="Arial"/>
          <w:sz w:val="16"/>
          <w:szCs w:val="16"/>
          <w:color w:val="auto"/>
        </w:rPr>
        <w:t>Prior to surgery, the surgeon will have the patient’s eyes measured using one or more diagnostic devices that help the surgeon predict the lens focusing power best suited to achieve the optimal postoperative outcome. Focusing power, expressed in diopters (D), refers to how a lens focuses light to a point (spherical power) or a line (cylindrical or astigmatic power). Accurately predicting lens power is critical to reducing postoperative residual refractive error and delivering the best possible visual outcome.</w:t>
      </w:r>
    </w:p>
    <w:p>
      <w:pPr>
        <w:spacing w:after="0" w:line="86" w:lineRule="exact"/>
        <w:rPr>
          <w:sz w:val="20"/>
          <w:szCs w:val="20"/>
          <w:color w:val="auto"/>
        </w:rPr>
      </w:pPr>
    </w:p>
    <w:p>
      <w:pPr>
        <w:ind w:left="460" w:right="20"/>
        <w:spacing w:after="0" w:line="252" w:lineRule="auto"/>
        <w:rPr>
          <w:sz w:val="20"/>
          <w:szCs w:val="20"/>
          <w:color w:val="auto"/>
        </w:rPr>
      </w:pPr>
      <w:r>
        <w:rPr>
          <w:rFonts w:ascii="Arial" w:cs="Arial" w:eastAsia="Arial" w:hAnsi="Arial"/>
          <w:sz w:val="16"/>
          <w:szCs w:val="16"/>
          <w:color w:val="auto"/>
        </w:rPr>
        <w:t>Once surgery begins, the clouded lens is usually removed through a process known as phacoemulsification. During phacoemulsification, an ophthalmic surgeon makes a small surgical incision in the cornea and inserts an ultrasonic probe that breaks up, or emulsifies, the clouded lens while a hollow needle removes the pieces of the lens. After the cataract is removed, the surgeon inserts the replacement IOL through the same surgical incision. In the United States, cataract surgery is commonly performed in the outpatient setting, such as an Ambulatory Surgery Center (“ASC”), by an ophthalmologist specializing in cataract surgery and often requires only 5 to 15 minutes to complete</w:t>
      </w:r>
    </w:p>
    <w:p>
      <w:pPr>
        <w:spacing w:after="0" w:line="1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0800"/>
          </w:cols>
          <w:pgMar w:left="320" w:top="440" w:right="77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60"/>
        <w:spacing w:after="0" w:line="256" w:lineRule="auto"/>
        <w:rPr>
          <w:sz w:val="20"/>
          <w:szCs w:val="20"/>
          <w:color w:val="auto"/>
        </w:rPr>
      </w:pPr>
      <w:r>
        <w:rPr>
          <w:rFonts w:ascii="Arial" w:cs="Arial" w:eastAsia="Arial" w:hAnsi="Arial"/>
          <w:sz w:val="16"/>
          <w:szCs w:val="16"/>
          <w:color w:val="auto"/>
        </w:rPr>
        <w:t>the procedure. Typically, the patient returns a day after surgery to have their eye evaluated and ensure healing is underway. After approximately one month, patients that received a conventional lens usually return to their optometrist to be fitted for glasses. Patients that selected premium IOLs but are unsatisfied with their visual results may be fitted for glasses or elect for a secondary, remedial procedure.</w:t>
      </w:r>
    </w:p>
    <w:p>
      <w:pPr>
        <w:spacing w:after="0" w:line="83" w:lineRule="exact"/>
        <w:rPr>
          <w:sz w:val="20"/>
          <w:szCs w:val="20"/>
          <w:color w:val="auto"/>
        </w:rPr>
      </w:pPr>
    </w:p>
    <w:p>
      <w:pPr>
        <w:ind w:left="460" w:right="20"/>
        <w:spacing w:after="0" w:line="253" w:lineRule="auto"/>
        <w:rPr>
          <w:sz w:val="20"/>
          <w:szCs w:val="20"/>
          <w:color w:val="auto"/>
        </w:rPr>
      </w:pPr>
      <w:r>
        <w:rPr>
          <w:rFonts w:ascii="Arial" w:cs="Arial" w:eastAsia="Arial" w:hAnsi="Arial"/>
          <w:sz w:val="16"/>
          <w:szCs w:val="16"/>
          <w:color w:val="auto"/>
        </w:rPr>
        <w:t>Illustrated below is an eye before cataract surgery. In Image #1 the surgeon has made a small surgical incision in the cornea and has inserted an ultrasonic probe to break up the clouded lens while the hollow needle (at the tip) removes the pieces of the lens. Image #2 illustrates the eye after the cataract is removed and the surgeon inserts the replacement IOL through the same surgical incision. Image #3 illustrates the new lens before the surgical incision is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2520950</wp:posOffset>
            </wp:positionH>
            <wp:positionV relativeFrom="paragraph">
              <wp:posOffset>-10795</wp:posOffset>
            </wp:positionV>
            <wp:extent cx="2109470" cy="17145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0947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60" w:right="120"/>
        <w:spacing w:after="0" w:line="251" w:lineRule="auto"/>
        <w:rPr>
          <w:sz w:val="20"/>
          <w:szCs w:val="20"/>
          <w:color w:val="auto"/>
        </w:rPr>
      </w:pPr>
      <w:r>
        <w:rPr>
          <w:rFonts w:ascii="Arial" w:cs="Arial" w:eastAsia="Arial" w:hAnsi="Arial"/>
          <w:sz w:val="16"/>
          <w:szCs w:val="16"/>
          <w:color w:val="auto"/>
        </w:rPr>
        <w:t>In the United States, a healthcare payor (primarily CMS) typically provides reimbursement of approximately $500 for a surgeon fee and approximately $1,000 for a facility fee, which includes a conventional IOL. Accounting for reductions in CMS reimbursement and for inflation, reimbursement has decreased two thirds since 1991. The surgeon fee covers all pre-operative cataract testing, the cataract operation and follow-up care for three months. In premium cataract surgery the healthcare payor (primarily CMS) also reimburses the same surgeon and facility fees, but the patient pays the surgeon an additional fee of between $1,489 for a toric IOL and an average of up to $2,398 for other premium lenses, which includes the cost of the premium IOL.</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market opportunity</w:t>
      </w:r>
    </w:p>
    <w:p>
      <w:pPr>
        <w:spacing w:after="0" w:line="128"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In 2020, conventional cataract surgery represented 89% of procedures worldwide and 86% of procedures in the United States; however, the premium IOL market is approximately 37% of the total IOL market today, due to higher lens pricing, and is expected to grow significantly faster. According to MarketScope, the conventional IOL market was approximately $2.3 billion worldwide in 2020 and is expected to grow at a CAGR of 10.5% between 2020 and 2026. Premium IOL revenue was approximately $450 million in the United States and $1.4 billion worldwide in 2020, and is expected to grow at a CAGR of 14% and 14%, respectively, through 2026. The premium cataract surgery market is expected to grow at a meaningfully higher rate than the conventional cataract surgery market due to a number of factors including the growing number of patients who prefer to be spectacle-free post-surgery, technological innovations in premium IOLs, increased access to healthcare and rising disposable income. Premium cataract procedures are also between 10 and 15 times more profitable for doctors and ophthalmology practices than conventional cataract procedures and less impacted by changes in reimbursement because patients are required to pay out-of-pocket to cover the full or incremental costs of premium cataract procedures (depending on the country), while healthcare payors typically cover the full cost of conventional cataract procedures.</w:t>
      </w:r>
    </w:p>
    <w:p>
      <w:pPr>
        <w:spacing w:after="0" w:line="132"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0780"/>
          </w:cols>
          <w:pgMar w:left="320" w:top="441" w:right="79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We believe there is an opportunity to not only gain share in the premium IOL segment of the market but also increase penetration of premium IOLs in the broader IOL market, by converting doctors and patients currently electing for conventional cataract surgery. While 60% of cataract patients rate being spectacle free after cataract surgery as extremely important, premium IOLs represented only 11% and 16% of the procedures worldwide and in the United States, respectively, in 2020. We believe that the premium cataract surgery market remains underpenetrated due to both doctors’ reluctance to recommend premium IOL offerings to the full universe of eligible patients and patients’ confusion in assessing the tradeoffs associated with the wide range of commercially available premium IOL offerings. Furthermore, we believe current premium IOL offerings often cannot deliver on patient expectations with respect to the patient’s ability to see at near, intermediate and far distances without reliance on spectacles.</w:t>
      </w:r>
    </w:p>
    <w:p>
      <w:pPr>
        <w:spacing w:after="0" w:line="90"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color w:val="auto"/>
        </w:rPr>
        <w:t>We are currently focused on further driving awareness and penetration of our system in the premium cataract surgery market, and in the near term, are primarily focusing our commercial efforts on our RxSight system within the United States. We believe this is the most compelling market given the large population of individuals above the age of 60 that are covered by health insurance, the concentrated base of cataract surgeons experienced with premium IOL offerings, the high gross domestic product per capita and the favorable US healthcare reimbursement system which has a well-established history of covering a portion of the cost for cataract surgery.</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Overview of non-adjustable premium IOLs and their limitations</w:t>
      </w:r>
    </w:p>
    <w:p>
      <w:pPr>
        <w:spacing w:after="0" w:line="128" w:lineRule="exact"/>
        <w:rPr>
          <w:sz w:val="20"/>
          <w:szCs w:val="20"/>
          <w:color w:val="auto"/>
        </w:rPr>
      </w:pPr>
    </w:p>
    <w:p>
      <w:pPr>
        <w:ind w:left="460" w:right="40"/>
        <w:spacing w:after="0" w:line="253" w:lineRule="auto"/>
        <w:rPr>
          <w:sz w:val="20"/>
          <w:szCs w:val="20"/>
          <w:color w:val="auto"/>
        </w:rPr>
      </w:pPr>
      <w:r>
        <w:rPr>
          <w:rFonts w:ascii="Arial" w:cs="Arial" w:eastAsia="Arial" w:hAnsi="Arial"/>
          <w:sz w:val="16"/>
          <w:szCs w:val="16"/>
          <w:color w:val="auto"/>
        </w:rPr>
        <w:t>Premium IOLs are designed to correct for the shortcomings of conventional monofocal lenses by correcting for the additional visual problems of astigmatism and/or presbyopia. Astigmatism occurs when there is imperfection in the curvature of the cornea, resulting in blurred distance and near vision. Presbyopia is the gradual loss of the eyes’ ability to focus on nearby objects. Individuals usually begin to experience the effects of presbyopia in their early 40s.</w:t>
      </w:r>
    </w:p>
    <w:p>
      <w:pPr>
        <w:spacing w:after="0" w:line="86" w:lineRule="exact"/>
        <w:rPr>
          <w:sz w:val="20"/>
          <w:szCs w:val="20"/>
          <w:color w:val="auto"/>
        </w:rPr>
      </w:pPr>
    </w:p>
    <w:p>
      <w:pPr>
        <w:ind w:left="460" w:right="380"/>
        <w:spacing w:after="0" w:line="265" w:lineRule="auto"/>
        <w:rPr>
          <w:sz w:val="20"/>
          <w:szCs w:val="20"/>
          <w:color w:val="auto"/>
        </w:rPr>
      </w:pPr>
      <w:r>
        <w:rPr>
          <w:rFonts w:ascii="Arial" w:cs="Arial" w:eastAsia="Arial" w:hAnsi="Arial"/>
          <w:sz w:val="16"/>
          <w:szCs w:val="16"/>
          <w:color w:val="auto"/>
        </w:rPr>
        <w:t>The two primary categories of alternative premium IOLs are presbyopia-correcting IOLs, which include multifocal and EDOF lenses, and astigmatism-correcting, or toric, lenses. Each type of lens offers its own unique set of benefits but also trade-offs.</w:t>
      </w:r>
    </w:p>
    <w:p>
      <w:pPr>
        <w:spacing w:after="0" w:line="68" w:lineRule="exact"/>
        <w:rPr>
          <w:sz w:val="20"/>
          <w:szCs w:val="20"/>
          <w:color w:val="auto"/>
        </w:rPr>
      </w:pPr>
    </w:p>
    <w:p>
      <w:pPr>
        <w:ind w:left="660" w:hanging="209"/>
        <w:spacing w:after="0"/>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Presbyopia-Correcting IOLs</w:t>
      </w:r>
    </w:p>
    <w:p>
      <w:pPr>
        <w:spacing w:after="0" w:line="120" w:lineRule="exact"/>
        <w:rPr>
          <w:rFonts w:ascii="Arial" w:cs="Arial" w:eastAsia="Arial" w:hAnsi="Arial"/>
          <w:sz w:val="16"/>
          <w:szCs w:val="16"/>
          <w:color w:val="auto"/>
        </w:rPr>
      </w:pPr>
    </w:p>
    <w:p>
      <w:pPr>
        <w:ind w:left="1260" w:hanging="403"/>
        <w:spacing w:after="0" w:line="255" w:lineRule="auto"/>
        <w:tabs>
          <w:tab w:leader="none" w:pos="1260" w:val="left"/>
        </w:tabs>
        <w:numPr>
          <w:ilvl w:val="1"/>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Multifocal Lenses. </w:t>
      </w:r>
      <w:r>
        <w:rPr>
          <w:rFonts w:ascii="Arial" w:cs="Arial" w:eastAsia="Arial" w:hAnsi="Arial"/>
          <w:sz w:val="16"/>
          <w:szCs w:val="16"/>
          <w:color w:val="auto"/>
        </w:rPr>
        <w:t>Multifocal lenses have two or more corrective zones, which allow the patient to receive focused light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different distances. Although multifocal lenses provide patients with a wider range of vision compared to the standard monofocal IOLs, multifocal lenses split light across the multiple corrective zones on the lens, sometimes impacting the patient’s visual quality. For example, approximately 2-3 times as many patients who choose a multifocal lens over a monofocal lens experience side effects such as glare and halos, as well as reduced contrast vision, which are especially problematic in dim and low light situations such as driving at night. For some patients these become more pronounced and can lead to explantation (removal of the IOL and replacement with another type of IOL).</w:t>
      </w:r>
    </w:p>
    <w:p>
      <w:pPr>
        <w:spacing w:after="0" w:line="76" w:lineRule="exact"/>
        <w:rPr>
          <w:rFonts w:ascii="Arial" w:cs="Arial" w:eastAsia="Arial" w:hAnsi="Arial"/>
          <w:sz w:val="16"/>
          <w:szCs w:val="16"/>
          <w:color w:val="auto"/>
        </w:rPr>
      </w:pPr>
    </w:p>
    <w:p>
      <w:pPr>
        <w:ind w:left="1260" w:right="100" w:hanging="403"/>
        <w:spacing w:after="0" w:line="262" w:lineRule="auto"/>
        <w:tabs>
          <w:tab w:leader="none" w:pos="1260" w:val="left"/>
        </w:tabs>
        <w:numPr>
          <w:ilvl w:val="1"/>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EDOF Lenses. </w:t>
      </w:r>
      <w:r>
        <w:rPr>
          <w:rFonts w:ascii="Arial" w:cs="Arial" w:eastAsia="Arial" w:hAnsi="Arial"/>
          <w:sz w:val="16"/>
          <w:szCs w:val="16"/>
          <w:color w:val="auto"/>
        </w:rPr>
        <w:t>Unlike multifocal lenses, EDOF lenses have only one corrective zone; however, they create an elongated focal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point that allows for a broader range of vision, although patients will still often require glasses for distance and near vision. EDOF lenses will still typically result in glare and halos, as well as reduced contrast vision, although generally less severe than those experienced with multifocal lenses.</w:t>
      </w:r>
    </w:p>
    <w:p>
      <w:pPr>
        <w:spacing w:after="0" w:line="117"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0740"/>
          </w:cols>
          <w:pgMar w:left="320" w:top="440" w:right="83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660" w:hanging="209"/>
        <w:spacing w:after="0" w:line="255"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Astigmatism-Correcting or Toric Lenses. </w:t>
      </w:r>
      <w:r>
        <w:rPr>
          <w:rFonts w:ascii="Arial" w:cs="Arial" w:eastAsia="Arial" w:hAnsi="Arial"/>
          <w:sz w:val="16"/>
          <w:szCs w:val="16"/>
          <w:color w:val="auto"/>
        </w:rPr>
        <w:t>Toric lenses correct for astigmatism, a condition in which the cornea is not uniformly curved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leading to distortion of near and distance vision. Approximately 70% of the population has clinically significant astigmatism of 0.5 diopters or more, according to the MarketScope 2021 IOL report. Corrective toric lenses can provide additional distance, intermediate or near vision correction depending on the power of the lens selected and if their optical design incorporates either multifocal or EDOF features. However, according to the same MarketScope report, surgeons only attempt to correct astigmatism 49% of the time and only 33% of cases use toric lenses. Survey results on the reason for the low adoption rate include poor precision in correcting astigmatism and the requirement of expensive diagnostic equipment.</w:t>
      </w:r>
    </w:p>
    <w:p>
      <w:pPr>
        <w:spacing w:after="0" w:line="84" w:lineRule="exact"/>
        <w:rPr>
          <w:sz w:val="20"/>
          <w:szCs w:val="20"/>
          <w:color w:val="auto"/>
        </w:rPr>
      </w:pPr>
    </w:p>
    <w:p>
      <w:pPr>
        <w:ind w:left="460" w:right="20"/>
        <w:spacing w:after="0" w:line="249" w:lineRule="auto"/>
        <w:rPr>
          <w:sz w:val="20"/>
          <w:szCs w:val="20"/>
          <w:color w:val="auto"/>
        </w:rPr>
      </w:pPr>
      <w:r>
        <w:rPr>
          <w:rFonts w:ascii="Arial" w:cs="Arial" w:eastAsia="Arial" w:hAnsi="Arial"/>
          <w:sz w:val="16"/>
          <w:szCs w:val="16"/>
          <w:color w:val="auto"/>
        </w:rPr>
        <w:t>On the two most recently published ESCRS clinical trend surveys, 44% of surgeons and 36% of surgeons reported factors that discourage them from offering premium IOLs due to concern over nighttime vision and loss of contrast sensitivity, respectively. A key limitation of alternative premium IOLs is that they cannot be adjusted after the surgery and, as such, require the patient to commit to a desired visual outcome prior to the procedure. However, in discussing vision optimization options with patients ahead of the procedure, it is not easy to demonstrate different visual outcomes to patients with cataracts. Once a premium IOL is selected, another key limitation is the ability of the surgeon to implant the IOL with the level of accuracy required to deliver the patient’s expected outcome. Because the lens power of alternative premium IOLs cannot be changed after implantation, doctors typically spend a great deal of time on preoperative measurements to estimate the most suitable lens power for the patient; however the same diagnostic tests and predictive formulae used for selecting the spherical power of the premium IOL are also used for conventional IOLs. Additionally, the incision made to remove the cloudy lens and insert the IOL along with the resultant healing process often results in the creation of additional levels of astigmatism, which cannot be predicted with precision before cataract surgery. A separate LASIK procedure is the most common surgical procedure to correct any residual visual errors following the cataract procedure.</w:t>
      </w:r>
    </w:p>
    <w:p>
      <w:pPr>
        <w:spacing w:after="0" w:line="284" w:lineRule="exact"/>
        <w:rPr>
          <w:sz w:val="20"/>
          <w:szCs w:val="20"/>
          <w:color w:val="auto"/>
        </w:rPr>
      </w:pPr>
    </w:p>
    <w:p>
      <w:pPr>
        <w:jc w:val="both"/>
        <w:ind w:left="460" w:right="80"/>
        <w:spacing w:after="0" w:line="253" w:lineRule="auto"/>
        <w:rPr>
          <w:sz w:val="20"/>
          <w:szCs w:val="20"/>
          <w:color w:val="auto"/>
        </w:rPr>
      </w:pPr>
      <w:r>
        <w:rPr>
          <w:rFonts w:ascii="Arial" w:cs="Arial" w:eastAsia="Arial" w:hAnsi="Arial"/>
          <w:sz w:val="16"/>
          <w:szCs w:val="16"/>
          <w:color w:val="auto"/>
        </w:rPr>
        <w:t>We believe that the need to commit to a visual outcome before surgery combined with the limited ability to adjust following the procedure are key factors contributing to the low levels of penetration of premium cataract surgery. When expectations regarding postoperative visual acuity and spectacle independence are not met, patients are often disappointed. As a result, surgeons are often less willing to recommend existing premium IOLs to their patients.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Our solution</w:t>
      </w:r>
    </w:p>
    <w:p>
      <w:pPr>
        <w:spacing w:after="0" w:line="133" w:lineRule="exact"/>
        <w:rPr>
          <w:sz w:val="20"/>
          <w:szCs w:val="20"/>
          <w:color w:val="auto"/>
        </w:rPr>
      </w:pPr>
    </w:p>
    <w:p>
      <w:pPr>
        <w:jc w:val="both"/>
        <w:ind w:left="460" w:right="100"/>
        <w:spacing w:after="0" w:line="253" w:lineRule="auto"/>
        <w:rPr>
          <w:sz w:val="20"/>
          <w:szCs w:val="20"/>
          <w:color w:val="auto"/>
        </w:rPr>
      </w:pPr>
      <w:r>
        <w:rPr>
          <w:rFonts w:ascii="Arial" w:cs="Arial" w:eastAsia="Arial" w:hAnsi="Arial"/>
          <w:sz w:val="16"/>
          <w:szCs w:val="16"/>
          <w:color w:val="auto"/>
        </w:rPr>
        <w:t>We designed our RxSight system to address the shortcomings of existing premium IOL technologies and provide a solution that doctors can trust to improve visual outcomes. We began commercializing our solution in the United States in the third quarter of 2019 and are focused on establishing the RxSight system as the standard of care for premium IOL procedures. As of March 31, 2021, we had an installed base of 105 LDDs in ophthalmology practices, and since our inception over 10,000 surgeries have been performed with our system.</w:t>
      </w:r>
    </w:p>
    <w:p>
      <w:pPr>
        <w:spacing w:after="0" w:line="1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0800"/>
          </w:cols>
          <w:pgMar w:left="320" w:top="440" w:right="77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Overview of the RxSight system</w:t>
      </w:r>
    </w:p>
    <w:p>
      <w:pPr>
        <w:spacing w:after="0" w:line="128" w:lineRule="exact"/>
        <w:rPr>
          <w:sz w:val="20"/>
          <w:szCs w:val="20"/>
          <w:color w:val="auto"/>
        </w:rPr>
      </w:pPr>
    </w:p>
    <w:p>
      <w:pPr>
        <w:ind w:left="460" w:right="240"/>
        <w:spacing w:after="0" w:line="253" w:lineRule="auto"/>
        <w:rPr>
          <w:sz w:val="20"/>
          <w:szCs w:val="20"/>
          <w:color w:val="auto"/>
        </w:rPr>
      </w:pPr>
      <w:r>
        <w:rPr>
          <w:rFonts w:ascii="Arial" w:cs="Arial" w:eastAsia="Arial" w:hAnsi="Arial"/>
          <w:sz w:val="16"/>
          <w:szCs w:val="16"/>
          <w:color w:val="auto"/>
        </w:rPr>
        <w:t>Our RxSight system is the first and only FDA-approved IOL technology that enables doctors to customize and optimize visual acuity for patients after cataract surgery. With the RxSight system, the doctor performs a standard cataract procedure to implant the LAL, determines refractive error with patient input after healing is complete, then uses the LDD to reshape the LAL to achieve the patients’ desired vision outcomes. Our RxSight system is comprised of two key components, along with other intraoperative and postoperative accessories:</w:t>
      </w:r>
    </w:p>
    <w:p>
      <w:pPr>
        <w:spacing w:after="0" w:line="79" w:lineRule="exact"/>
        <w:rPr>
          <w:sz w:val="20"/>
          <w:szCs w:val="20"/>
          <w:color w:val="auto"/>
        </w:rPr>
      </w:pPr>
    </w:p>
    <w:p>
      <w:pPr>
        <w:ind w:left="1260" w:right="220" w:hanging="403"/>
        <w:spacing w:after="0" w:line="269" w:lineRule="auto"/>
        <w:tabs>
          <w:tab w:leader="none" w:pos="126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RxSight Light Adjustable Lens</w:t>
      </w:r>
      <w:r>
        <w:rPr>
          <w:rFonts w:ascii="Arial" w:cs="Arial" w:eastAsia="Arial" w:hAnsi="Arial"/>
          <w:sz w:val="16"/>
          <w:szCs w:val="16"/>
          <w:color w:val="auto"/>
        </w:rPr>
        <w:t>: The LAL is our proprietary IOL that can be adjusted postoperatively to improve uncorrected</w:t>
      </w:r>
      <w:r>
        <w:rPr>
          <w:rFonts w:ascii="Arial" w:cs="Arial" w:eastAsia="Arial" w:hAnsi="Arial"/>
          <w:sz w:val="16"/>
          <w:szCs w:val="16"/>
          <w:b w:val="1"/>
          <w:bCs w:val="1"/>
          <w:color w:val="auto"/>
        </w:rPr>
        <w:t xml:space="preserve"> </w:t>
      </w:r>
      <w:r>
        <w:rPr>
          <w:rFonts w:ascii="Arial" w:cs="Arial" w:eastAsia="Arial" w:hAnsi="Arial"/>
          <w:sz w:val="16"/>
          <w:szCs w:val="16"/>
          <w:color w:val="auto"/>
        </w:rPr>
        <w:t>visual acuity. Our novel IOL is made of special photosensitive material that changes shape and power when a specific pattern of UV light is delivered from the LDD.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1610995</wp:posOffset>
            </wp:positionH>
            <wp:positionV relativeFrom="paragraph">
              <wp:posOffset>125095</wp:posOffset>
            </wp:positionV>
            <wp:extent cx="708660" cy="11353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8660" cy="1135380"/>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125095</wp:posOffset>
            </wp:positionV>
            <wp:extent cx="877570" cy="11671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77570" cy="1167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60" w:right="60" w:hanging="403"/>
        <w:spacing w:after="0" w:line="269" w:lineRule="auto"/>
        <w:tabs>
          <w:tab w:leader="none" w:pos="1260"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RxSight Light Delivery Device</w:t>
      </w:r>
      <w:r>
        <w:rPr>
          <w:rFonts w:ascii="Arial" w:cs="Arial" w:eastAsia="Arial" w:hAnsi="Arial"/>
          <w:sz w:val="16"/>
          <w:szCs w:val="16"/>
          <w:color w:val="auto"/>
        </w:rPr>
        <w:t>: The LDD is our proprietary office-based light treatment device that delivers UV light in a precisely</w:t>
      </w:r>
      <w:r>
        <w:rPr>
          <w:rFonts w:ascii="Arial" w:cs="Arial" w:eastAsia="Arial" w:hAnsi="Arial"/>
          <w:sz w:val="16"/>
          <w:szCs w:val="16"/>
          <w:b w:val="1"/>
          <w:bCs w:val="1"/>
          <w:color w:val="auto"/>
        </w:rPr>
        <w:t xml:space="preserve"> </w:t>
      </w:r>
      <w:r>
        <w:rPr>
          <w:rFonts w:ascii="Arial" w:cs="Arial" w:eastAsia="Arial" w:hAnsi="Arial"/>
          <w:sz w:val="16"/>
          <w:szCs w:val="16"/>
          <w:color w:val="auto"/>
        </w:rPr>
        <w:t>programmed pattern to induce a predictable change in the shape and refractive properties of the LAL, enabling surgeons to precisely modify the LAL based on the visual correction needed to achieve the patient’s desired vision after cataract surgery.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2987675</wp:posOffset>
            </wp:positionH>
            <wp:positionV relativeFrom="paragraph">
              <wp:posOffset>-19050</wp:posOffset>
            </wp:positionV>
            <wp:extent cx="1167130" cy="16903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67130" cy="169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foundational technology</w:t>
      </w:r>
    </w:p>
    <w:p>
      <w:pPr>
        <w:spacing w:after="0" w:line="128"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We have developed our RxSight system over the last 20 years and have incorporated expertise and proprietary technologies across multiple disciplines, including optics, material science, chemistry, software and hardware engineering. The proprietary RxSight technology that enables post-operative adjustability is based on the principals of photochemistry. The LAL is made of a photosensitive material that changes shape and power when a specific pattern of UV light is delivered to the LAL.</w:t>
      </w:r>
    </w:p>
    <w:p>
      <w:pPr>
        <w:spacing w:after="0" w:line="86" w:lineRule="exact"/>
        <w:rPr>
          <w:sz w:val="20"/>
          <w:szCs w:val="20"/>
          <w:color w:val="auto"/>
        </w:rPr>
      </w:pPr>
    </w:p>
    <w:p>
      <w:pPr>
        <w:jc w:val="both"/>
        <w:ind w:left="460" w:right="320"/>
        <w:spacing w:after="0" w:line="256" w:lineRule="auto"/>
        <w:rPr>
          <w:sz w:val="20"/>
          <w:szCs w:val="20"/>
          <w:color w:val="auto"/>
        </w:rPr>
      </w:pPr>
      <w:r>
        <w:rPr>
          <w:rFonts w:ascii="Arial" w:cs="Arial" w:eastAsia="Arial" w:hAnsi="Arial"/>
          <w:sz w:val="16"/>
          <w:szCs w:val="16"/>
          <w:color w:val="auto"/>
        </w:rPr>
        <w:t>Our LAL, which we manufacture using our proprietary silicone formulation, leverages the unique material properties of silicone. A silicone molecule consists of an inorganic silicon-oxygen backbone, which is a chain of alternating silicon and oxygen atoms with an attached side group, which is a pair of organic molecules bonded</w:t>
      </w:r>
    </w:p>
    <w:p>
      <w:pPr>
        <w:spacing w:after="0" w:line="121"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0800"/>
          </w:cols>
          <w:pgMar w:left="320" w:top="440" w:right="77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color w:val="auto"/>
        </w:rPr>
        <w:t>to each silicon atom in the chain. Through a process called polymerization, silicone monomers (short chain molecules) are reacted together to form silicone polymers (long chain molecules), which may be cross-linked at multiple points resulting in three-dimensional, rather than linear, structures. By varying chain length, attached side group and cross-linking design, silicone polymers can be tailored to have unique properties, leading to their broad use across a wide array of applications. We have developed a novel application of silicone to optimize the mechanical and optical properties of IOLs in order to improve vision in patients following cataract surgery.</w:t>
      </w:r>
    </w:p>
    <w:p>
      <w:pPr>
        <w:spacing w:after="0" w:line="86" w:lineRule="exact"/>
        <w:rPr>
          <w:sz w:val="20"/>
          <w:szCs w:val="20"/>
          <w:color w:val="auto"/>
        </w:rPr>
      </w:pPr>
    </w:p>
    <w:p>
      <w:pPr>
        <w:ind w:left="460" w:right="40"/>
        <w:spacing w:after="0" w:line="251" w:lineRule="auto"/>
        <w:rPr>
          <w:sz w:val="20"/>
          <w:szCs w:val="20"/>
          <w:color w:val="auto"/>
        </w:rPr>
      </w:pPr>
      <w:r>
        <w:rPr>
          <w:rFonts w:ascii="Arial" w:cs="Arial" w:eastAsia="Arial" w:hAnsi="Arial"/>
          <w:sz w:val="16"/>
          <w:szCs w:val="16"/>
          <w:color w:val="auto"/>
        </w:rPr>
        <w:t>To create the LAL, we use a composition of silicone polymers and monomers, the latter which we call “macromers”, mixed with photo-active molecules and other compounds. The initial composition of our lens material is a viscous liquid that is thermally cured in a lens mold. Thermal curing and photopolymerization use temperature and ultraviolet light, respectively, to initiate and propagate a polymerization reaction. To avoid polymerizing the macromers in the composition, the thermal curing is performed at a low temperature. The partial polymerization of the LAL results in a solid but soft silicone lens, leaving the photosensitive macromers unpolymerized and distributed throughout the lens. While the resulting lens is optically clear, the macromers and photo-active molecules remain free to continuously move within the lens.</w:t>
      </w:r>
    </w:p>
    <w:p>
      <w:pPr>
        <w:spacing w:after="0" w:line="88" w:lineRule="exact"/>
        <w:rPr>
          <w:sz w:val="20"/>
          <w:szCs w:val="20"/>
          <w:color w:val="auto"/>
        </w:rPr>
      </w:pPr>
    </w:p>
    <w:p>
      <w:pPr>
        <w:ind w:left="460" w:right="40"/>
        <w:spacing w:after="0" w:line="250" w:lineRule="auto"/>
        <w:rPr>
          <w:sz w:val="20"/>
          <w:szCs w:val="20"/>
          <w:color w:val="auto"/>
        </w:rPr>
      </w:pPr>
      <w:r>
        <w:rPr>
          <w:rFonts w:ascii="Arial" w:cs="Arial" w:eastAsia="Arial" w:hAnsi="Arial"/>
          <w:sz w:val="16"/>
          <w:szCs w:val="16"/>
          <w:color w:val="auto"/>
        </w:rPr>
        <w:t>After packaging and sterilization, the LAL is ready to be implanted as part of a standard cataract surgical procedure to replace the patient’s natural lens. Once wound healing is complete, a short exposure of UV light is applied to the LAL to adjust the refractive properties of the lens. When the UV light is directed to a specific portion of the lens, the exposed macromers in that portion of the lens are polymerized and become stationary. This creates an excess concentration of free macromers in the unexposed portion of the lens and sets up a diffusion gradient over which the unpolymerized macromers move from the concentrated area to the less concentrated area. Over the next one to two days, the unpolymerized macromers redistribute across the lens to achieve a uniform distribution. The redistribution of the macromers causes the exposed portion of the lens to swell relative to the unexposed portion of the lens, enabling refractive power change.</w:t>
      </w:r>
    </w:p>
    <w:p>
      <w:pPr>
        <w:spacing w:after="0" w:line="91" w:lineRule="exact"/>
        <w:rPr>
          <w:sz w:val="20"/>
          <w:szCs w:val="20"/>
          <w:color w:val="auto"/>
        </w:rPr>
      </w:pPr>
    </w:p>
    <w:p>
      <w:pPr>
        <w:ind w:left="460" w:right="100"/>
        <w:spacing w:after="0" w:line="251" w:lineRule="auto"/>
        <w:rPr>
          <w:sz w:val="20"/>
          <w:szCs w:val="20"/>
          <w:color w:val="auto"/>
        </w:rPr>
      </w:pPr>
      <w:r>
        <w:rPr>
          <w:rFonts w:ascii="Arial" w:cs="Arial" w:eastAsia="Arial" w:hAnsi="Arial"/>
          <w:sz w:val="16"/>
          <w:szCs w:val="16"/>
          <w:color w:val="auto"/>
        </w:rPr>
        <w:t>The movement of the macromers causes a highly predictable change in the curvature of the lens. If the central portion of the lens is exposed to UV light, unpolymerized macromers in the periphery of the lens move into the central portion. As a result, the central portion of the lens swells, creating a lens shape for correction of hyperopia. Conversely, if the periphery of the lens is exposed to UV light, unpolymerized macromers in the central portion of the lens migrate into the periphery. As a result, the periphery of the lens swells, creating a lens shape for correction of myopia. In addition to spherical correction for myopia or hyperopia, customized cylinder adjustments along any axis of the lens can be targeted to correct for astigmatism.</w:t>
      </w:r>
    </w:p>
    <w:p>
      <w:pPr>
        <w:spacing w:after="0" w:line="126"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0780"/>
          </w:cols>
          <w:pgMar w:left="320" w:top="440" w:right="79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illustrates the photopolymerization process that results in the change to the curvature of the 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4870450" cy="2052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870450" cy="2052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To achieve the desired refractive change in the LAL, our LDD uses proprietary software and algorithms to deliver a short UV exposure treatment that polymerizes specific portions of the lens according to a predefined pattern of light, called a nomogram. Nomograms allow for adjustment of spherical and cylindrical refraction in 0.25 diopter increments, like the adjustment increments used to refract patients for glasses or contact lenses, as well as in other refractive procedures like LASIK, which has similar refractive accuracy. Designed for placement in the doctor’s office, the LDD is a combination of a standard slit lamp and a digital light projector. The slit lamp portion allows the doctor to see inside the patient’s eye and align the light beam with the LAL. The digital light projector portion projects an image onto the LAL using DLP technology that has approximately 250,000 micro mirrors that are electronically activated to represent an image stored in memory.</w:t>
      </w:r>
    </w:p>
    <w:p>
      <w:pPr>
        <w:spacing w:after="0" w:line="91" w:lineRule="exact"/>
        <w:rPr>
          <w:sz w:val="20"/>
          <w:szCs w:val="20"/>
          <w:color w:val="auto"/>
        </w:rPr>
      </w:pPr>
    </w:p>
    <w:p>
      <w:pPr>
        <w:ind w:left="460" w:right="80"/>
        <w:spacing w:after="0" w:line="253" w:lineRule="auto"/>
        <w:rPr>
          <w:sz w:val="20"/>
          <w:szCs w:val="20"/>
          <w:color w:val="auto"/>
        </w:rPr>
      </w:pPr>
      <w:r>
        <w:rPr>
          <w:rFonts w:ascii="Arial" w:cs="Arial" w:eastAsia="Arial" w:hAnsi="Arial"/>
          <w:sz w:val="16"/>
          <w:szCs w:val="16"/>
          <w:color w:val="auto"/>
        </w:rPr>
        <w:t>Each UV light treatment consumes only a portion of the macromers in the lens, allowing the LAL to be adjusted multiple times. This process can be repeated up to 3 times over a period of several weeks, until the patient and doctor are satisfied. The entire lens is then polymerized to provide a stable correction. After adjustment light treatments are completed, one or two lock-in light treatments are applied to consume all remaining macromers and photo-active compounds. After the final lock-in treatment, the lens power can no longer be adjusted.</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approach</w:t>
      </w:r>
    </w:p>
    <w:p>
      <w:pPr>
        <w:spacing w:after="0" w:line="128" w:lineRule="exact"/>
        <w:rPr>
          <w:sz w:val="20"/>
          <w:szCs w:val="20"/>
          <w:color w:val="auto"/>
        </w:rPr>
      </w:pPr>
    </w:p>
    <w:p>
      <w:pPr>
        <w:ind w:left="460" w:right="40"/>
        <w:spacing w:after="0" w:line="251" w:lineRule="auto"/>
        <w:rPr>
          <w:sz w:val="20"/>
          <w:szCs w:val="20"/>
          <w:color w:val="auto"/>
        </w:rPr>
      </w:pPr>
      <w:r>
        <w:rPr>
          <w:rFonts w:ascii="Arial" w:cs="Arial" w:eastAsia="Arial" w:hAnsi="Arial"/>
          <w:sz w:val="16"/>
          <w:szCs w:val="16"/>
          <w:color w:val="auto"/>
        </w:rPr>
        <w:t>With the RxSight system, the surgeon first performs a standard cataract implant procedure, replacing the patients’ natural lens with the LAL. Following the surgery, after a healing period of 2 to 3 weeks, the patient returns to the doctor’s office and undergoes a standard post-operative refraction. Using a traditional phoropter and vision chart, the clinician determines the refractive error and the prescription required to give the patient the best vision. However, rather than giving the patient a prescription for glasses, the clinician inputs the prescription into the LDD’s graphical user interface. The patient’s eye is then dilated, and a contact lens is applied to the eye when they are seated in front of the LDD for a light treatment. Based on the prescription input, the LDD generates a programmed, predetermined exposure of UV light. For a period of</w:t>
      </w:r>
    </w:p>
    <w:p>
      <w:pPr>
        <w:spacing w:after="0" w:line="31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0800"/>
          </w:cols>
          <w:pgMar w:left="320" w:top="441" w:right="77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60"/>
        <w:spacing w:after="0" w:line="253" w:lineRule="auto"/>
        <w:rPr>
          <w:sz w:val="20"/>
          <w:szCs w:val="20"/>
          <w:color w:val="auto"/>
        </w:rPr>
      </w:pPr>
      <w:r>
        <w:rPr>
          <w:rFonts w:ascii="Arial" w:cs="Arial" w:eastAsia="Arial" w:hAnsi="Arial"/>
          <w:sz w:val="16"/>
          <w:szCs w:val="16"/>
          <w:color w:val="auto"/>
        </w:rPr>
        <w:t>between 30 seconds and 2.5 minutes, the light painlessly and non-invasively re-shapes the LAL IOL in the eye, to correct the measured refractive error. The entire procedure takes approximately 3 to 5 minutes. The patient then returns approximately three to five days later for additional possible light treatments to adjust their vision as desired or to lock-in the lens. Although a patient can receive up to three adjustments, the average number of adjustments in our clinical trial was 1.6.</w:t>
      </w:r>
    </w:p>
    <w:p>
      <w:pPr>
        <w:spacing w:after="0" w:line="86"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The RxSight system enables a fully interactive and iterative process to optimize visual acuity with patients able to compare possible vision outcomes based on their unique preferences and lifestyle requirements before selecting a final prescription for their adjustable lenses. In clinical practice since FDA approval, approximately two thirds of patients undergoing multiple adjustments have requested a change from their original spherical target highlighting the importance of adjustability and customization. From the time of surgery until 24 hours after the LAL is locked in, the patient is required to wear ultraviolet (UV) light protective glasses, as unprotected exposure to light can cause uncontrolled changes in the LAL. The patient may remove the glasses for sleeping, showering and applying eye drops as long as they are not exposed to sunlight.</w:t>
      </w:r>
    </w:p>
    <w:p>
      <w:pPr>
        <w:spacing w:after="0" w:line="36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Blended vision approach with RxSight</w:t>
      </w:r>
    </w:p>
    <w:p>
      <w:pPr>
        <w:spacing w:after="0" w:line="124" w:lineRule="exact"/>
        <w:rPr>
          <w:sz w:val="20"/>
          <w:szCs w:val="20"/>
          <w:color w:val="auto"/>
        </w:rPr>
      </w:pPr>
    </w:p>
    <w:p>
      <w:pPr>
        <w:ind w:left="460" w:right="80"/>
        <w:spacing w:after="0" w:line="249" w:lineRule="auto"/>
        <w:rPr>
          <w:sz w:val="20"/>
          <w:szCs w:val="20"/>
          <w:color w:val="auto"/>
        </w:rPr>
      </w:pPr>
      <w:r>
        <w:rPr>
          <w:rFonts w:ascii="Arial" w:cs="Arial" w:eastAsia="Arial" w:hAnsi="Arial"/>
          <w:sz w:val="16"/>
          <w:szCs w:val="16"/>
          <w:color w:val="auto"/>
        </w:rPr>
        <w:t>In clinical practice, doctors often use the enhanced accuracy and precision of the LAL, as well the ability to customize the correction in each eye after surgery, to improve upon the commonly used blended vision approach to presbyopia treatment. Blended vision (sometimes referred to as monovision or mini-monovision) is commonly selected by presbyopic patients without cataracts as a means to achieve spectacle independence. When used with contact lenses or LASIK, the vision in one eye is corrected more for far-distance, while the other eye is corrected more for near and intermediate distance. This approach is also commonly employed in conventional (monofocal) cataract surgery patients, with nearly 30% of patients receiving blended vision, about three times the rate for presbyopia correcting IOLs. While blended vision using conventional monofocal IOLs can provide improved near and intermediate vision for patients, it is susceptible to the same limitations of accuracy and precision as these IOLs have for distance vision, particularly for astigmatism correction. In addition, patients are very sensitive to which eye is used for near, as well as the difference in focusing power between the two eyes, neither of which can be fully evaluated prior to cataract surgery due to the presence of reduced vision (from the cataract). For all these reasons, doctors often stagger surgery in the two eyes to evaluate outcomes in the first before proceeding to the second.</w:t>
      </w:r>
    </w:p>
    <w:p>
      <w:pPr>
        <w:spacing w:after="0" w:line="94"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We believe the LAL offers a number of potential advantages when taking a blended vision approach. First, because the LAL is going to be adjusted postoperatively, there is no refractive benefit to delaying surgery on the second eye. Doctors often choose to perform surgery in each eye within a week so that the LALs can be adjusted together to optimize vision with both eyes simultaneously. Additionally, the LAL reduces residual astigmatism more effectively (even for the most common low levels), which is known to improve blended vision performance. Finally, the LAL’s spherical power can also be adjusted to customize the vision in both the near and distance eye, as well as to minimize the difference between the two. While this difference usually ends up being within a diopter or less, a level that is generally well accepted by patients, there is considerable variability between individuals. For all these reasons, approximately 80% of LAL patients in clinical practice receive some form of blended vision.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Key Benefits for Patients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RxSight offers significant patient benefits relative to other commercially available premium IOLs:</w:t>
      </w:r>
    </w:p>
    <w:p>
      <w:pPr>
        <w:spacing w:after="0" w:line="100" w:lineRule="exact"/>
        <w:rPr>
          <w:sz w:val="20"/>
          <w:szCs w:val="20"/>
          <w:color w:val="auto"/>
        </w:rPr>
      </w:pPr>
    </w:p>
    <w:p>
      <w:pPr>
        <w:ind w:left="660" w:right="40" w:hanging="209"/>
        <w:spacing w:after="0" w:line="269"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 xml:space="preserve">Superior vision outcomes. </w:t>
      </w:r>
      <w:r>
        <w:rPr>
          <w:rFonts w:ascii="Arial" w:cs="Arial" w:eastAsia="Arial" w:hAnsi="Arial"/>
          <w:sz w:val="16"/>
          <w:szCs w:val="16"/>
          <w:color w:val="auto"/>
        </w:rPr>
        <w:t>In the pivotal study that formed the basis for our FDA approval, the observed rate of eyes with 20/20 or</w:t>
      </w:r>
      <w:r>
        <w:rPr>
          <w:rFonts w:ascii="Arial" w:cs="Arial" w:eastAsia="Arial" w:hAnsi="Arial"/>
          <w:sz w:val="16"/>
          <w:szCs w:val="16"/>
          <w:b w:val="1"/>
          <w:bCs w:val="1"/>
          <w:color w:val="auto"/>
        </w:rPr>
        <w:t xml:space="preserve"> </w:t>
      </w:r>
      <w:r>
        <w:rPr>
          <w:rFonts w:ascii="Arial" w:cs="Arial" w:eastAsia="Arial" w:hAnsi="Arial"/>
          <w:sz w:val="16"/>
          <w:szCs w:val="16"/>
          <w:color w:val="auto"/>
        </w:rPr>
        <w:t>better uncorrected distance visual acuity for our LAL was 70.1%. This compares favorably to the results of pivotal studies with similar study designs and patient populations that supported FDA approval of Alcon’s Acrysof Toric (38.4%), and J&amp;J’s Tecnis Toric (43.6%).</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0800"/>
          </w:cols>
          <w:pgMar w:left="320" w:top="440" w:right="77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660" w:right="360" w:hanging="209"/>
        <w:spacing w:after="0" w:line="258"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 xml:space="preserve">Post-operative customization. </w:t>
      </w:r>
      <w:r>
        <w:rPr>
          <w:rFonts w:ascii="Arial" w:cs="Arial" w:eastAsia="Arial" w:hAnsi="Arial"/>
          <w:sz w:val="16"/>
          <w:szCs w:val="16"/>
          <w:color w:val="auto"/>
        </w:rPr>
        <w:t>In contrast to alternative conventional and premium IOL solutions, our system enables patients to</w:t>
      </w:r>
      <w:r>
        <w:rPr>
          <w:rFonts w:ascii="Arial" w:cs="Arial" w:eastAsia="Arial" w:hAnsi="Arial"/>
          <w:sz w:val="16"/>
          <w:szCs w:val="16"/>
          <w:b w:val="1"/>
          <w:bCs w:val="1"/>
          <w:color w:val="auto"/>
        </w:rPr>
        <w:t xml:space="preserve"> </w:t>
      </w:r>
      <w:r>
        <w:rPr>
          <w:rFonts w:ascii="Arial" w:cs="Arial" w:eastAsia="Arial" w:hAnsi="Arial"/>
          <w:sz w:val="16"/>
          <w:szCs w:val="16"/>
          <w:color w:val="auto"/>
        </w:rPr>
        <w:t>preview and compare possible vision outcomes after surgery based on their unique preferences and lifestyle requirements before they select a final prescription for their adjustable lens. With up to 3 possible light treatments, patients can dial-in their optimal visual acuity through an interactive and iterative process. After the initial light treatment, patients trial their vision for 3 to 5 days. Patients may then return for additional light treatments to adjust their vision as desired or to lock-in the lens.</w:t>
      </w:r>
    </w:p>
    <w:p>
      <w:pPr>
        <w:spacing w:after="0" w:line="76" w:lineRule="exact"/>
        <w:rPr>
          <w:rFonts w:ascii="Arial" w:cs="Arial" w:eastAsia="Arial" w:hAnsi="Arial"/>
          <w:sz w:val="16"/>
          <w:szCs w:val="16"/>
          <w:color w:val="auto"/>
        </w:rPr>
      </w:pPr>
    </w:p>
    <w:p>
      <w:pPr>
        <w:ind w:left="660" w:hanging="209"/>
        <w:spacing w:after="0" w:line="258"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 xml:space="preserve">No increase in glare and halo. </w:t>
      </w:r>
      <w:r>
        <w:rPr>
          <w:rFonts w:ascii="Arial" w:cs="Arial" w:eastAsia="Arial" w:hAnsi="Arial"/>
          <w:sz w:val="16"/>
          <w:szCs w:val="16"/>
          <w:color w:val="auto"/>
        </w:rPr>
        <w:t>Our LALs do not induce higher rates of glare and halos compared to monofocal IOLs. In contrast,</w:t>
      </w:r>
      <w:r>
        <w:rPr>
          <w:rFonts w:ascii="Arial" w:cs="Arial" w:eastAsia="Arial" w:hAnsi="Arial"/>
          <w:sz w:val="16"/>
          <w:szCs w:val="16"/>
          <w:b w:val="1"/>
          <w:bCs w:val="1"/>
          <w:color w:val="auto"/>
        </w:rPr>
        <w:t xml:space="preserve"> </w:t>
      </w:r>
      <w:r>
        <w:rPr>
          <w:rFonts w:ascii="Arial" w:cs="Arial" w:eastAsia="Arial" w:hAnsi="Arial"/>
          <w:sz w:val="16"/>
          <w:szCs w:val="16"/>
          <w:color w:val="auto"/>
        </w:rPr>
        <w:t>multifocal IOLs, generally relied upon to improve near vision, are associated with a higher incidence of unwanted side-effects including reduced contrast sensitivity and increased glare and halos around bright lights. This is true for both multifocal and EDOF IOLs resulting in a significant rate of lens removal of the IOL and replacement with another type of IOL. In FDA studies for the Alcon Panoptix, J&amp;J Symfony and Alcon Vivity lenses, 48.8%, 59.2% and 17.0% of subjects, respectively, reported being bothered by halos postoperatively.</w:t>
      </w:r>
    </w:p>
    <w:p>
      <w:pPr>
        <w:spacing w:after="0" w:line="76" w:lineRule="exact"/>
        <w:rPr>
          <w:rFonts w:ascii="Arial" w:cs="Arial" w:eastAsia="Arial" w:hAnsi="Arial"/>
          <w:sz w:val="16"/>
          <w:szCs w:val="16"/>
          <w:color w:val="auto"/>
        </w:rPr>
      </w:pPr>
    </w:p>
    <w:p>
      <w:pPr>
        <w:ind w:left="660" w:right="140" w:hanging="209"/>
        <w:spacing w:after="0" w:line="269"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Minimally invasive procedure</w:t>
      </w:r>
      <w:r>
        <w:rPr>
          <w:rFonts w:ascii="Arial" w:cs="Arial" w:eastAsia="Arial" w:hAnsi="Arial"/>
          <w:sz w:val="16"/>
          <w:szCs w:val="16"/>
          <w:color w:val="auto"/>
        </w:rPr>
        <w:t>. The RxSight system can reduce the potential for secondary surgical procedures by correcting residual</w:t>
      </w:r>
      <w:r>
        <w:rPr>
          <w:rFonts w:ascii="Arial" w:cs="Arial" w:eastAsia="Arial" w:hAnsi="Arial"/>
          <w:sz w:val="16"/>
          <w:szCs w:val="16"/>
          <w:b w:val="1"/>
          <w:bCs w:val="1"/>
          <w:color w:val="auto"/>
        </w:rPr>
        <w:t xml:space="preserve"> </w:t>
      </w:r>
      <w:r>
        <w:rPr>
          <w:rFonts w:ascii="Arial" w:cs="Arial" w:eastAsia="Arial" w:hAnsi="Arial"/>
          <w:sz w:val="16"/>
          <w:szCs w:val="16"/>
          <w:color w:val="auto"/>
        </w:rPr>
        <w:t>refractive error after surgery using our office based LDD to shape the LAL. With other premium IOLs, a separate LASIK procedure is generally the only way to correct for residual visual errors following the primary cataract procedure.</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Key benefits for doctors</w:t>
      </w:r>
    </w:p>
    <w:p>
      <w:pPr>
        <w:spacing w:after="0" w:line="128" w:lineRule="exact"/>
        <w:rPr>
          <w:sz w:val="20"/>
          <w:szCs w:val="20"/>
          <w:color w:val="auto"/>
        </w:rPr>
      </w:pPr>
    </w:p>
    <w:p>
      <w:pPr>
        <w:ind w:left="460" w:right="120"/>
        <w:spacing w:after="0" w:line="265" w:lineRule="auto"/>
        <w:rPr>
          <w:sz w:val="20"/>
          <w:szCs w:val="20"/>
          <w:color w:val="auto"/>
        </w:rPr>
      </w:pPr>
      <w:r>
        <w:rPr>
          <w:rFonts w:ascii="Arial" w:cs="Arial" w:eastAsia="Arial" w:hAnsi="Arial"/>
          <w:sz w:val="16"/>
          <w:szCs w:val="16"/>
          <w:color w:val="auto"/>
        </w:rPr>
        <w:t>We believe RxSight offers significant benefits to doctors relative to other commercially available premium IOLs, the primary benefits of which include the following:</w:t>
      </w:r>
    </w:p>
    <w:p>
      <w:pPr>
        <w:spacing w:after="0" w:line="68" w:lineRule="exact"/>
        <w:rPr>
          <w:sz w:val="20"/>
          <w:szCs w:val="20"/>
          <w:color w:val="auto"/>
        </w:rPr>
      </w:pPr>
    </w:p>
    <w:p>
      <w:pPr>
        <w:ind w:left="660" w:right="20" w:hanging="209"/>
        <w:spacing w:after="0" w:line="258"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 xml:space="preserve">Clear value proposition for patients, allowing doctors to build their premium cataract practices. </w:t>
      </w:r>
      <w:r>
        <w:rPr>
          <w:rFonts w:ascii="Arial" w:cs="Arial" w:eastAsia="Arial" w:hAnsi="Arial"/>
          <w:sz w:val="16"/>
          <w:szCs w:val="16"/>
          <w:color w:val="auto"/>
        </w:rPr>
        <w:t>Rather than having to explain to</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the complicated trade-offs with respect to visual outcomes as well as predict refraction before surgery, the surgeon is able to simply tell the patient that their vision will be corrected post-operatively, similar to receiving a pair of glasses. The doctor can also share the clinical results with the patient, which we believe are compelling and give the patient reassurance that the procedure will provide them with the desired results.</w:t>
      </w:r>
    </w:p>
    <w:p>
      <w:pPr>
        <w:spacing w:after="0" w:line="76" w:lineRule="exact"/>
        <w:rPr>
          <w:rFonts w:ascii="Arial" w:cs="Arial" w:eastAsia="Arial" w:hAnsi="Arial"/>
          <w:sz w:val="16"/>
          <w:szCs w:val="16"/>
          <w:color w:val="auto"/>
        </w:rPr>
      </w:pPr>
    </w:p>
    <w:p>
      <w:pPr>
        <w:ind w:left="660" w:right="300" w:hanging="209"/>
        <w:spacing w:after="0" w:line="262"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 xml:space="preserve">Doctor confidence. </w:t>
      </w:r>
      <w:r>
        <w:rPr>
          <w:rFonts w:ascii="Arial" w:cs="Arial" w:eastAsia="Arial" w:hAnsi="Arial"/>
          <w:sz w:val="16"/>
          <w:szCs w:val="16"/>
          <w:color w:val="auto"/>
        </w:rPr>
        <w:t>The clinical benefit of “dialing-in” to achieve superior visual outcomes after the procedure will give doctors more</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confidence to recommend a premium IOL solution that can meet patients’ expectations. The doctor does not need to decide prior to surgery whether the patient will be particularly sensitive to sub-optimal visual outcomes or side effects (such as glare, halo and loss of contrast). The patient is also unlikely to need a post-operative adjustment such as LASIK to improve the patient’s vision.</w:t>
      </w:r>
    </w:p>
    <w:p>
      <w:pPr>
        <w:spacing w:after="0" w:line="71" w:lineRule="exact"/>
        <w:rPr>
          <w:rFonts w:ascii="Arial" w:cs="Arial" w:eastAsia="Arial" w:hAnsi="Arial"/>
          <w:sz w:val="16"/>
          <w:szCs w:val="16"/>
          <w:color w:val="auto"/>
        </w:rPr>
      </w:pPr>
    </w:p>
    <w:p>
      <w:pPr>
        <w:ind w:left="660" w:right="60" w:hanging="209"/>
        <w:spacing w:after="0" w:line="262"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 xml:space="preserve">Fewer intraoperative measurements. </w:t>
      </w:r>
      <w:r>
        <w:rPr>
          <w:rFonts w:ascii="Arial" w:cs="Arial" w:eastAsia="Arial" w:hAnsi="Arial"/>
          <w:sz w:val="16"/>
          <w:szCs w:val="16"/>
          <w:color w:val="auto"/>
        </w:rPr>
        <w:t>Doctors can spend a great deal of time on intraoperative measurements to better estimate the</w:t>
      </w:r>
      <w:r>
        <w:rPr>
          <w:rFonts w:ascii="Arial" w:cs="Arial" w:eastAsia="Arial" w:hAnsi="Arial"/>
          <w:sz w:val="16"/>
          <w:szCs w:val="16"/>
          <w:b w:val="1"/>
          <w:bCs w:val="1"/>
          <w:color w:val="auto"/>
        </w:rPr>
        <w:t xml:space="preserve"> </w:t>
      </w:r>
      <w:r>
        <w:rPr>
          <w:rFonts w:ascii="Arial" w:cs="Arial" w:eastAsia="Arial" w:hAnsi="Arial"/>
          <w:sz w:val="16"/>
          <w:szCs w:val="16"/>
          <w:color w:val="auto"/>
        </w:rPr>
        <w:t>most suitable lens power to implant since the lens power of existing premium IOLs cannot be changed after implantation. With the RxSight system, surgeons are not as dependent on intraoperative equipment for measurements. Instead, the surgeon can focus on the surgical procedure as residual refractive error can be corrected post-operatively with the LDD adjustment.</w:t>
      </w:r>
    </w:p>
    <w:p>
      <w:pPr>
        <w:spacing w:after="0" w:line="71" w:lineRule="exact"/>
        <w:rPr>
          <w:rFonts w:ascii="Arial" w:cs="Arial" w:eastAsia="Arial" w:hAnsi="Arial"/>
          <w:sz w:val="16"/>
          <w:szCs w:val="16"/>
          <w:color w:val="auto"/>
        </w:rPr>
      </w:pPr>
    </w:p>
    <w:p>
      <w:pPr>
        <w:ind w:left="660" w:right="20" w:hanging="209"/>
        <w:spacing w:after="0" w:line="258"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 xml:space="preserve">Broad application across different patients’ needs. </w:t>
      </w:r>
      <w:r>
        <w:rPr>
          <w:rFonts w:ascii="Arial" w:cs="Arial" w:eastAsia="Arial" w:hAnsi="Arial"/>
          <w:sz w:val="16"/>
          <w:szCs w:val="16"/>
          <w:color w:val="auto"/>
        </w:rPr>
        <w:t>We offer a single IOL that can address a broad range of patient types and needs,</w:t>
      </w:r>
      <w:r>
        <w:rPr>
          <w:rFonts w:ascii="Arial" w:cs="Arial" w:eastAsia="Arial" w:hAnsi="Arial"/>
          <w:sz w:val="16"/>
          <w:szCs w:val="16"/>
          <w:b w:val="1"/>
          <w:bCs w:val="1"/>
          <w:color w:val="auto"/>
        </w:rPr>
        <w:t xml:space="preserve"> </w:t>
      </w:r>
      <w:r>
        <w:rPr>
          <w:rFonts w:ascii="Arial" w:cs="Arial" w:eastAsia="Arial" w:hAnsi="Arial"/>
          <w:sz w:val="16"/>
          <w:szCs w:val="16"/>
          <w:color w:val="auto"/>
        </w:rPr>
        <w:t>while providing a solution that doctors can trust to improve visual outcomes. For example, according to the Market Scope 2021 IOL report, surgeons only use Toric lenses in 33% of astigmatism cases, citing poor precision in correcting astigmatism and the requirement of expensive diagnostic equipment. With the ability to correct down to 0.5 diopters of astigmatism in 0.25 diopters steps, the LAL can address a much wider portion of the underserved astigmatic market.</w:t>
      </w:r>
    </w:p>
    <w:p>
      <w:pPr>
        <w:spacing w:after="0" w:line="121"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0780"/>
          </w:cols>
          <w:pgMar w:left="320" w:top="440" w:right="79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660" w:right="260" w:hanging="209"/>
        <w:spacing w:after="0" w:line="262" w:lineRule="auto"/>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 xml:space="preserve">Satisfied patients leading to potential referrals. </w:t>
      </w:r>
      <w:r>
        <w:rPr>
          <w:rFonts w:ascii="Arial" w:cs="Arial" w:eastAsia="Arial" w:hAnsi="Arial"/>
          <w:sz w:val="16"/>
          <w:szCs w:val="16"/>
          <w:color w:val="auto"/>
        </w:rPr>
        <w:t>While patients need to wear UV protective glasses for a few weeks, and return for</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 visits, patients ultimately have reduced dependence on glasses and few side effects. Improved visual outcomes can drive patient referrals and increase the number of premium IOL surgeries, which generally have higher revenue and profit margin than conventional procedures.</w:t>
      </w:r>
    </w:p>
    <w:p>
      <w:pPr>
        <w:spacing w:after="0" w:line="79" w:lineRule="exact"/>
        <w:rPr>
          <w:sz w:val="20"/>
          <w:szCs w:val="20"/>
          <w:color w:val="auto"/>
        </w:rPr>
      </w:pPr>
    </w:p>
    <w:p>
      <w:pPr>
        <w:ind w:left="460" w:right="60"/>
        <w:spacing w:after="0" w:line="265" w:lineRule="auto"/>
        <w:rPr>
          <w:sz w:val="20"/>
          <w:szCs w:val="20"/>
          <w:color w:val="auto"/>
        </w:rPr>
      </w:pPr>
      <w:r>
        <w:rPr>
          <w:rFonts w:ascii="Arial" w:cs="Arial" w:eastAsia="Arial" w:hAnsi="Arial"/>
          <w:sz w:val="16"/>
          <w:szCs w:val="16"/>
          <w:color w:val="auto"/>
        </w:rPr>
        <w:t>We believe these compelling points of differentiation relative to other commercially available premium IOLs offer key benefits for patients and doctors that will drive broad adoption of the RxSight system.</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Clinical results and studies</w:t>
      </w:r>
    </w:p>
    <w:p>
      <w:pPr>
        <w:spacing w:after="0" w:line="133" w:lineRule="exact"/>
        <w:rPr>
          <w:sz w:val="20"/>
          <w:szCs w:val="20"/>
          <w:color w:val="auto"/>
        </w:rPr>
      </w:pPr>
    </w:p>
    <w:p>
      <w:pPr>
        <w:ind w:left="460" w:right="40"/>
        <w:spacing w:after="0" w:line="253" w:lineRule="auto"/>
        <w:rPr>
          <w:sz w:val="20"/>
          <w:szCs w:val="20"/>
          <w:color w:val="auto"/>
        </w:rPr>
      </w:pPr>
      <w:r>
        <w:rPr>
          <w:rFonts w:ascii="Arial" w:cs="Arial" w:eastAsia="Arial" w:hAnsi="Arial"/>
          <w:sz w:val="16"/>
          <w:szCs w:val="16"/>
          <w:color w:val="auto"/>
        </w:rPr>
        <w:t>The LAL has close to twenty years of clinical history, dating back to first human implantation in 2002. Prior to FDA approval at the end of 2017, most of the early clinical work was completed outside the United States. During this period, RxSight demonstrated the safety, long term stability and usability of this technology. These early clinical and commercial results led us to formally initiate US clinical studies. We have completed one phase 2 study and our phase 3 pivotal randomized clinical study.</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Phase 2 study</w:t>
      </w:r>
    </w:p>
    <w:p>
      <w:pPr>
        <w:spacing w:after="0" w:line="128" w:lineRule="exact"/>
        <w:rPr>
          <w:sz w:val="20"/>
          <w:szCs w:val="20"/>
          <w:color w:val="auto"/>
        </w:rPr>
      </w:pPr>
    </w:p>
    <w:p>
      <w:pPr>
        <w:ind w:left="460" w:right="120"/>
        <w:spacing w:after="0" w:line="255" w:lineRule="auto"/>
        <w:rPr>
          <w:sz w:val="20"/>
          <w:szCs w:val="20"/>
          <w:color w:val="auto"/>
        </w:rPr>
      </w:pPr>
      <w:r>
        <w:rPr>
          <w:rFonts w:ascii="Arial" w:cs="Arial" w:eastAsia="Arial" w:hAnsi="Arial"/>
          <w:sz w:val="16"/>
          <w:szCs w:val="16"/>
          <w:color w:val="auto"/>
        </w:rPr>
        <w:t>In 2010, we completed an FDA Phase 2 study, where 74 subjects had one eye randomly mistargeted during cataract surgery to either -1.00, 0.00, or +1.00 D. Light treatments were performed to address spherical refractive error and 80.8% of the subject eyes achieved a manifest refraction spherical equivalent (MRSE) within 0.50 diopters of target. Three-year follow-up demonstrated excellent long-term safety of the LAL.</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Phase 3 pivotal study</w:t>
      </w:r>
    </w:p>
    <w:p>
      <w:pPr>
        <w:spacing w:after="0" w:line="128" w:lineRule="exact"/>
        <w:rPr>
          <w:sz w:val="20"/>
          <w:szCs w:val="20"/>
          <w:color w:val="auto"/>
        </w:rPr>
      </w:pPr>
    </w:p>
    <w:p>
      <w:pPr>
        <w:ind w:left="460" w:right="80"/>
        <w:spacing w:after="0" w:line="256" w:lineRule="auto"/>
        <w:rPr>
          <w:sz w:val="20"/>
          <w:szCs w:val="20"/>
          <w:color w:val="auto"/>
        </w:rPr>
      </w:pPr>
      <w:r>
        <w:rPr>
          <w:rFonts w:ascii="Arial" w:cs="Arial" w:eastAsia="Arial" w:hAnsi="Arial"/>
          <w:sz w:val="16"/>
          <w:szCs w:val="16"/>
          <w:color w:val="auto"/>
        </w:rPr>
        <w:t>Based on these results and the development of light profiles that reduce residual astigmatism, a Phase 3 Pivotal randomized clinical study of 600 subjects was initiated to evaluate the safety and effectiveness of performing light treatments to correct postoperative spherical and cylindrical refractive error. One-year follow-up of subjects from 17 investigational sites was completed on July 20, 2016.</w:t>
      </w:r>
    </w:p>
    <w:p>
      <w:pPr>
        <w:spacing w:after="0" w:line="83" w:lineRule="exact"/>
        <w:rPr>
          <w:sz w:val="20"/>
          <w:szCs w:val="20"/>
          <w:color w:val="auto"/>
        </w:rPr>
      </w:pPr>
    </w:p>
    <w:p>
      <w:pPr>
        <w:ind w:left="460" w:right="80"/>
        <w:spacing w:after="0" w:line="250" w:lineRule="auto"/>
        <w:rPr>
          <w:sz w:val="20"/>
          <w:szCs w:val="20"/>
          <w:color w:val="auto"/>
        </w:rPr>
      </w:pPr>
      <w:r>
        <w:rPr>
          <w:rFonts w:ascii="Arial" w:cs="Arial" w:eastAsia="Arial" w:hAnsi="Arial"/>
          <w:sz w:val="16"/>
          <w:szCs w:val="16"/>
          <w:color w:val="auto"/>
        </w:rPr>
        <w:t>In this study, 391 subjects had the LAL implanted in one eye and the results were compared at the six-month post-operative visit against 193 subjects with a monofocal control IOL implanted in one eye. The LAL met all primary effectiveness endpoints and was approved by the FDA on November 22, 2017 as the first commercially available adjustable IOL. 70.1% of LAL subjects achieved monocular uncorrected distance visual acuity of 20/20 or better compared to 36.3% of the eyes implanted with the monofocal control IOL. In addition to being statistically significantly better than the control IOL, the observed rate of eyes with 20/20 or better uncorrected distance visual acuity was the highest reported for any approved intraocular lens and approximately twice what was observed by the two most popular astigmatism correcting IOLs (38.4% by Alcon’s Acrysof Toric, and 43.6% by J&amp;J’s Tecnis Toric) in similar patient populations in the pivotal studies that led to their approvals by the FDA.</w:t>
      </w:r>
    </w:p>
    <w:p>
      <w:pPr>
        <w:spacing w:after="0" w:line="281"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Residual astigmatism was dramatically reduced in the LAL subjects, with 82.4% of LAL subjects having 0.50 diopters or less of manifest astigmatism 6 months after cataract surgery compared to 51.3% of eyes with the monofocal control IOL. This is also significantly better than the performance of both the Acrysof Toric (61.6%) and Tecnis Toric (72.3%) IOLs in similar patient populations in the pivotal studies that led to their approvals by the FDA.</w:t>
      </w:r>
    </w:p>
    <w:p>
      <w:pPr>
        <w:spacing w:after="0" w:line="86" w:lineRule="exact"/>
        <w:rPr>
          <w:sz w:val="20"/>
          <w:szCs w:val="20"/>
          <w:color w:val="auto"/>
        </w:rPr>
      </w:pPr>
    </w:p>
    <w:p>
      <w:pPr>
        <w:ind w:left="460" w:right="380"/>
        <w:spacing w:after="0" w:line="252" w:lineRule="auto"/>
        <w:rPr>
          <w:sz w:val="20"/>
          <w:szCs w:val="20"/>
          <w:color w:val="auto"/>
        </w:rPr>
      </w:pPr>
      <w:r>
        <w:rPr>
          <w:rFonts w:ascii="Arial" w:cs="Arial" w:eastAsia="Arial" w:hAnsi="Arial"/>
          <w:sz w:val="16"/>
          <w:szCs w:val="16"/>
          <w:color w:val="auto"/>
        </w:rPr>
        <w:t>In addition to correcting residual astigmatism, LAL subjects received a correction of residual error in MRSE. 92.1% of LAL subjects were within 0.50 diopters of target (compared to 83.4% observed in the control group). In 2018, the European Database of Cataract Surgery (EUROQUO) showed that of 175,503 subjects, 74.0% of eyes were within 0.50 diopters of target. A survey of 97 LASIK research papers published between 2008 and 2015 showed that out of 65,974 subjects, 90.9% were within 0.50 diopters of target. Thus, the LAL demonstrated superior accuracy to conventional cataract surgery and equivalent performance to LASIK.</w:t>
      </w:r>
    </w:p>
    <w:p>
      <w:pPr>
        <w:spacing w:after="0" w:line="124"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0760"/>
          </w:cols>
          <w:pgMar w:left="320" w:top="441" w:right="81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0"/>
        <w:spacing w:after="0" w:line="251" w:lineRule="auto"/>
        <w:rPr>
          <w:sz w:val="20"/>
          <w:szCs w:val="20"/>
          <w:color w:val="auto"/>
        </w:rPr>
      </w:pPr>
      <w:r>
        <w:rPr>
          <w:rFonts w:ascii="Arial" w:cs="Arial" w:eastAsia="Arial" w:hAnsi="Arial"/>
          <w:sz w:val="16"/>
          <w:szCs w:val="16"/>
          <w:color w:val="auto"/>
        </w:rPr>
        <w:t>During the pivotal study, the residual astigmatism was treated using light treatments that corrected between 0.75 and 2.00 diopters per treatment. After completion of this study, a low astigmatism treatment of 0.50 diopters was developed. Under FDA guidance, we conducted a clinical study of 25 subjects who had exactly 0.50 diopters of residual astigmatism 3 weeks after implantation of the LAL. These subjects were treated with the new light treatment and effectiveness was evaluated 3 months after cataract surgery. On August 7, 2020, the FDA granted us approval to distribute this device improvement based on a mean manifest astigmatism of 0.14 diopters compared to a historical control of 0.40 diopters from a monofocal control IOL.</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Reduction in “Outliers”</w:t>
      </w:r>
    </w:p>
    <w:p>
      <w:pPr>
        <w:spacing w:after="0" w:line="128"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We believe it is important to interpret the results of clinical studies in the context of the premium lens market. Typically, customers will receive conventional monofocal IOL implantation with a relatively small out of pocket expense. For all premium lenses, however, the patient incurs a significant additional cost, with the expectation of an improved outcome. Therefore, when a patient receives a mediocre or poor outcome (i.e., “outlier” patients), they can be especially disappointed. The three FDA studies presented in Table 1 were conducted to support FDA approval of the listed IOL. While these studies were conducted independently of each other and not as a head-to head comparison, we believe a comparison of the results of these studies is meaningful as they included similar patient populations, study design, follow-up period and study endpoints, as shown in Table 1 below. Importantly, the proportion of these “outlier” patients in the studies was reduced with the LAL with the chance of having significant residual astigmatism (&gt; 1.00 D) or degraded visual acuity (worse than 20/32) ranging from 1.3%-1.5% for the LAL compared to 5.9-16.6% for the other toric IOLs.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62230</wp:posOffset>
            </wp:positionV>
            <wp:extent cx="6569075" cy="158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Study Lens</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LAL</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Tecnis Toric</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Acrysof Toric</w:t>
            </w:r>
          </w:p>
        </w:tc>
      </w:tr>
      <w:tr>
        <w:trPr>
          <w:trHeight w:val="183"/>
        </w:trPr>
        <w:tc>
          <w:tcPr>
            <w:tcW w:w="57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Number of Clinical Sites</w:t>
            </w:r>
          </w:p>
        </w:tc>
        <w:tc>
          <w:tcPr>
            <w:tcW w:w="15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17</w:t>
            </w:r>
          </w:p>
        </w:tc>
        <w:tc>
          <w:tcPr>
            <w:tcW w:w="14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14</w:t>
            </w:r>
          </w:p>
        </w:tc>
        <w:tc>
          <w:tcPr>
            <w:tcW w:w="15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11</w:t>
            </w:r>
          </w:p>
        </w:tc>
        <w:tc>
          <w:tcPr>
            <w:tcW w:w="60" w:type="dxa"/>
            <w:vAlign w:val="bottom"/>
            <w:shd w:val="clear" w:color="auto" w:fill="CCEEFF"/>
          </w:tcPr>
          <w:p>
            <w:pPr>
              <w:spacing w:after="0"/>
              <w:rPr>
                <w:sz w:val="15"/>
                <w:szCs w:val="15"/>
                <w:color w:val="auto"/>
              </w:rPr>
            </w:pPr>
          </w:p>
        </w:tc>
      </w:tr>
      <w:tr>
        <w:trPr>
          <w:trHeight w:val="190"/>
        </w:trPr>
        <w:tc>
          <w:tcPr>
            <w:tcW w:w="5780" w:type="dxa"/>
            <w:vAlign w:val="bottom"/>
          </w:tcPr>
          <w:p>
            <w:pPr>
              <w:spacing w:after="0"/>
              <w:rPr>
                <w:sz w:val="20"/>
                <w:szCs w:val="20"/>
                <w:color w:val="auto"/>
              </w:rPr>
            </w:pPr>
            <w:r>
              <w:rPr>
                <w:rFonts w:ascii="Arial" w:cs="Arial" w:eastAsia="Arial" w:hAnsi="Arial"/>
                <w:sz w:val="16"/>
                <w:szCs w:val="16"/>
                <w:color w:val="auto"/>
              </w:rPr>
              <w:t>Control Lens</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Monofocal IOL</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Monofocal IOL</w:t>
            </w:r>
          </w:p>
        </w:tc>
        <w:tc>
          <w:tcPr>
            <w:tcW w:w="16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Monofocal IOL</w:t>
            </w:r>
          </w:p>
        </w:tc>
      </w:tr>
      <w:tr>
        <w:trPr>
          <w:trHeight w:val="190"/>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Study Lens Sample Size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60" w:type="dxa"/>
            <w:vAlign w:val="bottom"/>
            <w:shd w:val="clear" w:color="auto" w:fill="CCEEFF"/>
          </w:tcPr>
          <w:p>
            <w:pPr>
              <w:spacing w:after="0"/>
              <w:rPr>
                <w:sz w:val="16"/>
                <w:szCs w:val="16"/>
                <w:color w:val="auto"/>
              </w:rPr>
            </w:pPr>
          </w:p>
        </w:tc>
      </w:tr>
      <w:tr>
        <w:trPr>
          <w:trHeight w:val="190"/>
        </w:trPr>
        <w:tc>
          <w:tcPr>
            <w:tcW w:w="5780" w:type="dxa"/>
            <w:vAlign w:val="bottom"/>
          </w:tcPr>
          <w:p>
            <w:pPr>
              <w:spacing w:after="0"/>
              <w:rPr>
                <w:sz w:val="20"/>
                <w:szCs w:val="20"/>
                <w:color w:val="auto"/>
              </w:rPr>
            </w:pPr>
            <w:r>
              <w:rPr>
                <w:rFonts w:ascii="Arial" w:cs="Arial" w:eastAsia="Arial" w:hAnsi="Arial"/>
                <w:sz w:val="16"/>
                <w:szCs w:val="16"/>
                <w:color w:val="auto"/>
              </w:rPr>
              <w:t>Control Arm Sample Size</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193</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95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250</w:t>
            </w:r>
          </w:p>
        </w:tc>
        <w:tc>
          <w:tcPr>
            <w:tcW w:w="60" w:type="dxa"/>
            <w:vAlign w:val="bottom"/>
          </w:tcPr>
          <w:p>
            <w:pPr>
              <w:spacing w:after="0"/>
              <w:rPr>
                <w:sz w:val="16"/>
                <w:szCs w:val="16"/>
                <w:color w:val="auto"/>
              </w:rPr>
            </w:pPr>
          </w:p>
        </w:tc>
      </w:tr>
      <w:tr>
        <w:trPr>
          <w:trHeight w:val="190"/>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Study Arm Subject Age: Mean [Min, Max]</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65.6 [41,80]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69.4 [41,87]</w:t>
            </w: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71.2 (N/A)</w:t>
            </w:r>
          </w:p>
        </w:tc>
      </w:tr>
      <w:tr>
        <w:trPr>
          <w:trHeight w:val="193"/>
        </w:trPr>
        <w:tc>
          <w:tcPr>
            <w:tcW w:w="5780" w:type="dxa"/>
            <w:vAlign w:val="bottom"/>
          </w:tcPr>
          <w:p>
            <w:pPr>
              <w:spacing w:after="0"/>
              <w:rPr>
                <w:sz w:val="20"/>
                <w:szCs w:val="20"/>
                <w:color w:val="auto"/>
              </w:rPr>
            </w:pPr>
            <w:r>
              <w:rPr>
                <w:rFonts w:ascii="Arial" w:cs="Arial" w:eastAsia="Arial" w:hAnsi="Arial"/>
                <w:sz w:val="16"/>
                <w:szCs w:val="16"/>
                <w:color w:val="auto"/>
              </w:rPr>
              <w:t>Study Outcomes</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Statistical</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Statistical</w:t>
            </w:r>
          </w:p>
        </w:tc>
        <w:tc>
          <w:tcPr>
            <w:tcW w:w="16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Statistical</w:t>
            </w:r>
          </w:p>
        </w:tc>
      </w:tr>
      <w:tr>
        <w:trPr>
          <w:trHeight w:val="190"/>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comparison</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comparison</w:t>
            </w:r>
          </w:p>
        </w:tc>
        <w:tc>
          <w:tcPr>
            <w:tcW w:w="16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comparison</w:t>
            </w:r>
          </w:p>
        </w:tc>
      </w:tr>
      <w:tr>
        <w:trPr>
          <w:trHeight w:val="190"/>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of means and</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of means and</w:t>
            </w:r>
          </w:p>
        </w:tc>
        <w:tc>
          <w:tcPr>
            <w:tcW w:w="16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of means and</w:t>
            </w:r>
          </w:p>
        </w:tc>
      </w:tr>
      <w:tr>
        <w:trPr>
          <w:trHeight w:val="187"/>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proportions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proportions</w:t>
            </w:r>
          </w:p>
        </w:tc>
        <w:tc>
          <w:tcPr>
            <w:tcW w:w="16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proportions</w:t>
            </w:r>
          </w:p>
        </w:tc>
      </w:tr>
      <w:tr>
        <w:trPr>
          <w:trHeight w:val="190"/>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Range of Pre-operative Cylinder</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0.75 - 3.50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0.75 - 3.62</w:t>
            </w: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0.75 – &gt;2.00</w:t>
            </w:r>
          </w:p>
        </w:tc>
      </w:tr>
      <w:tr>
        <w:trPr>
          <w:trHeight w:val="190"/>
        </w:trPr>
        <w:tc>
          <w:tcPr>
            <w:tcW w:w="5780" w:type="dxa"/>
            <w:vAlign w:val="bottom"/>
          </w:tcPr>
          <w:p>
            <w:pPr>
              <w:spacing w:after="0"/>
              <w:rPr>
                <w:sz w:val="20"/>
                <w:szCs w:val="20"/>
                <w:color w:val="auto"/>
              </w:rPr>
            </w:pPr>
            <w:r>
              <w:rPr>
                <w:rFonts w:ascii="Arial" w:cs="Arial" w:eastAsia="Arial" w:hAnsi="Arial"/>
                <w:sz w:val="16"/>
                <w:szCs w:val="16"/>
                <w:color w:val="auto"/>
              </w:rPr>
              <w:t>Follow-Up Period for Primary Endpoints (months)</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 M</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 M</w:t>
            </w:r>
          </w:p>
        </w:tc>
        <w:tc>
          <w:tcPr>
            <w:tcW w:w="16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6M</w:t>
            </w:r>
          </w:p>
        </w:tc>
      </w:tr>
      <w:tr>
        <w:trPr>
          <w:trHeight w:val="193"/>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Range of Lens Cylinder Refractive Correction</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0.75 - 2.00</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7"/>
        </w:trPr>
        <w:tc>
          <w:tcPr>
            <w:tcW w:w="5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(per adjustment)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1.03 - 2.74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1.03 - 2.06</w:t>
            </w:r>
          </w:p>
        </w:tc>
        <w:tc>
          <w:tcPr>
            <w:tcW w:w="60" w:type="dxa"/>
            <w:vAlign w:val="bottom"/>
            <w:shd w:val="clear" w:color="auto" w:fill="CCEEFF"/>
          </w:tcPr>
          <w:p>
            <w:pPr>
              <w:spacing w:after="0"/>
              <w:rPr>
                <w:sz w:val="16"/>
                <w:szCs w:val="16"/>
                <w:color w:val="auto"/>
              </w:rPr>
            </w:pPr>
          </w:p>
        </w:tc>
      </w:tr>
      <w:tr>
        <w:trPr>
          <w:trHeight w:val="190"/>
        </w:trPr>
        <w:tc>
          <w:tcPr>
            <w:tcW w:w="5780" w:type="dxa"/>
            <w:vAlign w:val="bottom"/>
          </w:tcPr>
          <w:p>
            <w:pPr>
              <w:spacing w:after="0"/>
              <w:rPr>
                <w:sz w:val="20"/>
                <w:szCs w:val="20"/>
                <w:color w:val="auto"/>
              </w:rPr>
            </w:pPr>
            <w:r>
              <w:rPr>
                <w:rFonts w:ascii="Arial" w:cs="Arial" w:eastAsia="Arial" w:hAnsi="Arial"/>
                <w:sz w:val="16"/>
                <w:szCs w:val="16"/>
                <w:b w:val="1"/>
                <w:bCs w:val="1"/>
                <w:color w:val="auto"/>
              </w:rPr>
              <w:t>Residual astigmatism worse than 1.00 D (%)</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rPr>
              <w:t>1.5%</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5.9%</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12.3%</w:t>
            </w:r>
          </w:p>
        </w:tc>
        <w:tc>
          <w:tcPr>
            <w:tcW w:w="60" w:type="dxa"/>
            <w:vAlign w:val="bottom"/>
          </w:tcPr>
          <w:p>
            <w:pPr>
              <w:spacing w:after="0"/>
              <w:rPr>
                <w:sz w:val="16"/>
                <w:szCs w:val="16"/>
                <w:color w:val="auto"/>
              </w:rPr>
            </w:pPr>
          </w:p>
        </w:tc>
      </w:tr>
      <w:tr>
        <w:trPr>
          <w:trHeight w:val="190"/>
        </w:trPr>
        <w:tc>
          <w:tcPr>
            <w:tcW w:w="5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UCDVA worse than 20/32 (%)</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10.9%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16.6%</w:t>
            </w:r>
          </w:p>
        </w:tc>
        <w:tc>
          <w:tcPr>
            <w:tcW w:w="60" w:type="dxa"/>
            <w:vAlign w:val="bottom"/>
            <w:shd w:val="clear" w:color="auto" w:fill="CCEEFF"/>
          </w:tcPr>
          <w:p>
            <w:pPr>
              <w:spacing w:after="0"/>
              <w:rPr>
                <w:sz w:val="16"/>
                <w:szCs w:val="16"/>
                <w:color w:val="auto"/>
              </w:rPr>
            </w:pPr>
          </w:p>
        </w:tc>
      </w:tr>
      <w:tr>
        <w:trPr>
          <w:trHeight w:val="190"/>
        </w:trPr>
        <w:tc>
          <w:tcPr>
            <w:tcW w:w="5780" w:type="dxa"/>
            <w:vAlign w:val="bottom"/>
          </w:tcPr>
          <w:p>
            <w:pPr>
              <w:spacing w:after="0"/>
              <w:rPr>
                <w:sz w:val="20"/>
                <w:szCs w:val="20"/>
                <w:color w:val="auto"/>
              </w:rPr>
            </w:pPr>
            <w:r>
              <w:rPr>
                <w:rFonts w:ascii="Arial" w:cs="Arial" w:eastAsia="Arial" w:hAnsi="Arial"/>
                <w:sz w:val="16"/>
                <w:szCs w:val="16"/>
                <w:color w:val="auto"/>
              </w:rPr>
              <w:t>Study Lens Total Adverse Events</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6.4%</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6.9%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60" w:type="dxa"/>
            <w:vAlign w:val="bottom"/>
          </w:tcPr>
          <w:p>
            <w:pPr>
              <w:spacing w:after="0"/>
              <w:rPr>
                <w:sz w:val="16"/>
                <w:szCs w:val="16"/>
                <w:color w:val="auto"/>
              </w:rPr>
            </w:pPr>
          </w:p>
        </w:tc>
      </w:tr>
      <w:tr>
        <w:trPr>
          <w:trHeight w:val="190"/>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Device Related Study Lens Surgical Re-interventions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60" w:type="dxa"/>
            <w:vAlign w:val="bottom"/>
            <w:shd w:val="clear" w:color="auto" w:fill="CCEEFF"/>
          </w:tcPr>
          <w:p>
            <w:pPr>
              <w:spacing w:after="0"/>
              <w:rPr>
                <w:sz w:val="16"/>
                <w:szCs w:val="16"/>
                <w:color w:val="auto"/>
              </w:rPr>
            </w:pP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right="400"/>
        <w:spacing w:after="0" w:line="265" w:lineRule="auto"/>
        <w:rPr>
          <w:sz w:val="20"/>
          <w:szCs w:val="20"/>
          <w:color w:val="auto"/>
        </w:rPr>
      </w:pPr>
      <w:r>
        <w:rPr>
          <w:rFonts w:ascii="Arial" w:cs="Arial" w:eastAsia="Arial" w:hAnsi="Arial"/>
          <w:sz w:val="16"/>
          <w:szCs w:val="16"/>
          <w:color w:val="auto"/>
        </w:rPr>
        <w:t>Table 1. Comparison of Toric IOL Studies using publicly available data for LAL(P160055), Tecnis Toric (P980040/S039) and Acrysof Toric (P930014/Sl5) IOLs.</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0800"/>
          </w:cols>
          <w:pgMar w:left="320" w:top="440" w:right="77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Application to blended vision</w:t>
      </w:r>
    </w:p>
    <w:p>
      <w:pPr>
        <w:spacing w:after="0" w:line="128" w:lineRule="exact"/>
        <w:rPr>
          <w:sz w:val="20"/>
          <w:szCs w:val="20"/>
          <w:color w:val="auto"/>
        </w:rPr>
      </w:pPr>
    </w:p>
    <w:p>
      <w:pPr>
        <w:ind w:left="460" w:right="160"/>
        <w:spacing w:after="0" w:line="250" w:lineRule="auto"/>
        <w:rPr>
          <w:sz w:val="20"/>
          <w:szCs w:val="20"/>
          <w:color w:val="auto"/>
        </w:rPr>
      </w:pPr>
      <w:r>
        <w:rPr>
          <w:rFonts w:ascii="Arial" w:cs="Arial" w:eastAsia="Arial" w:hAnsi="Arial"/>
          <w:sz w:val="16"/>
          <w:szCs w:val="16"/>
          <w:color w:val="auto"/>
        </w:rPr>
        <w:t>Light treatment data from the first 2,325 commercially treated LAL’s indicated that nearly 80% of commercial patients received some form of blended vision with a mean target of 1.00 diopters of add in their “near” eye. One of the unique aspects of the LAL is that patients undergo post cataract surgery light treatments during which they can provide feedback to their doctor about their visual preferences as the amount of refractive difference that is well tolerated between the two eyes is very patient dependent. Importantly, LDD data indicates that nearly two thirds of LAL patients elect to change the target refraction in either the near or distance eye compared to the originally selected target treatment, something that would not be possible with a conventional IOL (except through a second surgical procedure such as LASIK). The graph below shows a histogram of initial and final near add targets in LAL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1755775</wp:posOffset>
            </wp:positionH>
            <wp:positionV relativeFrom="paragraph">
              <wp:posOffset>64135</wp:posOffset>
            </wp:positionV>
            <wp:extent cx="3638550" cy="2696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638550" cy="2696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Figure 1: Distribution of initial and final Near Add of over 2,000 commercial LAL eyes.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Three surgeons have reported clinical results using blended vision. Their results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700" w:type="dxa"/>
            <w:vAlign w:val="bottom"/>
            <w:gridSpan w:val="2"/>
          </w:tcPr>
          <w:p>
            <w:pPr>
              <w:jc w:val="right"/>
              <w:spacing w:after="0"/>
              <w:rPr>
                <w:sz w:val="20"/>
                <w:szCs w:val="20"/>
                <w:color w:val="auto"/>
              </w:rPr>
            </w:pPr>
            <w:r>
              <w:rPr>
                <w:rFonts w:ascii="Arial" w:cs="Arial" w:eastAsia="Arial" w:hAnsi="Arial"/>
                <w:sz w:val="16"/>
                <w:szCs w:val="16"/>
                <w:b w:val="1"/>
                <w:bCs w:val="1"/>
                <w:color w:val="auto"/>
              </w:rPr>
              <w:t>Proportion of subjects</w:t>
            </w:r>
          </w:p>
        </w:tc>
      </w:tr>
      <w:tr>
        <w:trPr>
          <w:trHeight w:val="190"/>
        </w:trPr>
        <w:tc>
          <w:tcPr>
            <w:tcW w:w="35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700" w:type="dxa"/>
            <w:vAlign w:val="bottom"/>
            <w:gridSpan w:val="2"/>
          </w:tcPr>
          <w:p>
            <w:pPr>
              <w:jc w:val="right"/>
              <w:spacing w:after="0"/>
              <w:rPr>
                <w:sz w:val="20"/>
                <w:szCs w:val="20"/>
                <w:color w:val="auto"/>
              </w:rPr>
            </w:pPr>
            <w:r>
              <w:rPr>
                <w:rFonts w:ascii="Arial" w:cs="Arial" w:eastAsia="Arial" w:hAnsi="Arial"/>
                <w:sz w:val="16"/>
                <w:szCs w:val="16"/>
                <w:b w:val="1"/>
                <w:bCs w:val="1"/>
                <w:color w:val="auto"/>
              </w:rPr>
              <w:t>with simultaneous</w:t>
            </w:r>
          </w:p>
        </w:tc>
      </w:tr>
      <w:tr>
        <w:trPr>
          <w:trHeight w:val="190"/>
        </w:trPr>
        <w:tc>
          <w:tcPr>
            <w:tcW w:w="35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700" w:type="dxa"/>
            <w:vAlign w:val="bottom"/>
            <w:gridSpan w:val="2"/>
          </w:tcPr>
          <w:p>
            <w:pPr>
              <w:jc w:val="right"/>
              <w:spacing w:after="0"/>
              <w:rPr>
                <w:sz w:val="20"/>
                <w:szCs w:val="20"/>
                <w:color w:val="auto"/>
              </w:rPr>
            </w:pPr>
            <w:r>
              <w:rPr>
                <w:rFonts w:ascii="Arial" w:cs="Arial" w:eastAsia="Arial" w:hAnsi="Arial"/>
                <w:sz w:val="16"/>
                <w:szCs w:val="16"/>
                <w:b w:val="1"/>
                <w:bCs w:val="1"/>
                <w:color w:val="auto"/>
              </w:rPr>
              <w:t>uncorrected binocular</w:t>
            </w:r>
          </w:p>
        </w:tc>
      </w:tr>
      <w:tr>
        <w:trPr>
          <w:trHeight w:val="190"/>
        </w:trPr>
        <w:tc>
          <w:tcPr>
            <w:tcW w:w="35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020" w:type="dxa"/>
            <w:vAlign w:val="bottom"/>
          </w:tcPr>
          <w:p>
            <w:pPr>
              <w:jc w:val="right"/>
              <w:spacing w:after="0"/>
              <w:rPr>
                <w:sz w:val="20"/>
                <w:szCs w:val="20"/>
                <w:color w:val="auto"/>
              </w:rPr>
            </w:pPr>
            <w:r>
              <w:rPr>
                <w:rFonts w:ascii="Arial" w:cs="Arial" w:eastAsia="Arial" w:hAnsi="Arial"/>
                <w:sz w:val="16"/>
                <w:szCs w:val="16"/>
                <w:b w:val="1"/>
                <w:bCs w:val="1"/>
                <w:color w:val="auto"/>
              </w:rPr>
              <w:t>visual acuity of</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20/20 at</w:t>
            </w:r>
          </w:p>
        </w:tc>
      </w:tr>
      <w:tr>
        <w:trPr>
          <w:trHeight w:val="190"/>
        </w:trPr>
        <w:tc>
          <w:tcPr>
            <w:tcW w:w="35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700" w:type="dxa"/>
            <w:vAlign w:val="bottom"/>
            <w:gridSpan w:val="2"/>
          </w:tcPr>
          <w:p>
            <w:pPr>
              <w:jc w:val="right"/>
              <w:spacing w:after="0"/>
              <w:rPr>
                <w:sz w:val="20"/>
                <w:szCs w:val="20"/>
                <w:color w:val="auto"/>
              </w:rPr>
            </w:pPr>
            <w:r>
              <w:rPr>
                <w:rFonts w:ascii="Arial" w:cs="Arial" w:eastAsia="Arial" w:hAnsi="Arial"/>
                <w:sz w:val="16"/>
                <w:szCs w:val="16"/>
                <w:b w:val="1"/>
                <w:bCs w:val="1"/>
                <w:color w:val="auto"/>
              </w:rPr>
              <w:t>distance and J1 at near</w:t>
            </w:r>
          </w:p>
        </w:tc>
      </w:tr>
      <w:tr>
        <w:trPr>
          <w:trHeight w:val="207"/>
        </w:trPr>
        <w:tc>
          <w:tcPr>
            <w:tcW w:w="3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Site</w:t>
            </w:r>
          </w:p>
        </w:tc>
        <w:tc>
          <w:tcPr>
            <w:tcW w:w="31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Near add</w:t>
            </w:r>
          </w:p>
        </w:tc>
        <w:tc>
          <w:tcPr>
            <w:tcW w:w="3020" w:type="dxa"/>
            <w:vAlign w:val="bottom"/>
            <w:tcBorders>
              <w:bottom w:val="single" w:sz="8" w:color="auto"/>
            </w:tcBorders>
          </w:tcPr>
          <w:p>
            <w:pPr>
              <w:jc w:val="right"/>
              <w:ind w:right="1618"/>
              <w:spacing w:after="0"/>
              <w:rPr>
                <w:sz w:val="20"/>
                <w:szCs w:val="20"/>
                <w:color w:val="auto"/>
              </w:rPr>
            </w:pPr>
            <w:r>
              <w:rPr>
                <w:rFonts w:ascii="Arial" w:cs="Arial" w:eastAsia="Arial" w:hAnsi="Arial"/>
                <w:sz w:val="16"/>
                <w:szCs w:val="16"/>
                <w:b w:val="1"/>
                <w:bCs w:val="1"/>
                <w:color w:val="auto"/>
              </w:rPr>
              <w:t># of subjects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or better</w:t>
            </w:r>
          </w:p>
        </w:tc>
      </w:tr>
      <w:tr>
        <w:trPr>
          <w:trHeight w:val="186"/>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Codet Vision Institute</w:t>
            </w:r>
          </w:p>
        </w:tc>
        <w:tc>
          <w:tcPr>
            <w:tcW w:w="312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Fixed 1.00 D</w:t>
            </w:r>
          </w:p>
        </w:tc>
        <w:tc>
          <w:tcPr>
            <w:tcW w:w="3020" w:type="dxa"/>
            <w:vAlign w:val="bottom"/>
            <w:shd w:val="clear" w:color="auto" w:fill="CCEEFF"/>
          </w:tcPr>
          <w:p>
            <w:pPr>
              <w:jc w:val="right"/>
              <w:ind w:right="1618"/>
              <w:spacing w:after="0"/>
              <w:rPr>
                <w:sz w:val="20"/>
                <w:szCs w:val="20"/>
                <w:color w:val="auto"/>
              </w:rPr>
            </w:pPr>
            <w:r>
              <w:rPr>
                <w:rFonts w:ascii="Arial" w:cs="Arial" w:eastAsia="Arial" w:hAnsi="Arial"/>
                <w:sz w:val="16"/>
                <w:szCs w:val="16"/>
                <w:color w:val="auto"/>
              </w:rPr>
              <w:t>25</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00"/>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(Dr. Chayet)</w:t>
            </w:r>
          </w:p>
        </w:tc>
        <w:tc>
          <w:tcPr>
            <w:tcW w:w="312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3"/>
        </w:trPr>
        <w:tc>
          <w:tcPr>
            <w:tcW w:w="3520" w:type="dxa"/>
            <w:vAlign w:val="bottom"/>
          </w:tcPr>
          <w:p>
            <w:pPr>
              <w:spacing w:after="0"/>
              <w:rPr>
                <w:sz w:val="20"/>
                <w:szCs w:val="20"/>
                <w:color w:val="auto"/>
              </w:rPr>
            </w:pPr>
            <w:r>
              <w:rPr>
                <w:rFonts w:ascii="Arial" w:cs="Arial" w:eastAsia="Arial" w:hAnsi="Arial"/>
                <w:sz w:val="16"/>
                <w:szCs w:val="16"/>
                <w:color w:val="auto"/>
              </w:rPr>
              <w:t>Aloha LASER</w:t>
            </w:r>
          </w:p>
        </w:tc>
        <w:tc>
          <w:tcPr>
            <w:tcW w:w="3120" w:type="dxa"/>
            <w:vAlign w:val="bottom"/>
          </w:tcPr>
          <w:p>
            <w:pPr>
              <w:jc w:val="right"/>
              <w:ind w:right="238"/>
              <w:spacing w:after="0"/>
              <w:rPr>
                <w:sz w:val="20"/>
                <w:szCs w:val="20"/>
                <w:color w:val="auto"/>
              </w:rPr>
            </w:pPr>
            <w:r>
              <w:rPr>
                <w:rFonts w:ascii="Arial" w:cs="Arial" w:eastAsia="Arial" w:hAnsi="Arial"/>
                <w:sz w:val="16"/>
                <w:szCs w:val="16"/>
                <w:color w:val="auto"/>
              </w:rPr>
              <w:t>Customized</w:t>
            </w:r>
          </w:p>
        </w:tc>
        <w:tc>
          <w:tcPr>
            <w:tcW w:w="3020" w:type="dxa"/>
            <w:vAlign w:val="bottom"/>
          </w:tcPr>
          <w:p>
            <w:pPr>
              <w:jc w:val="right"/>
              <w:ind w:right="1618"/>
              <w:spacing w:after="0"/>
              <w:rPr>
                <w:sz w:val="20"/>
                <w:szCs w:val="20"/>
                <w:color w:val="auto"/>
              </w:rPr>
            </w:pPr>
            <w:r>
              <w:rPr>
                <w:rFonts w:ascii="Arial" w:cs="Arial" w:eastAsia="Arial" w:hAnsi="Arial"/>
                <w:sz w:val="16"/>
                <w:szCs w:val="16"/>
                <w:color w:val="auto"/>
              </w:rPr>
              <w:t>17</w:t>
            </w:r>
          </w:p>
        </w:tc>
        <w:tc>
          <w:tcPr>
            <w:tcW w:w="68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199"/>
        </w:trPr>
        <w:tc>
          <w:tcPr>
            <w:tcW w:w="3520" w:type="dxa"/>
            <w:vAlign w:val="bottom"/>
          </w:tcPr>
          <w:p>
            <w:pPr>
              <w:spacing w:after="0"/>
              <w:rPr>
                <w:sz w:val="20"/>
                <w:szCs w:val="20"/>
                <w:color w:val="auto"/>
              </w:rPr>
            </w:pPr>
            <w:r>
              <w:rPr>
                <w:rFonts w:ascii="Arial" w:cs="Arial" w:eastAsia="Arial" w:hAnsi="Arial"/>
                <w:sz w:val="16"/>
                <w:szCs w:val="16"/>
                <w:color w:val="auto"/>
              </w:rPr>
              <w:t>(Drs. Nikpoor and Faulkner)</w:t>
            </w:r>
          </w:p>
        </w:tc>
        <w:tc>
          <w:tcPr>
            <w:tcW w:w="3120" w:type="dxa"/>
            <w:vAlign w:val="bottom"/>
          </w:tcPr>
          <w:p>
            <w:pPr>
              <w:jc w:val="right"/>
              <w:ind w:right="238"/>
              <w:spacing w:after="0"/>
              <w:rPr>
                <w:sz w:val="20"/>
                <w:szCs w:val="20"/>
                <w:color w:val="auto"/>
              </w:rPr>
            </w:pPr>
            <w:r>
              <w:rPr>
                <w:rFonts w:ascii="Arial" w:cs="Arial" w:eastAsia="Arial" w:hAnsi="Arial"/>
                <w:sz w:val="16"/>
                <w:szCs w:val="16"/>
                <w:color w:val="auto"/>
              </w:rPr>
              <w:t>(1.50 D mean)</w:t>
            </w:r>
          </w:p>
        </w:tc>
        <w:tc>
          <w:tcPr>
            <w:tcW w:w="30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5"/>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Newsom Eye</w:t>
            </w:r>
          </w:p>
        </w:tc>
        <w:tc>
          <w:tcPr>
            <w:tcW w:w="312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Customized</w:t>
            </w:r>
          </w:p>
        </w:tc>
        <w:tc>
          <w:tcPr>
            <w:tcW w:w="3020" w:type="dxa"/>
            <w:vAlign w:val="bottom"/>
            <w:shd w:val="clear" w:color="auto" w:fill="CCEEFF"/>
          </w:tcPr>
          <w:p>
            <w:pPr>
              <w:jc w:val="right"/>
              <w:ind w:right="1618"/>
              <w:spacing w:after="0"/>
              <w:rPr>
                <w:sz w:val="20"/>
                <w:szCs w:val="20"/>
                <w:color w:val="auto"/>
              </w:rPr>
            </w:pPr>
            <w:r>
              <w:rPr>
                <w:rFonts w:ascii="Arial" w:cs="Arial" w:eastAsia="Arial" w:hAnsi="Arial"/>
                <w:sz w:val="16"/>
                <w:szCs w:val="16"/>
                <w:color w:val="auto"/>
              </w:rPr>
              <w:t>86</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00"/>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(Dr. Newsom)</w:t>
            </w:r>
          </w:p>
        </w:tc>
        <w:tc>
          <w:tcPr>
            <w:tcW w:w="312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(1.29 D mean)</w:t>
            </w:r>
          </w:p>
        </w:tc>
        <w:tc>
          <w:tcPr>
            <w:tcW w:w="3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25"/>
        </w:trPr>
        <w:tc>
          <w:tcPr>
            <w:tcW w:w="3520" w:type="dxa"/>
            <w:vAlign w:val="bottom"/>
          </w:tcPr>
          <w:p>
            <w:pPr>
              <w:spacing w:after="0"/>
              <w:rPr>
                <w:sz w:val="24"/>
                <w:szCs w:val="24"/>
                <w:color w:val="auto"/>
              </w:rPr>
            </w:pPr>
          </w:p>
        </w:tc>
        <w:tc>
          <w:tcPr>
            <w:tcW w:w="3120" w:type="dxa"/>
            <w:vAlign w:val="bottom"/>
          </w:tcPr>
          <w:p>
            <w:pPr>
              <w:jc w:val="right"/>
              <w:ind w:right="1258"/>
              <w:spacing w:after="0"/>
              <w:rPr>
                <w:sz w:val="20"/>
                <w:szCs w:val="20"/>
                <w:color w:val="auto"/>
              </w:rPr>
            </w:pPr>
            <w:r>
              <w:rPr>
                <w:rFonts w:ascii="Arial" w:cs="Arial" w:eastAsia="Arial" w:hAnsi="Arial"/>
                <w:sz w:val="16"/>
                <w:szCs w:val="16"/>
                <w:color w:val="auto"/>
              </w:rPr>
              <w:t>140</w:t>
            </w:r>
          </w:p>
        </w:tc>
        <w:tc>
          <w:tcPr>
            <w:tcW w:w="30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800"/>
          </w:cols>
          <w:pgMar w:left="320" w:top="441" w:right="77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180"/>
        <w:spacing w:after="0" w:line="256" w:lineRule="auto"/>
        <w:rPr>
          <w:sz w:val="20"/>
          <w:szCs w:val="20"/>
          <w:color w:val="auto"/>
        </w:rPr>
      </w:pPr>
      <w:r>
        <w:rPr>
          <w:rFonts w:ascii="Arial" w:cs="Arial" w:eastAsia="Arial" w:hAnsi="Arial"/>
          <w:sz w:val="16"/>
          <w:szCs w:val="16"/>
          <w:color w:val="auto"/>
        </w:rPr>
        <w:t>The above results of up to 80% of patients with simultaneous uncorrected binocular visual acuity of 20/20 at distance and J1 (20/20) at near or better may be compared with the 40% of subjects achieving the similar level with the most recently approved diffractive multifocal IOL (Panoptix by Alcon).</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Sales and marketing</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sell our RxSight system to cataract doctors and are initially focused on establishing commercial adoption in the United States. We</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commenced a limited launch in the third quarter of 2019 and full commercial launch in the first quarter of 2020 and are initially focused on</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surgeons that perform a high volume of premium cataract surgery procedures. The market is relatively concentrated as there are</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approximately 1,600 cataract surgeons that performed approximately 70 to 80% of the premium cataract procedures in the United States in</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2020. These surgeons are typically part of larger ophthalmology practices with multiple cataract surgeons. According to MarketScope, there</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are approximately 4,000 surgeons that perform cataract surgery in the United States. These surgeons typically have refractive surgery</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practices offering LASIK and are skilled at selling premium procedures to patients on the basis that they offer better vision outcomes. When</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establishing new customer relationships with cataract surgeons, we typically enter into a sales contract for our LDD for approximately</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$125,000 and the LAL for $1,000 and a consignment agreement for our LALs. While we are initially focused on the U.S. opportunity in the</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near term, we have received CE Mark and regulatory approval in Mexico for improving uncorrected visual acuity by adjusting the LAL power</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correct residual postoperative refractive error and may selectively pursue future commercial expansion in Europe or other geographies that</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represent significant volume opportunity, including key markets in Asia. Market Scope estimates that the United States represents</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approximately 25% of the global premium IOL procedures and 40% of the global premium IOL market value.</w:t>
      </w:r>
    </w:p>
    <w:p>
      <w:pPr>
        <w:spacing w:after="0" w:line="108" w:lineRule="exact"/>
        <w:rPr>
          <w:sz w:val="20"/>
          <w:szCs w:val="20"/>
          <w:color w:val="auto"/>
        </w:rPr>
      </w:pPr>
    </w:p>
    <w:p>
      <w:pPr>
        <w:ind w:left="460" w:right="20"/>
        <w:spacing w:after="0" w:line="249" w:lineRule="auto"/>
        <w:rPr>
          <w:sz w:val="20"/>
          <w:szCs w:val="20"/>
          <w:color w:val="auto"/>
        </w:rPr>
      </w:pPr>
      <w:r>
        <w:rPr>
          <w:rFonts w:ascii="Arial" w:cs="Arial" w:eastAsia="Arial" w:hAnsi="Arial"/>
          <w:sz w:val="16"/>
          <w:szCs w:val="16"/>
          <w:color w:val="auto"/>
        </w:rPr>
        <w:t>We commercialize our products in the U.S. through our direct sales team which includes 6 sales directors, and a group of over 40 clinical specialists, field service and customer service personnel. Our sales directors and clinical specialists generally have relevant experience selling cataract surgery products, as well as medical device service and clinical experience. Our commercial strategy involves a “land and expand” sales model, through which we aim to drive adoption of our RxSight system by increasing our installed base of LDDs, which enable consumable revenues from the sale of our LALs. Our sales directors, all of whom have previous experience selling IOLs and capital equipment to cataract and refractive surgery practices, are responsible for establishing relationships with doctors and winning new customers. After training at our facility in California our sales directors are generally proficient to sell the LDD after two to three weeks, assisted, if necessary, by our clinical applications specialists. Our clinical specialists are focused on driving utilization of our LALs by helping customers succeed with our products and build their premium procedure practices. These team members are responsible for installing and training customers on the use of the LDD, fostering patient and education for doctors, training the clinic staff, ophthalmologists and surgeon on selling the benefits of our RxSight system to patients, assisting with patient flow processes for our light adjustable lens system, and providing ongoing customer support. Our clinical specialists will follow initial patients at new customers from implant to completion of LDD treatments, ensuring the surgery center, clinic, ophthalmologists, and surgeons are comfortable with the benefits of our system. While we believe we can cover this concentrated market with a focused sales force, we plan to continue to add highly qualified personnel to our commercial organization, with a strategic mix of sales directors and clinical specialists, to drive further awareness and penetration with cataract surgeons.</w:t>
      </w:r>
    </w:p>
    <w:p>
      <w:pPr>
        <w:spacing w:after="0" w:line="91"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In addition to efforts focused on the high-volume cataract surgeons, we also aim to drive broad adoption with cataract surgeons and to make the RxSight system the standard of care for premium cataract surgery. To achieve this, our commercial organization is focused on driving awareness of the RxSight system through marketing efforts which include promotions at industry and society conferences, podium presentations, publications, social media, and educational webinars focused on highlighting the differentiated benefits of our system. While we</w:t>
      </w:r>
    </w:p>
    <w:p>
      <w:pPr>
        <w:spacing w:after="0" w:line="1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0800"/>
          </w:cols>
          <w:pgMar w:left="320" w:top="441" w:right="77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believe that most doctors who are experienced with premium IOLs require minimal training to utilize our system, we have also developed a robust education capability for doctors, including tools, training programs and peer-to-peer support to facilitate adoption across doctors with all levels of experience. Because cataract surgery using LALs is largely equivalent to the same surgery used for other IOL products, surgeons only require a one-time training on implantation of our LAL. The surgeon, optometrist and technicians are trained on the use of the LDD. Our clinical training specialist attends the first day the staff conducts the LDD treatments to answer questions and direct the process. The clinical training function is an essential component to properly onboard new customers in the United States and to help existing customers utilize the technology to its full potential. For this reason, all customer operations team functions are fully integrated with our sales team and collaborate on new customer onboarding as well as supporting customers with training of their new personnel, upgrades and new indications for use and on-call questions.</w:t>
      </w:r>
    </w:p>
    <w:p>
      <w:pPr>
        <w:spacing w:after="0" w:line="280"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We believe providing ongoing support post-installation is critical to our success in commercializing the RxSight system. We maintain a team of field service engineers, distributed amongst our six core regions, who are responsible for the LDD installation, preventive maintenance and repairs when needed. This team is also responsible for conducting site surveys and ensuring a smooth installation process, typically over a four to five-hour window. The LDD’s reliability has an MTBF (Mean-time-between-failure) of over 200 days, providing a stable uptime. In addition to our field service team, we have an internal customer experience department that directly supports the customer, clinical training specialists and the field service team. We measure our customers’ onboarding satisfaction with an automated customer survey to all participants in the on-boarding training, after the surgeon has completed their first LAL surgery. The survey asks the customer to rate their satisfaction with the overall support and guidance provided by us during the product integration period. Our cumulative surveys, with 126 respondents, compiled as of Q1 2021 indicated 86.8% “Strongly Agree,” and 13.2% “Agree” that they were satisfied with the overall support and guidance provided by us during the product integration period. We also elicit, in an open ended question, suggestions for improvement, with no comments noting a material dissatisfaction with the RxSight system or training. In addition, we conduct a customer satisfaction survey of all customers approximately every 12 months.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Research and development</w:t>
      </w:r>
    </w:p>
    <w:p>
      <w:pPr>
        <w:spacing w:after="0" w:line="133" w:lineRule="exact"/>
        <w:rPr>
          <w:sz w:val="20"/>
          <w:szCs w:val="20"/>
          <w:color w:val="auto"/>
        </w:rPr>
      </w:pPr>
    </w:p>
    <w:p>
      <w:pPr>
        <w:ind w:left="460" w:right="440"/>
        <w:spacing w:after="0" w:line="256" w:lineRule="auto"/>
        <w:rPr>
          <w:sz w:val="20"/>
          <w:szCs w:val="20"/>
          <w:color w:val="auto"/>
        </w:rPr>
      </w:pPr>
      <w:r>
        <w:rPr>
          <w:rFonts w:ascii="Arial" w:cs="Arial" w:eastAsia="Arial" w:hAnsi="Arial"/>
          <w:sz w:val="16"/>
          <w:szCs w:val="16"/>
          <w:color w:val="auto"/>
        </w:rPr>
        <w:t>Our research and development activities are focused on improving clinical outcomes, improving customer experience, expanding our indications for use, reducing manufacturing costs and lifecycle management. Since our initial FDA approval in November 2017, we have received fifteen supplemental approvals including:</w:t>
      </w:r>
    </w:p>
    <w:p>
      <w:pPr>
        <w:spacing w:after="0" w:line="96" w:lineRule="exact"/>
        <w:rPr>
          <w:sz w:val="20"/>
          <w:szCs w:val="20"/>
          <w:color w:val="auto"/>
        </w:rPr>
      </w:pPr>
    </w:p>
    <w:p>
      <w:pPr>
        <w:ind w:left="660" w:hanging="209"/>
        <w:spacing w:after="0"/>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increasing range of available LAL powers (4.0 — 30.0 diopters from a previous range of 10.0 — 30.0 diopters);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corrections of 0.50 diopters of residual refractive error (initial capability was for correction down to 0.75 diopters of residual refractive error);</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new LAL injector and cartridge for customer ease of use and smaller cataract incision size (less likely to induce corneal astigmatism);</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new UV spectacles with improved aesthetics and usability;</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addition of a photosensitive anterior layer that protects the lens from unwanted UV exposure (ActivShield); and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Various manufacturing improvements for the LAL and LDD.</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Ongoing future development activities are expected to include:</w:t>
      </w:r>
    </w:p>
    <w:p>
      <w:pPr>
        <w:spacing w:after="0" w:line="120"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6"/>
          <w:szCs w:val="16"/>
          <w:color w:val="auto"/>
        </w:rPr>
        <w:t>•</w:t>
        <w:tab/>
        <w:t>reduced dependence on UV protective glasses and patient visits;</w:t>
      </w:r>
    </w:p>
    <w:p>
      <w:pPr>
        <w:spacing w:after="0" w:line="14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0780"/>
          </w:cols>
          <w:pgMar w:left="320" w:top="440" w:right="79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660" w:hanging="209"/>
        <w:spacing w:after="0"/>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cost reductions to the LDD; and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continued LAL injector and cartridge improvement for surgeon and technician ease of use.</w:t>
      </w:r>
    </w:p>
    <w:p>
      <w:pPr>
        <w:spacing w:after="0" w:line="108" w:lineRule="exact"/>
        <w:rPr>
          <w:sz w:val="20"/>
          <w:szCs w:val="20"/>
          <w:color w:val="auto"/>
        </w:rPr>
      </w:pPr>
    </w:p>
    <w:p>
      <w:pPr>
        <w:ind w:left="460" w:right="280"/>
        <w:spacing w:after="0" w:line="265" w:lineRule="auto"/>
        <w:rPr>
          <w:sz w:val="20"/>
          <w:szCs w:val="20"/>
          <w:color w:val="auto"/>
        </w:rPr>
      </w:pPr>
      <w:r>
        <w:rPr>
          <w:rFonts w:ascii="Arial" w:cs="Arial" w:eastAsia="Arial" w:hAnsi="Arial"/>
          <w:sz w:val="16"/>
          <w:szCs w:val="16"/>
          <w:color w:val="auto"/>
        </w:rPr>
        <w:t>Research and development expenses were $21.9 million and $29.6 million for the year ended December 31, 2020 and 2019, respectively, and $6.6 million and $5.8 million for the three months ended March 31, 2021 and 2020, respectively.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Manufacturing and supply</w:t>
      </w:r>
    </w:p>
    <w:p>
      <w:pPr>
        <w:spacing w:after="0" w:line="133"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color w:val="auto"/>
        </w:rPr>
        <w:t>We currently manufacture, assemble, test, and ship our LAL and LDD, and various accessory products including a custom injector system for use with our LAL at our campus of three facilities and approximately 110,000 square feet total in Aliso Viejo, California. We have intentionally pursued a vertically integrated manufacturing strategy offering critical advantages, including control over our product quality and rapid product iteration using strong R&amp;D and quality groups. We believe our current manufacturing capacity is sufficient to meet our current expected demand for at least the next 12 months.</w:t>
      </w:r>
    </w:p>
    <w:p>
      <w:pPr>
        <w:spacing w:after="0" w:line="86"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We are registered with the FDA as a medical device manufacturer and are licensed by the State of California to manufacture and distribute our medical devices. We are required to manufacture our products in compliance with the FDA’s Quality System Regulation, or QSR (21 CFR 820). The FDA enforces the QSR through periodic inspections and may also inspect the facilities of our suppliers. We moved to our current Aliso Viejo, California facilities starting in April 2016, all of which have been registered with the FDA, the State of California, and the European Notified Body (British Standards Institution) for the manufacture and distribution of medical devices. The FDA conducted its most recent inspection of our facilities in May 2020.</w:t>
      </w:r>
    </w:p>
    <w:p>
      <w:pPr>
        <w:spacing w:after="0" w:line="88" w:lineRule="exact"/>
        <w:rPr>
          <w:sz w:val="20"/>
          <w:szCs w:val="20"/>
          <w:color w:val="auto"/>
        </w:rPr>
      </w:pPr>
    </w:p>
    <w:p>
      <w:pPr>
        <w:ind w:left="460" w:right="100"/>
        <w:spacing w:after="0" w:line="250" w:lineRule="auto"/>
        <w:rPr>
          <w:sz w:val="20"/>
          <w:szCs w:val="20"/>
          <w:color w:val="auto"/>
        </w:rPr>
      </w:pPr>
      <w:r>
        <w:rPr>
          <w:rFonts w:ascii="Arial" w:cs="Arial" w:eastAsia="Arial" w:hAnsi="Arial"/>
          <w:sz w:val="16"/>
          <w:szCs w:val="16"/>
          <w:color w:val="auto"/>
        </w:rPr>
        <w:t>We have received International Organization for Standardization, or ISO, 13485:2016 certification for our quality management system. ISO certification generally includes recertification audits every third year, scheduled annual surveillance audits and periodic unannounced audits. The most recent surveillance audit was conducted in January 2021 and recertification audit was conducted November 2018. Our next recertification audit and surveillance audit will be due November 2021. The last unannounced audit on our facilities was performed in May 2018. We have also received quality system certification to the Medical Device Single Audit Program (MDSAP) to cover the jurisdictions of United States, Canada, and Australia with plans to expand the certification to Brazil and Japan in November 2021 from the British Standards Institution, The MDSAP certification follows the ISO 13485:2016 certification schedule. To date, our surveillance and recertification audits have not identified any major non-conformities.</w:t>
      </w:r>
    </w:p>
    <w:p>
      <w:pPr>
        <w:spacing w:after="0" w:line="90" w:lineRule="exact"/>
        <w:rPr>
          <w:sz w:val="20"/>
          <w:szCs w:val="20"/>
          <w:color w:val="auto"/>
        </w:rPr>
      </w:pPr>
    </w:p>
    <w:p>
      <w:pPr>
        <w:ind w:left="460" w:right="40"/>
        <w:spacing w:after="0" w:line="253" w:lineRule="auto"/>
        <w:rPr>
          <w:sz w:val="20"/>
          <w:szCs w:val="20"/>
          <w:color w:val="auto"/>
        </w:rPr>
      </w:pPr>
      <w:r>
        <w:rPr>
          <w:rFonts w:ascii="Arial" w:cs="Arial" w:eastAsia="Arial" w:hAnsi="Arial"/>
          <w:sz w:val="16"/>
          <w:szCs w:val="16"/>
          <w:color w:val="auto"/>
        </w:rPr>
        <w:t>The LAL is a silicone intraocular lens made from a proprietary blend of custom chemical components. Chemical component vendors produce the raw materials, which we inspect, blend, further purify, and process, and formulate into uncured silicone blend. Using this uncured silicone, we mold the lens in one of our two Class 7 clean rooms. After curing, the molded lens is inspected and packaged and then sent to a third-party ethylene oxide sterilization vendor. After sterilization, the lens is returned to us for final inspection, packaging, and shipment to customers.</w:t>
      </w:r>
    </w:p>
    <w:p>
      <w:pPr>
        <w:spacing w:after="0" w:line="276" w:lineRule="exact"/>
        <w:rPr>
          <w:sz w:val="20"/>
          <w:szCs w:val="20"/>
          <w:color w:val="auto"/>
        </w:rPr>
      </w:pPr>
    </w:p>
    <w:p>
      <w:pPr>
        <w:ind w:left="460" w:right="80"/>
        <w:spacing w:after="0" w:line="251" w:lineRule="auto"/>
        <w:rPr>
          <w:sz w:val="20"/>
          <w:szCs w:val="20"/>
          <w:color w:val="auto"/>
        </w:rPr>
      </w:pPr>
      <w:r>
        <w:rPr>
          <w:rFonts w:ascii="Arial" w:cs="Arial" w:eastAsia="Arial" w:hAnsi="Arial"/>
          <w:sz w:val="16"/>
          <w:szCs w:val="16"/>
          <w:color w:val="auto"/>
        </w:rPr>
        <w:t>Our LDD is a UV projector medical device, which consists of an anterior segment biomicroscope, computer controllers for performing light treatments, and a biometrically designed patient interface and table. The optics are bonded into their mounts using epoxies, which are then oven cured, assembled into the main optical housing and optimized on a proprietary precision alignment station. The completed optical head is integrated into the table, along with a computer, power supplies and other electro-mechanical parts. We outsource the cables and circuit boards used in the LDD to certified specialty contract manufacturers. The fully assembled LDD is put through an electrical safety and final acceptance test process, and then reviewed by quality control, packaged and shipped directly to our customers for installation.</w:t>
      </w:r>
    </w:p>
    <w:p>
      <w:pPr>
        <w:spacing w:after="0" w:line="126"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0760"/>
          </w:cols>
          <w:pgMar w:left="320" w:top="440" w:right="81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60"/>
        <w:spacing w:after="0" w:line="250" w:lineRule="auto"/>
        <w:rPr>
          <w:sz w:val="20"/>
          <w:szCs w:val="20"/>
          <w:color w:val="auto"/>
        </w:rPr>
      </w:pPr>
      <w:r>
        <w:rPr>
          <w:rFonts w:ascii="Arial" w:cs="Arial" w:eastAsia="Arial" w:hAnsi="Arial"/>
          <w:sz w:val="16"/>
          <w:szCs w:val="16"/>
          <w:color w:val="auto"/>
        </w:rPr>
        <w:t>In addition, to aid the doctor in implanting the LAL, we provide several accessories including a custom insertion system and a contact lens. The insertion system consists of a disposable cartridge and a reusable injector handpiece. The disposable cartridge is processed, inspected, and packaged by us while having ethylene oxide sterilization performed by a third-party vendor. The reusable injector handpiece is manufactured by a third-party vendor and is inspected and packaged by us. We also manufacture, inspect, and package a reusable contact lens for administering UV light treatments. The end user is responsible for performing cleaning and sterilization of the injector handpiece and the contact lens following directions for use and hands on training provided by us. We also provide custom UV glasses that are manufactured by third party vendors, and then inspected and shipped by us from our facilities to our customers.</w:t>
      </w:r>
    </w:p>
    <w:p>
      <w:pPr>
        <w:spacing w:after="0" w:line="91"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We use a combination of internally manufactured and externally sourced components to produce the LAL, LDD, custom insertion system, and other accessory products. Externally sourced components include off-the-shelf chemical, materials, sub-assemblies, and custom parts that are provided by qualified and approved suppliers. We also employ a third-party sterilization vendor. Some components are provided by single-source or sole source suppliers. While there are other suppliers that could make or provide any one of our single sourced components, we seek to manage single-source supplier risk by regularly assessing the quality and capacity of our suppliers, implementing supply and quality agreements where appropriate and actively managing lead times and inventory levels of sourced components. In addition, we are currently in the process of identifying and approving alternative suppliers to dual or multi-source certain of our LAL raw materials and LDD components. We generally seek to maintain sufficient supply levels to help mitigate any supply interruptions and enable us to find and qualify another source of supply. Order quantities and lead times for externally sourced components are based on our forecasts, which are derived from historical demand and anticipated future demand. Lead times for components may vary depending on the size of the order, time required to fabricate and test the components, specific supplier requirements and current market demand for the materials, sub-assemblies, and parts. In addition, COVID-19 has resulted in manufacturing interruptions at sole source suppliers in the United States, European Union, the U.K. and China, which we have been able to mitigate, to date, with selected pre-payment for product, expedite fees and longer-term orders.</w:t>
      </w:r>
    </w:p>
    <w:p>
      <w:pPr>
        <w:spacing w:after="0" w:line="92" w:lineRule="exact"/>
        <w:rPr>
          <w:sz w:val="20"/>
          <w:szCs w:val="20"/>
          <w:color w:val="auto"/>
        </w:rPr>
      </w:pPr>
    </w:p>
    <w:p>
      <w:pPr>
        <w:ind w:left="460" w:right="40"/>
        <w:spacing w:after="0" w:line="253" w:lineRule="auto"/>
        <w:rPr>
          <w:sz w:val="20"/>
          <w:szCs w:val="20"/>
          <w:color w:val="auto"/>
        </w:rPr>
      </w:pPr>
      <w:r>
        <w:rPr>
          <w:rFonts w:ascii="Arial" w:cs="Arial" w:eastAsia="Arial" w:hAnsi="Arial"/>
          <w:sz w:val="16"/>
          <w:szCs w:val="16"/>
          <w:color w:val="auto"/>
        </w:rPr>
        <w:t>Our suppliers are evaluated, qualified, and approved as part of our supplier quality program, which includes verification and monitoring procedures to ensure that our suppliers comply with FDA and ISO standards, as well as our own specifications and requirements. We inspect and verify externally sourced components under strict processes supported by internal policies and procedures. We maintain a rigorous change control policy to assure that no product or process changes are implemented without our prior review and approval.</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Third-party reimbursement and patient billing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Dual aspect payment model</w:t>
      </w:r>
    </w:p>
    <w:p>
      <w:pPr>
        <w:spacing w:after="0" w:line="128" w:lineRule="exact"/>
        <w:rPr>
          <w:sz w:val="20"/>
          <w:szCs w:val="20"/>
          <w:color w:val="auto"/>
        </w:rPr>
      </w:pPr>
    </w:p>
    <w:p>
      <w:pPr>
        <w:ind w:left="460" w:right="60"/>
        <w:spacing w:after="0" w:line="250" w:lineRule="auto"/>
        <w:rPr>
          <w:sz w:val="20"/>
          <w:szCs w:val="20"/>
          <w:color w:val="auto"/>
        </w:rPr>
      </w:pPr>
      <w:r>
        <w:rPr>
          <w:rFonts w:ascii="Arial" w:cs="Arial" w:eastAsia="Arial" w:hAnsi="Arial"/>
          <w:sz w:val="16"/>
          <w:szCs w:val="16"/>
          <w:color w:val="auto"/>
        </w:rPr>
        <w:t>In the United States, the Centers for Medicare and Medicaid Services (CMS) has determined that the additional refractive correction provided by astigmatism correcting and presbyopia correcting (premium) IOLs is not a covered benefit. As described in two CMS rulings (CMS 05-01 and CMS 1536-R), premium IOLs have both a covered and non-covered aspect, providing the framework for the “dual-aspect payment model”. In effect since 2005, this model means that CMS does not reimburse the physician or the facility for the additional costs associated with a premium IOL, while still covering the cost of the conventional IOL procedure. Instead, the patient selecting a premium IOL is responsible for the additional charges from the physician and from the facility that exceed the regular charges for insertion of a conventional IOL that are submitted to CMS by each of these providers. As of 2017, CMS has recognized the LAL as an astigmatism correcting (premium) IOL, making it eligible for the dual aspect payment model. Most commercial payers mirror the Medicare rulings, but this can vary by payer.</w:t>
      </w:r>
    </w:p>
    <w:p>
      <w:pPr>
        <w:spacing w:after="0" w:line="128"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0780"/>
          </w:cols>
          <w:pgMar w:left="320" w:top="440" w:right="79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Procedure coding and payment</w:t>
      </w:r>
    </w:p>
    <w:p>
      <w:pPr>
        <w:spacing w:after="0" w:line="128" w:lineRule="exact"/>
        <w:rPr>
          <w:sz w:val="20"/>
          <w:szCs w:val="20"/>
          <w:color w:val="auto"/>
        </w:rPr>
      </w:pPr>
    </w:p>
    <w:p>
      <w:pPr>
        <w:ind w:left="460" w:right="80"/>
        <w:spacing w:after="0" w:line="256" w:lineRule="auto"/>
        <w:rPr>
          <w:sz w:val="20"/>
          <w:szCs w:val="20"/>
          <w:color w:val="auto"/>
        </w:rPr>
      </w:pPr>
      <w:r>
        <w:rPr>
          <w:rFonts w:ascii="Arial" w:cs="Arial" w:eastAsia="Arial" w:hAnsi="Arial"/>
          <w:sz w:val="16"/>
          <w:szCs w:val="16"/>
          <w:color w:val="auto"/>
        </w:rPr>
        <w:t>In the United States, we typically sell our LAL products to ambulatory surgical centers (ASC) and (less commonly) to hospitals. These customers in turn bill various third-party payors, such as commercial payors and state and government payors, as well as patients directly for the services provided to each patient.</w:t>
      </w:r>
    </w:p>
    <w:p>
      <w:pPr>
        <w:spacing w:after="0" w:line="83" w:lineRule="exact"/>
        <w:rPr>
          <w:sz w:val="20"/>
          <w:szCs w:val="20"/>
          <w:color w:val="auto"/>
        </w:rPr>
      </w:pPr>
    </w:p>
    <w:p>
      <w:pPr>
        <w:ind w:left="460" w:right="140"/>
        <w:spacing w:after="0" w:line="250" w:lineRule="auto"/>
        <w:rPr>
          <w:sz w:val="20"/>
          <w:szCs w:val="20"/>
          <w:color w:val="auto"/>
        </w:rPr>
      </w:pPr>
      <w:r>
        <w:rPr>
          <w:rFonts w:ascii="Arial" w:cs="Arial" w:eastAsia="Arial" w:hAnsi="Arial"/>
          <w:sz w:val="16"/>
          <w:szCs w:val="16"/>
          <w:color w:val="auto"/>
        </w:rPr>
        <w:t>Third-party payors require physicians and hospitals to identify the service for which they are seeking reimbursement by using Current Procedural Terminology, or CPT, codes, which are created and maintained by the American Medical Association, or AMA. For cataract surgery, the most common specific CPT codes are 66984 (Cataract surgery with IOL, on stage) and 66982 (Cataract surgery, complex). The facility fees associated with these codes include payment for a conventional IOL, up to $150. A specific HCPCS code is listed on the CMS claim by the facility to indicate use of premium IOL for tracking purposes only (V2787 or V2788 for astigmatism-correcting or presbyopia-correction function of IOL respectively). Similarly, the physician includes HCPCS code A9270 (non-covered item or service) on their claim to Medicare (or another third party) to indicate charges for extended care related to the correction of refractive error.</w:t>
      </w:r>
    </w:p>
    <w:p>
      <w:pPr>
        <w:spacing w:after="0" w:line="91" w:lineRule="exact"/>
        <w:rPr>
          <w:sz w:val="20"/>
          <w:szCs w:val="20"/>
          <w:color w:val="auto"/>
        </w:rPr>
      </w:pPr>
    </w:p>
    <w:p>
      <w:pPr>
        <w:ind w:left="460" w:right="60"/>
        <w:spacing w:after="0" w:line="253" w:lineRule="auto"/>
        <w:rPr>
          <w:sz w:val="20"/>
          <w:szCs w:val="20"/>
          <w:color w:val="auto"/>
        </w:rPr>
      </w:pPr>
      <w:r>
        <w:rPr>
          <w:rFonts w:ascii="Arial" w:cs="Arial" w:eastAsia="Arial" w:hAnsi="Arial"/>
          <w:sz w:val="16"/>
          <w:szCs w:val="16"/>
          <w:color w:val="auto"/>
        </w:rPr>
        <w:t>While an Advanced Beneficiary Notice (ABN) or Notice of Exclusion from Medicare Benefits (NEMB) is not required, most providers issue an ABN or NEMB to alert patients that CMS (or non-Medicare payers) do not cover the additional charges associated with a premium IOL and to get the patient’s agreement to pay these charges. Patients are then billed directly by the physician and the ASC for these charges. In some cases, the physician bills the patient exclusively and then reimburses the ASC for the additional cost of the Premium IOL.</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Commercial payor and government program coverage</w:t>
      </w:r>
    </w:p>
    <w:p>
      <w:pPr>
        <w:spacing w:after="0" w:line="128" w:lineRule="exact"/>
        <w:rPr>
          <w:sz w:val="20"/>
          <w:szCs w:val="20"/>
          <w:color w:val="auto"/>
        </w:rPr>
      </w:pPr>
    </w:p>
    <w:p>
      <w:pPr>
        <w:ind w:left="460" w:right="40"/>
        <w:spacing w:after="0" w:line="252" w:lineRule="auto"/>
        <w:rPr>
          <w:sz w:val="20"/>
          <w:szCs w:val="20"/>
          <w:color w:val="auto"/>
        </w:rPr>
      </w:pPr>
      <w:r>
        <w:rPr>
          <w:rFonts w:ascii="Arial" w:cs="Arial" w:eastAsia="Arial" w:hAnsi="Arial"/>
          <w:sz w:val="16"/>
          <w:szCs w:val="16"/>
          <w:color w:val="auto"/>
        </w:rPr>
        <w:t>While the dual aspect payment model has been in use for over 15 years, the extent to which this model will be used by non-government third-party payors, such as commercial insurance, and managed healthcare organizations may vary. One third-party payor’s decision does not ensure that other payors will also follow this model. As a result, the coverage determination process can require manufacturers to provide additional support for the use of a product to each payor separately. This can be a time-consuming process, with no assurance that the dual aspect model will be applied consistently.</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Reimbursement outside of the United States</w:t>
      </w:r>
    </w:p>
    <w:p>
      <w:pPr>
        <w:spacing w:after="0" w:line="128"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In international markets, reimbursement and healthcare payment systems also vary significantly by country, and many countries have instituted price ceilings on specific products and therapies. In many countries, analogous determinations to the dual aspect CMS ruling have been made, allowing for partial coverage of the cataract procedure by national health systems, with patients paying out of pocket for refractive services associated with the premium IOL. In other countries, such dual billing is not allowed, forcing patients to pay for the entire cost of the cataract surgery and IOL when a premium IOL is used. In such markets, it may be possible for doctors to charge separately for the cost of light treatments, which are not part of the cataract procedure. This method would require a different billing methodology by us than is currently used in the United States, where light treatments are included with the purchase of the LAL. There is no assurance that these methodologies will be allowed or that an adequate level of payment will be established, or that the third-party payors’ reimbursement policies will not adversely affect the ability for manufacturers to sell products profitably.</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Intellectual Property, License Agreements, and Other Material Agreements</w:t>
      </w:r>
    </w:p>
    <w:p>
      <w:pPr>
        <w:spacing w:after="0" w:line="133" w:lineRule="exact"/>
        <w:rPr>
          <w:sz w:val="20"/>
          <w:szCs w:val="20"/>
          <w:color w:val="auto"/>
        </w:rPr>
      </w:pPr>
    </w:p>
    <w:p>
      <w:pPr>
        <w:ind w:left="460" w:right="60"/>
        <w:spacing w:after="0" w:line="256" w:lineRule="auto"/>
        <w:rPr>
          <w:sz w:val="20"/>
          <w:szCs w:val="20"/>
          <w:color w:val="auto"/>
        </w:rPr>
      </w:pPr>
      <w:r>
        <w:rPr>
          <w:rFonts w:ascii="Arial" w:cs="Arial" w:eastAsia="Arial" w:hAnsi="Arial"/>
          <w:sz w:val="16"/>
          <w:szCs w:val="16"/>
          <w:color w:val="auto"/>
        </w:rPr>
        <w:t>Our success depends in part on our ability to obtain, maintain, protect, and enforce our intellectual property rights, including our patent rights, preserve the confidentiality of our trade secrets, operate without infringing, misappropriating or otherwise violating the intellectual property rights of others and prevent others from</w:t>
      </w:r>
    </w:p>
    <w:p>
      <w:pPr>
        <w:spacing w:after="0" w:line="121"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0780"/>
          </w:cols>
          <w:pgMar w:left="320" w:top="440" w:right="79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100"/>
        <w:spacing w:after="0" w:line="256" w:lineRule="auto"/>
        <w:rPr>
          <w:sz w:val="20"/>
          <w:szCs w:val="20"/>
          <w:color w:val="auto"/>
        </w:rPr>
      </w:pPr>
      <w:r>
        <w:rPr>
          <w:rFonts w:ascii="Arial" w:cs="Arial" w:eastAsia="Arial" w:hAnsi="Arial"/>
          <w:sz w:val="16"/>
          <w:szCs w:val="16"/>
          <w:color w:val="auto"/>
        </w:rPr>
        <w:t>infringing, misappropriating or otherwise violating our intellectual property rights. We rely on a combination of patent, trademark, trade secret, copyright and other intellectual property rights and measures to protect the products and technology that we consider important to our business. We also rely on know-how and continuing technological innovation to develop and maintain our competitive position.</w:t>
      </w:r>
    </w:p>
    <w:p>
      <w:pPr>
        <w:spacing w:after="0" w:line="83" w:lineRule="exact"/>
        <w:rPr>
          <w:sz w:val="20"/>
          <w:szCs w:val="20"/>
          <w:color w:val="auto"/>
        </w:rPr>
      </w:pPr>
    </w:p>
    <w:p>
      <w:pPr>
        <w:ind w:left="460" w:right="80"/>
        <w:spacing w:after="0" w:line="255" w:lineRule="auto"/>
        <w:rPr>
          <w:sz w:val="20"/>
          <w:szCs w:val="20"/>
          <w:color w:val="auto"/>
        </w:rPr>
      </w:pPr>
      <w:r>
        <w:rPr>
          <w:rFonts w:ascii="Arial" w:cs="Arial" w:eastAsia="Arial" w:hAnsi="Arial"/>
          <w:sz w:val="16"/>
          <w:szCs w:val="16"/>
          <w:color w:val="auto"/>
        </w:rPr>
        <w:t>Our policy is to seek to protect our proprietary position by, among other methods, pursuing and obtaining patent protection in the United States and in jurisdictions outside of the United States related to our technology, inventions, improvements and products that are important to the development and implementation of our business. Our patent portfolio covers various aspects of our LDD, LAL and related devices and methods.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term of individual patents depends upon the legal term of the patents in the countries in which they are</w:t>
      </w:r>
    </w:p>
    <w:p>
      <w:pPr>
        <w:spacing w:after="0" w:line="6" w:lineRule="exact"/>
        <w:rPr>
          <w:sz w:val="20"/>
          <w:szCs w:val="20"/>
          <w:color w:val="auto"/>
        </w:rPr>
      </w:pPr>
    </w:p>
    <w:p>
      <w:pPr>
        <w:jc w:val="both"/>
        <w:ind w:left="460" w:right="200"/>
        <w:spacing w:after="0" w:line="248" w:lineRule="auto"/>
        <w:rPr>
          <w:sz w:val="20"/>
          <w:szCs w:val="20"/>
          <w:color w:val="auto"/>
        </w:rPr>
      </w:pPr>
      <w:r>
        <w:rPr>
          <w:rFonts w:ascii="Arial" w:cs="Arial" w:eastAsia="Arial" w:hAnsi="Arial"/>
          <w:sz w:val="16"/>
          <w:szCs w:val="16"/>
          <w:color w:val="auto"/>
        </w:rPr>
        <w:t>obtained. Generally, in the United States, issued patents are granted a term of 20 years from the earliest claimed non-provisional or Patent Cooperation Treaty (“PCT”) filing date. In certain instances, a patent term can be adjusted to recapture a portion of delay by the U.S. Patent and Trademark Office, or the USPTO, in examining the patent application (patent term adjustment, or PTA) or extended to account for term effectively lost as a result of the FDA regulatory review period (patent term extension, or PTE), or both. Additionally, a</w:t>
      </w:r>
    </w:p>
    <w:p>
      <w:pPr>
        <w:ind w:left="460"/>
        <w:spacing w:after="0" w:line="251" w:lineRule="auto"/>
        <w:rPr>
          <w:sz w:val="20"/>
          <w:szCs w:val="20"/>
          <w:color w:val="auto"/>
        </w:rPr>
      </w:pPr>
      <w:r>
        <w:rPr>
          <w:rFonts w:ascii="Arial" w:cs="Arial" w:eastAsia="Arial" w:hAnsi="Arial"/>
          <w:sz w:val="16"/>
          <w:szCs w:val="16"/>
          <w:color w:val="auto"/>
        </w:rPr>
        <w:t>patent term may be shortened if a patent is terminally disclaimed over an earlier filed patent. However, the life of the patent, and the protection it affords, is limited. In addition, we cannot provide any assurance that any patents will be issued from our pending or future applications or that any issued patents will adequately protect our current and future products. We also cannot predict the breadth of claims that may be allowed or enforced in our owned or in-licensed patents or whether such claims, if issued, will cover our products, provide sufficient protection from competitors or otherwise provide any competitive advantage. Any issued patents that we may own or in-license in the future may be challenged, invalidated, narrowed, held unenforceable, infringed or circumvented.</w:t>
      </w:r>
    </w:p>
    <w:p>
      <w:pPr>
        <w:spacing w:after="0" w:line="88" w:lineRule="exact"/>
        <w:rPr>
          <w:sz w:val="20"/>
          <w:szCs w:val="20"/>
          <w:color w:val="auto"/>
        </w:rPr>
      </w:pPr>
    </w:p>
    <w:p>
      <w:pPr>
        <w:ind w:left="460" w:right="60"/>
        <w:spacing w:after="0" w:line="252" w:lineRule="auto"/>
        <w:rPr>
          <w:sz w:val="20"/>
          <w:szCs w:val="20"/>
          <w:color w:val="auto"/>
        </w:rPr>
      </w:pPr>
      <w:r>
        <w:rPr>
          <w:rFonts w:ascii="Arial" w:cs="Arial" w:eastAsia="Arial" w:hAnsi="Arial"/>
          <w:sz w:val="16"/>
          <w:szCs w:val="16"/>
          <w:color w:val="auto"/>
        </w:rPr>
        <w:t>Our patent portfolio as of March 31, 2021 includes approximately 26 owned issued and non-expired U.S. patents, 11 pending U.S. non-provisional patent applications, three pending PCT applications, 16 issued and non-expired foreign patents, and 13 pending foreign patent applications. These owned patents, and the patents, if any, that issue from these patent applications are projected to expire between 2021 and 2041, in each case without taking into account any possible PTA or PTE and assuming payment of all appropriate maintenance, renewal, annuity, or other governmental fees.</w:t>
      </w:r>
    </w:p>
    <w:p>
      <w:pPr>
        <w:spacing w:after="0" w:line="86" w:lineRule="exact"/>
        <w:rPr>
          <w:sz w:val="20"/>
          <w:szCs w:val="20"/>
          <w:color w:val="auto"/>
        </w:rPr>
      </w:pPr>
    </w:p>
    <w:p>
      <w:pPr>
        <w:ind w:left="460" w:right="100"/>
        <w:spacing w:after="0" w:line="252" w:lineRule="auto"/>
        <w:rPr>
          <w:sz w:val="20"/>
          <w:szCs w:val="20"/>
          <w:color w:val="auto"/>
        </w:rPr>
      </w:pPr>
      <w:r>
        <w:rPr>
          <w:rFonts w:ascii="Arial" w:cs="Arial" w:eastAsia="Arial" w:hAnsi="Arial"/>
          <w:sz w:val="16"/>
          <w:szCs w:val="16"/>
          <w:color w:val="auto"/>
        </w:rPr>
        <w:t>As of March 31, 2021, we also have exclusively in-licensed approximately 5 issued and non-expired U.S. patents and 10 issued and non-expired foreign patents, which patents are projected to expire between 2031 and 2036, in each case without taking into account any possible PTA or PTE and assuming payment of all appropriate maintenance, renewal, annuity, or other governmental fees. These in-licensed patents are owned by the California Institute of Technology, or Caltech, and licensed to us, along with certain related technology, pursuant to our license agreement with Caltech effective as of July 28, 2015, or the Caltech Agreement.</w:t>
      </w:r>
    </w:p>
    <w:p>
      <w:pPr>
        <w:spacing w:after="0" w:line="86" w:lineRule="exact"/>
        <w:rPr>
          <w:sz w:val="20"/>
          <w:szCs w:val="20"/>
          <w:color w:val="auto"/>
        </w:rPr>
      </w:pPr>
    </w:p>
    <w:p>
      <w:pPr>
        <w:ind w:left="460" w:right="2320"/>
        <w:spacing w:after="0" w:line="265" w:lineRule="auto"/>
        <w:rPr>
          <w:sz w:val="20"/>
          <w:szCs w:val="20"/>
          <w:color w:val="auto"/>
        </w:rPr>
      </w:pPr>
      <w:r>
        <w:rPr>
          <w:rFonts w:ascii="Arial" w:cs="Arial" w:eastAsia="Arial" w:hAnsi="Arial"/>
          <w:sz w:val="16"/>
          <w:szCs w:val="16"/>
          <w:color w:val="auto"/>
        </w:rPr>
        <w:t>Our patent portfolio, including our owned and exclusively in-licensed issued patents and patent applications, is generally directed to:</w:t>
      </w:r>
    </w:p>
    <w:p>
      <w:pPr>
        <w:spacing w:after="0" w:line="88" w:lineRule="exact"/>
        <w:rPr>
          <w:sz w:val="20"/>
          <w:szCs w:val="20"/>
          <w:color w:val="auto"/>
        </w:rPr>
      </w:pPr>
    </w:p>
    <w:p>
      <w:pPr>
        <w:ind w:left="660" w:right="40" w:hanging="209"/>
        <w:spacing w:after="0" w:line="262"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Our current LAL: Some of the patents directed to our current LAL include, for example, U.S. Pat. No. 9,119,710, which is expected to expire in 2026, U.S. Pat. No. 10,470,874, which is expected to expire in 2026, and U.S. Pat. No. 10,874,505, which is expected to expire in 2033.</w:t>
      </w:r>
    </w:p>
    <w:p>
      <w:pPr>
        <w:spacing w:after="0" w:line="282" w:lineRule="exact"/>
        <w:rPr>
          <w:rFonts w:ascii="Arial" w:cs="Arial" w:eastAsia="Arial" w:hAnsi="Arial"/>
          <w:sz w:val="16"/>
          <w:szCs w:val="16"/>
          <w:color w:val="auto"/>
        </w:rPr>
      </w:pPr>
    </w:p>
    <w:p>
      <w:pPr>
        <w:ind w:left="660" w:right="400" w:hanging="209"/>
        <w:spacing w:after="0" w:line="265"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Our future LAL as contemplated or in development: Some of the patents directed to our future LAL include, for example, U.S. Pat. No. 10,433,951, which is expected to expire in 2037, and U.S. Pat. No. 10,966,819, which is expected to expire in 2037.</w:t>
      </w:r>
    </w:p>
    <w:p>
      <w:pPr>
        <w:spacing w:after="0" w:line="88" w:lineRule="exact"/>
        <w:rPr>
          <w:rFonts w:ascii="Arial" w:cs="Arial" w:eastAsia="Arial" w:hAnsi="Arial"/>
          <w:sz w:val="16"/>
          <w:szCs w:val="16"/>
          <w:color w:val="auto"/>
        </w:rPr>
      </w:pPr>
    </w:p>
    <w:p>
      <w:pPr>
        <w:ind w:left="660" w:right="300" w:hanging="209"/>
        <w:spacing w:after="0" w:line="265"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Our LDD: Some of the patents directed to our LDD include, for example, U.S. Pat. No. 10,864,075, which is expected to expire in 2038, and U.S. Pat. No. 10,932,864, which is expected to expire in 2039.</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0800"/>
          </w:cols>
          <w:pgMar w:left="320" w:top="440" w:right="77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660" w:right="660" w:hanging="209"/>
        <w:spacing w:after="0" w:line="265"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Our lens adjustment procedure: Some of the patents directed to our lens adjustment procedure include, for example, U.S. Pat. No. 10,010,406, which is expected to expire in 2032, and U.S. Pat. No. 10,166,731, which is expected to expire in 2036.</w:t>
      </w:r>
    </w:p>
    <w:p>
      <w:pPr>
        <w:spacing w:after="0" w:line="88" w:lineRule="exact"/>
        <w:rPr>
          <w:rFonts w:ascii="Arial" w:cs="Arial" w:eastAsia="Arial" w:hAnsi="Arial"/>
          <w:sz w:val="16"/>
          <w:szCs w:val="16"/>
          <w:color w:val="auto"/>
        </w:rPr>
      </w:pPr>
    </w:p>
    <w:p>
      <w:pPr>
        <w:ind w:left="660" w:right="180" w:hanging="209"/>
        <w:spacing w:after="0" w:line="265"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Our system accessories: A patent directed to our system accessories includes, for example, U.S. Pat. No. 10,456,240, which is expected to expire in 2038.</w:t>
      </w:r>
    </w:p>
    <w:p>
      <w:pPr>
        <w:spacing w:after="0" w:line="75" w:lineRule="exact"/>
        <w:rPr>
          <w:sz w:val="20"/>
          <w:szCs w:val="20"/>
          <w:color w:val="auto"/>
        </w:rPr>
      </w:pPr>
    </w:p>
    <w:p>
      <w:pPr>
        <w:ind w:left="460" w:right="80"/>
        <w:spacing w:after="0" w:line="248" w:lineRule="auto"/>
        <w:rPr>
          <w:sz w:val="20"/>
          <w:szCs w:val="20"/>
          <w:color w:val="auto"/>
        </w:rPr>
      </w:pPr>
      <w:r>
        <w:rPr>
          <w:rFonts w:ascii="Arial" w:cs="Arial" w:eastAsia="Arial" w:hAnsi="Arial"/>
          <w:sz w:val="16"/>
          <w:szCs w:val="16"/>
          <w:color w:val="auto"/>
        </w:rPr>
        <w:t>Pursuant to the Caltech agreement, we received an exclusive, royalty-bearing, nontransferrable, worldwide license under such patent rights and technology to manufacture, use and commercialize, in all fields, products covered by the licensed patents or that utilize the licensed technology. The licenses granted to us by Caltech are subject to certain retained rights of Caltech for educational and research purposes and certain retained rights of the U.S. government. We are subject to certain diligence obligations under the Caltech Agreement with</w:t>
      </w:r>
    </w:p>
    <w:p>
      <w:pPr>
        <w:ind w:left="460"/>
        <w:spacing w:after="0" w:line="248" w:lineRule="auto"/>
        <w:rPr>
          <w:sz w:val="20"/>
          <w:szCs w:val="20"/>
          <w:color w:val="auto"/>
        </w:rPr>
      </w:pPr>
      <w:r>
        <w:rPr>
          <w:rFonts w:ascii="Arial" w:cs="Arial" w:eastAsia="Arial" w:hAnsi="Arial"/>
          <w:sz w:val="16"/>
          <w:szCs w:val="16"/>
          <w:color w:val="auto"/>
        </w:rPr>
        <w:t>respect to the commercialization of the licensed products. Pursuant to our license agreement with Caltech, we paid a $50,000 non-refundable license issue fee upon the execution of the agreement and agreed to reimburse Caltech approximately $64,680 for past patent prosecution and maintenance expenses. Further, we have an obligation to pay an annual license maintenance fee of $10,000. We are also obligated to pay (i) a low-single-digit royalty based on net sales of products covered by the licensed patents, which royalty obligation expires, on a country-by-country and product-by-product basis, upon the last-to-expire valid claim of a licensed patent</w:t>
      </w:r>
    </w:p>
    <w:p>
      <w:pPr>
        <w:ind w:left="460"/>
        <w:spacing w:after="0"/>
        <w:rPr>
          <w:sz w:val="20"/>
          <w:szCs w:val="20"/>
          <w:color w:val="auto"/>
        </w:rPr>
      </w:pPr>
      <w:r>
        <w:rPr>
          <w:rFonts w:ascii="Arial" w:cs="Arial" w:eastAsia="Arial" w:hAnsi="Arial"/>
          <w:sz w:val="16"/>
          <w:szCs w:val="16"/>
          <w:color w:val="auto"/>
        </w:rPr>
        <w:t>covering such product in such country and (ii) a fraction of a single-digit royalty based on net sales of products covered only by the licensed</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technology, which royalty obligation expires, on a country-by-country-basis, seven years following the first commercial sale of such product in</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such country. Following the first commercial sale of a licensed product, we are required to pay a minimum annual royalty to Caltech of</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$50,000 on each anniversary of the effective date of the Caltech Agreement. We are also obligated to pay Caltech a mid-teen royalty on any</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applicable sublicensing revenue. Unless earlier terminated, the term of the Caltech Agreement continues until the later of the expiration,</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revocation, invalidation or unenforceability of the licensed patents or the expiration of our royalty obligations under the agreement. Caltech</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may terminate the Caltech Agreement for our insolvency, failure to maintain required insurance coverage levels, or if we materially breach the</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agreement, including our payment or diligence obligations thereunder, and do not cure such breach within specified time periods. Currently,</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sell any licensed products under the agreement, and therefore we have no current royalty obligation to Caltech. We are considering</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development of future products to which the intellectual property in-licensed from Caltech may be directed, however we do not believe</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are material at this time.</w:t>
      </w:r>
    </w:p>
    <w:p>
      <w:pPr>
        <w:spacing w:after="0" w:line="108" w:lineRule="exact"/>
        <w:rPr>
          <w:sz w:val="20"/>
          <w:szCs w:val="20"/>
          <w:color w:val="auto"/>
        </w:rPr>
      </w:pPr>
    </w:p>
    <w:p>
      <w:pPr>
        <w:ind w:left="460" w:right="40"/>
        <w:spacing w:after="0" w:line="249" w:lineRule="auto"/>
        <w:rPr>
          <w:sz w:val="20"/>
          <w:szCs w:val="20"/>
          <w:color w:val="auto"/>
        </w:rPr>
      </w:pPr>
      <w:r>
        <w:rPr>
          <w:rFonts w:ascii="Arial" w:cs="Arial" w:eastAsia="Arial" w:hAnsi="Arial"/>
          <w:sz w:val="16"/>
          <w:szCs w:val="16"/>
          <w:color w:val="auto"/>
        </w:rPr>
        <w:t>Pursuant to the agreement with the Regents of the University of California (“Regents”) dated March 1, 2000 (the “Regents Agreement”), we received an exclusive, royalty bearing, sublicensable, worldwide license under certain Regents’ patent rights to make, have made, use, sell, offer to sell and import products and to practice methods in the research, development, and commercialization of products for commercial applications. This license was subject to certain retained rights of the Regents and Caltech for educational and research purposes and certain retained rights of the U.S. government. We were subject to certain diligence obligations under the Regents Agreement with respect to the commercialization of the licensed products. Pursuant to our license agreement with the Regents, we paid a $10,000 non-refundable license issue fee upon the execution of the Regents Agreement and agreed to reimburse the Regents approximately $57,000 for past patent prosecution and maintenance expenses. Further, we had an obligation to pay, and paid, an annual license maintenance fee of $5,000. We were also obligated to pay a low-single digit royalty based on net sales of products covered by the licensed patents, which royalty obligation expires, upon the last-to-expire valid claim of a licensed patent covering such product. Following the first commercial sale of a licensed product, we were required to pay, and paid, a minimum annual royalty to the Regents of $10,000 by February 28th for the calendar year in which the minimum payment is due. Upon a filing of an Investigational Device Exemption by us with the FDA for a trial involving more than 20 persons, or other equivalent applications, we paid $20,000 to the Regents. Following the first use of a licensed product in a patient as part of a Phase II or Phase III clinical trial, we paid $30,000</w:t>
      </w:r>
    </w:p>
    <w:p>
      <w:pPr>
        <w:spacing w:after="0" w:line="320"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0800"/>
          </w:cols>
          <w:pgMar w:left="320" w:top="441" w:right="77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and $50,000, respectively to the Regents. Upon an approval by the FDA of a Pre-Marketing Approval Application or equivalent application submitted by us, we paid $175,000 to the Regents. We were also obligated to pay the Regents a percentage of all compensation received by us from sublicensees other than royalties on sales of the licensed products, not to exceed $500,000, for which there were no payments as we did not sublicense the licensed patents. In aggregate, since inception, we have paid approximately $525,000 in patent prosecution and maintenance fees, license fees, minimum royalties and milestone fees pursuant to the Regents Agreement. Unless earlier terminated, the term of the Regents Agreement continued until the expiration of the last-to-expire patent included in Regents’ patent rights licensed under the Regents Agreement. The Regents had the right to terminate the agreement if we materially breached the agreement, including our payment or diligence obligations thereunder, and did not cure such breach within specified time periods. We had the right to terminate the agreement at will in whole or as to any portion of the Regents’ patent rights by giving notice in writing to Regents. We terminated the Regents Agreement in March of 2021, as the last licensed patent covering our product expired. Upon the closing of this offering we are obligated to pay the Regents $25,000, which obligation survived the termination of the Regents Agreement.</w:t>
      </w:r>
    </w:p>
    <w:p>
      <w:pPr>
        <w:spacing w:after="0" w:line="94" w:lineRule="exact"/>
        <w:rPr>
          <w:sz w:val="20"/>
          <w:szCs w:val="20"/>
          <w:color w:val="auto"/>
        </w:rPr>
      </w:pPr>
    </w:p>
    <w:p>
      <w:pPr>
        <w:ind w:left="460" w:right="40"/>
        <w:spacing w:after="0" w:line="249" w:lineRule="auto"/>
        <w:rPr>
          <w:sz w:val="20"/>
          <w:szCs w:val="20"/>
          <w:color w:val="auto"/>
        </w:rPr>
      </w:pPr>
      <w:r>
        <w:rPr>
          <w:rFonts w:ascii="Arial" w:cs="Arial" w:eastAsia="Arial" w:hAnsi="Arial"/>
          <w:sz w:val="16"/>
          <w:szCs w:val="16"/>
          <w:color w:val="auto"/>
        </w:rPr>
        <w:t>Pursuant to the agreement with QAD, Inc. (“QAD”) dated October 29, 2015 (the “QAD Agreement”), we receive a nonexclusive, non-transferable, perpetual license to use certain QAD software at the physical location where we install the software. Under the agreement, we purchase such QAD software through individual orders (“Purchase Orders”), and each Purchase Order has a respective payment fee and maintenance fee. We use the software licensed under the QAD agreement for inventory, shipping / receiving, sales order, work order, planning and financial transactions for the business. Maintenance for the software is offered by QAD and available for purchase by us on an annual basis, and such purchase was compulsory for the first year of the agreement. After the first year, maintenance purchased under the agreement automatically renews for successive one-year periods unless terminated by us or QAD 60 days prior to the effective date of any renewal term. Further, we grant QAD audit rights to verify our usage of QAD software, and if following such audit our use of the QAD software is in excess of our license, we are obligated to pay to QAD the amounts necessary to become compliant. QAD provides limited warranties to the software and retains all intellectual property ownership rights in the QAD software including any modifications made by us, however we receive a license to use any modifications made by us. Unless earlier terminated, the term of the QAD agreement is perpetual. Both parties have the right to terminate the agreement for convenience by giving the other party 90 days prior written notice and such termination does not affect the license granted. Either party to the agreement may terminate the agreement with notice, if the other materially breaches the agreement, and the breach is not cured within specified time periods. In addition, either party may terminate if the other party is adjudicated bankrupt or an official is appointed to manage its financial affairs. Upon termination for cause, we must immediately discontinue all use of the software.</w:t>
      </w:r>
    </w:p>
    <w:p>
      <w:pPr>
        <w:spacing w:after="0" w:line="281"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We believe that we have certain know-how and trade secrets relating to our technology and current and future products. We rely on trade secrets to protect certain aspects of our technology related to our current and future products. However, trade secrets and know-how can be difficult to protect. We seek to protect our trade secrets and know-how, in part, by entering into confidentiality agreements with our employees, consultants, scientific advisors, service providers, and contractors but these agreements may not provide meaningful protection, and we cannot guarantee that we have executed such agreements with all applicable counterparties. These agreements may also be breached, and we may not have an adequate remedy for any such breach. We also seek to preserve the integrity and confidentiality of our data and trade secrets by maintaining physical security of our premises and physical and electronic security of our information technology systems. Although we take steps to protect our trade secrets and know-how, third parties may independently develop or otherwise gain access to our trade secrets and know-how.</w:t>
      </w:r>
    </w:p>
    <w:p>
      <w:pPr>
        <w:spacing w:after="0" w:line="318"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0800"/>
          </w:cols>
          <w:pgMar w:left="320" w:top="441" w:right="77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more information, please see “Risk Factors-Risks related to Intellectual Property”.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Competition</w:t>
      </w:r>
    </w:p>
    <w:p>
      <w:pPr>
        <w:spacing w:after="0" w:line="133" w:lineRule="exact"/>
        <w:rPr>
          <w:sz w:val="20"/>
          <w:szCs w:val="20"/>
          <w:color w:val="auto"/>
        </w:rPr>
      </w:pPr>
    </w:p>
    <w:p>
      <w:pPr>
        <w:jc w:val="both"/>
        <w:ind w:left="460" w:right="200"/>
        <w:spacing w:after="0" w:line="253" w:lineRule="auto"/>
        <w:rPr>
          <w:sz w:val="20"/>
          <w:szCs w:val="20"/>
          <w:color w:val="auto"/>
        </w:rPr>
      </w:pPr>
      <w:r>
        <w:rPr>
          <w:rFonts w:ascii="Arial" w:cs="Arial" w:eastAsia="Arial" w:hAnsi="Arial"/>
          <w:sz w:val="16"/>
          <w:szCs w:val="16"/>
          <w:color w:val="auto"/>
        </w:rPr>
        <w:t>Competition in the surgical ophthalmology market is intense and is primarily driven by technological innovation and the regulatory approval required to commercialize products in the key markets around the world. The development of new or improved products may make existing products less attractive, reduce them to commodity status or even make them obsolete. We believe the principal competitive factors in our markets include:</w:t>
      </w:r>
    </w:p>
    <w:p>
      <w:pPr>
        <w:spacing w:after="0" w:line="99" w:lineRule="exact"/>
        <w:rPr>
          <w:sz w:val="20"/>
          <w:szCs w:val="20"/>
          <w:color w:val="auto"/>
        </w:rPr>
      </w:pPr>
    </w:p>
    <w:p>
      <w:pPr>
        <w:ind w:left="660" w:hanging="209"/>
        <w:spacing w:after="0"/>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quality of patient outcomes, oftentimes measured by visual acuity, and adverse event rates;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patient experience, including patient recovery time and level of discomfort;</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acceptance by treating doctors and referral sources;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doctor learning curves and willingness to adopt new technologies;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ease-of-use and reliability;</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economic benefits and cost savings;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strength of clinical evidence;</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effective distribution and marketing to surgeons and potential patients; and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product price and qualification for coverage and reimbursement.</w:t>
      </w:r>
    </w:p>
    <w:p>
      <w:pPr>
        <w:spacing w:after="0" w:line="108" w:lineRule="exact"/>
        <w:rPr>
          <w:sz w:val="20"/>
          <w:szCs w:val="20"/>
          <w:color w:val="auto"/>
        </w:rPr>
      </w:pPr>
    </w:p>
    <w:p>
      <w:pPr>
        <w:ind w:left="460" w:right="120"/>
        <w:spacing w:after="0" w:line="251" w:lineRule="auto"/>
        <w:rPr>
          <w:sz w:val="20"/>
          <w:szCs w:val="20"/>
          <w:color w:val="auto"/>
        </w:rPr>
      </w:pPr>
      <w:r>
        <w:rPr>
          <w:rFonts w:ascii="Arial" w:cs="Arial" w:eastAsia="Arial" w:hAnsi="Arial"/>
          <w:sz w:val="16"/>
          <w:szCs w:val="16"/>
          <w:color w:val="auto"/>
        </w:rPr>
        <w:t>From a commercial perspective, we believe our primary competitors in the cataract IOL market are alternative premium IOL providers, including Alcon, Johnson &amp; Johnson, Hoya, Bausch Health Companies and Carl Zeiss Meditec. The global cataract IOL market is highly concentrated, with these top five players accounting for approximately 70% of total market revenue, according to Market Scope. Our competitors are significantly larger than us with greater financial, marketing, sales and personnel resources, greater brand recognition and longer operating histories. We believe our ability to compete effectively will be dependent on our ability to build the commercial infrastructure necessary to effectively and cost-efficiently drive awareness of the unique value of our system.</w:t>
      </w:r>
    </w:p>
    <w:p>
      <w:pPr>
        <w:spacing w:after="0" w:line="88"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In addition, patients who receive an LAL will be required to wear UV protective spectacles until final lock-in which is approximately 4-5 weeks after surgery. They will also be required to return for an additional 2-3 clinic visits compared to traditional cataract surgery. The additional clinic visits are non-surgical but do require the patient’s eyes to be dilated. Due to these additional requirements, market acceptance of the LAL may be impacted.</w:t>
      </w:r>
    </w:p>
    <w:p>
      <w:pPr>
        <w:spacing w:after="0" w:line="86"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The two most popular premium IOLs approved for cataract treatment are Acrysof by Alcon and Tecnis by Johnson &amp; Johnson. Alcon and Johnson &amp; Johnson are the first and second largest IOL manufacturers, with a 2020 revenue share of the premium IOL market of 32.8% and 21.4%, respectively. The Acrysof and Tecnis families of IOLs are available in a monofocal Toric, multifocal Toric and EDOF Toric versions. The Toric versions of these lenses represent approximately 28% of all premium multifocal IOLs sold in 2020. The rest of the market is shared between Bausch and Lomb, Carl Zeiss, Hoya, with under 10% each as well as with a long list of smaller companies. From a technology perspective, we believe the LAL competes with nearly all of the existing IOLs, including conventional, premium astigmatism correcting and premium presbyopia correcting lenses.</w:t>
      </w:r>
    </w:p>
    <w:p>
      <w:pPr>
        <w:spacing w:after="0" w:line="129"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0780"/>
          </w:cols>
          <w:pgMar w:left="320" w:top="441" w:right="79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Government regulation</w:t>
      </w:r>
    </w:p>
    <w:p>
      <w:pPr>
        <w:spacing w:after="0" w:line="133" w:lineRule="exact"/>
        <w:rPr>
          <w:sz w:val="20"/>
          <w:szCs w:val="20"/>
          <w:color w:val="auto"/>
        </w:rPr>
      </w:pPr>
    </w:p>
    <w:p>
      <w:pPr>
        <w:ind w:left="460" w:right="60"/>
        <w:spacing w:after="0" w:line="251" w:lineRule="auto"/>
        <w:rPr>
          <w:sz w:val="20"/>
          <w:szCs w:val="20"/>
          <w:color w:val="auto"/>
        </w:rPr>
      </w:pPr>
      <w:r>
        <w:rPr>
          <w:rFonts w:ascii="Arial" w:cs="Arial" w:eastAsia="Arial" w:hAnsi="Arial"/>
          <w:sz w:val="16"/>
          <w:szCs w:val="16"/>
          <w:color w:val="auto"/>
        </w:rPr>
        <w:t>Our products and operations are subject to extensive and ongoing regulation by the FDA under the Federal Food, Drug, and Cosmetic Act, or FDCA, and its implementing regulations, as well as other federal, state and local regulatory authorities in the United States, as well as foreign regulatory authorities. The FDA regulates, among other things, product design and development, pre-clinical and clinical testing, manufacturing, packaging, labeling, storage, record keeping and reporting, clearance or approval, marketing, distribution, promotion, import and export, and post-marketing surveillance in the United States to assure the safety and effectiveness of medical products for their intended use.</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FDA regulation of medical devices</w:t>
      </w:r>
    </w:p>
    <w:p>
      <w:pPr>
        <w:spacing w:after="0" w:line="128" w:lineRule="exact"/>
        <w:rPr>
          <w:sz w:val="20"/>
          <w:szCs w:val="20"/>
          <w:color w:val="auto"/>
        </w:rPr>
      </w:pPr>
    </w:p>
    <w:p>
      <w:pPr>
        <w:ind w:left="460" w:right="60"/>
        <w:spacing w:after="0" w:line="252" w:lineRule="auto"/>
        <w:rPr>
          <w:sz w:val="20"/>
          <w:szCs w:val="20"/>
          <w:color w:val="auto"/>
        </w:rPr>
      </w:pPr>
      <w:r>
        <w:rPr>
          <w:rFonts w:ascii="Arial" w:cs="Arial" w:eastAsia="Arial" w:hAnsi="Arial"/>
          <w:sz w:val="16"/>
          <w:szCs w:val="16"/>
          <w:color w:val="auto"/>
        </w:rPr>
        <w:t>Unless an exemption applies, each new or significantly modified medical device we seek to commercially distribute in the United States will require either a premarket notification to the FDA requesting permission for commercial distribution under Section 510(k) of the Federal Food, Drug and Cosmetic Act, or FDCA, also referred to as a 510(k) clearance, or approval from the FDA of a PMA application. Both the 510(k) clearance and PMA processes can be resource intensive, expensive, and lengthy, and require payment of significant user fees, unless an exemption is available.</w:t>
      </w:r>
    </w:p>
    <w:p>
      <w:pPr>
        <w:spacing w:after="0" w:line="86" w:lineRule="exact"/>
        <w:rPr>
          <w:sz w:val="20"/>
          <w:szCs w:val="20"/>
          <w:color w:val="auto"/>
        </w:rPr>
      </w:pPr>
    </w:p>
    <w:p>
      <w:pPr>
        <w:ind w:left="460" w:right="20"/>
        <w:spacing w:after="0" w:line="265" w:lineRule="auto"/>
        <w:rPr>
          <w:sz w:val="20"/>
          <w:szCs w:val="20"/>
          <w:color w:val="auto"/>
        </w:rPr>
      </w:pPr>
      <w:r>
        <w:rPr>
          <w:rFonts w:ascii="Arial" w:cs="Arial" w:eastAsia="Arial" w:hAnsi="Arial"/>
          <w:sz w:val="16"/>
          <w:szCs w:val="16"/>
          <w:color w:val="auto"/>
        </w:rPr>
        <w:t>FDA classifies medical devices into one of three classes – Class I, Class II or Class III – depending on the degree of risk associated with each medical device and the extent of control needed to provide reasonable assurances with respect to safety and effectiveness.</w:t>
      </w:r>
    </w:p>
    <w:p>
      <w:pPr>
        <w:spacing w:after="0" w:line="75" w:lineRule="exact"/>
        <w:rPr>
          <w:sz w:val="20"/>
          <w:szCs w:val="20"/>
          <w:color w:val="auto"/>
        </w:rPr>
      </w:pPr>
    </w:p>
    <w:p>
      <w:pPr>
        <w:ind w:left="460" w:right="420"/>
        <w:spacing w:after="0" w:line="251" w:lineRule="auto"/>
        <w:rPr>
          <w:sz w:val="20"/>
          <w:szCs w:val="20"/>
          <w:color w:val="auto"/>
        </w:rPr>
      </w:pPr>
      <w:r>
        <w:rPr>
          <w:rFonts w:ascii="Arial" w:cs="Arial" w:eastAsia="Arial" w:hAnsi="Arial"/>
          <w:sz w:val="16"/>
          <w:szCs w:val="16"/>
          <w:color w:val="auto"/>
        </w:rPr>
        <w:t>Class I devices are those for which safety and effectiveness can be reasonably assured by adherence to the FDA’s general controls for medical devices, which include compliance with the applicable portions of FDA’s current good manufacturing practices for devices, as reflected in of the Quality System Regulation, or QSR, establishment registration and device listing, reporting of adverse events and malfunctions, and appropriate, truthful and non-misleading labeling and promotional materials. Some Class I devices, also called Class I reserved devices, also require premarket clearance by the FDA through the 510(k) premarket notification process described below. Most Class I products are exempt from the premarket notification requirements.</w:t>
      </w:r>
    </w:p>
    <w:p>
      <w:pPr>
        <w:spacing w:after="0" w:line="88"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Class II devices are those that are subject to the FDA’s general controls and any other special controls deemed necessary by the FDA to ensure the safety and effectiveness of the device. These special controls can include performance standards, patient registries, product-specific FDA guidance documents, special labeling requirements and post-market surveillance. Most Class II devices are subject to premarket review and clearance by the FDA through the 510(k) premarket notification process.</w:t>
      </w:r>
    </w:p>
    <w:p>
      <w:pPr>
        <w:spacing w:after="0" w:line="86" w:lineRule="exact"/>
        <w:rPr>
          <w:sz w:val="20"/>
          <w:szCs w:val="20"/>
          <w:color w:val="auto"/>
        </w:rPr>
      </w:pPr>
    </w:p>
    <w:p>
      <w:pPr>
        <w:ind w:left="460" w:right="160"/>
        <w:spacing w:after="0" w:line="249" w:lineRule="auto"/>
        <w:rPr>
          <w:sz w:val="20"/>
          <w:szCs w:val="20"/>
          <w:color w:val="auto"/>
        </w:rPr>
      </w:pPr>
      <w:r>
        <w:rPr>
          <w:rFonts w:ascii="Arial" w:cs="Arial" w:eastAsia="Arial" w:hAnsi="Arial"/>
          <w:sz w:val="16"/>
          <w:szCs w:val="16"/>
          <w:color w:val="auto"/>
        </w:rPr>
        <w:t>Class III devices include devices deemed by the FDA to pose the greatest risk such as life-supporting or life-sustaining devices, or implantable devices, in addition to those deemed novel and not substantially equivalent following the 510(k) process. Due to the level of risk associated with Class III devices, the FDA’s general controls and special controls alone are insufficient to assure their safety and effectiveness. Devices placed in Class III generally require the submission of a PMA application, demonstrating the safety and effectiveness of the device which must be approved by the FDA prior to marketing, or the receipt of a 510(k) de novo classification, which provides for the reclassification of the device into Class I or II. The PMA approval process is generally more costly and time consuming than the 510(k) process. Through the PMA application process, the applicant must submit data and information demonstrating reasonable assurance of the safety and effectiveness of the device for its intended use to the FDA’s satisfaction. Accordingly, a PMA application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spacing w:after="0" w:line="322"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0800"/>
          </w:cols>
          <w:pgMar w:left="320" w:top="441" w:right="77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0"/>
        <w:spacing w:after="0" w:line="249" w:lineRule="auto"/>
        <w:rPr>
          <w:sz w:val="20"/>
          <w:szCs w:val="20"/>
          <w:color w:val="auto"/>
        </w:rPr>
      </w:pPr>
      <w:r>
        <w:rPr>
          <w:rFonts w:ascii="Arial" w:cs="Arial" w:eastAsia="Arial" w:hAnsi="Arial"/>
          <w:sz w:val="16"/>
          <w:szCs w:val="16"/>
          <w:color w:val="auto"/>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w:t>
      </w:r>
    </w:p>
    <w:p>
      <w:pPr>
        <w:spacing w:after="0" w:line="94" w:lineRule="exact"/>
        <w:rPr>
          <w:sz w:val="20"/>
          <w:szCs w:val="20"/>
          <w:color w:val="auto"/>
        </w:rPr>
      </w:pPr>
    </w:p>
    <w:p>
      <w:pPr>
        <w:ind w:left="460" w:right="280"/>
        <w:spacing w:after="0" w:line="265" w:lineRule="auto"/>
        <w:rPr>
          <w:sz w:val="20"/>
          <w:szCs w:val="20"/>
          <w:color w:val="auto"/>
        </w:rPr>
      </w:pPr>
      <w:r>
        <w:rPr>
          <w:rFonts w:ascii="Arial" w:cs="Arial" w:eastAsia="Arial" w:hAnsi="Arial"/>
          <w:sz w:val="16"/>
          <w:szCs w:val="16"/>
          <w:color w:val="auto"/>
        </w:rPr>
        <w:t>Obtaining FDA marketing authorization, de novo down-classification, or approval for medical devices is expensive and uncertain, and may take several years, and generally requires significant scientific and clinical data.</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Investigational device process</w:t>
      </w:r>
    </w:p>
    <w:p>
      <w:pPr>
        <w:spacing w:after="0" w:line="128" w:lineRule="exact"/>
        <w:rPr>
          <w:sz w:val="20"/>
          <w:szCs w:val="20"/>
          <w:color w:val="auto"/>
        </w:rPr>
      </w:pPr>
    </w:p>
    <w:p>
      <w:pPr>
        <w:ind w:left="460" w:right="80"/>
        <w:spacing w:after="0" w:line="249" w:lineRule="auto"/>
        <w:rPr>
          <w:sz w:val="20"/>
          <w:szCs w:val="20"/>
          <w:color w:val="auto"/>
        </w:rPr>
      </w:pPr>
      <w:r>
        <w:rPr>
          <w:rFonts w:ascii="Arial" w:cs="Arial" w:eastAsia="Arial" w:hAnsi="Arial"/>
          <w:sz w:val="16"/>
          <w:szCs w:val="16"/>
          <w:color w:val="auto"/>
        </w:rPr>
        <w:t>In the United States, absent certain limited exceptions, human clinical trials intended to support medical device clearance or approval require an IDE application. Some types of studies deemed to present “non-significant risk” are deemed to have an approved IDE once certain requirements are addressed, and IRB approval is obtained. If the device presents a “significant risk” to human health, as defined by the FDA, the sponsor must submit an IDE application to the FDA and obtain IDE approval prior to commencing the human clinical trials. The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subjects. Generally, clinical trials for a significant risk device may begin once the IDE application is approved by the FDA and the study protocol and informed consent are approved by appropriate institutional review boards at the clinical trial sites. There can be no assurance that submission of an IDE will result in the ability to commence clinical trials, and although the FDA’s approval of an IDE allows clinical testing to go forward for a specified number of subjects, it does not bind the FDA to accept the results of the trial as sufficient to prove the product’s safety and effectiveness, even if the trial meets its intended success criteria.</w:t>
      </w:r>
    </w:p>
    <w:p>
      <w:pPr>
        <w:spacing w:after="0" w:line="94"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All clinical trials must be conducted in accordance with the FDA’s IDE regulations that govern investigational device labeling, prohibit promotion and specify an array of recordkeeping, reporting and monitoring responsibilities of study sponsors and study investigators. Clinical trials must further comply with the FDA’s good clinical practice regulations for institutional review board approval and for informed consent and other human subject protections. Required records and reports are subject to inspection by the FDA.</w:t>
      </w:r>
    </w:p>
    <w:p>
      <w:pPr>
        <w:spacing w:after="0" w:line="86" w:lineRule="exact"/>
        <w:rPr>
          <w:sz w:val="20"/>
          <w:szCs w:val="20"/>
          <w:color w:val="auto"/>
        </w:rPr>
      </w:pPr>
    </w:p>
    <w:p>
      <w:pPr>
        <w:jc w:val="both"/>
        <w:ind w:left="460" w:right="40"/>
        <w:spacing w:after="0" w:line="253" w:lineRule="auto"/>
        <w:rPr>
          <w:sz w:val="20"/>
          <w:szCs w:val="20"/>
          <w:color w:val="auto"/>
        </w:rPr>
      </w:pPr>
      <w:r>
        <w:rPr>
          <w:rFonts w:ascii="Arial" w:cs="Arial" w:eastAsia="Arial" w:hAnsi="Arial"/>
          <w:sz w:val="16"/>
          <w:szCs w:val="16"/>
          <w:color w:val="auto"/>
        </w:rPr>
        <w:t>The results of clinical testing may be unfavorable, or, even if the intended safety and effectiveness success criteria are achieved, may not be considered sufficient for the FDA to grant marketing approval or clearance of a product. The commencement or completion of any clinical trial may be delayed or halted, or be inadequate to support approval of a PMA application, for numerous reasons, including, but not limited to, the following:</w:t>
      </w:r>
    </w:p>
    <w:p>
      <w:pPr>
        <w:spacing w:after="0" w:line="99" w:lineRule="exact"/>
        <w:rPr>
          <w:sz w:val="20"/>
          <w:szCs w:val="20"/>
          <w:color w:val="auto"/>
        </w:rPr>
      </w:pPr>
    </w:p>
    <w:p>
      <w:pPr>
        <w:ind w:left="660" w:hanging="209"/>
        <w:spacing w:after="0"/>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FDA or other regulatory authorities do not approve a clinical trial protocol or a clinical trial, or place a clinical trial on hold;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Patients do not enroll in clinical trials at the rate expected;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Patients do not comply with trial protocols;</w:t>
      </w:r>
    </w:p>
    <w:p>
      <w:pPr>
        <w:spacing w:after="0" w:line="146"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0780"/>
          </w:cols>
          <w:pgMar w:left="320" w:top="440" w:right="79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660" w:hanging="209"/>
        <w:spacing w:after="0"/>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Patient follow-up is not at the rate expected;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Patients experience adverse events;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Patients die during a clinical trial, even though their death may not be related to the products that are part of the trial;</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Device malfunctions occur with unexpected frequency or potential adverse consequences;</w:t>
      </w:r>
    </w:p>
    <w:p>
      <w:pPr>
        <w:spacing w:after="0" w:line="120" w:lineRule="exact"/>
        <w:rPr>
          <w:rFonts w:ascii="Arial" w:cs="Arial" w:eastAsia="Arial" w:hAnsi="Arial"/>
          <w:sz w:val="16"/>
          <w:szCs w:val="16"/>
          <w:color w:val="auto"/>
        </w:rPr>
      </w:pPr>
    </w:p>
    <w:p>
      <w:pPr>
        <w:ind w:left="660" w:right="120" w:hanging="209"/>
        <w:spacing w:after="0" w:line="265"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Side effects or device malfunctions of similar products already in the market that change the FDA’s view toward approval of new or similar PMAs or result in the imposition of new requirements or testing;</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Institutional review boards and third-party clinical investigators may delay or reject the trial protocol;</w:t>
      </w:r>
    </w:p>
    <w:p>
      <w:pPr>
        <w:spacing w:after="0" w:line="120" w:lineRule="exact"/>
        <w:rPr>
          <w:rFonts w:ascii="Arial" w:cs="Arial" w:eastAsia="Arial" w:hAnsi="Arial"/>
          <w:sz w:val="16"/>
          <w:szCs w:val="16"/>
          <w:color w:val="auto"/>
        </w:rPr>
      </w:pPr>
    </w:p>
    <w:p>
      <w:pPr>
        <w:ind w:left="660" w:right="240" w:hanging="209"/>
        <w:spacing w:after="0" w:line="256"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Third-party clinical investigators decline to participate in a trial or do not perform a trial on the anticipated schedule or consistent with the clinical trial protocol, investigator agreement, investigational plan, good clinical practices, the IDE regulations, or other FDA or IRB requirements;</w:t>
      </w:r>
    </w:p>
    <w:p>
      <w:pPr>
        <w:spacing w:after="0" w:line="95" w:lineRule="exact"/>
        <w:rPr>
          <w:rFonts w:ascii="Arial" w:cs="Arial" w:eastAsia="Arial" w:hAnsi="Arial"/>
          <w:sz w:val="16"/>
          <w:szCs w:val="16"/>
          <w:color w:val="auto"/>
        </w:rPr>
      </w:pPr>
    </w:p>
    <w:p>
      <w:pPr>
        <w:ind w:left="660" w:hanging="209"/>
        <w:spacing w:after="0"/>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Third-party investigators are disqualified by the FDA;</w:t>
      </w:r>
    </w:p>
    <w:p>
      <w:pPr>
        <w:spacing w:after="0" w:line="120" w:lineRule="exact"/>
        <w:rPr>
          <w:rFonts w:ascii="Arial" w:cs="Arial" w:eastAsia="Arial" w:hAnsi="Arial"/>
          <w:sz w:val="16"/>
          <w:szCs w:val="16"/>
          <w:color w:val="auto"/>
        </w:rPr>
      </w:pPr>
    </w:p>
    <w:p>
      <w:pPr>
        <w:ind w:left="660" w:right="60" w:hanging="209"/>
        <w:spacing w:after="0" w:line="256"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We or third-party organizations do not perform data collection, monitoring and analysis in a timely or accurate manner or consistent with the clinical trial protocol or investigational or statistical plans, or otherwise fail to comply with the IDE regulations governing responsibilities, records, and reports of sponsors of clinical investigations;</w:t>
      </w:r>
    </w:p>
    <w:p>
      <w:pPr>
        <w:spacing w:after="0" w:line="95" w:lineRule="exact"/>
        <w:rPr>
          <w:rFonts w:ascii="Arial" w:cs="Arial" w:eastAsia="Arial" w:hAnsi="Arial"/>
          <w:sz w:val="16"/>
          <w:szCs w:val="16"/>
          <w:color w:val="auto"/>
        </w:rPr>
      </w:pPr>
    </w:p>
    <w:p>
      <w:pPr>
        <w:ind w:left="660" w:right="300" w:hanging="209"/>
        <w:spacing w:after="0" w:line="265"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Third-party clinical investigators have significant financial interests related to us or our study such that the FDA deems the study results unreliable, or we or investigators fail to disclose such interests;</w:t>
      </w:r>
    </w:p>
    <w:p>
      <w:pPr>
        <w:spacing w:after="0" w:line="88" w:lineRule="exact"/>
        <w:rPr>
          <w:rFonts w:ascii="Arial" w:cs="Arial" w:eastAsia="Arial" w:hAnsi="Arial"/>
          <w:sz w:val="16"/>
          <w:szCs w:val="16"/>
          <w:color w:val="auto"/>
        </w:rPr>
      </w:pPr>
    </w:p>
    <w:p>
      <w:pPr>
        <w:ind w:left="660" w:right="240" w:hanging="209"/>
        <w:spacing w:after="0" w:line="265"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Regulatory inspections of our clinical trials or manufacturing facilities, which may, among other things, require us to undertake corrective action or suspend or terminate our clinical trials;</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Changes in government regulations or administrative actions;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interim or final results of the clinical trial are inconclusive or unfavorable as to safety or effectiveness; or</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FDA concludes that our trial design is unreliable or inadequate to demonstrate safety and effectiveness.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510(k) clearance process</w:t>
      </w:r>
    </w:p>
    <w:p>
      <w:pPr>
        <w:spacing w:after="0" w:line="128" w:lineRule="exact"/>
        <w:rPr>
          <w:sz w:val="20"/>
          <w:szCs w:val="20"/>
          <w:color w:val="auto"/>
        </w:rPr>
      </w:pPr>
    </w:p>
    <w:p>
      <w:pPr>
        <w:ind w:left="460" w:right="180"/>
        <w:spacing w:after="0" w:line="265" w:lineRule="auto"/>
        <w:rPr>
          <w:sz w:val="20"/>
          <w:szCs w:val="20"/>
          <w:color w:val="auto"/>
        </w:rPr>
      </w:pPr>
      <w:r>
        <w:rPr>
          <w:rFonts w:ascii="Arial" w:cs="Arial" w:eastAsia="Arial" w:hAnsi="Arial"/>
          <w:sz w:val="16"/>
          <w:szCs w:val="16"/>
          <w:color w:val="auto"/>
        </w:rPr>
        <w:t>Under the 510(k) process, the manufacturer must submit to the FDA a premarket notification, demonstrating that the device is “substantially equivalent,” as defined in the statute, to a legally marketed predicate device.</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predicate device is a legally marketed device that is not subject to premarket approval, i.e., a device that was legally marketed prior to</w:t>
      </w:r>
    </w:p>
    <w:p>
      <w:pPr>
        <w:spacing w:after="0" w:line="6" w:lineRule="exact"/>
        <w:rPr>
          <w:sz w:val="20"/>
          <w:szCs w:val="20"/>
          <w:color w:val="auto"/>
        </w:rPr>
      </w:pPr>
    </w:p>
    <w:p>
      <w:pPr>
        <w:ind w:left="460"/>
        <w:spacing w:after="0" w:line="248" w:lineRule="auto"/>
        <w:rPr>
          <w:sz w:val="20"/>
          <w:szCs w:val="20"/>
          <w:color w:val="auto"/>
        </w:rPr>
      </w:pPr>
      <w:r>
        <w:rPr>
          <w:rFonts w:ascii="Arial" w:cs="Arial" w:eastAsia="Arial" w:hAnsi="Arial"/>
          <w:sz w:val="16"/>
          <w:szCs w:val="16"/>
          <w:color w:val="auto"/>
        </w:rPr>
        <w:t>May 28, 1976 (pre-amendments device) and for which a PMA is not required, a device that has been reclassified from Class III to Class II or I, or a device that was previously found substantially equivalent through the 510(k) process. A device is considered to be substantially equivalent if, with respect to the predicate device, it has the same intended use, and has either (i) the same technological characteristics; or</w:t>
      </w:r>
    </w:p>
    <w:p>
      <w:pPr>
        <w:ind w:left="460" w:right="200" w:hanging="9"/>
        <w:spacing w:after="0" w:line="256" w:lineRule="auto"/>
        <w:tabs>
          <w:tab w:leader="none" w:pos="689" w:val="left"/>
        </w:tabs>
        <w:numPr>
          <w:ilvl w:val="0"/>
          <w:numId w:val="93"/>
        </w:numPr>
        <w:rPr>
          <w:rFonts w:ascii="Arial" w:cs="Arial" w:eastAsia="Arial" w:hAnsi="Arial"/>
          <w:sz w:val="16"/>
          <w:szCs w:val="16"/>
          <w:color w:val="auto"/>
        </w:rPr>
      </w:pPr>
      <w:r>
        <w:rPr>
          <w:rFonts w:ascii="Arial" w:cs="Arial" w:eastAsia="Arial" w:hAnsi="Arial"/>
          <w:sz w:val="16"/>
          <w:szCs w:val="16"/>
          <w:color w:val="auto"/>
        </w:rPr>
        <w:t>different technological characteristics, but the information provided in the 510(k) submission demonstrates that the device does not raise different questions of safety or effectiveness than the predicate device. Clinical data is sometimes, but not always, required to support substantial equivalence.</w:t>
      </w:r>
    </w:p>
    <w:p>
      <w:pPr>
        <w:spacing w:after="0" w:line="83" w:lineRule="exact"/>
        <w:rPr>
          <w:sz w:val="20"/>
          <w:szCs w:val="20"/>
          <w:color w:val="auto"/>
        </w:rPr>
      </w:pPr>
    </w:p>
    <w:p>
      <w:pPr>
        <w:jc w:val="both"/>
        <w:ind w:left="460" w:right="80"/>
        <w:spacing w:after="0" w:line="256" w:lineRule="auto"/>
        <w:rPr>
          <w:sz w:val="20"/>
          <w:szCs w:val="20"/>
          <w:color w:val="auto"/>
        </w:rPr>
      </w:pPr>
      <w:r>
        <w:rPr>
          <w:rFonts w:ascii="Arial" w:cs="Arial" w:eastAsia="Arial" w:hAnsi="Arial"/>
          <w:sz w:val="16"/>
          <w:szCs w:val="16"/>
          <w:color w:val="auto"/>
        </w:rPr>
        <w:t>Before the FDA will accept a 510(k) premarket notification for substantive review, the FDA will first assess whether the submission satisfies a minimum threshold of acceptability. If the FDA determines that the 510(k) submission lacks necessary information for substantive review, the FDA will issue a “Refuse to Accept” letter which generally outlines</w:t>
      </w:r>
    </w:p>
    <w:p>
      <w:pPr>
        <w:spacing w:after="0" w:line="121"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0780"/>
          </w:cols>
          <w:pgMar w:left="320" w:top="441" w:right="79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the information the FDA believes is necessary to permit a substantive review and to reach a determination regarding substantial equivalence. An applicant must submit the requested information before the FDA will proceed with additional review of the submission. If a 510(k) submission is accepted for substantive review, the Medical Device User Fee Amendments sets a performance goal of 90 days for FDA review of a 510(k) submission, but the review time can be delayed if FDA raises questions or requests additional information during the review process. As a practical matter, clearance often takes longer, and clearance is never assured. Thus, as a practical matter, clearance often takes longer than 90 days.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w:t>
      </w:r>
    </w:p>
    <w:p>
      <w:pPr>
        <w:spacing w:after="0" w:line="90" w:lineRule="exact"/>
        <w:rPr>
          <w:sz w:val="20"/>
          <w:szCs w:val="20"/>
          <w:color w:val="auto"/>
        </w:rPr>
      </w:pPr>
    </w:p>
    <w:p>
      <w:pPr>
        <w:ind w:left="460" w:right="180"/>
        <w:spacing w:after="0" w:line="252" w:lineRule="auto"/>
        <w:rPr>
          <w:sz w:val="20"/>
          <w:szCs w:val="20"/>
          <w:color w:val="auto"/>
        </w:rPr>
      </w:pPr>
      <w:r>
        <w:rPr>
          <w:rFonts w:ascii="Arial" w:cs="Arial" w:eastAsia="Arial" w:hAnsi="Arial"/>
          <w:sz w:val="16"/>
          <w:szCs w:val="16"/>
          <w:color w:val="auto"/>
        </w:rPr>
        <w:t>If the FDA determines that the device is not “substantially equivalent” to a predicate device, or if the device is automatically classified into Class III, the device sponsor must then fulfill the much more rigorous premarketing requirements of the PMA approval process, or seek reclassification of the device through the de novo process. A manufacturer can also submit a petition for direct de novo review if the manufacturer is unable to identify an appropriate predicate device and the new device or new use of the device presents a moderate or low risk.</w:t>
      </w:r>
    </w:p>
    <w:p>
      <w:pPr>
        <w:spacing w:after="0" w:line="86"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Medical devices can only be marketed for the indications for which they are cleared or approved. After a device receives 510(k) clearance, any modification that could significantly affect its safety or effectiveness, or that would constitute a new or major change in its intended use, will require a new 510(k) clearance or, depending on the modification, could require a PMA application or de novo classification. The determination as to whether or not a modification constitutes such a change is initially left to the manufacturer using available FDA guidance; however, the FDA may review this determination to evaluate the regulatory status of the modified product at any time and may require the manufacturer to cease marketing and recall the modified device until new 510(k) clearance or PMA approval is obtained. If the FDA disagrees with a manufacturer’s determination regarding whether a new premarket submission is required for the modification of an existing device, the FDA can require the manufacturer to cease marketing and/or recall the modified device until 510(k) clearance or approval of a PMA application is obtained. The manufacturer may also be subject to significant regulatory fines or penalties.</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PMA approval process</w:t>
      </w:r>
    </w:p>
    <w:p>
      <w:pPr>
        <w:spacing w:after="0" w:line="128" w:lineRule="exact"/>
        <w:rPr>
          <w:sz w:val="20"/>
          <w:szCs w:val="20"/>
          <w:color w:val="auto"/>
        </w:rPr>
      </w:pPr>
    </w:p>
    <w:p>
      <w:pPr>
        <w:ind w:left="460" w:right="20"/>
        <w:spacing w:after="0" w:line="249" w:lineRule="auto"/>
        <w:rPr>
          <w:sz w:val="20"/>
          <w:szCs w:val="20"/>
          <w:color w:val="auto"/>
        </w:rPr>
      </w:pPr>
      <w:r>
        <w:rPr>
          <w:rFonts w:ascii="Arial" w:cs="Arial" w:eastAsia="Arial" w:hAnsi="Arial"/>
          <w:sz w:val="16"/>
          <w:szCs w:val="16"/>
          <w:color w:val="auto"/>
        </w:rPr>
        <w:t>Following receipt of a PMA application, the FDA conducts an administrative review to determine whether the application is sufficiently complete to permit a substantive review. If it is not, the agency will refuse to file the PMA. If it is, the FDA will accept the application for filing and begin the substantive review. The FDA, by statute and by regulation, has 180 days to review a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 The FDA considers a PMA or PMA supplement to have been voluntarily withdrawn if an applicant fails to respond to an FDA request for information (e.g., major deficiency letter) within a total of 360 days. Before approving or denying a PMA, an FDA advisory committee may review the PMA at a public meeting and provide the FDA with the committee’s recommendation on whether the FDA should approve the submission, approve it with specific conditions, or not approve it. The FDA is not bound by the recommendations of an advisory committee, but it considers such recommendations carefully when making decisions.</w:t>
      </w:r>
    </w:p>
    <w:p>
      <w:pPr>
        <w:spacing w:after="0" w:line="94" w:lineRule="exact"/>
        <w:rPr>
          <w:sz w:val="20"/>
          <w:szCs w:val="20"/>
          <w:color w:val="auto"/>
        </w:rPr>
      </w:pPr>
    </w:p>
    <w:p>
      <w:pPr>
        <w:ind w:left="460" w:right="280"/>
        <w:spacing w:after="0" w:line="256" w:lineRule="auto"/>
        <w:rPr>
          <w:sz w:val="20"/>
          <w:szCs w:val="20"/>
          <w:color w:val="auto"/>
        </w:rPr>
      </w:pPr>
      <w:r>
        <w:rPr>
          <w:rFonts w:ascii="Arial" w:cs="Arial" w:eastAsia="Arial" w:hAnsi="Arial"/>
          <w:sz w:val="16"/>
          <w:szCs w:val="16"/>
          <w:color w:val="auto"/>
        </w:rPr>
        <w:t>Prior to approval of a PMA, the FDA may conduct inspections of the clinical trial data and clinical trial sites, as well as inspections of the manufacturing facility and processes. Overall, the FDA review of a PMA application generally takes between one and three years but may take significantly longer. The FDA can delay, limit or deny approval of a PMA application for many reasons, including:</w:t>
      </w:r>
    </w:p>
    <w:p>
      <w:pPr>
        <w:spacing w:after="0" w:line="96" w:lineRule="exact"/>
        <w:rPr>
          <w:sz w:val="20"/>
          <w:szCs w:val="20"/>
          <w:color w:val="auto"/>
        </w:rPr>
      </w:pPr>
    </w:p>
    <w:p>
      <w:pPr>
        <w:ind w:left="5480" w:right="4860" w:hanging="5029"/>
        <w:spacing w:after="0" w:line="447" w:lineRule="auto"/>
        <w:tabs>
          <w:tab w:leader="none" w:pos="648"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device may not be shown safe or effective to the FDA’s satisfaction; 153</w:t>
      </w:r>
    </w:p>
    <w:p>
      <w:pPr>
        <w:sectPr>
          <w:pgSz w:w="11900" w:h="16838" w:orient="portrait"/>
          <w:cols w:equalWidth="0" w:num="1">
            <w:col w:w="10760"/>
          </w:cols>
          <w:pgMar w:left="320" w:top="441" w:right="81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660" w:hanging="209"/>
        <w:spacing w:after="0"/>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data from pre-clinical studies and/or clinical trials may be found unreliable or insufficient to support approval;</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manufacturing process or facilities may not meet applicable requirements; and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Changes in FDA approval policies or adoption of new regulations may require additional data.</w:t>
      </w:r>
    </w:p>
    <w:p>
      <w:pPr>
        <w:spacing w:after="0" w:line="108" w:lineRule="exact"/>
        <w:rPr>
          <w:sz w:val="20"/>
          <w:szCs w:val="20"/>
          <w:color w:val="auto"/>
        </w:rPr>
      </w:pPr>
    </w:p>
    <w:p>
      <w:pPr>
        <w:ind w:left="460" w:right="60"/>
        <w:spacing w:after="0" w:line="250" w:lineRule="auto"/>
        <w:rPr>
          <w:sz w:val="20"/>
          <w:szCs w:val="20"/>
          <w:color w:val="auto"/>
        </w:rPr>
      </w:pPr>
      <w:r>
        <w:rPr>
          <w:rFonts w:ascii="Arial" w:cs="Arial" w:eastAsia="Arial" w:hAnsi="Arial"/>
          <w:sz w:val="16"/>
          <w:szCs w:val="16"/>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If the FDA’s evaluation of a PMA application or manufacturing facilities is not favorable, the FDA will deny approval of the PMA or issue a not approvable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the data are available. The PMA process can be expensive, uncertain and lengthy and a number of devices for which the FDA approval has been sought by other companies have never been approved by the FDA for marketing.</w:t>
      </w:r>
    </w:p>
    <w:p>
      <w:pPr>
        <w:spacing w:after="0" w:line="88"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New PMA applications or PMA supplements are required for modification to the manufacturing process, equipment or facility, quality control procedures, sterilization, packaging, expiration date, labeling, device specifications, ingredients, materials or design of a device that has been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technical or clinical data or the convening of an advisory panel, depending on the nature of the proposed change.</w:t>
      </w:r>
    </w:p>
    <w:p>
      <w:pPr>
        <w:spacing w:after="0" w:line="88" w:lineRule="exact"/>
        <w:rPr>
          <w:sz w:val="20"/>
          <w:szCs w:val="20"/>
          <w:color w:val="auto"/>
        </w:rPr>
      </w:pPr>
    </w:p>
    <w:p>
      <w:pPr>
        <w:ind w:left="460" w:right="200"/>
        <w:spacing w:after="0" w:line="250" w:lineRule="auto"/>
        <w:rPr>
          <w:sz w:val="20"/>
          <w:szCs w:val="20"/>
          <w:color w:val="auto"/>
        </w:rPr>
      </w:pPr>
      <w:r>
        <w:rPr>
          <w:rFonts w:ascii="Arial" w:cs="Arial" w:eastAsia="Arial" w:hAnsi="Arial"/>
          <w:sz w:val="16"/>
          <w:szCs w:val="16"/>
          <w:color w:val="auto"/>
        </w:rPr>
        <w:t>In approving a PMA application, as a condition of approval,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 term safety and effectiveness data for the device. The FDA may also require post-market surveillance for certain devices cleared under a 510(k) notification, such as implants or life-supporting or life-sustaining devices used outside a device user facility. The FDA may also approve a PMA application with other post-approval conditions intended to ensure the safety and effectiveness of the device, such as, among other things, restrictions on labeling, promotion, sale, distribution and use. Significant modifications to the manufacturing process, labeling and design for a device which has received approval through the PMA process may require submission of a new PMA application or PMA supplement prior to marketing.</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Ongoing regulation by the FDA</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Even after the FDA permits a device to be marketed, numerous regulatory requirements apply, including but not limited to:</w:t>
      </w:r>
    </w:p>
    <w:p>
      <w:pPr>
        <w:spacing w:after="0" w:line="120" w:lineRule="exact"/>
        <w:rPr>
          <w:sz w:val="20"/>
          <w:szCs w:val="20"/>
          <w:color w:val="auto"/>
        </w:rPr>
      </w:pPr>
    </w:p>
    <w:p>
      <w:pPr>
        <w:ind w:left="660" w:hanging="209"/>
        <w:spacing w:after="0"/>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establishment registration and device listing;</w:t>
      </w:r>
    </w:p>
    <w:p>
      <w:pPr>
        <w:spacing w:after="0" w:line="120" w:lineRule="exact"/>
        <w:rPr>
          <w:rFonts w:ascii="Arial" w:cs="Arial" w:eastAsia="Arial" w:hAnsi="Arial"/>
          <w:sz w:val="16"/>
          <w:szCs w:val="16"/>
          <w:color w:val="auto"/>
        </w:rPr>
      </w:pPr>
    </w:p>
    <w:p>
      <w:pPr>
        <w:jc w:val="both"/>
        <w:ind w:left="660" w:right="580" w:hanging="209"/>
        <w:spacing w:after="0" w:line="256" w:lineRule="auto"/>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QSR, which requires manufacturers, including third-party manufacturers, to follow stringent design, testing, production, control, supplier/contractor selection, complaint handling, documentation, and other quality assurance procedures during the manufacturing process;</w:t>
      </w:r>
    </w:p>
    <w:p>
      <w:pPr>
        <w:spacing w:after="0" w:line="95" w:lineRule="exact"/>
        <w:rPr>
          <w:rFonts w:ascii="Arial" w:cs="Arial" w:eastAsia="Arial" w:hAnsi="Arial"/>
          <w:sz w:val="16"/>
          <w:szCs w:val="16"/>
          <w:color w:val="auto"/>
        </w:rPr>
      </w:pPr>
    </w:p>
    <w:p>
      <w:pPr>
        <w:ind w:left="660" w:right="80" w:hanging="209"/>
        <w:spacing w:after="0" w:line="256" w:lineRule="auto"/>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labeling regulations, advertising and promotion requirements, restrictions on sale distribution or use of a device, each including the FDA general prohibition against the promotion of products for any uses other than those authorized by the FDA, which are commonly known as “off label” uses;</w:t>
      </w:r>
    </w:p>
    <w:p>
      <w:pPr>
        <w:spacing w:after="0" w:line="121"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0780"/>
          </w:cols>
          <w:pgMar w:left="320" w:top="440" w:right="79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660" w:right="100" w:hanging="209"/>
        <w:spacing w:after="0" w:line="256" w:lineRule="auto"/>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Medical Device Reporting, or MDR regulation, which requires that manufactures report to the FDA if their device may have caused or contributed to a death or serious injury or if their device malfunctioned and the device or a similar device marketed by the manufacturer would be likely to cause or contribute to a death or serious injury if the malfunction were to recur;</w:t>
      </w:r>
    </w:p>
    <w:p>
      <w:pPr>
        <w:spacing w:after="0" w:line="95" w:lineRule="exact"/>
        <w:rPr>
          <w:rFonts w:ascii="Arial" w:cs="Arial" w:eastAsia="Arial" w:hAnsi="Arial"/>
          <w:sz w:val="16"/>
          <w:szCs w:val="16"/>
          <w:color w:val="auto"/>
        </w:rPr>
      </w:pPr>
    </w:p>
    <w:p>
      <w:pPr>
        <w:ind w:left="660" w:right="280" w:hanging="209"/>
        <w:spacing w:after="0" w:line="256" w:lineRule="auto"/>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medical device corrections and removal reporting regulations, which require that manufactures report to the FDA field corrections or removals if undertaken to reduce a risk to health posed by a device or to remedy a violation of the FD&amp;C Act that may present a risk to health;</w:t>
      </w:r>
    </w:p>
    <w:p>
      <w:pPr>
        <w:spacing w:after="0" w:line="95" w:lineRule="exact"/>
        <w:rPr>
          <w:rFonts w:ascii="Arial" w:cs="Arial" w:eastAsia="Arial" w:hAnsi="Arial"/>
          <w:sz w:val="16"/>
          <w:szCs w:val="16"/>
          <w:color w:val="auto"/>
        </w:rPr>
      </w:pPr>
    </w:p>
    <w:p>
      <w:pPr>
        <w:ind w:left="660" w:right="220" w:hanging="209"/>
        <w:spacing w:after="0" w:line="265" w:lineRule="auto"/>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recall requirements, including a mandatory recall if there is a reasonable probability that the device would cause serious adverse health consequences or death;</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 order of repair, replacement or refund;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device tracking requirements; and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post market study and surveillance requirements.</w:t>
      </w:r>
    </w:p>
    <w:p>
      <w:pPr>
        <w:spacing w:after="0" w:line="108"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After a device receives 510(k) clearance, any modification that could significantly affect its safety or effectiveness, or that would constitute a major change in its intended use, will require a new 510(k) or possibly a PMA. The FDA requires each manufacturer to make this determination initially, but the FDA can review any such decision and can disagree with a manufacturer’s determination. If the FDA disagrees with our determination not to seek a new 510(k) clearance, the FDA may retroactively require us to seek 510(k) clearance or possibly a PMA. The FDA could also require us to cease marketing and distribution and/or recall the modified device until 510(k) clearance or a PMA is obtained. Also, in these circumstances, we may be subject to significant regulatory fines and penalties.</w:t>
      </w:r>
    </w:p>
    <w:p>
      <w:pPr>
        <w:spacing w:after="0" w:line="88" w:lineRule="exact"/>
        <w:rPr>
          <w:sz w:val="20"/>
          <w:szCs w:val="20"/>
          <w:color w:val="auto"/>
        </w:rPr>
      </w:pPr>
    </w:p>
    <w:p>
      <w:pPr>
        <w:ind w:left="460" w:right="20"/>
        <w:spacing w:after="0" w:line="252" w:lineRule="auto"/>
        <w:rPr>
          <w:sz w:val="20"/>
          <w:szCs w:val="20"/>
          <w:color w:val="auto"/>
        </w:rPr>
      </w:pPr>
      <w:r>
        <w:rPr>
          <w:rFonts w:ascii="Arial" w:cs="Arial" w:eastAsia="Arial" w:hAnsi="Arial"/>
          <w:sz w:val="16"/>
          <w:szCs w:val="16"/>
          <w:color w:val="auto"/>
        </w:rPr>
        <w:t>Some changes to an approved PMA device, including changes in indications, labeling, or manufacturing processes or facilities, require submission and FDA approval of a new PMA application or PMA supplement, as appropriate, before the change can be implemented. Supplements to a PMA often require the submission of the same type of information required for an original PMA application, except that the supplement is generally limited to that information needed to support the proposed change from the device covered by the original PMA. The FDA uses the same procedures and actions in reviewing PMA supplements as it does in reviewing original PMA applications.</w:t>
      </w:r>
    </w:p>
    <w:p>
      <w:pPr>
        <w:spacing w:after="0" w:line="86"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FDA regulations require us to register as a medical device manufacturer with the FDA. Additionally, some states also require medical device manufacturers and/or distributors doing business within the state to register with the state or apply for a state license, which could subject our facility to state inspection as well as FDA inspection on a routine basis for compliance with the QSR and any applicable state requirements. These regulations require that we manufacture our products and maintain related documentation in a prescribed manner with respect to manufacturing, testing and control activities. Further, the FDA requires us to comply with various FDA regulations regarding labeling. Failure by us or by our suppliers to comply with applicable regulatory requirements can result in enforcement action by the FDA or state authorities, which may include any of the following sanctions:</w:t>
      </w:r>
    </w:p>
    <w:p>
      <w:pPr>
        <w:spacing w:after="0" w:line="104" w:lineRule="exact"/>
        <w:rPr>
          <w:sz w:val="20"/>
          <w:szCs w:val="20"/>
          <w:color w:val="auto"/>
        </w:rPr>
      </w:pPr>
    </w:p>
    <w:p>
      <w:pPr>
        <w:ind w:left="660" w:hanging="209"/>
        <w:spacing w:after="0"/>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warning or untitled letters, fines, injunctions, consent decrees and civil penalties;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customer notifications, voluntary or mandatory recall or seizure of our products;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operating restrictions, partial suspension or total shutdown of production;</w:t>
      </w:r>
    </w:p>
    <w:p>
      <w:pPr>
        <w:spacing w:after="0" w:line="120" w:lineRule="exact"/>
        <w:rPr>
          <w:rFonts w:ascii="Arial" w:cs="Arial" w:eastAsia="Arial" w:hAnsi="Arial"/>
          <w:sz w:val="16"/>
          <w:szCs w:val="16"/>
          <w:color w:val="auto"/>
        </w:rPr>
      </w:pPr>
    </w:p>
    <w:p>
      <w:pPr>
        <w:ind w:left="5480" w:right="980" w:hanging="5029"/>
        <w:spacing w:after="0" w:line="447" w:lineRule="auto"/>
        <w:tabs>
          <w:tab w:leader="none" w:pos="648" w:val="left"/>
        </w:tabs>
        <w:numPr>
          <w:ilvl w:val="0"/>
          <w:numId w:val="98"/>
        </w:numPr>
        <w:rPr>
          <w:rFonts w:ascii="Arial" w:cs="Arial" w:eastAsia="Arial" w:hAnsi="Arial"/>
          <w:sz w:val="16"/>
          <w:szCs w:val="16"/>
          <w:color w:val="auto"/>
        </w:rPr>
      </w:pPr>
      <w:r>
        <w:rPr>
          <w:rFonts w:ascii="Arial" w:cs="Arial" w:eastAsia="Arial" w:hAnsi="Arial"/>
          <w:sz w:val="16"/>
          <w:szCs w:val="16"/>
          <w:color w:val="auto"/>
        </w:rPr>
        <w:t>delay in processing, clearing or approving submissions or applications for new products or modifications to existing products; 155</w:t>
      </w:r>
    </w:p>
    <w:p>
      <w:pPr>
        <w:sectPr>
          <w:pgSz w:w="11900" w:h="16838" w:orient="portrait"/>
          <w:cols w:equalWidth="0" w:num="1">
            <w:col w:w="10720"/>
          </w:cols>
          <w:pgMar w:left="320" w:top="441" w:right="85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660" w:hanging="209"/>
        <w:spacing w:after="0"/>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FDA refusal to issue certificates to foreign governments needed to export products for sale in other countries;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suspension or withdrawal of FDA approvals or clearances that have already been granted; and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criminal prosecution.</w:t>
      </w:r>
    </w:p>
    <w:p>
      <w:pPr>
        <w:spacing w:after="0" w:line="108" w:lineRule="exact"/>
        <w:rPr>
          <w:sz w:val="20"/>
          <w:szCs w:val="20"/>
          <w:color w:val="auto"/>
        </w:rPr>
      </w:pPr>
    </w:p>
    <w:p>
      <w:pPr>
        <w:ind w:left="460" w:right="400"/>
        <w:spacing w:after="0" w:line="253" w:lineRule="auto"/>
        <w:rPr>
          <w:sz w:val="20"/>
          <w:szCs w:val="20"/>
          <w:color w:val="auto"/>
        </w:rPr>
      </w:pPr>
      <w:r>
        <w:rPr>
          <w:rFonts w:ascii="Arial" w:cs="Arial" w:eastAsia="Arial" w:hAnsi="Arial"/>
          <w:sz w:val="16"/>
          <w:szCs w:val="16"/>
          <w:color w:val="auto"/>
        </w:rPr>
        <w:t>Newly discovered or developed safety or effectiveness data may require changes to a product’s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clearance or approval of our products under development.</w:t>
      </w:r>
    </w:p>
    <w:p>
      <w:pPr>
        <w:spacing w:after="0" w:line="86" w:lineRule="exact"/>
        <w:rPr>
          <w:sz w:val="20"/>
          <w:szCs w:val="20"/>
          <w:color w:val="auto"/>
        </w:rPr>
      </w:pPr>
    </w:p>
    <w:p>
      <w:pPr>
        <w:ind w:left="460" w:right="40"/>
        <w:spacing w:after="0" w:line="251" w:lineRule="auto"/>
        <w:rPr>
          <w:sz w:val="20"/>
          <w:szCs w:val="20"/>
          <w:color w:val="auto"/>
        </w:rPr>
      </w:pPr>
      <w:r>
        <w:rPr>
          <w:rFonts w:ascii="Arial" w:cs="Arial" w:eastAsia="Arial" w:hAnsi="Arial"/>
          <w:sz w:val="16"/>
          <w:szCs w:val="16"/>
          <w:color w:val="auto"/>
        </w:rPr>
        <w:t>Our facilities, records and manufacturing processes are subject to periodic unscheduled inspections by the FDA. Failure to comply with the applicable United States medical device regulatory requirements could result in, among other things, warning letters, untitled letters, fines, injunctions, consent decrees, civil penalties, unanticipated expenditures, repairs, replacements, refunds, recalls or seizures of products, operating restrictions, total or partial suspension of production, the FDA’s refusal to issue certificates to foreign governments needed to export products for sale in other countries, the FDA’s refusal to grant future premarket clearances or approvals, withdrawals or suspensions of current product clearances or approvals and criminal prosecution.</w:t>
      </w:r>
    </w:p>
    <w:p>
      <w:pPr>
        <w:spacing w:after="0" w:line="88" w:lineRule="exact"/>
        <w:rPr>
          <w:sz w:val="20"/>
          <w:szCs w:val="20"/>
          <w:color w:val="auto"/>
        </w:rPr>
      </w:pPr>
    </w:p>
    <w:p>
      <w:pPr>
        <w:ind w:left="460" w:right="160"/>
        <w:spacing w:after="0" w:line="252" w:lineRule="auto"/>
        <w:rPr>
          <w:sz w:val="20"/>
          <w:szCs w:val="20"/>
          <w:color w:val="auto"/>
        </w:rPr>
      </w:pPr>
      <w:r>
        <w:rPr>
          <w:rFonts w:ascii="Arial" w:cs="Arial" w:eastAsia="Arial" w:hAnsi="Arial"/>
          <w:sz w:val="16"/>
          <w:szCs w:val="16"/>
          <w:color w:val="auto"/>
        </w:rPr>
        <w:t>When the FDA conducts an inspection, the inspectors will identify any deficiencies they believe exist in the form of a notice of inspectional observations, or Form FDA 483. If we receive a notice of inspectional observations or deficiencies from the FDA following an inspection, we would be required to respond in writing, and would be required to undertake corrective and/or preventive or other actions in order to address the FDA’s or other regulators’ concerns. Failure to address the FDA’s concerns may result in the issuance of a warning letter or other enforcement or administrative actions.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International medical device premarket authorization process</w:t>
      </w:r>
    </w:p>
    <w:p>
      <w:pPr>
        <w:spacing w:after="0" w:line="128"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The European Union has adopted numerous directives and standards regulating the design, manufacture, clinical trials, labeling and adverse event reporting for medical devices. Our products are regulated in the European Union as medical devices per European Union Directive 93/42/EEC, also known as the Medical Device Directive, or MDD. The MDD sets out the basic regulatory framework for medical devices in the European Union. The system of regulating medical devices operates by way of a certification for each medical device. Each certified device is marked with the CE mark which shows that the device has a Certificat de Conformité. There are national bodies known as Competent Authorities in each member state which oversee the implementation of the MDD within their jurisdiction. The means for achieving the requirements for the CE mark vary according to the nature of the device. Devices are classified in accordance with their perceived risks, similarly to the U.S. system. The class of a product determines the conformity assessment required before the CE mark can be placed on a product. Conformity assessments for our products are carried out as required by the MDD. Each member state can appoint Notified Bodies within its jurisdiction. If a Notified Body of a one-member state has issued a Certificat de Conformité, the device can be sold throughout the European Union without further conformance tests being required in other member states. The CE mark is contingent upon continued compliance with the applicable regulations and the quality system requirements of the ISO 13485 standard.</w:t>
      </w:r>
    </w:p>
    <w:p>
      <w:pPr>
        <w:spacing w:after="0" w:line="93" w:lineRule="exact"/>
        <w:rPr>
          <w:sz w:val="20"/>
          <w:szCs w:val="20"/>
          <w:color w:val="auto"/>
        </w:rPr>
      </w:pPr>
    </w:p>
    <w:p>
      <w:pPr>
        <w:ind w:left="460" w:right="80"/>
        <w:spacing w:after="0" w:line="253" w:lineRule="auto"/>
        <w:rPr>
          <w:sz w:val="20"/>
          <w:szCs w:val="20"/>
          <w:color w:val="auto"/>
        </w:rPr>
      </w:pPr>
      <w:r>
        <w:rPr>
          <w:rFonts w:ascii="Arial" w:cs="Arial" w:eastAsia="Arial" w:hAnsi="Arial"/>
          <w:sz w:val="16"/>
          <w:szCs w:val="16"/>
          <w:color w:val="auto"/>
        </w:rPr>
        <w:t>The new European Union Medical Devices Regulation 2017/745, or EU MDR, which was published in May 2017 with a transition period of three years, replaces the MDD and will expand and modify the pre-market and post-market obligations of the MDD. The date of application of the EU MDR has been postponed to May 26, 2021 with implementation dates based off of risk classification of the medical device. The EU MDR will impose additional</w:t>
      </w:r>
    </w:p>
    <w:p>
      <w:pPr>
        <w:spacing w:after="0" w:line="1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0800"/>
          </w:cols>
          <w:pgMar w:left="320" w:top="441" w:right="77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80"/>
        <w:spacing w:after="0" w:line="250" w:lineRule="auto"/>
        <w:rPr>
          <w:sz w:val="20"/>
          <w:szCs w:val="20"/>
          <w:color w:val="auto"/>
        </w:rPr>
      </w:pPr>
      <w:r>
        <w:rPr>
          <w:rFonts w:ascii="Arial" w:cs="Arial" w:eastAsia="Arial" w:hAnsi="Arial"/>
          <w:sz w:val="16"/>
          <w:szCs w:val="16"/>
          <w:color w:val="auto"/>
        </w:rPr>
        <w:t>requirements on clinical evaluation process, safety, classification and performance of medical device products. The EU MDR will have no impact on our current and future products as registrations to the EU MDR are in process and are scheduled for completion prior to the implementation dates. In addition to inspections by the FDA and other regulatory entities, we are also subject to periodic inspections by applicable European Notified Body with respect to regulatory requirements that apply to medical devices designed and manufactured by us and clinical trials sponsored by us. We are also certified to the Medical Device Single Audit Program (MDSAP) for the jurisdictions of the United States, Canada, and Australia which allows for one single audit performed by Notified Body to cover those jurisdictions with respect to quality systems. The MDSAP certification with Japan and Brazil is in process and is expected at end of 2021.</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Other U.S. regulatory matters</w:t>
      </w:r>
    </w:p>
    <w:p>
      <w:pPr>
        <w:spacing w:after="0" w:line="128"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Medical device companies are subject to additional healthcare regulation and enforcement by the federal government and by authorities in the states and foreign jurisdictions in which they conduct their business. Manufacturing, sales, promotion and other activities following product clearance or approval are subject to regulation by numerous regulatory authorities in the United States in addition to the FDA, including the CMS, other divisions of the Department of Health and Human Services, the Department of Justice, the Consumer Product Safety Commission, the Federal Trade Commission, the Occupational Safety &amp; Health Administration, the Environmental Protection Agency, and state and local governments. For example, in the United States, sales, marketing and scientific and educational programs also must comply with state and federal fraud and abuse, anti-kickback false claims, transparency, government price reporting, anti-corruption, and health information privacy and security laws and regulations. Internationally, other governments also impose regulations in connection with their healthcare reimbursement programs and the delivery of healthcare items and services. These laws include the following:</w:t>
      </w:r>
    </w:p>
    <w:p>
      <w:pPr>
        <w:spacing w:after="0" w:line="101" w:lineRule="exact"/>
        <w:rPr>
          <w:sz w:val="20"/>
          <w:szCs w:val="20"/>
          <w:color w:val="auto"/>
        </w:rPr>
      </w:pPr>
    </w:p>
    <w:p>
      <w:pPr>
        <w:ind w:left="660" w:right="20" w:hanging="209"/>
        <w:spacing w:after="0" w:line="249" w:lineRule="auto"/>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U.S. federal healthcare fraud and abuse laws generally apply to our activities because our products are covered under federal healthcare programs such as Medicare and Medicaid. The Anti-Kickback Statute is particularly relevant because of its broad applicability. The federal Anti-Kickback Statute makes it illegal for any person, including a prescription medical device manufacturer (or a party acting on its behalf), to knowingly and willfully solicit, receive, offer or pay any remuneration that is intended to induce or reward referrals, including the purchase, recommendation, order or prescription of a particular medical device, for which payment may be made under a federal healthcare program, such as Medicare or Medicaid. Almost any financial arrangement with a healthcare provider, patient or customer could implicate the Anti-Kickback Statute. Statutory exceptions and regulatory safe harbors protect certain arrangements if specific requirements are met. The government can exercise enforcement discretion in taking action against arrangements that do not fit within a safe harbor. Further, a person or entity does not need to have actual knowledge of the statute or specific intent to violate it. Moreover, the government may assert that a claim including items or services resulting from a violation of the federal Anti-Kickback Statute constitutes a false or fraudulent claim for purposes of the civil False Claims Act. Penalties for violations of the Anti- Kickback Statute include, but are not limited to, criminal, civil and/or administrative penalties, damages, fines, disgorgement, individual imprisonment, possible exclusion from Medicare, Medicaid and other federal healthcare programs. Our exclusion would mean that procedures using our products would no longer be eligible for reimbursement under federal healthcare programs;</w:t>
      </w:r>
    </w:p>
    <w:p>
      <w:pPr>
        <w:spacing w:after="0" w:line="104" w:lineRule="exact"/>
        <w:rPr>
          <w:rFonts w:ascii="Arial" w:cs="Arial" w:eastAsia="Arial" w:hAnsi="Arial"/>
          <w:sz w:val="16"/>
          <w:szCs w:val="16"/>
          <w:color w:val="auto"/>
        </w:rPr>
      </w:pPr>
    </w:p>
    <w:p>
      <w:pPr>
        <w:ind w:left="660" w:right="180" w:hanging="209"/>
        <w:spacing w:after="0" w:line="253" w:lineRule="auto"/>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Another development affecting the healthcare industry is the increased use of the federal Civil False Claims Act and, in particular, actions brought pursuant to the False Claims Act’s “whistleblower” or “qui tam” provisions. In recent years, the number of suits brought against healthcare companies by private individuals has increased dramatically. The federal civil and criminal false claims acts, including the civil FCA, prohibit individuals or entities from, among other things, knowingly presenting, or causing to be presented, to the</w:t>
      </w:r>
    </w:p>
    <w:p>
      <w:pPr>
        <w:spacing w:after="0" w:line="1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0800"/>
          </w:cols>
          <w:pgMar w:left="320" w:top="441" w:right="77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660" w:right="40"/>
        <w:spacing w:after="0" w:line="256" w:lineRule="auto"/>
        <w:rPr>
          <w:sz w:val="20"/>
          <w:szCs w:val="20"/>
          <w:color w:val="auto"/>
        </w:rPr>
      </w:pPr>
      <w:r>
        <w:rPr>
          <w:rFonts w:ascii="Arial" w:cs="Arial" w:eastAsia="Arial" w:hAnsi="Arial"/>
          <w:sz w:val="16"/>
          <w:szCs w:val="16"/>
          <w:color w:val="auto"/>
        </w:rPr>
        <w:t>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w:t>
      </w:r>
    </w:p>
    <w:p>
      <w:pPr>
        <w:spacing w:after="0" w:line="96" w:lineRule="exact"/>
        <w:rPr>
          <w:sz w:val="20"/>
          <w:szCs w:val="20"/>
          <w:color w:val="auto"/>
        </w:rPr>
      </w:pPr>
    </w:p>
    <w:p>
      <w:pPr>
        <w:ind w:left="660" w:hanging="209"/>
        <w:spacing w:after="0" w:line="252" w:lineRule="auto"/>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99" w:lineRule="exact"/>
        <w:rPr>
          <w:rFonts w:ascii="Arial" w:cs="Arial" w:eastAsia="Arial" w:hAnsi="Arial"/>
          <w:sz w:val="16"/>
          <w:szCs w:val="16"/>
          <w:color w:val="auto"/>
        </w:rPr>
      </w:pPr>
    </w:p>
    <w:p>
      <w:pPr>
        <w:ind w:left="660" w:right="240" w:hanging="209"/>
        <w:spacing w:after="0" w:line="253" w:lineRule="auto"/>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HIPAA prohibits, among other things, executing or attempting to execute a scheme to defraud any healthcare benefit program or making false statements relating to healthcare matters. HIPAA, as amended by the Health Information Technology for Economic and Clinical Health Act and their implementing regulations, also imposes obligations, including mandatory contractual terms, with respect to safeguarding the privacy, security and transmission of individually identifiable health information;</w:t>
      </w:r>
    </w:p>
    <w:p>
      <w:pPr>
        <w:spacing w:after="0" w:line="98" w:lineRule="exact"/>
        <w:rPr>
          <w:rFonts w:ascii="Arial" w:cs="Arial" w:eastAsia="Arial" w:hAnsi="Arial"/>
          <w:sz w:val="16"/>
          <w:szCs w:val="16"/>
          <w:color w:val="auto"/>
        </w:rPr>
      </w:pPr>
    </w:p>
    <w:p>
      <w:pPr>
        <w:ind w:left="660" w:right="120" w:hanging="209"/>
        <w:spacing w:after="0" w:line="265" w:lineRule="auto"/>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Federal consumer protection and unfair competition laws, which broadly regulate marketplace activities and activities that potentially harm consumers;</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FDCA, which prohibits, among other things, the adulteration or misbranding of medical devices;</w:t>
      </w:r>
    </w:p>
    <w:p>
      <w:pPr>
        <w:spacing w:after="0" w:line="120" w:lineRule="exact"/>
        <w:rPr>
          <w:rFonts w:ascii="Arial" w:cs="Arial" w:eastAsia="Arial" w:hAnsi="Arial"/>
          <w:sz w:val="16"/>
          <w:szCs w:val="16"/>
          <w:color w:val="auto"/>
        </w:rPr>
      </w:pPr>
    </w:p>
    <w:p>
      <w:pPr>
        <w:ind w:left="660" w:right="100" w:hanging="209"/>
        <w:spacing w:after="0" w:line="250" w:lineRule="auto"/>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Additionally, there has been a recent trend of increased federal and state regulation of payments made to doctors. 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and teaching hospitals, and beginning in 2022 (for payment and transfer of value data collected in 2021), for physician assistants, nurse practitioners, clinical nurse specialists, certified registered nurse anesthetists &amp; anesthesiologist assistants, and certified nurse midwives as well as information regarding ownership and investment interests held by physicians and their immediate family members;</w:t>
      </w:r>
    </w:p>
    <w:p>
      <w:pPr>
        <w:spacing w:after="0" w:line="103" w:lineRule="exact"/>
        <w:rPr>
          <w:rFonts w:ascii="Arial" w:cs="Arial" w:eastAsia="Arial" w:hAnsi="Arial"/>
          <w:sz w:val="16"/>
          <w:szCs w:val="16"/>
          <w:color w:val="auto"/>
        </w:rPr>
      </w:pPr>
    </w:p>
    <w:p>
      <w:pPr>
        <w:ind w:left="660" w:hanging="209"/>
        <w:spacing w:after="0" w:line="251" w:lineRule="auto"/>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if any, and to devise and maintain an adequate system of internal accounting controls for international operations;</w:t>
      </w:r>
    </w:p>
    <w:p>
      <w:pPr>
        <w:spacing w:after="0" w:line="100" w:lineRule="exact"/>
        <w:rPr>
          <w:rFonts w:ascii="Arial" w:cs="Arial" w:eastAsia="Arial" w:hAnsi="Arial"/>
          <w:sz w:val="16"/>
          <w:szCs w:val="16"/>
          <w:color w:val="auto"/>
        </w:rPr>
      </w:pPr>
    </w:p>
    <w:p>
      <w:pPr>
        <w:ind w:left="660" w:right="20" w:hanging="209"/>
        <w:spacing w:after="0" w:line="250" w:lineRule="auto"/>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anti-referral, and false claims laws, which may apply to sales or marketing arrangements and claims involving healthcare items or services reimbursed by non-governmental third-party payors, including private insurers; state laws that require certain biotechnology, pharmaceutical, and medical device companies to comply with the industry’s voluntary compliance guidelines and the relevant compliance guidance promulgated by the federal government and may require applicable manufacturers to disclose or report certain information related to payments and other transfers of value to doctors and entities or sales, marketing, pricing, clinical trials, marketing expenditures and activities, and state and foreign laws that govern the privacy and security of health information in some circumstances, many of which differ from each other in significant ways and often are not preempted by HIPAA, thus complicating compliance efforts; and state laws related to insurance fraud in the case of claims involving private insurers.</w:t>
      </w:r>
    </w:p>
    <w:p>
      <w:pPr>
        <w:spacing w:after="0" w:line="128"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0800"/>
          </w:cols>
          <w:pgMar w:left="320" w:top="441" w:right="77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various interpretations.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If our operations are found to be in violation of any of the federal, state and foreign laws described above or any other current or future fraud and abuse or other healthcare laws and regulations that apply to us, we may be subject to penalties, including significant civil, criminal and administrative penalties, including damages, fines, disgorgement, individual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 and we could be required to curtail or cease our operations. Any of the foregoing consequences could seriously harm our business and our financial results.</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United States health care reform</w:t>
      </w:r>
    </w:p>
    <w:p>
      <w:pPr>
        <w:spacing w:after="0" w:line="128" w:lineRule="exact"/>
        <w:rPr>
          <w:sz w:val="20"/>
          <w:szCs w:val="20"/>
          <w:color w:val="auto"/>
        </w:rPr>
      </w:pPr>
    </w:p>
    <w:p>
      <w:pPr>
        <w:ind w:left="460" w:right="40"/>
        <w:spacing w:after="0" w:line="248" w:lineRule="auto"/>
        <w:rPr>
          <w:sz w:val="20"/>
          <w:szCs w:val="20"/>
          <w:color w:val="auto"/>
        </w:rPr>
      </w:pPr>
      <w:r>
        <w:rPr>
          <w:rFonts w:ascii="Arial" w:cs="Arial" w:eastAsia="Arial" w:hAnsi="Arial"/>
          <w:sz w:val="16"/>
          <w:szCs w:val="16"/>
          <w:color w:val="auto"/>
        </w:rPr>
        <w:t>Changes in healthcare policy could increase our costs and subject us to additional regulatory requirements that may interrupt commercialization of our current and future solutions. Current and future legislative proposals to further reform healthcare or reduce healthcare costs may limit coverage for the procedures associated with the use of our products or result in lower reimbursement for those procedures. The cost containment measures that payers and providers are instituting and the effect of any healthcare reform initiative implemented in the future could significantly reduce our revenues from the sale of our products. Changes in healthcare policy, including changes in the implementation or the repeal of the ACA in the United States, could increase our costs, decrease our revenue and impact sales of and reimbursement and coverage for our current and future products. Since its enactment, there have been judicial and Congressional challenges to certain aspects of the ACA. In particular, on December 14, 2018, a Texas U.S. District Court Judge ruled that the 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held oral arguments in November 2020. In June 2021, the United States Supreme Court held that Texas and other challengers had no legal standing to challenge the ACA, upholding the ACA. It is unclear how this Supreme Court decision, future litigation, other efforts to repeal and replace the ACA, and healthcare measures of the Biden administration will impact the ACA and our business. Other legislative changes have been proposed and adopted since the ACA was enacted, including aggregate reductions of Medicare payments to providers of 2% per fiscal year and reduced payments to several types of Medicare providers, which will remain in effect through 2030 absent additional congressional action, with the exception of a temporary suspension from May 1, 2020 through the end of 2021 due to the COVID-19 pandemic. Moreover, there recently has been heightened governmental scrutiny over the manner in which manufacturers set prices for their marketed products, which has resulted in several Congressional inquiries and proposed and enacted legislation designed, among other things, to bring more</w:t>
      </w:r>
    </w:p>
    <w:p>
      <w:pPr>
        <w:spacing w:after="0" w:line="140"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0800"/>
          </w:cols>
          <w:pgMar w:left="320" w:top="441" w:right="77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65" w:lineRule="auto"/>
        <w:rPr>
          <w:sz w:val="20"/>
          <w:szCs w:val="20"/>
          <w:color w:val="auto"/>
        </w:rPr>
      </w:pPr>
      <w:r>
        <w:rPr>
          <w:rFonts w:ascii="Arial" w:cs="Arial" w:eastAsia="Arial" w:hAnsi="Arial"/>
          <w:sz w:val="16"/>
          <w:szCs w:val="16"/>
          <w:color w:val="auto"/>
        </w:rPr>
        <w:t>transparency to product pricing. Complying with any new legislation or reversing changes implemented under the ACA could be time-intensive and expensive, resulting in a material adverse effect on our business.</w:t>
      </w:r>
    </w:p>
    <w:p>
      <w:pPr>
        <w:spacing w:after="0" w:line="75" w:lineRule="exact"/>
        <w:rPr>
          <w:sz w:val="20"/>
          <w:szCs w:val="20"/>
          <w:color w:val="auto"/>
        </w:rPr>
      </w:pPr>
    </w:p>
    <w:p>
      <w:pPr>
        <w:ind w:left="460" w:right="40"/>
        <w:spacing w:after="0" w:line="251" w:lineRule="auto"/>
        <w:rPr>
          <w:sz w:val="20"/>
          <w:szCs w:val="20"/>
          <w:color w:val="auto"/>
        </w:rPr>
      </w:pPr>
      <w:r>
        <w:rPr>
          <w:rFonts w:ascii="Arial" w:cs="Arial" w:eastAsia="Arial" w:hAnsi="Arial"/>
          <w:sz w:val="16"/>
          <w:szCs w:val="16"/>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w:t>
      </w:r>
    </w:p>
    <w:p>
      <w:pPr>
        <w:spacing w:after="0" w:line="278" w:lineRule="exact"/>
        <w:rPr>
          <w:sz w:val="20"/>
          <w:szCs w:val="20"/>
          <w:color w:val="auto"/>
        </w:rPr>
      </w:pPr>
    </w:p>
    <w:p>
      <w:pPr>
        <w:ind w:left="460" w:right="100"/>
        <w:spacing w:after="0" w:line="252" w:lineRule="auto"/>
        <w:rPr>
          <w:sz w:val="20"/>
          <w:szCs w:val="20"/>
          <w:color w:val="auto"/>
        </w:rPr>
      </w:pPr>
      <w:r>
        <w:rPr>
          <w:rFonts w:ascii="Arial" w:cs="Arial" w:eastAsia="Arial" w:hAnsi="Arial"/>
          <w:sz w:val="16"/>
          <w:szCs w:val="16"/>
          <w:color w:val="auto"/>
        </w:rPr>
        <w:t>We believe that there will continue to be proposals by legislators at both the federal and state levels, regulators and third-party payors to reduce costs while expanding individual healthcare benefits. Certain of these changes could impose additional limitations on the rates we will be able to charge for our current and future products or the amounts of reimbursement available for our current and future products from governmental agencies or third-party payors. Current and future healthcare reform legislation and policies could have a material adverse effect on our business and financial condition.</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Data privacy and security</w:t>
      </w:r>
    </w:p>
    <w:p>
      <w:pPr>
        <w:spacing w:after="0" w:line="133" w:lineRule="exact"/>
        <w:rPr>
          <w:sz w:val="20"/>
          <w:szCs w:val="20"/>
          <w:color w:val="auto"/>
        </w:rPr>
      </w:pPr>
    </w:p>
    <w:p>
      <w:pPr>
        <w:ind w:left="460" w:right="380"/>
        <w:spacing w:after="0" w:line="265" w:lineRule="auto"/>
        <w:rPr>
          <w:sz w:val="20"/>
          <w:szCs w:val="20"/>
          <w:color w:val="auto"/>
        </w:rPr>
      </w:pPr>
      <w:r>
        <w:rPr>
          <w:rFonts w:ascii="Arial" w:cs="Arial" w:eastAsia="Arial" w:hAnsi="Arial"/>
          <w:sz w:val="16"/>
          <w:szCs w:val="16"/>
          <w:color w:val="auto"/>
        </w:rPr>
        <w:t>Medical device companies may be subject to U.S. federal and state health information privacy, security and data breach notification laws, which may govern the collection, use, disclosure and protection of health-related and other personal information.</w:t>
      </w:r>
    </w:p>
    <w:p>
      <w:pPr>
        <w:spacing w:after="0" w:line="75"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The Health Insurance Portability and Accountability Act of 1996, or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U.S. Department of Health and Human Services, or HHS, affected individuals and if the breach is large enough, the media. Entities that are found to be in violation of HIPAA as the result of a breach of unsecured protected health information, or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280" w:lineRule="exact"/>
        <w:rPr>
          <w:sz w:val="20"/>
          <w:szCs w:val="20"/>
          <w:color w:val="auto"/>
        </w:rPr>
      </w:pPr>
    </w:p>
    <w:p>
      <w:pPr>
        <w:ind w:left="460" w:right="40"/>
        <w:spacing w:after="0" w:line="251" w:lineRule="auto"/>
        <w:rPr>
          <w:sz w:val="20"/>
          <w:szCs w:val="20"/>
          <w:color w:val="auto"/>
        </w:rPr>
      </w:pPr>
      <w:r>
        <w:rPr>
          <w:rFonts w:ascii="Arial" w:cs="Arial" w:eastAsia="Arial" w:hAnsi="Arial"/>
          <w:sz w:val="16"/>
          <w:szCs w:val="16"/>
          <w:color w:val="auto"/>
        </w:rPr>
        <w:t>Even when HIPAA does not apply, failing to take appropriate steps to keep consumers’ personal information secure may constitute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w:t>
      </w:r>
    </w:p>
    <w:p>
      <w:pPr>
        <w:spacing w:after="0" w:line="88" w:lineRule="exact"/>
        <w:rPr>
          <w:sz w:val="20"/>
          <w:szCs w:val="20"/>
          <w:color w:val="auto"/>
        </w:rPr>
      </w:pPr>
    </w:p>
    <w:p>
      <w:pPr>
        <w:ind w:left="460" w:right="20"/>
        <w:spacing w:after="0" w:line="252" w:lineRule="auto"/>
        <w:rPr>
          <w:sz w:val="20"/>
          <w:szCs w:val="20"/>
          <w:color w:val="auto"/>
        </w:rPr>
      </w:pPr>
      <w:r>
        <w:rPr>
          <w:rFonts w:ascii="Arial" w:cs="Arial" w:eastAsia="Arial" w:hAnsi="Arial"/>
          <w:sz w:val="16"/>
          <w:szCs w:val="16"/>
          <w:color w:val="auto"/>
        </w:rPr>
        <w:t>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For example, California enacted the California Consumer Privacy Act, or CCPA, which went into effect January 1, 2020. The CCPA, among other things, created new data privacy obligations for covered companies and provided</w:t>
      </w:r>
    </w:p>
    <w:p>
      <w:pPr>
        <w:spacing w:after="0" w:line="1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0800"/>
          </w:cols>
          <w:pgMar w:left="320" w:top="441" w:right="77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left="460" w:right="320"/>
        <w:spacing w:after="0" w:line="265" w:lineRule="auto"/>
        <w:rPr>
          <w:sz w:val="20"/>
          <w:szCs w:val="20"/>
          <w:color w:val="auto"/>
        </w:rPr>
      </w:pPr>
      <w:r>
        <w:rPr>
          <w:rFonts w:ascii="Arial" w:cs="Arial" w:eastAsia="Arial" w:hAnsi="Arial"/>
          <w:sz w:val="16"/>
          <w:szCs w:val="16"/>
          <w:color w:val="auto"/>
        </w:rPr>
        <w:t>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w:t>
      </w:r>
    </w:p>
    <w:p>
      <w:pPr>
        <w:spacing w:after="0" w:line="75"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Additionally, in November 2020, California voters passed the California Privacy Rights Act of 2020, or CPRA. The CPRA, which is expected to take effect on January 1, 2023 and create additional obligations with respect to certain data relating to consumers,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The CCPA and CPRA may increase our compliance costs and potential liability. In addition to the CCPA, numerous other states’ legislatures have passed or are considering similar laws that will require ongoing compliance efforts and investment.</w:t>
      </w:r>
    </w:p>
    <w:p>
      <w:pPr>
        <w:spacing w:after="0" w:line="278"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The EU also has laws and regulations dealing with the collection, use and processing of personal data obtained from individuals in the EU, namely the EU General Data Protection Regulation, or GDPR. These regulations are often more restrictive than those in the United States and may restrict transfers of personal data to the United States unless certain requirements are met. The GDPR provides that EU member states may make their own further laws and regulations limiting the processing of genetic, biometric or health data, which could limit our ability to use and share personal data or could cause our costs to increase, and harm our business and financial condition. Further, the United Kingdom’s decision to leave the European Union has created uncertainty with regard to data protection regulation in the United Kingdom. As of January 1, 2021, we are also subject to the UK General Data Protection Regulation and UK Data Protection Act of 2018, which retains the GDPR in the United Kingdom’s national law. Failure to comply with any of these obligations could expose us to significant fines.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Employees and human capital</w:t>
      </w:r>
    </w:p>
    <w:p>
      <w:pPr>
        <w:spacing w:after="0" w:line="133" w:lineRule="exact"/>
        <w:rPr>
          <w:sz w:val="20"/>
          <w:szCs w:val="20"/>
          <w:color w:val="auto"/>
        </w:rPr>
      </w:pPr>
    </w:p>
    <w:p>
      <w:pPr>
        <w:ind w:left="460" w:right="380"/>
        <w:spacing w:after="0" w:line="256" w:lineRule="auto"/>
        <w:rPr>
          <w:sz w:val="20"/>
          <w:szCs w:val="20"/>
          <w:color w:val="auto"/>
        </w:rPr>
      </w:pPr>
      <w:r>
        <w:rPr>
          <w:rFonts w:ascii="Arial" w:cs="Arial" w:eastAsia="Arial" w:hAnsi="Arial"/>
          <w:sz w:val="16"/>
          <w:szCs w:val="16"/>
          <w:color w:val="auto"/>
        </w:rPr>
        <w:t>As of March 31, 2021, we had 171 full-time employees, including 55 employees in sales &amp; marketing, 29 in general and administrative functions, 50 in research and development and 37 in manufacturing. None of our employees are represented by a labor union or covered under a collective bargaining agreement.</w:t>
      </w:r>
    </w:p>
    <w:p>
      <w:pPr>
        <w:spacing w:after="0" w:line="83" w:lineRule="exact"/>
        <w:rPr>
          <w:sz w:val="20"/>
          <w:szCs w:val="20"/>
          <w:color w:val="auto"/>
        </w:rPr>
      </w:pPr>
    </w:p>
    <w:p>
      <w:pPr>
        <w:ind w:left="460" w:right="60"/>
        <w:spacing w:after="0" w:line="253" w:lineRule="auto"/>
        <w:rPr>
          <w:sz w:val="20"/>
          <w:szCs w:val="20"/>
          <w:color w:val="auto"/>
        </w:rPr>
      </w:pPr>
      <w:r>
        <w:rPr>
          <w:rFonts w:ascii="Arial" w:cs="Arial" w:eastAsia="Arial" w:hAnsi="Arial"/>
          <w:sz w:val="16"/>
          <w:szCs w:val="16"/>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Facilities</w:t>
      </w:r>
    </w:p>
    <w:p>
      <w:pPr>
        <w:spacing w:after="0" w:line="133" w:lineRule="exact"/>
        <w:rPr>
          <w:sz w:val="20"/>
          <w:szCs w:val="20"/>
          <w:color w:val="auto"/>
        </w:rPr>
      </w:pPr>
    </w:p>
    <w:p>
      <w:pPr>
        <w:ind w:left="460" w:right="20"/>
        <w:spacing w:after="0" w:line="248" w:lineRule="auto"/>
        <w:rPr>
          <w:sz w:val="20"/>
          <w:szCs w:val="20"/>
          <w:color w:val="auto"/>
        </w:rPr>
      </w:pPr>
      <w:r>
        <w:rPr>
          <w:rFonts w:ascii="Arial" w:cs="Arial" w:eastAsia="Arial" w:hAnsi="Arial"/>
          <w:sz w:val="16"/>
          <w:szCs w:val="16"/>
          <w:color w:val="auto"/>
        </w:rPr>
        <w:t>Our corporate headquarters is in Aliso Viejo, California where we lease three facilities housing our headquarters, manufacturing, research and development and administrative offices. The facility leases are for approximately 109,822 square feet in the aggregate. The leases terminate on a) September 30, 2024, with one option to extend for five years; b) January 31, 2026, with three options to extend for five years each; and</w:t>
      </w:r>
    </w:p>
    <w:p>
      <w:pPr>
        <w:ind w:left="460" w:right="140" w:hanging="9"/>
        <w:spacing w:after="0" w:line="256" w:lineRule="auto"/>
        <w:tabs>
          <w:tab w:leader="none" w:pos="64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March 31, 2023 with two options to extend for five years each. We believe that our existing facilities are adequate for our near-term needs but expect to need additional space as we grow. We believe that suitable additional or alternative space would be available in the future as required on commercially reasonable terms.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Legal proceedings</w:t>
      </w:r>
    </w:p>
    <w:p>
      <w:pPr>
        <w:spacing w:after="0" w:line="133" w:lineRule="exact"/>
        <w:rPr>
          <w:sz w:val="20"/>
          <w:szCs w:val="20"/>
          <w:color w:val="auto"/>
        </w:rPr>
      </w:pPr>
    </w:p>
    <w:p>
      <w:pPr>
        <w:ind w:left="460" w:right="60"/>
        <w:spacing w:after="0" w:line="253" w:lineRule="auto"/>
        <w:rPr>
          <w:sz w:val="20"/>
          <w:szCs w:val="20"/>
          <w:color w:val="auto"/>
        </w:rPr>
      </w:pPr>
      <w:r>
        <w:rPr>
          <w:rFonts w:ascii="Arial" w:cs="Arial" w:eastAsia="Arial" w:hAnsi="Arial"/>
          <w:sz w:val="16"/>
          <w:szCs w:val="16"/>
          <w:color w:val="auto"/>
        </w:rPr>
        <w:t>From time to time, we may become involved in litigation or other legal proceedings. Except as indicated above,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0800"/>
          </w:cols>
          <w:pgMar w:left="320" w:top="440" w:right="77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Management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Executive officers, directors and director nominees</w:t>
      </w:r>
    </w:p>
    <w:p>
      <w:pPr>
        <w:spacing w:after="0" w:line="133" w:lineRule="exact"/>
        <w:rPr>
          <w:sz w:val="20"/>
          <w:szCs w:val="20"/>
          <w:color w:val="auto"/>
        </w:rPr>
      </w:pPr>
    </w:p>
    <w:p>
      <w:pPr>
        <w:ind w:left="460" w:right="260"/>
        <w:spacing w:after="0" w:line="265" w:lineRule="auto"/>
        <w:rPr>
          <w:sz w:val="20"/>
          <w:szCs w:val="20"/>
          <w:color w:val="auto"/>
        </w:rPr>
      </w:pPr>
      <w:r>
        <w:rPr>
          <w:rFonts w:ascii="Arial" w:cs="Arial" w:eastAsia="Arial" w:hAnsi="Arial"/>
          <w:sz w:val="16"/>
          <w:szCs w:val="16"/>
          <w:color w:val="auto"/>
        </w:rPr>
        <w:t>The following table sets forth the names, ages and positions of our executive officers, directors and director nominees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53975</wp:posOffset>
            </wp:positionV>
            <wp:extent cx="6569075" cy="158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8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940" w:type="dxa"/>
            <w:vAlign w:val="bottom"/>
          </w:tcPr>
          <w:p>
            <w:pPr>
              <w:jc w:val="right"/>
              <w:ind w:right="118"/>
              <w:spacing w:after="0"/>
              <w:rPr>
                <w:sz w:val="20"/>
                <w:szCs w:val="20"/>
                <w:color w:val="auto"/>
              </w:rPr>
            </w:pPr>
            <w:r>
              <w:rPr>
                <w:rFonts w:ascii="Arial" w:cs="Arial" w:eastAsia="Arial" w:hAnsi="Arial"/>
                <w:sz w:val="16"/>
                <w:szCs w:val="16"/>
                <w:b w:val="1"/>
                <w:bCs w:val="1"/>
                <w:color w:val="auto"/>
              </w:rPr>
              <w:t>Age</w:t>
            </w:r>
          </w:p>
        </w:tc>
        <w:tc>
          <w:tcPr>
            <w:tcW w:w="6600" w:type="dxa"/>
            <w:vAlign w:val="bottom"/>
          </w:tcPr>
          <w:p>
            <w:pPr>
              <w:ind w:left="160"/>
              <w:spacing w:after="0"/>
              <w:rPr>
                <w:sz w:val="20"/>
                <w:szCs w:val="20"/>
                <w:color w:val="auto"/>
              </w:rPr>
            </w:pPr>
            <w:r>
              <w:rPr>
                <w:rFonts w:ascii="Arial" w:cs="Arial" w:eastAsia="Arial" w:hAnsi="Arial"/>
                <w:sz w:val="16"/>
                <w:szCs w:val="16"/>
                <w:b w:val="1"/>
                <w:bCs w:val="1"/>
                <w:color w:val="auto"/>
              </w:rPr>
              <w:t>Position</w:t>
            </w: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278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66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Executive Officers:</w:t>
            </w:r>
          </w:p>
        </w:tc>
        <w:tc>
          <w:tcPr>
            <w:tcW w:w="940" w:type="dxa"/>
            <w:vAlign w:val="bottom"/>
            <w:shd w:val="clear" w:color="auto" w:fill="CCEEFF"/>
          </w:tcPr>
          <w:p>
            <w:pPr>
              <w:spacing w:after="0"/>
              <w:rPr>
                <w:sz w:val="16"/>
                <w:szCs w:val="16"/>
                <w:color w:val="auto"/>
              </w:rPr>
            </w:pPr>
          </w:p>
        </w:tc>
        <w:tc>
          <w:tcPr>
            <w:tcW w:w="6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2800" w:type="dxa"/>
            <w:vAlign w:val="bottom"/>
            <w:gridSpan w:val="2"/>
          </w:tcPr>
          <w:p>
            <w:pPr>
              <w:spacing w:after="0"/>
              <w:rPr>
                <w:sz w:val="20"/>
                <w:szCs w:val="20"/>
                <w:color w:val="auto"/>
              </w:rPr>
            </w:pPr>
            <w:r>
              <w:rPr>
                <w:rFonts w:ascii="Arial" w:cs="Arial" w:eastAsia="Arial" w:hAnsi="Arial"/>
                <w:sz w:val="16"/>
                <w:szCs w:val="16"/>
                <w:color w:val="auto"/>
              </w:rPr>
              <w:t>Ron Kurtz, M.D.</w:t>
            </w:r>
          </w:p>
        </w:tc>
        <w:tc>
          <w:tcPr>
            <w:tcW w:w="940" w:type="dxa"/>
            <w:vAlign w:val="bottom"/>
          </w:tcPr>
          <w:p>
            <w:pPr>
              <w:jc w:val="right"/>
              <w:ind w:right="98"/>
              <w:spacing w:after="0"/>
              <w:rPr>
                <w:sz w:val="20"/>
                <w:szCs w:val="20"/>
                <w:color w:val="auto"/>
              </w:rPr>
            </w:pPr>
            <w:r>
              <w:rPr>
                <w:rFonts w:ascii="Arial" w:cs="Arial" w:eastAsia="Arial" w:hAnsi="Arial"/>
                <w:sz w:val="16"/>
                <w:szCs w:val="16"/>
                <w:color w:val="auto"/>
              </w:rPr>
              <w:t>58</w:t>
            </w:r>
          </w:p>
        </w:tc>
        <w:tc>
          <w:tcPr>
            <w:tcW w:w="6600" w:type="dxa"/>
            <w:vAlign w:val="bottom"/>
          </w:tcPr>
          <w:p>
            <w:pPr>
              <w:ind w:left="160"/>
              <w:spacing w:after="0"/>
              <w:rPr>
                <w:sz w:val="20"/>
                <w:szCs w:val="20"/>
                <w:color w:val="auto"/>
              </w:rPr>
            </w:pPr>
            <w:r>
              <w:rPr>
                <w:rFonts w:ascii="Arial" w:cs="Arial" w:eastAsia="Arial" w:hAnsi="Arial"/>
                <w:sz w:val="16"/>
                <w:szCs w:val="16"/>
                <w:color w:val="auto"/>
              </w:rPr>
              <w:t>President, Chief Executive Officer &amp; Director</w:t>
            </w:r>
          </w:p>
        </w:tc>
        <w:tc>
          <w:tcPr>
            <w:tcW w:w="0" w:type="dxa"/>
            <w:vAlign w:val="bottom"/>
          </w:tcPr>
          <w:p>
            <w:pPr>
              <w:spacing w:after="0"/>
              <w:rPr>
                <w:sz w:val="1"/>
                <w:szCs w:val="1"/>
                <w:color w:val="auto"/>
              </w:rPr>
            </w:pPr>
          </w:p>
        </w:tc>
      </w:tr>
      <w:tr>
        <w:trPr>
          <w:trHeight w:val="91"/>
        </w:trPr>
        <w:tc>
          <w:tcPr>
            <w:tcW w:w="2800" w:type="dxa"/>
            <w:vAlign w:val="bottom"/>
            <w:gridSpan w:val="2"/>
          </w:tcPr>
          <w:p>
            <w:pPr>
              <w:spacing w:after="0"/>
              <w:rPr>
                <w:sz w:val="7"/>
                <w:szCs w:val="7"/>
                <w:color w:val="auto"/>
              </w:rPr>
            </w:pPr>
          </w:p>
        </w:tc>
        <w:tc>
          <w:tcPr>
            <w:tcW w:w="940" w:type="dxa"/>
            <w:vAlign w:val="bottom"/>
          </w:tcPr>
          <w:p>
            <w:pPr>
              <w:spacing w:after="0"/>
              <w:rPr>
                <w:sz w:val="7"/>
                <w:szCs w:val="7"/>
                <w:color w:val="auto"/>
              </w:rPr>
            </w:pPr>
          </w:p>
        </w:tc>
        <w:tc>
          <w:tcPr>
            <w:tcW w:w="6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Shelley Thunen</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68</w:t>
            </w:r>
          </w:p>
        </w:tc>
        <w:tc>
          <w:tcPr>
            <w:tcW w:w="6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302"/>
        </w:trPr>
        <w:tc>
          <w:tcPr>
            <w:tcW w:w="2800" w:type="dxa"/>
            <w:vAlign w:val="bottom"/>
            <w:gridSpan w:val="2"/>
          </w:tcPr>
          <w:p>
            <w:pPr>
              <w:spacing w:after="0"/>
              <w:rPr>
                <w:sz w:val="20"/>
                <w:szCs w:val="20"/>
                <w:color w:val="auto"/>
              </w:rPr>
            </w:pPr>
            <w:r>
              <w:rPr>
                <w:rFonts w:ascii="Arial" w:cs="Arial" w:eastAsia="Arial" w:hAnsi="Arial"/>
                <w:sz w:val="16"/>
                <w:szCs w:val="16"/>
                <w:color w:val="auto"/>
              </w:rPr>
              <w:t>Eric Weinberg</w:t>
            </w:r>
          </w:p>
        </w:tc>
        <w:tc>
          <w:tcPr>
            <w:tcW w:w="940" w:type="dxa"/>
            <w:vAlign w:val="bottom"/>
          </w:tcPr>
          <w:p>
            <w:pPr>
              <w:jc w:val="right"/>
              <w:ind w:right="98"/>
              <w:spacing w:after="0"/>
              <w:rPr>
                <w:sz w:val="20"/>
                <w:szCs w:val="20"/>
                <w:color w:val="auto"/>
              </w:rPr>
            </w:pPr>
            <w:r>
              <w:rPr>
                <w:rFonts w:ascii="Arial" w:cs="Arial" w:eastAsia="Arial" w:hAnsi="Arial"/>
                <w:sz w:val="16"/>
                <w:szCs w:val="16"/>
                <w:color w:val="auto"/>
              </w:rPr>
              <w:t>60</w:t>
            </w:r>
          </w:p>
        </w:tc>
        <w:tc>
          <w:tcPr>
            <w:tcW w:w="6600" w:type="dxa"/>
            <w:vAlign w:val="bottom"/>
          </w:tcPr>
          <w:p>
            <w:pPr>
              <w:ind w:left="160"/>
              <w:spacing w:after="0"/>
              <w:rPr>
                <w:sz w:val="20"/>
                <w:szCs w:val="20"/>
                <w:color w:val="auto"/>
              </w:rPr>
            </w:pPr>
            <w:r>
              <w:rPr>
                <w:rFonts w:ascii="Arial" w:cs="Arial" w:eastAsia="Arial" w:hAnsi="Arial"/>
                <w:sz w:val="16"/>
                <w:szCs w:val="16"/>
                <w:color w:val="auto"/>
              </w:rPr>
              <w:t>Chief Commercial Officer</w:t>
            </w:r>
          </w:p>
        </w:tc>
        <w:tc>
          <w:tcPr>
            <w:tcW w:w="0" w:type="dxa"/>
            <w:vAlign w:val="bottom"/>
          </w:tcPr>
          <w:p>
            <w:pPr>
              <w:spacing w:after="0"/>
              <w:rPr>
                <w:sz w:val="1"/>
                <w:szCs w:val="1"/>
                <w:color w:val="auto"/>
              </w:rPr>
            </w:pPr>
          </w:p>
        </w:tc>
      </w:tr>
      <w:tr>
        <w:trPr>
          <w:trHeight w:val="91"/>
        </w:trPr>
        <w:tc>
          <w:tcPr>
            <w:tcW w:w="2800" w:type="dxa"/>
            <w:vAlign w:val="bottom"/>
            <w:gridSpan w:val="2"/>
          </w:tcPr>
          <w:p>
            <w:pPr>
              <w:spacing w:after="0"/>
              <w:rPr>
                <w:sz w:val="7"/>
                <w:szCs w:val="7"/>
                <w:color w:val="auto"/>
              </w:rPr>
            </w:pPr>
          </w:p>
        </w:tc>
        <w:tc>
          <w:tcPr>
            <w:tcW w:w="940" w:type="dxa"/>
            <w:vAlign w:val="bottom"/>
          </w:tcPr>
          <w:p>
            <w:pPr>
              <w:spacing w:after="0"/>
              <w:rPr>
                <w:sz w:val="7"/>
                <w:szCs w:val="7"/>
                <w:color w:val="auto"/>
              </w:rPr>
            </w:pPr>
          </w:p>
        </w:tc>
        <w:tc>
          <w:tcPr>
            <w:tcW w:w="6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Ilya Goldshleger, Ph.D.</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46</w:t>
            </w:r>
          </w:p>
        </w:tc>
        <w:tc>
          <w:tcPr>
            <w:tcW w:w="6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Chief Operating Officer</w:t>
            </w:r>
          </w:p>
        </w:tc>
        <w:tc>
          <w:tcPr>
            <w:tcW w:w="0" w:type="dxa"/>
            <w:vAlign w:val="bottom"/>
          </w:tcPr>
          <w:p>
            <w:pPr>
              <w:spacing w:after="0"/>
              <w:rPr>
                <w:sz w:val="1"/>
                <w:szCs w:val="1"/>
                <w:color w:val="auto"/>
              </w:rPr>
            </w:pPr>
          </w:p>
        </w:tc>
      </w:tr>
      <w:tr>
        <w:trPr>
          <w:trHeight w:val="403"/>
        </w:trPr>
        <w:tc>
          <w:tcPr>
            <w:tcW w:w="28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Non-Employee Directors:</w:t>
            </w:r>
          </w:p>
        </w:tc>
        <w:tc>
          <w:tcPr>
            <w:tcW w:w="9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800" w:type="dxa"/>
            <w:vAlign w:val="bottom"/>
            <w:gridSpan w:val="2"/>
          </w:tcPr>
          <w:p>
            <w:pPr>
              <w:spacing w:after="0"/>
              <w:rPr>
                <w:sz w:val="7"/>
                <w:szCs w:val="7"/>
                <w:color w:val="auto"/>
              </w:rPr>
            </w:pPr>
          </w:p>
        </w:tc>
        <w:tc>
          <w:tcPr>
            <w:tcW w:w="940" w:type="dxa"/>
            <w:vAlign w:val="bottom"/>
          </w:tcPr>
          <w:p>
            <w:pPr>
              <w:spacing w:after="0"/>
              <w:rPr>
                <w:sz w:val="7"/>
                <w:szCs w:val="7"/>
                <w:color w:val="auto"/>
              </w:rPr>
            </w:pPr>
          </w:p>
        </w:tc>
        <w:tc>
          <w:tcPr>
            <w:tcW w:w="6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J. Andy Corley (2)(3)</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65</w:t>
            </w:r>
          </w:p>
        </w:tc>
        <w:tc>
          <w:tcPr>
            <w:tcW w:w="6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Chair of the Board</w:t>
            </w:r>
          </w:p>
        </w:tc>
        <w:tc>
          <w:tcPr>
            <w:tcW w:w="0" w:type="dxa"/>
            <w:vAlign w:val="bottom"/>
          </w:tcPr>
          <w:p>
            <w:pPr>
              <w:spacing w:after="0"/>
              <w:rPr>
                <w:sz w:val="1"/>
                <w:szCs w:val="1"/>
                <w:color w:val="auto"/>
              </w:rPr>
            </w:pPr>
          </w:p>
        </w:tc>
      </w:tr>
      <w:tr>
        <w:trPr>
          <w:trHeight w:val="302"/>
        </w:trPr>
        <w:tc>
          <w:tcPr>
            <w:tcW w:w="2800" w:type="dxa"/>
            <w:vAlign w:val="bottom"/>
            <w:gridSpan w:val="2"/>
          </w:tcPr>
          <w:p>
            <w:pPr>
              <w:spacing w:after="0"/>
              <w:rPr>
                <w:sz w:val="20"/>
                <w:szCs w:val="20"/>
                <w:color w:val="auto"/>
              </w:rPr>
            </w:pPr>
            <w:r>
              <w:rPr>
                <w:rFonts w:ascii="Arial" w:cs="Arial" w:eastAsia="Arial" w:hAnsi="Arial"/>
                <w:sz w:val="16"/>
                <w:szCs w:val="16"/>
                <w:color w:val="auto"/>
              </w:rPr>
              <w:t>Bruce Robertson, Ph.D. (4)</w:t>
            </w:r>
          </w:p>
        </w:tc>
        <w:tc>
          <w:tcPr>
            <w:tcW w:w="940" w:type="dxa"/>
            <w:vAlign w:val="bottom"/>
          </w:tcPr>
          <w:p>
            <w:pPr>
              <w:jc w:val="right"/>
              <w:ind w:right="98"/>
              <w:spacing w:after="0"/>
              <w:rPr>
                <w:sz w:val="20"/>
                <w:szCs w:val="20"/>
                <w:color w:val="auto"/>
              </w:rPr>
            </w:pPr>
            <w:r>
              <w:rPr>
                <w:rFonts w:ascii="Arial" w:cs="Arial" w:eastAsia="Arial" w:hAnsi="Arial"/>
                <w:sz w:val="16"/>
                <w:szCs w:val="16"/>
                <w:color w:val="auto"/>
              </w:rPr>
              <w:t>58</w:t>
            </w:r>
          </w:p>
        </w:tc>
        <w:tc>
          <w:tcPr>
            <w:tcW w:w="6600" w:type="dxa"/>
            <w:vAlign w:val="bottom"/>
          </w:tcPr>
          <w:p>
            <w:pPr>
              <w:ind w:left="1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91"/>
        </w:trPr>
        <w:tc>
          <w:tcPr>
            <w:tcW w:w="2800" w:type="dxa"/>
            <w:vAlign w:val="bottom"/>
            <w:gridSpan w:val="2"/>
          </w:tcPr>
          <w:p>
            <w:pPr>
              <w:spacing w:after="0"/>
              <w:rPr>
                <w:sz w:val="7"/>
                <w:szCs w:val="7"/>
                <w:color w:val="auto"/>
              </w:rPr>
            </w:pPr>
          </w:p>
        </w:tc>
        <w:tc>
          <w:tcPr>
            <w:tcW w:w="940" w:type="dxa"/>
            <w:vAlign w:val="bottom"/>
          </w:tcPr>
          <w:p>
            <w:pPr>
              <w:spacing w:after="0"/>
              <w:rPr>
                <w:sz w:val="7"/>
                <w:szCs w:val="7"/>
                <w:color w:val="auto"/>
              </w:rPr>
            </w:pPr>
          </w:p>
        </w:tc>
        <w:tc>
          <w:tcPr>
            <w:tcW w:w="6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William J. Link, Ph.D. (1)</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75</w:t>
            </w:r>
          </w:p>
        </w:tc>
        <w:tc>
          <w:tcPr>
            <w:tcW w:w="6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302"/>
        </w:trPr>
        <w:tc>
          <w:tcPr>
            <w:tcW w:w="2800" w:type="dxa"/>
            <w:vAlign w:val="bottom"/>
            <w:gridSpan w:val="2"/>
          </w:tcPr>
          <w:p>
            <w:pPr>
              <w:spacing w:after="0"/>
              <w:rPr>
                <w:sz w:val="20"/>
                <w:szCs w:val="20"/>
                <w:color w:val="auto"/>
              </w:rPr>
            </w:pPr>
            <w:r>
              <w:rPr>
                <w:rFonts w:ascii="Arial" w:cs="Arial" w:eastAsia="Arial" w:hAnsi="Arial"/>
                <w:sz w:val="16"/>
                <w:szCs w:val="16"/>
                <w:color w:val="auto"/>
              </w:rPr>
              <w:t>Daniel Schwartz, M.D. (5)</w:t>
            </w:r>
          </w:p>
        </w:tc>
        <w:tc>
          <w:tcPr>
            <w:tcW w:w="940" w:type="dxa"/>
            <w:vAlign w:val="bottom"/>
          </w:tcPr>
          <w:p>
            <w:pPr>
              <w:jc w:val="right"/>
              <w:ind w:right="98"/>
              <w:spacing w:after="0"/>
              <w:rPr>
                <w:sz w:val="20"/>
                <w:szCs w:val="20"/>
                <w:color w:val="auto"/>
              </w:rPr>
            </w:pPr>
            <w:r>
              <w:rPr>
                <w:rFonts w:ascii="Arial" w:cs="Arial" w:eastAsia="Arial" w:hAnsi="Arial"/>
                <w:sz w:val="16"/>
                <w:szCs w:val="16"/>
                <w:color w:val="auto"/>
              </w:rPr>
              <w:t>65</w:t>
            </w:r>
          </w:p>
        </w:tc>
        <w:tc>
          <w:tcPr>
            <w:tcW w:w="6600" w:type="dxa"/>
            <w:vAlign w:val="bottom"/>
          </w:tcPr>
          <w:p>
            <w:pPr>
              <w:ind w:left="1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91"/>
        </w:trPr>
        <w:tc>
          <w:tcPr>
            <w:tcW w:w="2800" w:type="dxa"/>
            <w:vAlign w:val="bottom"/>
            <w:gridSpan w:val="2"/>
          </w:tcPr>
          <w:p>
            <w:pPr>
              <w:spacing w:after="0"/>
              <w:rPr>
                <w:sz w:val="7"/>
                <w:szCs w:val="7"/>
                <w:color w:val="auto"/>
              </w:rPr>
            </w:pPr>
          </w:p>
        </w:tc>
        <w:tc>
          <w:tcPr>
            <w:tcW w:w="940" w:type="dxa"/>
            <w:vAlign w:val="bottom"/>
          </w:tcPr>
          <w:p>
            <w:pPr>
              <w:spacing w:after="0"/>
              <w:rPr>
                <w:sz w:val="7"/>
                <w:szCs w:val="7"/>
                <w:color w:val="auto"/>
              </w:rPr>
            </w:pPr>
          </w:p>
        </w:tc>
        <w:tc>
          <w:tcPr>
            <w:tcW w:w="6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Christopher Cox (6)</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68</w:t>
            </w:r>
          </w:p>
        </w:tc>
        <w:tc>
          <w:tcPr>
            <w:tcW w:w="6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302"/>
        </w:trPr>
        <w:tc>
          <w:tcPr>
            <w:tcW w:w="2800" w:type="dxa"/>
            <w:vAlign w:val="bottom"/>
            <w:gridSpan w:val="2"/>
          </w:tcPr>
          <w:p>
            <w:pPr>
              <w:spacing w:after="0"/>
              <w:rPr>
                <w:sz w:val="20"/>
                <w:szCs w:val="20"/>
                <w:color w:val="auto"/>
              </w:rPr>
            </w:pPr>
            <w:r>
              <w:rPr>
                <w:rFonts w:ascii="Arial" w:cs="Arial" w:eastAsia="Arial" w:hAnsi="Arial"/>
                <w:sz w:val="16"/>
                <w:szCs w:val="16"/>
                <w:color w:val="auto"/>
              </w:rPr>
              <w:t>Rick Wolfen (7)</w:t>
            </w:r>
          </w:p>
        </w:tc>
        <w:tc>
          <w:tcPr>
            <w:tcW w:w="940" w:type="dxa"/>
            <w:vAlign w:val="bottom"/>
          </w:tcPr>
          <w:p>
            <w:pPr>
              <w:jc w:val="right"/>
              <w:ind w:right="98"/>
              <w:spacing w:after="0"/>
              <w:rPr>
                <w:sz w:val="20"/>
                <w:szCs w:val="20"/>
                <w:color w:val="auto"/>
              </w:rPr>
            </w:pPr>
            <w:r>
              <w:rPr>
                <w:rFonts w:ascii="Arial" w:cs="Arial" w:eastAsia="Arial" w:hAnsi="Arial"/>
                <w:sz w:val="16"/>
                <w:szCs w:val="16"/>
                <w:color w:val="auto"/>
              </w:rPr>
              <w:t>63</w:t>
            </w:r>
          </w:p>
        </w:tc>
        <w:tc>
          <w:tcPr>
            <w:tcW w:w="6600" w:type="dxa"/>
            <w:vAlign w:val="bottom"/>
          </w:tcPr>
          <w:p>
            <w:pPr>
              <w:ind w:left="1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91"/>
        </w:trPr>
        <w:tc>
          <w:tcPr>
            <w:tcW w:w="2800" w:type="dxa"/>
            <w:vAlign w:val="bottom"/>
            <w:gridSpan w:val="2"/>
          </w:tcPr>
          <w:p>
            <w:pPr>
              <w:spacing w:after="0"/>
              <w:rPr>
                <w:sz w:val="7"/>
                <w:szCs w:val="7"/>
                <w:color w:val="auto"/>
              </w:rPr>
            </w:pPr>
          </w:p>
        </w:tc>
        <w:tc>
          <w:tcPr>
            <w:tcW w:w="940" w:type="dxa"/>
            <w:vAlign w:val="bottom"/>
          </w:tcPr>
          <w:p>
            <w:pPr>
              <w:spacing w:after="0"/>
              <w:rPr>
                <w:sz w:val="7"/>
                <w:szCs w:val="7"/>
                <w:color w:val="auto"/>
              </w:rPr>
            </w:pPr>
          </w:p>
        </w:tc>
        <w:tc>
          <w:tcPr>
            <w:tcW w:w="6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Juliet Tammenoms Bakker (1)(3)</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59</w:t>
            </w:r>
          </w:p>
        </w:tc>
        <w:tc>
          <w:tcPr>
            <w:tcW w:w="6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403"/>
        </w:trPr>
        <w:tc>
          <w:tcPr>
            <w:tcW w:w="28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Director Nominees:</w:t>
            </w:r>
          </w:p>
        </w:tc>
        <w:tc>
          <w:tcPr>
            <w:tcW w:w="9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800" w:type="dxa"/>
            <w:vAlign w:val="bottom"/>
            <w:gridSpan w:val="2"/>
          </w:tcPr>
          <w:p>
            <w:pPr>
              <w:spacing w:after="0"/>
              <w:rPr>
                <w:sz w:val="7"/>
                <w:szCs w:val="7"/>
                <w:color w:val="auto"/>
              </w:rPr>
            </w:pPr>
          </w:p>
        </w:tc>
        <w:tc>
          <w:tcPr>
            <w:tcW w:w="940" w:type="dxa"/>
            <w:vAlign w:val="bottom"/>
          </w:tcPr>
          <w:p>
            <w:pPr>
              <w:spacing w:after="0"/>
              <w:rPr>
                <w:sz w:val="7"/>
                <w:szCs w:val="7"/>
                <w:color w:val="auto"/>
              </w:rPr>
            </w:pPr>
          </w:p>
        </w:tc>
        <w:tc>
          <w:tcPr>
            <w:tcW w:w="6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Robert Warner (2)(3)(8)</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54</w:t>
            </w:r>
          </w:p>
        </w:tc>
        <w:tc>
          <w:tcPr>
            <w:tcW w:w="6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Director Nominee</w:t>
            </w:r>
          </w:p>
        </w:tc>
        <w:tc>
          <w:tcPr>
            <w:tcW w:w="0" w:type="dxa"/>
            <w:vAlign w:val="bottom"/>
          </w:tcPr>
          <w:p>
            <w:pPr>
              <w:spacing w:after="0"/>
              <w:rPr>
                <w:sz w:val="1"/>
                <w:szCs w:val="1"/>
                <w:color w:val="auto"/>
              </w:rPr>
            </w:pPr>
          </w:p>
        </w:tc>
      </w:tr>
      <w:tr>
        <w:trPr>
          <w:trHeight w:val="302"/>
        </w:trPr>
        <w:tc>
          <w:tcPr>
            <w:tcW w:w="2800" w:type="dxa"/>
            <w:vAlign w:val="bottom"/>
            <w:gridSpan w:val="2"/>
          </w:tcPr>
          <w:p>
            <w:pPr>
              <w:spacing w:after="0"/>
              <w:rPr>
                <w:sz w:val="20"/>
                <w:szCs w:val="20"/>
                <w:color w:val="auto"/>
              </w:rPr>
            </w:pPr>
            <w:r>
              <w:rPr>
                <w:rFonts w:ascii="Arial" w:cs="Arial" w:eastAsia="Arial" w:hAnsi="Arial"/>
                <w:sz w:val="16"/>
                <w:szCs w:val="16"/>
                <w:color w:val="auto"/>
              </w:rPr>
              <w:t>Julie B. Andrews (1)(8)</w:t>
            </w:r>
          </w:p>
        </w:tc>
        <w:tc>
          <w:tcPr>
            <w:tcW w:w="940" w:type="dxa"/>
            <w:vAlign w:val="bottom"/>
          </w:tcPr>
          <w:p>
            <w:pPr>
              <w:jc w:val="right"/>
              <w:ind w:right="98"/>
              <w:spacing w:after="0"/>
              <w:rPr>
                <w:sz w:val="20"/>
                <w:szCs w:val="20"/>
                <w:color w:val="auto"/>
              </w:rPr>
            </w:pPr>
            <w:r>
              <w:rPr>
                <w:rFonts w:ascii="Arial" w:cs="Arial" w:eastAsia="Arial" w:hAnsi="Arial"/>
                <w:sz w:val="16"/>
                <w:szCs w:val="16"/>
                <w:color w:val="auto"/>
              </w:rPr>
              <w:t>50</w:t>
            </w:r>
          </w:p>
        </w:tc>
        <w:tc>
          <w:tcPr>
            <w:tcW w:w="6600" w:type="dxa"/>
            <w:vAlign w:val="bottom"/>
          </w:tcPr>
          <w:p>
            <w:pPr>
              <w:ind w:left="160"/>
              <w:spacing w:after="0"/>
              <w:rPr>
                <w:sz w:val="20"/>
                <w:szCs w:val="20"/>
                <w:color w:val="auto"/>
              </w:rPr>
            </w:pPr>
            <w:r>
              <w:rPr>
                <w:rFonts w:ascii="Arial" w:cs="Arial" w:eastAsia="Arial" w:hAnsi="Arial"/>
                <w:sz w:val="16"/>
                <w:szCs w:val="16"/>
                <w:color w:val="auto"/>
              </w:rPr>
              <w:t>Director Nominee</w:t>
            </w:r>
          </w:p>
        </w:tc>
        <w:tc>
          <w:tcPr>
            <w:tcW w:w="0" w:type="dxa"/>
            <w:vAlign w:val="bottom"/>
          </w:tcPr>
          <w:p>
            <w:pPr>
              <w:spacing w:after="0"/>
              <w:rPr>
                <w:sz w:val="1"/>
                <w:szCs w:val="1"/>
                <w:color w:val="auto"/>
              </w:rPr>
            </w:pPr>
          </w:p>
        </w:tc>
      </w:tr>
      <w:tr>
        <w:trPr>
          <w:trHeight w:val="91"/>
        </w:trPr>
        <w:tc>
          <w:tcPr>
            <w:tcW w:w="2800" w:type="dxa"/>
            <w:vAlign w:val="bottom"/>
            <w:gridSpan w:val="2"/>
          </w:tcPr>
          <w:p>
            <w:pPr>
              <w:spacing w:after="0"/>
              <w:rPr>
                <w:sz w:val="7"/>
                <w:szCs w:val="7"/>
                <w:color w:val="auto"/>
              </w:rPr>
            </w:pPr>
          </w:p>
        </w:tc>
        <w:tc>
          <w:tcPr>
            <w:tcW w:w="940" w:type="dxa"/>
            <w:vAlign w:val="bottom"/>
          </w:tcPr>
          <w:p>
            <w:pPr>
              <w:spacing w:after="0"/>
              <w:rPr>
                <w:sz w:val="7"/>
                <w:szCs w:val="7"/>
                <w:color w:val="auto"/>
              </w:rPr>
            </w:pPr>
          </w:p>
        </w:tc>
        <w:tc>
          <w:tcPr>
            <w:tcW w:w="6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Robert J. Palmisano (2)(8)</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76</w:t>
            </w:r>
          </w:p>
        </w:tc>
        <w:tc>
          <w:tcPr>
            <w:tcW w:w="6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Director Nominee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760" w:hanging="309"/>
        <w:spacing w:after="0"/>
        <w:tabs>
          <w:tab w:leader="none" w:pos="7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Member of the audit committee effective concurrent with the closing of this offering.</w:t>
      </w:r>
    </w:p>
    <w:p>
      <w:pPr>
        <w:spacing w:after="0" w:line="53" w:lineRule="exact"/>
        <w:rPr>
          <w:rFonts w:ascii="Arial" w:cs="Arial" w:eastAsia="Arial" w:hAnsi="Arial"/>
          <w:sz w:val="13"/>
          <w:szCs w:val="13"/>
          <w:color w:val="auto"/>
        </w:rPr>
      </w:pPr>
    </w:p>
    <w:p>
      <w:pPr>
        <w:ind w:left="760" w:hanging="309"/>
        <w:spacing w:after="0"/>
        <w:tabs>
          <w:tab w:leader="none" w:pos="7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Member of the compensation committee effective concurrent with the closing of this offering.</w:t>
      </w:r>
    </w:p>
    <w:p>
      <w:pPr>
        <w:spacing w:after="0" w:line="53" w:lineRule="exact"/>
        <w:rPr>
          <w:rFonts w:ascii="Arial" w:cs="Arial" w:eastAsia="Arial" w:hAnsi="Arial"/>
          <w:sz w:val="13"/>
          <w:szCs w:val="13"/>
          <w:color w:val="auto"/>
        </w:rPr>
      </w:pPr>
    </w:p>
    <w:p>
      <w:pPr>
        <w:ind w:left="760" w:hanging="309"/>
        <w:spacing w:after="0"/>
        <w:tabs>
          <w:tab w:leader="none" w:pos="7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Member of the corporate governance and nominating committee effective concurrent with the closing of this offering.</w:t>
      </w:r>
    </w:p>
    <w:p>
      <w:pPr>
        <w:spacing w:after="0" w:line="53" w:lineRule="exact"/>
        <w:rPr>
          <w:rFonts w:ascii="Arial" w:cs="Arial" w:eastAsia="Arial" w:hAnsi="Arial"/>
          <w:sz w:val="13"/>
          <w:szCs w:val="13"/>
          <w:color w:val="auto"/>
        </w:rPr>
      </w:pPr>
    </w:p>
    <w:p>
      <w:pPr>
        <w:ind w:left="760" w:hanging="309"/>
        <w:spacing w:after="0"/>
        <w:tabs>
          <w:tab w:leader="none" w:pos="7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Dr. Robertson will resign from our board of directors effective concurrent with the closing of this offering.</w:t>
      </w:r>
    </w:p>
    <w:p>
      <w:pPr>
        <w:spacing w:after="0" w:line="53" w:lineRule="exact"/>
        <w:rPr>
          <w:rFonts w:ascii="Arial" w:cs="Arial" w:eastAsia="Arial" w:hAnsi="Arial"/>
          <w:sz w:val="13"/>
          <w:szCs w:val="13"/>
          <w:color w:val="auto"/>
        </w:rPr>
      </w:pPr>
    </w:p>
    <w:p>
      <w:pPr>
        <w:ind w:left="760" w:hanging="309"/>
        <w:spacing w:after="0"/>
        <w:tabs>
          <w:tab w:leader="none" w:pos="7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Dr. Schwartz will resign from our board of directors effective concurrent with the closing of this offering.</w:t>
      </w:r>
    </w:p>
    <w:p>
      <w:pPr>
        <w:spacing w:after="0" w:line="53" w:lineRule="exact"/>
        <w:rPr>
          <w:rFonts w:ascii="Arial" w:cs="Arial" w:eastAsia="Arial" w:hAnsi="Arial"/>
          <w:sz w:val="13"/>
          <w:szCs w:val="13"/>
          <w:color w:val="auto"/>
        </w:rPr>
      </w:pPr>
    </w:p>
    <w:p>
      <w:pPr>
        <w:ind w:left="760" w:hanging="309"/>
        <w:spacing w:after="0"/>
        <w:tabs>
          <w:tab w:leader="none" w:pos="7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Mr. Cox will resign from our board of directors effective concurrent with the closing of this offering.</w:t>
      </w:r>
    </w:p>
    <w:p>
      <w:pPr>
        <w:spacing w:after="0" w:line="53" w:lineRule="exact"/>
        <w:rPr>
          <w:rFonts w:ascii="Arial" w:cs="Arial" w:eastAsia="Arial" w:hAnsi="Arial"/>
          <w:sz w:val="13"/>
          <w:szCs w:val="13"/>
          <w:color w:val="auto"/>
        </w:rPr>
      </w:pPr>
    </w:p>
    <w:p>
      <w:pPr>
        <w:ind w:left="760" w:hanging="309"/>
        <w:spacing w:after="0"/>
        <w:tabs>
          <w:tab w:leader="none" w:pos="7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Mr. Wolfen will resign from our board of directors effective concurrent with the closing of this offering.</w:t>
      </w:r>
    </w:p>
    <w:p>
      <w:pPr>
        <w:spacing w:after="0" w:line="53" w:lineRule="exact"/>
        <w:rPr>
          <w:rFonts w:ascii="Arial" w:cs="Arial" w:eastAsia="Arial" w:hAnsi="Arial"/>
          <w:sz w:val="13"/>
          <w:szCs w:val="13"/>
          <w:color w:val="auto"/>
        </w:rPr>
      </w:pPr>
    </w:p>
    <w:p>
      <w:pPr>
        <w:ind w:left="760" w:right="600" w:hanging="309"/>
        <w:spacing w:after="0" w:line="234" w:lineRule="auto"/>
        <w:tabs>
          <w:tab w:leader="none" w:pos="7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Robert Warner, Julie B. Andrews, and Robert J. Palmisano have each been nominated to join our board of directors and will be elected to our board of directors effective concurrent with the closing of this offering.</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Executive officers</w:t>
      </w:r>
    </w:p>
    <w:p>
      <w:pPr>
        <w:spacing w:after="0" w:line="113" w:lineRule="exact"/>
        <w:rPr>
          <w:sz w:val="20"/>
          <w:szCs w:val="20"/>
          <w:color w:val="auto"/>
        </w:rPr>
      </w:pPr>
    </w:p>
    <w:p>
      <w:pPr>
        <w:ind w:left="460" w:right="40"/>
        <w:spacing w:after="0" w:line="269" w:lineRule="auto"/>
        <w:rPr>
          <w:sz w:val="20"/>
          <w:szCs w:val="20"/>
          <w:color w:val="auto"/>
        </w:rPr>
      </w:pPr>
      <w:r>
        <w:rPr>
          <w:rFonts w:ascii="Arial" w:cs="Arial" w:eastAsia="Arial" w:hAnsi="Arial"/>
          <w:sz w:val="16"/>
          <w:szCs w:val="16"/>
          <w:b w:val="1"/>
          <w:bCs w:val="1"/>
          <w:i w:val="1"/>
          <w:iCs w:val="1"/>
          <w:color w:val="auto"/>
        </w:rPr>
        <w:t xml:space="preserve">Ron Kurtz, M.D. </w:t>
      </w:r>
      <w:r>
        <w:rPr>
          <w:rFonts w:ascii="Arial" w:cs="Arial" w:eastAsia="Arial" w:hAnsi="Arial"/>
          <w:sz w:val="16"/>
          <w:szCs w:val="16"/>
          <w:color w:val="auto"/>
        </w:rPr>
        <w:t>Dr. Kurtz joined RxSight, Inc. in June 2015 and has served as our President and Chief Executive Officer since January 2016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as a member of our board of directors since February 2016. Prior to joining RxSight in June 2015, Dr. Kurtz co-founded LenSx Lasers, Inc. He served as LenSx’s President and Chief</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0800"/>
          </w:cols>
          <w:pgMar w:left="320" w:top="440" w:right="77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40"/>
        <w:spacing w:after="0" w:line="251" w:lineRule="auto"/>
        <w:rPr>
          <w:sz w:val="20"/>
          <w:szCs w:val="20"/>
          <w:color w:val="auto"/>
        </w:rPr>
      </w:pPr>
      <w:r>
        <w:rPr>
          <w:rFonts w:ascii="Arial" w:cs="Arial" w:eastAsia="Arial" w:hAnsi="Arial"/>
          <w:sz w:val="16"/>
          <w:szCs w:val="16"/>
          <w:color w:val="auto"/>
        </w:rPr>
        <w:t>Executive Officer until its acquisition by Alcon Inc. in August 2010, continuing as General Manager of Alcon LenSx, Inc. until March 2015. In 1997, he co-founded IntraLase Corp. and served as its President &amp; CEO until November 1998 and then as its Vice-President and Medical Director until December 2005, thereafter consulting until December 2006. IntraLase became a publicly held Nasdaq-listed company in October 2004 and was acquired by Advanced Medical Optics, Inc. in April 2007. Dr. Kurtz serves on the boards of ODOS GmbH and Allegro Ophthalmics, Inc. Dr. Kurtz has served on the faculty of both the University of California, Irvine, and the University of Michigan. He earned his B.A. in Biochemistry from Harvard College and his M.D. from the University of California, San Diego.</w:t>
      </w:r>
    </w:p>
    <w:p>
      <w:pPr>
        <w:spacing w:after="0" w:line="88" w:lineRule="exact"/>
        <w:rPr>
          <w:sz w:val="20"/>
          <w:szCs w:val="20"/>
          <w:color w:val="auto"/>
        </w:rPr>
      </w:pPr>
    </w:p>
    <w:p>
      <w:pPr>
        <w:ind w:left="460" w:right="1100"/>
        <w:spacing w:after="0" w:line="265" w:lineRule="auto"/>
        <w:rPr>
          <w:sz w:val="20"/>
          <w:szCs w:val="20"/>
          <w:color w:val="auto"/>
        </w:rPr>
      </w:pPr>
      <w:r>
        <w:rPr>
          <w:rFonts w:ascii="Arial" w:cs="Arial" w:eastAsia="Arial" w:hAnsi="Arial"/>
          <w:sz w:val="16"/>
          <w:szCs w:val="16"/>
          <w:color w:val="auto"/>
        </w:rPr>
        <w:t>We believe that Dr. Kurtz is qualified to serve on our board of directors due to his leadership track record, his experience as an ophthalmologist, and his service as our Chief Executive Officer and President.</w:t>
      </w:r>
    </w:p>
    <w:p>
      <w:pPr>
        <w:spacing w:after="0" w:line="55" w:lineRule="exact"/>
        <w:rPr>
          <w:sz w:val="20"/>
          <w:szCs w:val="20"/>
          <w:color w:val="auto"/>
        </w:rPr>
      </w:pPr>
    </w:p>
    <w:p>
      <w:pPr>
        <w:ind w:left="460" w:right="20"/>
        <w:spacing w:after="0" w:line="252" w:lineRule="auto"/>
        <w:rPr>
          <w:sz w:val="20"/>
          <w:szCs w:val="20"/>
          <w:color w:val="auto"/>
        </w:rPr>
      </w:pPr>
      <w:r>
        <w:rPr>
          <w:rFonts w:ascii="Arial" w:cs="Arial" w:eastAsia="Arial" w:hAnsi="Arial"/>
          <w:sz w:val="16"/>
          <w:szCs w:val="16"/>
          <w:b w:val="1"/>
          <w:bCs w:val="1"/>
          <w:i w:val="1"/>
          <w:iCs w:val="1"/>
          <w:color w:val="auto"/>
        </w:rPr>
        <w:t>Shelley Thunen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 Thunen joined RxSight, Inc. in January 2016 as our Chief Administrative Officer and has served as our Chief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since February 2017. From January 2013 to October 2015, Ms. Thunen served as the Chief Financial Officer of Endologix, Inc. From August 2010 to December 2012, Ms. Thunen served as Associate General Manager of Alcon LenSx, Inc. Prior to the Alcon acquisition of LenSx, Inc. in August 2010, she served as a board member and chair of the audit committee from April 2008 to August 2010, as well as Chief Financial Officer and Vice President, Operations from November 2009 to August 2010. Ms. Thunen joined IntraLase Corp. in May 2001 and was its Chief Financial Officer and later Executive Vice President &amp; Chief Financial Officer until its acquisition by Advanced Medical Optics, Inc. in April 2007. Ms. Thunen served on the board of directors of eyeonics, Inc. from June 2007 to February 2008, and as a board member and chair of the audit committee of Restoration Robotics, Inc. (Nasdaq: HAIR) from July 2015 to November 2019, prior to its acquisition by Venus Concept Inc. (Nasdaq: VERO) She also has served as a board member and audit committee chair of Surface Ophthalmics, Inc since August 2020. Ms. Thunen received a B.A. in economics and an M.B.A. from the University of California, Irvine.</w:t>
      </w:r>
    </w:p>
    <w:p>
      <w:pPr>
        <w:spacing w:after="0" w:line="71" w:lineRule="exact"/>
        <w:rPr>
          <w:sz w:val="20"/>
          <w:szCs w:val="20"/>
          <w:color w:val="auto"/>
        </w:rPr>
      </w:pPr>
    </w:p>
    <w:p>
      <w:pPr>
        <w:ind w:left="460"/>
        <w:spacing w:after="0" w:line="255" w:lineRule="auto"/>
        <w:rPr>
          <w:sz w:val="20"/>
          <w:szCs w:val="20"/>
          <w:color w:val="auto"/>
        </w:rPr>
      </w:pPr>
      <w:r>
        <w:rPr>
          <w:rFonts w:ascii="Arial" w:cs="Arial" w:eastAsia="Arial" w:hAnsi="Arial"/>
          <w:sz w:val="16"/>
          <w:szCs w:val="16"/>
          <w:b w:val="1"/>
          <w:bCs w:val="1"/>
          <w:i w:val="1"/>
          <w:iCs w:val="1"/>
          <w:color w:val="auto"/>
        </w:rPr>
        <w:t>Eric Weinberg</w:t>
      </w:r>
      <w:r>
        <w:rPr>
          <w:rFonts w:ascii="Arial" w:cs="Arial" w:eastAsia="Arial" w:hAnsi="Arial"/>
          <w:sz w:val="16"/>
          <w:szCs w:val="16"/>
          <w:color w:val="auto"/>
        </w:rPr>
        <w:t>. Mr. Weinberg has served as our Chief Commercial Officer since June 2015. Prior to joining RxSight, he was a co-founder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LenSx Lasers, Inc. and served as Chief Commercial Officer from July 2008 to August 2010, prior to its acquisition by Alcon Inc. He went on to serve as Vice President of Surgical Development at Alcon LenSx, Inc. from August 2010 to April 2014. He joined IntraLase Corp. in September 1999 as Vice President of Sales and later as the Senior Vice President, Global Marketing until the company was acquired by Advanced Medical Optics, Inc. in April 2007. Mr. Weinberg served as Global Director of Refractive Surgery at Chiron Vision Corp. from March 1993 until October 1997, when it was acquired by Bausch &amp; Lomb, Inc. He continued as Global Director of Refractive Surgery at Bausch &amp; Lomb until August 1999. Mr. Weinberg began his career in medical devices at Steinway Instruments in 1980.</w:t>
      </w:r>
    </w:p>
    <w:p>
      <w:pPr>
        <w:spacing w:after="0" w:line="64" w:lineRule="exact"/>
        <w:rPr>
          <w:sz w:val="20"/>
          <w:szCs w:val="20"/>
          <w:color w:val="auto"/>
        </w:rPr>
      </w:pPr>
    </w:p>
    <w:p>
      <w:pPr>
        <w:ind w:left="460" w:right="20"/>
        <w:spacing w:after="0" w:line="255" w:lineRule="auto"/>
        <w:rPr>
          <w:sz w:val="20"/>
          <w:szCs w:val="20"/>
          <w:color w:val="auto"/>
        </w:rPr>
      </w:pPr>
      <w:r>
        <w:rPr>
          <w:rFonts w:ascii="Arial" w:cs="Arial" w:eastAsia="Arial" w:hAnsi="Arial"/>
          <w:sz w:val="16"/>
          <w:szCs w:val="16"/>
          <w:b w:val="1"/>
          <w:bCs w:val="1"/>
          <w:i w:val="1"/>
          <w:iCs w:val="1"/>
          <w:color w:val="auto"/>
        </w:rPr>
        <w:t xml:space="preserve">Ilya Goldshleger, Ph.D. </w:t>
      </w:r>
      <w:r>
        <w:rPr>
          <w:rFonts w:ascii="Arial" w:cs="Arial" w:eastAsia="Arial" w:hAnsi="Arial"/>
          <w:sz w:val="16"/>
          <w:szCs w:val="16"/>
          <w:color w:val="auto"/>
        </w:rPr>
        <w:t>Dr. Goldshleger joined RxSight, Inc. as the Vice President, Engineering and has served as our Chief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since June 2019. Dr. Goldshleger joined RxSight in September 2015 as the Vice President of Engineering and was responsible for the development and engineering of the LAL and LDD system and its accessories. Prior to joining RxSight, Dr. Goldshleger held various management roles at Alcon LenSx, Inc. from 2010 to 2015 last serving as Director, R&amp;D Optics and Diagnostics, and held various roles in research and development at LenSx Lasers, Inc. from October 2008 to its acquisition by Alcon, Inc. in August 2010. Dr. Goldshleger received a Master of Science in Physics and Mathematics from the Moscow Institute of Physics and Technology and a Ph.D. in Chemical Physics from the Russian Academy of Sciences.</w:t>
      </w:r>
    </w:p>
    <w:p>
      <w:pPr>
        <w:spacing w:after="0" w:line="84" w:lineRule="exact"/>
        <w:rPr>
          <w:sz w:val="20"/>
          <w:szCs w:val="20"/>
          <w:color w:val="auto"/>
        </w:rPr>
      </w:pPr>
    </w:p>
    <w:p>
      <w:pPr>
        <w:ind w:left="460" w:right="140"/>
        <w:spacing w:after="0" w:line="265" w:lineRule="auto"/>
        <w:rPr>
          <w:sz w:val="20"/>
          <w:szCs w:val="20"/>
          <w:color w:val="auto"/>
        </w:rPr>
      </w:pPr>
      <w:r>
        <w:rPr>
          <w:rFonts w:ascii="Arial" w:cs="Arial" w:eastAsia="Arial" w:hAnsi="Arial"/>
          <w:sz w:val="16"/>
          <w:szCs w:val="16"/>
          <w:color w:val="auto"/>
        </w:rPr>
        <w:t>Each of our executive officers serves at the discretion of our board of directors and holds office until his or her successor is duly elected and qualified or until his or her earlier resignation or removal.</w:t>
      </w:r>
    </w:p>
    <w:p>
      <w:pPr>
        <w:spacing w:after="0" w:line="113"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0760"/>
          </w:cols>
          <w:pgMar w:left="320" w:top="441" w:right="81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Non-employee directors</w:t>
      </w:r>
    </w:p>
    <w:p>
      <w:pPr>
        <w:spacing w:after="0" w:line="113" w:lineRule="exact"/>
        <w:rPr>
          <w:sz w:val="20"/>
          <w:szCs w:val="20"/>
          <w:color w:val="auto"/>
        </w:rPr>
      </w:pPr>
    </w:p>
    <w:p>
      <w:pPr>
        <w:ind w:left="460" w:right="40"/>
        <w:spacing w:after="0" w:line="255" w:lineRule="auto"/>
        <w:rPr>
          <w:sz w:val="20"/>
          <w:szCs w:val="20"/>
          <w:color w:val="auto"/>
        </w:rPr>
      </w:pPr>
      <w:r>
        <w:rPr>
          <w:rFonts w:ascii="Arial" w:cs="Arial" w:eastAsia="Arial" w:hAnsi="Arial"/>
          <w:sz w:val="16"/>
          <w:szCs w:val="16"/>
          <w:b w:val="1"/>
          <w:bCs w:val="1"/>
          <w:i w:val="1"/>
          <w:iCs w:val="1"/>
          <w:color w:val="auto"/>
        </w:rPr>
        <w:t xml:space="preserve">J. Andy Corley. </w:t>
      </w:r>
      <w:r>
        <w:rPr>
          <w:rFonts w:ascii="Arial" w:cs="Arial" w:eastAsia="Arial" w:hAnsi="Arial"/>
          <w:sz w:val="16"/>
          <w:szCs w:val="16"/>
          <w:color w:val="auto"/>
        </w:rPr>
        <w:t>Mr. Corley has served as a member of our board of directors since January 2015. Mr. Corley has also served as a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of Neurolenses, Inc. since 2012, where he currently serves as Chairman of the Board, and has been a partner at Flying L Partners since 2016. Mr. Corley co-founded eyeonics, Inc. in 1998 and served as its Chief Executive Officer and Chairman of the Board until the company was sold to Bausch &amp; Lomb, Inc. in February 2008. Mr. Corley then served as President of the Surgical Division at Bausch &amp; Lomb following its acquisition of eyeonics, Inc from 2008 to 2011. Mr. Corley also co-founded Chiron Vision Corp., a company focused on the development of LASIK, in 1987 and served as General Manager of the Refractive Surgery Division until December 1997. Mr. Corley received a Bachelor of Business Administration degree from Georgia Southern University.</w:t>
      </w:r>
    </w:p>
    <w:p>
      <w:pPr>
        <w:spacing w:after="0" w:line="84" w:lineRule="exact"/>
        <w:rPr>
          <w:sz w:val="20"/>
          <w:szCs w:val="20"/>
          <w:color w:val="auto"/>
        </w:rPr>
      </w:pPr>
    </w:p>
    <w:p>
      <w:pPr>
        <w:ind w:left="460" w:right="340"/>
        <w:spacing w:after="0" w:line="265" w:lineRule="auto"/>
        <w:rPr>
          <w:sz w:val="20"/>
          <w:szCs w:val="20"/>
          <w:color w:val="auto"/>
        </w:rPr>
      </w:pPr>
      <w:r>
        <w:rPr>
          <w:rFonts w:ascii="Arial" w:cs="Arial" w:eastAsia="Arial" w:hAnsi="Arial"/>
          <w:sz w:val="16"/>
          <w:szCs w:val="16"/>
          <w:color w:val="auto"/>
        </w:rPr>
        <w:t>We believe Mr. Corley is qualified to serve on our board of directors because of his experience in leading and investing in medical device companies.</w:t>
      </w:r>
    </w:p>
    <w:p>
      <w:pPr>
        <w:spacing w:after="0" w:line="55" w:lineRule="exact"/>
        <w:rPr>
          <w:sz w:val="20"/>
          <w:szCs w:val="20"/>
          <w:color w:val="auto"/>
        </w:rPr>
      </w:pPr>
    </w:p>
    <w:p>
      <w:pPr>
        <w:ind w:left="460" w:right="140"/>
        <w:spacing w:after="0" w:line="253" w:lineRule="auto"/>
        <w:rPr>
          <w:sz w:val="20"/>
          <w:szCs w:val="20"/>
          <w:color w:val="auto"/>
        </w:rPr>
      </w:pPr>
      <w:r>
        <w:rPr>
          <w:rFonts w:ascii="Arial" w:cs="Arial" w:eastAsia="Arial" w:hAnsi="Arial"/>
          <w:sz w:val="16"/>
          <w:szCs w:val="16"/>
          <w:b w:val="1"/>
          <w:bCs w:val="1"/>
          <w:i w:val="1"/>
          <w:iCs w:val="1"/>
          <w:color w:val="auto"/>
        </w:rPr>
        <w:t xml:space="preserve">Bruce Robertson, Ph.D. </w:t>
      </w:r>
      <w:r>
        <w:rPr>
          <w:rFonts w:ascii="Arial" w:cs="Arial" w:eastAsia="Arial" w:hAnsi="Arial"/>
          <w:sz w:val="16"/>
          <w:szCs w:val="16"/>
          <w:color w:val="auto"/>
        </w:rPr>
        <w:t>Dr. Robertson has served as a member of our board of directors since June 2015. Dr. Robertson has also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board of directors of Apollo Endosurgery, Inc. since 2007, CardioFocus, Inc. since 2006, Clarus Therapeutics, Inc. since 2007, Iconic Therapeutics, Inc. since 2014, Exagen Inc. since 2019 and Augmedics Ltd. since 2021. He serves as co-Head and Managing Director of H.I.G. BioHealth Partners. Prior to joining H.I.G., Dr. Robertson served as Managing Director at Toucan Capital, a venture capital fund focusing on life science investments. Dr. Robertson served as a General Partner at GIV Venture Partners from 2000 to 2002. Dr. Robertson has also worked in business development and research and development at IGEN International, Inc. and W.R. Grace &amp; Company, Inc., respectively. Additionally, he served on the board of the University of Delaware Research Foundation and the board of the BioLife Fund of Virginia’s Center for Innovative Technology. Dr. Robertson holds a B.S.E. in Chemical Engineering and B.A. in Mathematics from the University of Pennsylvania, a Ph.D. in Chemical Engineering from the University of Delaware, and an M.B.A. from Harvard Business School with High Distinction.</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Dr. Robertson is qualified to serve on our board of directors because of his experience investing in medical device companies.</w:t>
      </w:r>
    </w:p>
    <w:p>
      <w:pPr>
        <w:spacing w:after="0" w:line="88"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b w:val="1"/>
          <w:bCs w:val="1"/>
          <w:i w:val="1"/>
          <w:iCs w:val="1"/>
          <w:color w:val="auto"/>
        </w:rPr>
        <w:t xml:space="preserve">William J. Link, Ph.D. </w:t>
      </w:r>
      <w:r>
        <w:rPr>
          <w:rFonts w:ascii="Arial" w:cs="Arial" w:eastAsia="Arial" w:hAnsi="Arial"/>
          <w:sz w:val="16"/>
          <w:szCs w:val="16"/>
          <w:color w:val="auto"/>
        </w:rPr>
        <w:t>Dr. Link has served as a member of our board of directors since November 2016. Dr. Link formed Flying 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LLC in 2017 and is the Managing Partner. Dr. Link has served as a managing director and co-founder of Versant Ventures Management LLC, a venture capital firm investing in early stage healthcare companies, since 1999. He has served as a member of the board of directors of Edwards Lifesciences Corp. since May 2009, Oyster Point Pharma, Inc. since July 2015, Glaukos, Inc. since June 2001, Lensar, Inc. since November 2017 and Tarsus Pharmaceuticals, Inc. since January 2017. Prior to co-founding Versant Ventures in November 1999, Dr. Link was a general partner at Brentwood Venture Capital from 1998 to 2020. From March 1986 to December 1997, Dr. Link was founder, chairman, and chief executive officer of Chiron Vision Corp. He also founded and served as President of American Medical Optics, Inc. (acquired by Allergan, Inc.) from 1978 to 1985. Dr. Link served as a director of Advanced Medical Optics, Inc. from September 2002 to February 2009, a director of Inogen, Inc. from July 2003 to February 2014 and a director of Second Sight Medical Products, Inc. from August 2003 to May 2020. Dr. Link also served as an assistant professor in the Department of Surgery at the Indiana University School of Medicine from 1973 to 1976. Dr. Link received a B.S., M.S., and a Ph.D. in mechanical engineering from Purdue University.</w:t>
      </w:r>
    </w:p>
    <w:p>
      <w:pPr>
        <w:spacing w:after="0" w:line="88" w:lineRule="exact"/>
        <w:rPr>
          <w:sz w:val="20"/>
          <w:szCs w:val="20"/>
          <w:color w:val="auto"/>
        </w:rPr>
      </w:pPr>
    </w:p>
    <w:p>
      <w:pPr>
        <w:ind w:left="460" w:right="540"/>
        <w:spacing w:after="0" w:line="265" w:lineRule="auto"/>
        <w:rPr>
          <w:sz w:val="20"/>
          <w:szCs w:val="20"/>
          <w:color w:val="auto"/>
        </w:rPr>
      </w:pPr>
      <w:r>
        <w:rPr>
          <w:rFonts w:ascii="Arial" w:cs="Arial" w:eastAsia="Arial" w:hAnsi="Arial"/>
          <w:sz w:val="16"/>
          <w:szCs w:val="16"/>
          <w:color w:val="auto"/>
        </w:rPr>
        <w:t>We believe Dr. Link is qualified to serve on our board of directors because of his experience in leading and investing in medical device companies.</w:t>
      </w:r>
    </w:p>
    <w:p>
      <w:pPr>
        <w:spacing w:after="0" w:line="55" w:lineRule="exact"/>
        <w:rPr>
          <w:sz w:val="20"/>
          <w:szCs w:val="20"/>
          <w:color w:val="auto"/>
        </w:rPr>
      </w:pPr>
    </w:p>
    <w:p>
      <w:pPr>
        <w:ind w:left="460" w:right="220"/>
        <w:spacing w:after="0" w:line="291" w:lineRule="auto"/>
        <w:rPr>
          <w:sz w:val="20"/>
          <w:szCs w:val="20"/>
          <w:color w:val="auto"/>
        </w:rPr>
      </w:pPr>
      <w:r>
        <w:rPr>
          <w:rFonts w:ascii="Arial" w:cs="Arial" w:eastAsia="Arial" w:hAnsi="Arial"/>
          <w:sz w:val="16"/>
          <w:szCs w:val="16"/>
          <w:b w:val="1"/>
          <w:bCs w:val="1"/>
          <w:i w:val="1"/>
          <w:iCs w:val="1"/>
          <w:color w:val="auto"/>
        </w:rPr>
        <w:t xml:space="preserve">Daniel Schwartz, M.D. </w:t>
      </w:r>
      <w:r>
        <w:rPr>
          <w:rFonts w:ascii="Arial" w:cs="Arial" w:eastAsia="Arial" w:hAnsi="Arial"/>
          <w:sz w:val="16"/>
          <w:szCs w:val="16"/>
          <w:color w:val="auto"/>
        </w:rPr>
        <w:t>Dr. Schwartz has served as a member of our board of directors since April 1997. Dr. Schwartz co-founded RxSight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is co-inventor of the Light Adjustable Lens. He has been a Physician in</w:t>
      </w:r>
    </w:p>
    <w:p>
      <w:pPr>
        <w:spacing w:after="0" w:line="94"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0740"/>
          </w:cols>
          <w:pgMar w:left="320" w:top="441" w:right="83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Residence at the Merkin Institute for Translational Research at Caltech since July 2020 and has served as Director of the Retina Division at the San Francisco VA Medical Center since 1994. Dr. Schwartz is also Professor Emeritus at the University of California, San Francisco. Prior to RxSight, he co-founded Serra Pharmaceuticals, Inc. in 1996, and served as a consultant until it merged with Karo Bio AB. Dr. Schwartz has published more than sixty peer-reviewed publications and holds over twenty patents in ophthalmology. Dr. Schwartz obtained his B.A. from Haverford College, his M.D. from University of California, San Francisco and completed his Ophthalmology residency at the Wilmer Institute at The Johns Hopkins Hospital.</w:t>
      </w:r>
    </w:p>
    <w:p>
      <w:pPr>
        <w:spacing w:after="0" w:line="88" w:lineRule="exact"/>
        <w:rPr>
          <w:sz w:val="20"/>
          <w:szCs w:val="20"/>
          <w:color w:val="auto"/>
        </w:rPr>
      </w:pPr>
    </w:p>
    <w:p>
      <w:pPr>
        <w:ind w:left="460" w:right="160"/>
        <w:spacing w:after="0" w:line="265" w:lineRule="auto"/>
        <w:rPr>
          <w:sz w:val="20"/>
          <w:szCs w:val="20"/>
          <w:color w:val="auto"/>
        </w:rPr>
      </w:pPr>
      <w:r>
        <w:rPr>
          <w:rFonts w:ascii="Arial" w:cs="Arial" w:eastAsia="Arial" w:hAnsi="Arial"/>
          <w:sz w:val="16"/>
          <w:szCs w:val="16"/>
          <w:color w:val="auto"/>
        </w:rPr>
        <w:t>We believe Dr. Schwartz is qualified to serve on our board of directors because of his experience as a co-founder of RxSight, Inc. and as an ophthalmologist.</w:t>
      </w:r>
    </w:p>
    <w:p>
      <w:pPr>
        <w:spacing w:after="0" w:line="55" w:lineRule="exact"/>
        <w:rPr>
          <w:sz w:val="20"/>
          <w:szCs w:val="20"/>
          <w:color w:val="auto"/>
        </w:rPr>
      </w:pPr>
    </w:p>
    <w:p>
      <w:pPr>
        <w:ind w:left="460" w:right="220"/>
        <w:spacing w:after="0" w:line="254" w:lineRule="auto"/>
        <w:rPr>
          <w:sz w:val="20"/>
          <w:szCs w:val="20"/>
          <w:color w:val="auto"/>
        </w:rPr>
      </w:pPr>
      <w:r>
        <w:rPr>
          <w:rFonts w:ascii="Arial" w:cs="Arial" w:eastAsia="Arial" w:hAnsi="Arial"/>
          <w:sz w:val="16"/>
          <w:szCs w:val="16"/>
          <w:b w:val="1"/>
          <w:bCs w:val="1"/>
          <w:i w:val="1"/>
          <w:iCs w:val="1"/>
          <w:color w:val="auto"/>
        </w:rPr>
        <w:t xml:space="preserve">Rick Wolfen. </w:t>
      </w:r>
      <w:r>
        <w:rPr>
          <w:rFonts w:ascii="Arial" w:cs="Arial" w:eastAsia="Arial" w:hAnsi="Arial"/>
          <w:sz w:val="16"/>
          <w:szCs w:val="16"/>
          <w:color w:val="auto"/>
        </w:rPr>
        <w:t>Mr. Wolfen has served as a member of our board of directors since December 2019. Mr. Wolfen founded Rock Asset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a commercial real estate development and management company, in 1994 and has served as its President since it was founded. He has also served as Managing Member of Sea Glass Ventures, LLC, an early-stage venture capital investor, since 2016. Mr. Wolfen joined Deauville Savings and Loan in 1984, where he oversaw real estate joint ventures as well as direct development and investment projects until 1987. He has served on the board of directors of Intelliflux Controls, Inc. since 2018, Materia, Inc. since 2014, and Global Tinker, Inc. since 2018. Mr. Wolfen received a B.A. in Economics and an M.B.A. from University of California, Los Angeles. He has served on the Board of the American Youth Soccer Organization Region 76 in Beverly Hills since 2002 and is presently Assistant Regional Commissioner.</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Mr. Wolfen is qualified to serve on our board of directors because of his experience as an investor and businessman.</w:t>
      </w:r>
    </w:p>
    <w:p>
      <w:pPr>
        <w:spacing w:after="0" w:line="88" w:lineRule="exact"/>
        <w:rPr>
          <w:sz w:val="20"/>
          <w:szCs w:val="20"/>
          <w:color w:val="auto"/>
        </w:rPr>
      </w:pPr>
    </w:p>
    <w:p>
      <w:pPr>
        <w:ind w:left="460" w:right="60"/>
        <w:spacing w:after="0" w:line="251" w:lineRule="auto"/>
        <w:rPr>
          <w:sz w:val="20"/>
          <w:szCs w:val="20"/>
          <w:color w:val="auto"/>
        </w:rPr>
      </w:pPr>
      <w:r>
        <w:rPr>
          <w:rFonts w:ascii="Arial" w:cs="Arial" w:eastAsia="Arial" w:hAnsi="Arial"/>
          <w:sz w:val="16"/>
          <w:szCs w:val="16"/>
          <w:b w:val="1"/>
          <w:bCs w:val="1"/>
          <w:i w:val="1"/>
          <w:iCs w:val="1"/>
          <w:color w:val="auto"/>
        </w:rPr>
        <w:t xml:space="preserve">Christopher Cox. </w:t>
      </w:r>
      <w:r>
        <w:rPr>
          <w:rFonts w:ascii="Arial" w:cs="Arial" w:eastAsia="Arial" w:hAnsi="Arial"/>
          <w:sz w:val="16"/>
          <w:szCs w:val="16"/>
          <w:color w:val="auto"/>
        </w:rPr>
        <w:t>Mr. Cox has served as a member of our board of directors since July 2015. From November 2014 until his retirement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2020, Mr. Cox was a partner at Morgan, Lewis &amp; Bockius, LLP and president of Morgan Lewis Consulting LLC. From June 2009 until its combination with Morgan Lewis in November 2014, he was a partner at Bingham McCutchen LLP and president of Bingham Consulting LLC. From August 2005 to January 2009, he served as the 28th Chairman of the U.S. Securities and Exchange Commission. From January 1989 to August 2005, Mr. Cox served in Congress as a U.S. Representative from California. Mr. Cox has served as a member of the boards of directors of ACA Group since November 2018, and of NetChoice, Inc., since February 2020. He served on the board of trustees of the University of Southern California beginning in October 2011 and became a Life Trustee in March 2020. He has been a member of the advisory boards of Starr Investment Holdings, LLC since November 2018, RevOZ Capital since February 2020, the Loker Hydrocarbon Research Institute since April 2012, the Forum for Corporate Directors since November 2010 and, the Corporate Directors Roundtable since March 2013. He previously served on the boards of directors of Newport Corporation (now part of MKS Instruments) from November 2011 to April 2016, and of Alphaeon Corporation from May 2014 to December 2016 as well as the advisory boards of Creative Planning from January 2017 to December 2017 and Thomson Reuters Accelus from May 2011 to October 2014. Mr. Cox earned his B.A. from the University of Southern California, his M.B.A. from Harvard Business School, and his J.D. from Harvard Law School.</w:t>
      </w:r>
    </w:p>
    <w:p>
      <w:pPr>
        <w:spacing w:after="0" w:line="92" w:lineRule="exact"/>
        <w:rPr>
          <w:sz w:val="20"/>
          <w:szCs w:val="20"/>
          <w:color w:val="auto"/>
        </w:rPr>
      </w:pPr>
    </w:p>
    <w:p>
      <w:pPr>
        <w:ind w:left="460" w:right="160"/>
        <w:spacing w:after="0" w:line="265" w:lineRule="auto"/>
        <w:rPr>
          <w:sz w:val="20"/>
          <w:szCs w:val="20"/>
          <w:color w:val="auto"/>
        </w:rPr>
      </w:pPr>
      <w:r>
        <w:rPr>
          <w:rFonts w:ascii="Arial" w:cs="Arial" w:eastAsia="Arial" w:hAnsi="Arial"/>
          <w:sz w:val="16"/>
          <w:szCs w:val="16"/>
          <w:color w:val="auto"/>
        </w:rPr>
        <w:t>We believe Mr. Cox is qualified to serve on our board of directors because of his experience as the 28</w:t>
      </w:r>
      <w:r>
        <w:rPr>
          <w:rFonts w:ascii="Arial" w:cs="Arial" w:eastAsia="Arial" w:hAnsi="Arial"/>
          <w:sz w:val="10"/>
          <w:szCs w:val="10"/>
          <w:color w:val="auto"/>
        </w:rPr>
        <w:t>th</w:t>
      </w:r>
      <w:r>
        <w:rPr>
          <w:rFonts w:ascii="Arial" w:cs="Arial" w:eastAsia="Arial" w:hAnsi="Arial"/>
          <w:sz w:val="16"/>
          <w:szCs w:val="16"/>
          <w:color w:val="auto"/>
        </w:rPr>
        <w:t xml:space="preserve"> Chairman of the U.S. Securities and Exchange Commission, an attorney and a former member of the U.S. House of Representatives.</w:t>
      </w:r>
    </w:p>
    <w:p>
      <w:pPr>
        <w:spacing w:after="0" w:line="55" w:lineRule="exact"/>
        <w:rPr>
          <w:sz w:val="20"/>
          <w:szCs w:val="20"/>
          <w:color w:val="auto"/>
        </w:rPr>
      </w:pPr>
    </w:p>
    <w:p>
      <w:pPr>
        <w:ind w:left="460" w:right="100"/>
        <w:spacing w:after="0" w:line="260" w:lineRule="auto"/>
        <w:rPr>
          <w:sz w:val="20"/>
          <w:szCs w:val="20"/>
          <w:color w:val="auto"/>
        </w:rPr>
      </w:pPr>
      <w:r>
        <w:rPr>
          <w:rFonts w:ascii="Arial" w:cs="Arial" w:eastAsia="Arial" w:hAnsi="Arial"/>
          <w:sz w:val="16"/>
          <w:szCs w:val="16"/>
          <w:b w:val="1"/>
          <w:bCs w:val="1"/>
          <w:i w:val="1"/>
          <w:iCs w:val="1"/>
          <w:color w:val="auto"/>
        </w:rPr>
        <w:t>Juliet Tammenoms Bakker</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 Tammenoms Bakker has served as a member of our board of directors since June 2015. Ms. Tammenoms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Bakker co-founded Longitude Capital, a healthcare venture capital firm, where she has served as a Managing Director since January 2007. Prior to Longitude, Ms. Tammenoms Bakker served as a Managing Director of Pequot Ventures where she founded the life sciences investment practice. Ms. Tammenoms Bakker currently serves on the boards of Endogenex, Inc., Nalu Medical, Inc., and Ceribell, Inc. and she has</w:t>
      </w:r>
    </w:p>
    <w:p>
      <w:pPr>
        <w:spacing w:after="0" w:line="313"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0780"/>
          </w:cols>
          <w:pgMar w:left="320" w:top="441" w:right="79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100"/>
        <w:spacing w:after="0" w:line="252" w:lineRule="auto"/>
        <w:rPr>
          <w:sz w:val="20"/>
          <w:szCs w:val="20"/>
          <w:color w:val="auto"/>
        </w:rPr>
      </w:pPr>
      <w:r>
        <w:rPr>
          <w:rFonts w:ascii="Arial" w:cs="Arial" w:eastAsia="Arial" w:hAnsi="Arial"/>
          <w:sz w:val="16"/>
          <w:szCs w:val="16"/>
          <w:color w:val="auto"/>
        </w:rPr>
        <w:t>previously served on the boards of over twenty companies including Eargo, Inc. (Nasdaq: EAR), Axonics Modulation Technologies (Nasdaq: AXNX), Insulet (Nasdaq: PODD), and Venus Concept (Nasdaq: VERO). Additionally, Ms. Tammenoms Bakker serves as a member of the Advisory Council for the College of Agriculture and Life Sciences at Cornell University and a board member of the Boys and Girls Club of Greenwich. Ms. Tammenoms Bakker holds an M.P.A. from the Harvard Kennedy School and a B.Sc. from the College of Agriculture and Life Sciences at Cornell University.</w:t>
      </w:r>
    </w:p>
    <w:p>
      <w:pPr>
        <w:spacing w:after="0" w:line="86" w:lineRule="exact"/>
        <w:rPr>
          <w:sz w:val="20"/>
          <w:szCs w:val="20"/>
          <w:color w:val="auto"/>
        </w:rPr>
      </w:pPr>
    </w:p>
    <w:p>
      <w:pPr>
        <w:ind w:left="460" w:right="100"/>
        <w:spacing w:after="0" w:line="265" w:lineRule="auto"/>
        <w:rPr>
          <w:sz w:val="20"/>
          <w:szCs w:val="20"/>
          <w:color w:val="auto"/>
        </w:rPr>
      </w:pPr>
      <w:r>
        <w:rPr>
          <w:rFonts w:ascii="Arial" w:cs="Arial" w:eastAsia="Arial" w:hAnsi="Arial"/>
          <w:sz w:val="16"/>
          <w:szCs w:val="16"/>
          <w:color w:val="auto"/>
        </w:rPr>
        <w:t>We believe Ms. Tammenoms Bakker is qualified to serve on our board of directors due to her extensive experience as an investor in medical technology companies and as a member of the boards of directors of multiple private companies.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Director Nominees</w:t>
      </w:r>
    </w:p>
    <w:p>
      <w:pPr>
        <w:spacing w:after="0" w:line="113" w:lineRule="exact"/>
        <w:rPr>
          <w:sz w:val="20"/>
          <w:szCs w:val="20"/>
          <w:color w:val="auto"/>
        </w:rPr>
      </w:pPr>
    </w:p>
    <w:p>
      <w:pPr>
        <w:ind w:left="460" w:right="20"/>
        <w:spacing w:after="0" w:line="253" w:lineRule="auto"/>
        <w:rPr>
          <w:sz w:val="20"/>
          <w:szCs w:val="20"/>
          <w:color w:val="auto"/>
        </w:rPr>
      </w:pPr>
      <w:r>
        <w:rPr>
          <w:rFonts w:ascii="Arial" w:cs="Arial" w:eastAsia="Arial" w:hAnsi="Arial"/>
          <w:sz w:val="16"/>
          <w:szCs w:val="16"/>
          <w:b w:val="1"/>
          <w:bCs w:val="1"/>
          <w:i w:val="1"/>
          <w:iCs w:val="1"/>
          <w:color w:val="auto"/>
        </w:rPr>
        <w:t xml:space="preserve">Robert Warner. </w:t>
      </w:r>
      <w:r>
        <w:rPr>
          <w:rFonts w:ascii="Arial" w:cs="Arial" w:eastAsia="Arial" w:hAnsi="Arial"/>
          <w:sz w:val="16"/>
          <w:szCs w:val="16"/>
          <w:color w:val="auto"/>
        </w:rPr>
        <w:t>Mr. Warner has been nominated to join our board of directors, effective concurrent with the closing of this offering, at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he will also serve as a member of the Compensation Committee and the Corporate Governance and Nominating Committee. Mr. Warner served as President and General Manager of Alcon Vision Care Franchise (Alcon) from August 2015 until February 2018. Prior to that, Mr. Warner served as President, U.S. and Canada, for Alcon from January 2012 to July 2015 and as President, Canada and Latin America, for Alcon from November 2010 to January 2012. From January 2005 to October 2010, Mr. Warner served in increasing positions of responsibility for Alcon. Mr. Warner was a member of the Alcon Executive Leadership Team for over 10 years and led the Alcon transition from Nestle to Novartis majority ownership. Mr. Warner currently serves on the board of directors of two private medical device companies, i Lumen Scientific and EyeYon Medical (serving as Chairman for the latter), and is also a board member of GRACE, the Grapevine Relief and Community Exchange. Mr. Warner holds a B.S. in Chemistry from Pace University and an MBA from Rutgers University.</w:t>
      </w:r>
    </w:p>
    <w:p>
      <w:pPr>
        <w:spacing w:after="0" w:line="87" w:lineRule="exact"/>
        <w:rPr>
          <w:sz w:val="20"/>
          <w:szCs w:val="20"/>
          <w:color w:val="auto"/>
        </w:rPr>
      </w:pPr>
    </w:p>
    <w:p>
      <w:pPr>
        <w:ind w:left="460" w:right="20"/>
        <w:spacing w:after="0" w:line="265" w:lineRule="auto"/>
        <w:rPr>
          <w:sz w:val="20"/>
          <w:szCs w:val="20"/>
          <w:color w:val="auto"/>
        </w:rPr>
      </w:pPr>
      <w:r>
        <w:rPr>
          <w:rFonts w:ascii="Arial" w:cs="Arial" w:eastAsia="Arial" w:hAnsi="Arial"/>
          <w:sz w:val="16"/>
          <w:szCs w:val="16"/>
          <w:color w:val="auto"/>
        </w:rPr>
        <w:t>We believe Mr. Warner is qualified to serve on our board of directors because of his extensive experience leading and serving on the board of directors of medical device companies.</w:t>
      </w:r>
    </w:p>
    <w:p>
      <w:pPr>
        <w:spacing w:after="0" w:line="55"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b w:val="1"/>
          <w:bCs w:val="1"/>
          <w:i w:val="1"/>
          <w:iCs w:val="1"/>
          <w:color w:val="auto"/>
        </w:rPr>
        <w:t xml:space="preserve">Julie B. Andrews. </w:t>
      </w:r>
      <w:r>
        <w:rPr>
          <w:rFonts w:ascii="Arial" w:cs="Arial" w:eastAsia="Arial" w:hAnsi="Arial"/>
          <w:sz w:val="16"/>
          <w:szCs w:val="16"/>
          <w:color w:val="auto"/>
        </w:rPr>
        <w:t>Ms. Andrews has been nominated to join our board of directors, effective concurrent with the closing of this offering,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time she will also serve as the Chairperson of the Audit Committee. Ms. Andrews has over fifteen years’ experience in senior finance leadership roles with leading medical technology companies and brings a broad skill set in executing strategic initiatives and leading global finance organizations. From August 2019 to December 2020, Ms. Andrews held the position of Senior Vice President, Global Finance with Wright Medical Group N.V. (Nasdaq: WMGI) with responsibility for the finance, accounting, tax and treasury functions. During her time at Wright Medical, Ms. Andrews played key leadership roles in several successful mergers and acquisitions. These included leading the divestiture and carve-out of the approximately $300 million sale of the hip and knee business to Microport, providing leadership oversight for Wright Medical’s $3.3 billion in equity value acquisition of Tornier, N.V., and leading the diligence and integration planning of the sale of Wright Medical to Stryker Corp. Ms. Andrews was Vice President, Chief Accounting Officer from May 2012 to September 2019 of Wright Medical Group N.V. (f.k.a. Wright Medical Group Inc.). Prior to joining Wright Medical, Ms. Andrews spent fourteen years at Medtronic, Inc., a global medical device company. During her tenure with Medtronic, Ms. Andrews held numerous key financial positions including Vice President, Finance (Business Unit CFO) for the $3.5 billion Spine and Biologics business. Ms. Andrews began her career working with Thomas &amp; Betts Corporation in Memphis, Tennessee and Thomas Havey, LLP in Chicago, Illinois. Ms. Andrews is currently on the board of directors of Priveterra (Nasdaq: PMGM), a healthcare focused special acquisition corporation and serves as the chair of their audit committee. Ms. Andrews received a BS in Accounting from Indiana University NW.</w:t>
      </w:r>
    </w:p>
    <w:p>
      <w:pPr>
        <w:spacing w:after="0" w:line="126"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0760"/>
          </w:cols>
          <w:pgMar w:left="320" w:top="441" w:right="81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Ms. Andrews is qualified to serve on our board of directors due to her financial experience in the healthcare industry.</w:t>
      </w:r>
    </w:p>
    <w:p>
      <w:pPr>
        <w:spacing w:after="0" w:line="88" w:lineRule="exact"/>
        <w:rPr>
          <w:sz w:val="20"/>
          <w:szCs w:val="20"/>
          <w:color w:val="auto"/>
        </w:rPr>
      </w:pPr>
    </w:p>
    <w:p>
      <w:pPr>
        <w:ind w:left="460" w:right="60"/>
        <w:spacing w:after="0" w:line="252" w:lineRule="auto"/>
        <w:rPr>
          <w:sz w:val="20"/>
          <w:szCs w:val="20"/>
          <w:color w:val="auto"/>
        </w:rPr>
      </w:pPr>
      <w:r>
        <w:rPr>
          <w:rFonts w:ascii="Arial" w:cs="Arial" w:eastAsia="Arial" w:hAnsi="Arial"/>
          <w:sz w:val="16"/>
          <w:szCs w:val="16"/>
          <w:b w:val="1"/>
          <w:bCs w:val="1"/>
          <w:i w:val="1"/>
          <w:iCs w:val="1"/>
          <w:color w:val="auto"/>
        </w:rPr>
        <w:t xml:space="preserve">Robert J. Palmisano. </w:t>
      </w:r>
      <w:r>
        <w:rPr>
          <w:rFonts w:ascii="Arial" w:cs="Arial" w:eastAsia="Arial" w:hAnsi="Arial"/>
          <w:sz w:val="16"/>
          <w:szCs w:val="16"/>
          <w:color w:val="auto"/>
        </w:rPr>
        <w:t>Mr. Warner has been nominated to join our board of directors, effective concurrent with the closing of this offering,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time he will also serve as Chairperson of the Compensation Committee. Mr. Palmisano served as President and Chief Executive Officer, and as the Executive Director of the Board of Directors and Board Member of Wright Medical Group, Inc. (Nasdaq: WMGI) from September 2011 until its acquisition by Stryker Corporation (NYSE: SYK) in November 2020. Mr. Palmisano served as President and Chief Executive Officer of ev3 Inc. from April 2008 to July 2010, when it was acquired by Covidien plc. Mr. Palmisano was President and Chief Executive Officer of IntraLase Corp. from April 2003 to April 2007, when it was acquired by Advanced Medical Optics, Inc. Before joining IntraLase, Mr. Palmisano was President and Chief Executive Officer of MacroChem Corporation from April 2001 to April 2003. Mr. Palmisano has served as Chairman of the Board of Priveterra Acquisition Corp. (Nasdaq: PMGMU) from December 2020 to present. Mr. Palmisano previously served as the Chairman of the Board of Avedro, Inc., and on the board of directors of ev3 Inc., Osteotech, Inc. and Abbott Medical Optics, Inc., all publicly held companies, and Bausch &amp; Lomb, a privately held company. Mr. Palmisano holds a B.A. in Political Science from Providence College.</w:t>
      </w:r>
    </w:p>
    <w:p>
      <w:pPr>
        <w:spacing w:after="0" w:line="281" w:lineRule="exact"/>
        <w:rPr>
          <w:sz w:val="20"/>
          <w:szCs w:val="20"/>
          <w:color w:val="auto"/>
        </w:rPr>
      </w:pPr>
    </w:p>
    <w:p>
      <w:pPr>
        <w:ind w:left="460" w:right="420"/>
        <w:spacing w:after="0" w:line="265" w:lineRule="auto"/>
        <w:rPr>
          <w:sz w:val="20"/>
          <w:szCs w:val="20"/>
          <w:color w:val="auto"/>
        </w:rPr>
      </w:pPr>
      <w:r>
        <w:rPr>
          <w:rFonts w:ascii="Arial" w:cs="Arial" w:eastAsia="Arial" w:hAnsi="Arial"/>
          <w:sz w:val="16"/>
          <w:szCs w:val="16"/>
          <w:color w:val="auto"/>
        </w:rPr>
        <w:t>We believe Mr. Palmisano is qualified to serve on our board of directors because of his extensive experience leading and serving on the board of directors of medical device companies.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Board composition</w:t>
      </w:r>
    </w:p>
    <w:p>
      <w:pPr>
        <w:spacing w:after="0" w:line="133"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color w:val="auto"/>
        </w:rPr>
        <w:t>Our board of directors currently consists of eight members. Following the resignations of Drs. Robertson and Schwartz and Messrs. Wolfen and Cox, and the election of Messrs. Warner and Palmisano and Ms. Andrews, our board of directors will consist of seven members. After the completion of this offering, the number of directors will be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86" w:lineRule="exact"/>
        <w:rPr>
          <w:sz w:val="20"/>
          <w:szCs w:val="20"/>
          <w:color w:val="auto"/>
        </w:rPr>
      </w:pPr>
    </w:p>
    <w:p>
      <w:pPr>
        <w:ind w:left="460" w:right="80"/>
        <w:spacing w:after="0" w:line="253" w:lineRule="auto"/>
        <w:rPr>
          <w:sz w:val="20"/>
          <w:szCs w:val="20"/>
          <w:color w:val="auto"/>
        </w:rPr>
      </w:pPr>
      <w:r>
        <w:rPr>
          <w:rFonts w:ascii="Arial" w:cs="Arial" w:eastAsia="Arial" w:hAnsi="Arial"/>
          <w:sz w:val="16"/>
          <w:szCs w:val="16"/>
          <w:color w:val="auto"/>
        </w:rPr>
        <w:t>Our amended and restated certificate of incorporation will provide that our board of directors will be divided into three classes with staggered three-year terms. Only one class of directors will be elected at each annual meeting of stockholders, with the other classes continuing for the remainder of their respective three-year terms. Concurrent with the closing of this offering, our directors will be divided among the three classes as follows:</w:t>
      </w:r>
    </w:p>
    <w:p>
      <w:pPr>
        <w:spacing w:after="0" w:line="99" w:lineRule="exact"/>
        <w:rPr>
          <w:sz w:val="20"/>
          <w:szCs w:val="20"/>
          <w:color w:val="auto"/>
        </w:rPr>
      </w:pPr>
    </w:p>
    <w:p>
      <w:pPr>
        <w:ind w:left="660" w:right="480" w:hanging="209"/>
        <w:spacing w:after="0" w:line="265"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Class I directors will be Ron Kurtz, M.D., J. Andy Corley, and Juliet Tammenoms Bakker, and their terms will expire at the annual meeting of stockholders to be held in 2022;</w:t>
      </w:r>
    </w:p>
    <w:p>
      <w:pPr>
        <w:spacing w:after="0" w:line="88" w:lineRule="exact"/>
        <w:rPr>
          <w:rFonts w:ascii="Arial" w:cs="Arial" w:eastAsia="Arial" w:hAnsi="Arial"/>
          <w:sz w:val="16"/>
          <w:szCs w:val="16"/>
          <w:color w:val="auto"/>
        </w:rPr>
      </w:pPr>
    </w:p>
    <w:p>
      <w:pPr>
        <w:ind w:left="660" w:right="100" w:hanging="209"/>
        <w:spacing w:after="0" w:line="265"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Class II directors will be William J. Link, Ph.D., and Robert Warner, and their terms will expire at the annual meeting of stockholders to be held in 2023; and</w:t>
      </w:r>
    </w:p>
    <w:p>
      <w:pPr>
        <w:spacing w:after="0" w:line="88" w:lineRule="exact"/>
        <w:rPr>
          <w:rFonts w:ascii="Arial" w:cs="Arial" w:eastAsia="Arial" w:hAnsi="Arial"/>
          <w:sz w:val="16"/>
          <w:szCs w:val="16"/>
          <w:color w:val="auto"/>
        </w:rPr>
      </w:pPr>
    </w:p>
    <w:p>
      <w:pPr>
        <w:ind w:left="660" w:right="140" w:hanging="209"/>
        <w:spacing w:after="0" w:line="265"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Class III directors will be Julie B. Andrews, and Robert J. Palmisano, and their terms will expire at the annual meeting of stockholders to be held in 2024.</w:t>
      </w:r>
    </w:p>
    <w:p>
      <w:pPr>
        <w:spacing w:after="0" w:line="75" w:lineRule="exact"/>
        <w:rPr>
          <w:sz w:val="20"/>
          <w:szCs w:val="20"/>
          <w:color w:val="auto"/>
        </w:rPr>
      </w:pPr>
    </w:p>
    <w:p>
      <w:pPr>
        <w:ind w:left="460" w:right="60"/>
        <w:spacing w:after="0" w:line="252" w:lineRule="auto"/>
        <w:rPr>
          <w:sz w:val="20"/>
          <w:szCs w:val="20"/>
          <w:color w:val="auto"/>
        </w:rPr>
      </w:pPr>
      <w:r>
        <w:rPr>
          <w:rFonts w:ascii="Arial" w:cs="Arial" w:eastAsia="Arial" w:hAnsi="Arial"/>
          <w:sz w:val="16"/>
          <w:szCs w:val="16"/>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 third of our directors.</w:t>
      </w:r>
    </w:p>
    <w:p>
      <w:pPr>
        <w:spacing w:after="0" w:line="124"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167</w:t>
      </w:r>
    </w:p>
    <w:p>
      <w:pPr>
        <w:sectPr>
          <w:pgSz w:w="11900" w:h="16838" w:orient="portrait"/>
          <w:cols w:equalWidth="0" w:num="1">
            <w:col w:w="10760"/>
          </w:cols>
          <w:pgMar w:left="320" w:top="440" w:right="81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classification of our board of directors may have the effect of delaying or preventing changes in control of our company.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Director independence</w:t>
      </w:r>
    </w:p>
    <w:p>
      <w:pPr>
        <w:spacing w:after="0" w:line="133"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Upon the completion of this offering, we anticipate that our common stock will be listed on the Nasdaq Global Market. Under the rules of Nasdaq, independent directors must comprise a majority of a listed company’s board of directors within one year of the completion of this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Securities Exchange Act of 1934, as amended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90" w:lineRule="exact"/>
        <w:rPr>
          <w:sz w:val="20"/>
          <w:szCs w:val="20"/>
          <w:color w:val="auto"/>
        </w:rPr>
      </w:pPr>
    </w:p>
    <w:p>
      <w:pPr>
        <w:ind w:left="460" w:right="60"/>
        <w:spacing w:after="0" w:line="248" w:lineRule="auto"/>
        <w:rPr>
          <w:sz w:val="20"/>
          <w:szCs w:val="20"/>
          <w:color w:val="auto"/>
        </w:rPr>
      </w:pPr>
      <w:r>
        <w:rPr>
          <w:rFonts w:ascii="Arial" w:cs="Arial" w:eastAsia="Arial" w:hAnsi="Arial"/>
          <w:sz w:val="16"/>
          <w:szCs w:val="16"/>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w:t>
      </w:r>
    </w:p>
    <w:p>
      <w:pPr>
        <w:ind w:left="460" w:hanging="9"/>
        <w:spacing w:after="0" w:line="265" w:lineRule="auto"/>
        <w:tabs>
          <w:tab w:leader="none" w:pos="70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accept, directly or indirectly, any consulting, advisory or other compensatory fee from the listed company or any of its subsidiaries or (2) be an affiliated person of the listed company or any of its subsidiaries.</w:t>
      </w:r>
    </w:p>
    <w:p>
      <w:pPr>
        <w:spacing w:after="0" w:line="75" w:lineRule="exact"/>
        <w:rPr>
          <w:sz w:val="20"/>
          <w:szCs w:val="20"/>
          <w:color w:val="auto"/>
        </w:rPr>
      </w:pPr>
    </w:p>
    <w:p>
      <w:pPr>
        <w:ind w:left="460" w:right="40"/>
        <w:spacing w:after="0" w:line="251" w:lineRule="auto"/>
        <w:rPr>
          <w:sz w:val="20"/>
          <w:szCs w:val="20"/>
          <w:color w:val="auto"/>
        </w:rPr>
      </w:pPr>
      <w:r>
        <w:rPr>
          <w:rFonts w:ascii="Arial" w:cs="Arial" w:eastAsia="Arial" w:hAnsi="Arial"/>
          <w:sz w:val="16"/>
          <w:szCs w:val="16"/>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88" w:lineRule="exact"/>
        <w:rPr>
          <w:sz w:val="20"/>
          <w:szCs w:val="20"/>
          <w:color w:val="auto"/>
        </w:rPr>
      </w:pPr>
    </w:p>
    <w:p>
      <w:pPr>
        <w:ind w:left="460" w:right="40"/>
        <w:spacing w:after="0" w:line="250" w:lineRule="auto"/>
        <w:rPr>
          <w:sz w:val="20"/>
          <w:szCs w:val="20"/>
          <w:color w:val="auto"/>
        </w:rPr>
      </w:pPr>
      <w:r>
        <w:rPr>
          <w:rFonts w:ascii="Arial" w:cs="Arial" w:eastAsia="Arial" w:hAnsi="Arial"/>
          <w:sz w:val="16"/>
          <w:szCs w:val="16"/>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Messrs. Corley, Warner and Palmisano, Dr. Link, and Ms. Tammenoms Bakker and Ms. Andrews, representing six of our seven directors upon the closing of the offering, do not have a relationship that would interfere with the exercise of independent judgment in carrying out the responsibilities of a director and that each of these directors is “independent” as that term is defined under the rules of Nasdaq.</w:t>
      </w:r>
    </w:p>
    <w:p>
      <w:pPr>
        <w:spacing w:after="0" w:line="91"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 There are no family relationships among any of our directors or executive officers.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Board leadership structure</w:t>
      </w:r>
    </w:p>
    <w:p>
      <w:pPr>
        <w:spacing w:after="0" w:line="133" w:lineRule="exact"/>
        <w:rPr>
          <w:sz w:val="20"/>
          <w:szCs w:val="20"/>
          <w:color w:val="auto"/>
        </w:rPr>
      </w:pPr>
    </w:p>
    <w:p>
      <w:pPr>
        <w:ind w:left="460" w:right="40"/>
        <w:spacing w:after="0" w:line="265" w:lineRule="auto"/>
        <w:rPr>
          <w:sz w:val="20"/>
          <w:szCs w:val="20"/>
          <w:color w:val="auto"/>
        </w:rPr>
      </w:pPr>
      <w:r>
        <w:rPr>
          <w:rFonts w:ascii="Arial" w:cs="Arial" w:eastAsia="Arial" w:hAnsi="Arial"/>
          <w:sz w:val="16"/>
          <w:szCs w:val="16"/>
          <w:color w:val="auto"/>
        </w:rPr>
        <w:t>Our board of directors is currently chaired by Mr. Corley. As a general policy, our board of directors believes that separation of the positions of Chair of our board of directors and Chief Executive Officer reinforces the</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0780"/>
          </w:cols>
          <w:pgMar w:left="320" w:top="440" w:right="79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40"/>
        <w:spacing w:after="0" w:line="253" w:lineRule="auto"/>
        <w:rPr>
          <w:sz w:val="20"/>
          <w:szCs w:val="20"/>
          <w:color w:val="auto"/>
        </w:rPr>
      </w:pPr>
      <w:r>
        <w:rPr>
          <w:rFonts w:ascii="Arial" w:cs="Arial" w:eastAsia="Arial" w:hAnsi="Arial"/>
          <w:sz w:val="16"/>
          <w:szCs w:val="16"/>
          <w:color w:val="auto"/>
        </w:rPr>
        <w:t>independence of our board of directors from management, creates an environment that encourages objective oversight of management’s performance and enhances the effectiveness of our board of directors as a whole. As such, Dr. Kurtz serves as our Chief Executive Officer while Mr. Corley serves as the Chair of our board of directors but is not an officer of the Company. We currently expect and intend the positions of Chair of our board of directors and Chief Executive Officer to continue to be held by two individuals in the future.</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Role of the board in risk oversight</w:t>
      </w:r>
    </w:p>
    <w:p>
      <w:pPr>
        <w:spacing w:after="0" w:line="133"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Board committees</w:t>
      </w:r>
    </w:p>
    <w:p>
      <w:pPr>
        <w:spacing w:after="0" w:line="133" w:lineRule="exact"/>
        <w:rPr>
          <w:sz w:val="20"/>
          <w:szCs w:val="20"/>
          <w:color w:val="auto"/>
        </w:rPr>
      </w:pPr>
    </w:p>
    <w:p>
      <w:pPr>
        <w:ind w:left="460" w:right="160"/>
        <w:spacing w:after="0" w:line="256" w:lineRule="auto"/>
        <w:rPr>
          <w:sz w:val="20"/>
          <w:szCs w:val="20"/>
          <w:color w:val="auto"/>
        </w:rPr>
      </w:pPr>
      <w:r>
        <w:rPr>
          <w:rFonts w:ascii="Arial" w:cs="Arial" w:eastAsia="Arial" w:hAnsi="Arial"/>
          <w:sz w:val="16"/>
          <w:szCs w:val="16"/>
          <w:color w:val="auto"/>
        </w:rPr>
        <w:t>Our board of directors has an audit committee, a compensation committee, and a corporate governance and nominating committee, each of which has the composition and the responsibilities described below. In addition, from time to time, special committees may be established under the direction of our board of directors when necessary to address specific issues.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Audit committee</w:t>
      </w:r>
    </w:p>
    <w:p>
      <w:pPr>
        <w:spacing w:after="0" w:line="128" w:lineRule="exact"/>
        <w:rPr>
          <w:sz w:val="20"/>
          <w:szCs w:val="20"/>
          <w:color w:val="auto"/>
        </w:rPr>
      </w:pPr>
    </w:p>
    <w:p>
      <w:pPr>
        <w:ind w:left="460" w:right="20"/>
        <w:spacing w:after="0" w:line="252" w:lineRule="auto"/>
        <w:rPr>
          <w:sz w:val="20"/>
          <w:szCs w:val="20"/>
          <w:color w:val="auto"/>
        </w:rPr>
      </w:pPr>
      <w:r>
        <w:rPr>
          <w:rFonts w:ascii="Arial" w:cs="Arial" w:eastAsia="Arial" w:hAnsi="Arial"/>
          <w:sz w:val="16"/>
          <w:szCs w:val="16"/>
          <w:color w:val="auto"/>
        </w:rPr>
        <w:t>Concurrent with the closing of this offering, the members of our audit committee will be Julie B. Andrews, William J. Link, and Juliet Tammenoms Bakker. Ms. Andrews will be the chair of our audit committee and will be our audit committee financial expert, as that term is defined under the SEC rules implementing Section 407 of the Sarbanes-Oxley Act of 2002, and possesses financial sophistication, as defined under the rules of Nasdaq. Our audit committee will oversee our corporate accounting and financial reporting process and assist our board of directors in monitoring our financial systems. Our audit committee will also:</w:t>
      </w:r>
    </w:p>
    <w:p>
      <w:pPr>
        <w:spacing w:after="0" w:line="99" w:lineRule="exact"/>
        <w:rPr>
          <w:sz w:val="20"/>
          <w:szCs w:val="20"/>
          <w:color w:val="auto"/>
        </w:rPr>
      </w:pPr>
    </w:p>
    <w:p>
      <w:pPr>
        <w:ind w:left="660" w:hanging="209"/>
        <w:spacing w:after="0"/>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select and hire the independent registered public accounting firm to audit our financial statements;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help to ensure the independence and performance of the independent registered public accounting firm;</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approve audit and non-audit services and fees;</w:t>
      </w:r>
    </w:p>
    <w:p>
      <w:pPr>
        <w:spacing w:after="0" w:line="120" w:lineRule="exact"/>
        <w:rPr>
          <w:rFonts w:ascii="Arial" w:cs="Arial" w:eastAsia="Arial" w:hAnsi="Arial"/>
          <w:sz w:val="16"/>
          <w:szCs w:val="16"/>
          <w:color w:val="auto"/>
        </w:rPr>
      </w:pPr>
    </w:p>
    <w:p>
      <w:pPr>
        <w:ind w:left="660" w:right="180" w:hanging="209"/>
        <w:spacing w:after="0" w:line="256" w:lineRule="auto"/>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review financial statements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95" w:lineRule="exact"/>
        <w:rPr>
          <w:rFonts w:ascii="Arial" w:cs="Arial" w:eastAsia="Arial" w:hAnsi="Arial"/>
          <w:sz w:val="16"/>
          <w:szCs w:val="16"/>
          <w:color w:val="auto"/>
        </w:rPr>
      </w:pPr>
    </w:p>
    <w:p>
      <w:pPr>
        <w:ind w:left="660" w:hanging="209"/>
        <w:spacing w:after="0"/>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prepare the audit committee report that the SEC requires to be included in our annual proxy statement;</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review reports and communications from the independent registered public accounting firm;</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review the adequacy and effectiveness of our internal controls and disclosure controls and procedure;</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review our policies on risk assessment and risk management;</w:t>
      </w:r>
    </w:p>
    <w:p>
      <w:pPr>
        <w:spacing w:after="0" w:line="14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169</w:t>
      </w:r>
    </w:p>
    <w:p>
      <w:pPr>
        <w:sectPr>
          <w:pgSz w:w="11900" w:h="16838" w:orient="portrait"/>
          <w:cols w:equalWidth="0" w:num="1">
            <w:col w:w="10780"/>
          </w:cols>
          <w:pgMar w:left="320" w:top="441" w:right="79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660" w:right="40" w:hanging="209"/>
        <w:spacing w:after="0" w:line="265" w:lineRule="auto"/>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review and monitor conflicts of interest situations, and approve or prohibit any involvement in matters that may involve a conflict of interest or taking of a corporate opportunity;</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review related party transactions; and</w:t>
      </w:r>
    </w:p>
    <w:p>
      <w:pPr>
        <w:spacing w:after="0" w:line="120" w:lineRule="exact"/>
        <w:rPr>
          <w:rFonts w:ascii="Arial" w:cs="Arial" w:eastAsia="Arial" w:hAnsi="Arial"/>
          <w:sz w:val="16"/>
          <w:szCs w:val="16"/>
          <w:color w:val="auto"/>
        </w:rPr>
      </w:pPr>
    </w:p>
    <w:p>
      <w:pPr>
        <w:ind w:left="660" w:hanging="209"/>
        <w:spacing w:after="0" w:line="265" w:lineRule="auto"/>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75" w:lineRule="exact"/>
        <w:rPr>
          <w:sz w:val="20"/>
          <w:szCs w:val="20"/>
          <w:color w:val="auto"/>
        </w:rPr>
      </w:pPr>
    </w:p>
    <w:p>
      <w:pPr>
        <w:ind w:left="460"/>
        <w:spacing w:after="0" w:line="265" w:lineRule="auto"/>
        <w:rPr>
          <w:sz w:val="20"/>
          <w:szCs w:val="20"/>
          <w:color w:val="auto"/>
        </w:rPr>
      </w:pPr>
      <w:r>
        <w:rPr>
          <w:rFonts w:ascii="Arial" w:cs="Arial" w:eastAsia="Arial" w:hAnsi="Arial"/>
          <w:sz w:val="16"/>
          <w:szCs w:val="16"/>
          <w:color w:val="auto"/>
        </w:rPr>
        <w:t>Our audit committee will operate under a written charter, to be effective prior to the completion of this offering, which will satisfy the applicable rules of the SEC and the listing standards of Nasdaq.</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128" w:lineRule="exact"/>
        <w:rPr>
          <w:sz w:val="20"/>
          <w:szCs w:val="20"/>
          <w:color w:val="auto"/>
        </w:rPr>
      </w:pPr>
    </w:p>
    <w:p>
      <w:pPr>
        <w:ind w:left="460" w:right="60"/>
        <w:spacing w:after="0" w:line="256" w:lineRule="auto"/>
        <w:rPr>
          <w:sz w:val="20"/>
          <w:szCs w:val="20"/>
          <w:color w:val="auto"/>
        </w:rPr>
      </w:pPr>
      <w:r>
        <w:rPr>
          <w:rFonts w:ascii="Arial" w:cs="Arial" w:eastAsia="Arial" w:hAnsi="Arial"/>
          <w:sz w:val="16"/>
          <w:szCs w:val="16"/>
          <w:color w:val="auto"/>
        </w:rPr>
        <w:t>Concurrent with the closing of this offering, the members of our compensation committee will be J. Andy Corley, Robert J. Palmisano and Robert Warner. Mr. Palmisano will be the chair of our compensation committee. Our compensation committee will oversee our compensation policies, plans and benefits programs. The compensation committee will also:</w:t>
      </w:r>
    </w:p>
    <w:p>
      <w:pPr>
        <w:spacing w:after="0" w:line="96" w:lineRule="exact"/>
        <w:rPr>
          <w:sz w:val="20"/>
          <w:szCs w:val="20"/>
          <w:color w:val="auto"/>
        </w:rPr>
      </w:pPr>
    </w:p>
    <w:p>
      <w:pPr>
        <w:ind w:left="660" w:hanging="209"/>
        <w:spacing w:after="0"/>
        <w:tabs>
          <w:tab w:leader="none" w:pos="6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oversee our overall compensation philosophy and compensation policies, plans and benefit programs;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review and approve or recommend to the board of directors for approval compensation for our executive officers and directors;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prepare the compensation committee report that the SEC will require to be included in our annual proxy statement; and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administer our equity compensation plans.</w:t>
      </w:r>
    </w:p>
    <w:p>
      <w:pPr>
        <w:spacing w:after="0" w:line="108" w:lineRule="exact"/>
        <w:rPr>
          <w:sz w:val="20"/>
          <w:szCs w:val="20"/>
          <w:color w:val="auto"/>
        </w:rPr>
      </w:pPr>
    </w:p>
    <w:p>
      <w:pPr>
        <w:ind w:left="460" w:right="120"/>
        <w:spacing w:after="0" w:line="265" w:lineRule="auto"/>
        <w:rPr>
          <w:sz w:val="20"/>
          <w:szCs w:val="20"/>
          <w:color w:val="auto"/>
        </w:rPr>
      </w:pPr>
      <w:r>
        <w:rPr>
          <w:rFonts w:ascii="Arial" w:cs="Arial" w:eastAsia="Arial" w:hAnsi="Arial"/>
          <w:sz w:val="16"/>
          <w:szCs w:val="16"/>
          <w:color w:val="auto"/>
        </w:rPr>
        <w:t>Our compensation committee will operate under a written charter, to be effective prior to the completion of this offering, which will satisfy the applicable rules of the SEC and the listing standards of Nasdaq.</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Corporate governance and nominating committee</w:t>
      </w:r>
    </w:p>
    <w:p>
      <w:pPr>
        <w:spacing w:after="0" w:line="128" w:lineRule="exact"/>
        <w:rPr>
          <w:sz w:val="20"/>
          <w:szCs w:val="20"/>
          <w:color w:val="auto"/>
        </w:rPr>
      </w:pPr>
    </w:p>
    <w:p>
      <w:pPr>
        <w:ind w:left="460" w:right="20"/>
        <w:spacing w:after="0" w:line="253" w:lineRule="auto"/>
        <w:rPr>
          <w:sz w:val="20"/>
          <w:szCs w:val="20"/>
          <w:color w:val="auto"/>
        </w:rPr>
      </w:pPr>
      <w:r>
        <w:rPr>
          <w:rFonts w:ascii="Arial" w:cs="Arial" w:eastAsia="Arial" w:hAnsi="Arial"/>
          <w:sz w:val="16"/>
          <w:szCs w:val="16"/>
          <w:color w:val="auto"/>
        </w:rPr>
        <w:t>Concurrent with the closing of this offering, the members of our corporate governance and nominating committee will be Robert Warner, J. Andy Corley and Juliet Tammenoms Bakker. Mr. Warner will be the chair of our corporate governance and nominating committee. Our corporate governance and nominating committee will oversee and assist our board of directors in reviewing and recommending nominees for election as directors. Specifically, the corporate governance and nominating committee will:</w:t>
      </w:r>
    </w:p>
    <w:p>
      <w:pPr>
        <w:spacing w:after="0" w:line="99" w:lineRule="exact"/>
        <w:rPr>
          <w:sz w:val="20"/>
          <w:szCs w:val="20"/>
          <w:color w:val="auto"/>
        </w:rPr>
      </w:pPr>
    </w:p>
    <w:p>
      <w:pPr>
        <w:ind w:left="660" w:right="260" w:hanging="209"/>
        <w:spacing w:after="0" w:line="265" w:lineRule="auto"/>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identify, evaluate and make recommendations to our board of directors regarding nominees for election to our board of directors and its committees;</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consider and make recommendations to our board of directors regarding the composition of our board of directors and its committees;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review developments in corporate governance practices;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evaluate the adequacy of our corporate governance practices and reporting; and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evaluate the performance of our board of directors and of individual directors.</w:t>
      </w:r>
    </w:p>
    <w:p>
      <w:pPr>
        <w:spacing w:after="0" w:line="108" w:lineRule="exact"/>
        <w:rPr>
          <w:sz w:val="20"/>
          <w:szCs w:val="20"/>
          <w:color w:val="auto"/>
        </w:rPr>
      </w:pPr>
    </w:p>
    <w:p>
      <w:pPr>
        <w:ind w:left="460" w:right="540"/>
        <w:spacing w:after="0" w:line="265" w:lineRule="auto"/>
        <w:rPr>
          <w:sz w:val="20"/>
          <w:szCs w:val="20"/>
          <w:color w:val="auto"/>
        </w:rPr>
      </w:pPr>
      <w:r>
        <w:rPr>
          <w:rFonts w:ascii="Arial" w:cs="Arial" w:eastAsia="Arial" w:hAnsi="Arial"/>
          <w:sz w:val="16"/>
          <w:szCs w:val="16"/>
          <w:color w:val="auto"/>
        </w:rPr>
        <w:t>Our corporate governance and nominating committee will operate under a written charter, to be effective prior to the completion of this offering, which will satisfy the applicable rules of the SEC and the listing standards of Nasdaq.</w:t>
      </w:r>
    </w:p>
    <w:p>
      <w:pPr>
        <w:spacing w:after="0" w:line="113"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170</w:t>
      </w:r>
    </w:p>
    <w:p>
      <w:pPr>
        <w:sectPr>
          <w:pgSz w:w="11900" w:h="16838" w:orient="portrait"/>
          <w:cols w:equalWidth="0" w:num="1">
            <w:col w:w="10740"/>
          </w:cols>
          <w:pgMar w:left="320" w:top="441" w:right="83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Director compensation</w:t>
      </w:r>
    </w:p>
    <w:p>
      <w:pPr>
        <w:spacing w:after="0" w:line="133" w:lineRule="exact"/>
        <w:rPr>
          <w:sz w:val="20"/>
          <w:szCs w:val="20"/>
          <w:color w:val="auto"/>
        </w:rPr>
      </w:pPr>
    </w:p>
    <w:p>
      <w:pPr>
        <w:ind w:left="460" w:right="20"/>
        <w:spacing w:after="0" w:line="252" w:lineRule="auto"/>
        <w:rPr>
          <w:sz w:val="20"/>
          <w:szCs w:val="20"/>
          <w:color w:val="auto"/>
        </w:rPr>
      </w:pPr>
      <w:r>
        <w:rPr>
          <w:rFonts w:ascii="Arial" w:cs="Arial" w:eastAsia="Arial" w:hAnsi="Arial"/>
          <w:sz w:val="16"/>
          <w:szCs w:val="16"/>
          <w:color w:val="auto"/>
        </w:rPr>
        <w:t>Prior to this offering, we have not implemented a formal policy with respect to compensation payable to our non-employee directors. Other than as set forth in the table below, we did not pay any compensation to any of our non-employee directors in 2020. We granted stock options to Mr. Corley for his service as the chairman of our board of directors, and such grants were made in 2015. We also reimburse our directors for expenses associated with attending meetings of our board of directors and its committees. Following the completion of this offering, we expect to implement an annual cash and equity compensation program for our non-employee directors as described below.</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Outside director compensation policy</w:t>
      </w:r>
    </w:p>
    <w:p>
      <w:pPr>
        <w:spacing w:after="0" w:line="133" w:lineRule="exact"/>
        <w:rPr>
          <w:sz w:val="20"/>
          <w:szCs w:val="20"/>
          <w:color w:val="auto"/>
        </w:rPr>
      </w:pPr>
    </w:p>
    <w:p>
      <w:pPr>
        <w:ind w:left="460" w:right="100"/>
        <w:spacing w:after="0" w:line="253" w:lineRule="auto"/>
        <w:rPr>
          <w:sz w:val="20"/>
          <w:szCs w:val="20"/>
          <w:color w:val="auto"/>
        </w:rPr>
      </w:pPr>
      <w:r>
        <w:rPr>
          <w:rFonts w:ascii="Arial" w:cs="Arial" w:eastAsia="Arial" w:hAnsi="Arial"/>
          <w:sz w:val="16"/>
          <w:szCs w:val="16"/>
          <w:color w:val="auto"/>
        </w:rPr>
        <w:t>In July 2021, our board of directors adopted our outside director compensation policy. We expect our stockholders to approve the policy prior to the completion of this offering. After the completion of this offering, each non-employee director will be eligible to receive compensation for his or her service consisting of annual cash retainers and equity awards under our outside director compensation policy. Our board of directors will have the discretion to revise non-employee director compensation as it deems necessary or appropriate.</w:t>
      </w:r>
    </w:p>
    <w:p>
      <w:pPr>
        <w:spacing w:after="0" w:line="70" w:lineRule="exact"/>
        <w:rPr>
          <w:sz w:val="20"/>
          <w:szCs w:val="20"/>
          <w:color w:val="auto"/>
        </w:rPr>
      </w:pPr>
    </w:p>
    <w:p>
      <w:pPr>
        <w:ind w:left="460" w:right="140"/>
        <w:spacing w:after="0" w:line="286" w:lineRule="auto"/>
        <w:rPr>
          <w:sz w:val="20"/>
          <w:szCs w:val="20"/>
          <w:color w:val="auto"/>
        </w:rPr>
      </w:pPr>
      <w:r>
        <w:rPr>
          <w:rFonts w:ascii="Arial" w:cs="Arial" w:eastAsia="Arial" w:hAnsi="Arial"/>
          <w:sz w:val="16"/>
          <w:szCs w:val="16"/>
          <w:i w:val="1"/>
          <w:iCs w:val="1"/>
          <w:color w:val="auto"/>
        </w:rPr>
        <w:t>Cash Compensation</w:t>
      </w:r>
      <w:r>
        <w:rPr>
          <w:rFonts w:ascii="Arial" w:cs="Arial" w:eastAsia="Arial" w:hAnsi="Arial"/>
          <w:sz w:val="16"/>
          <w:szCs w:val="16"/>
          <w:color w:val="auto"/>
        </w:rPr>
        <w:t>. All non-employee directors will be eligible to receive the following cash compensation for their services following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this offering:</w:t>
      </w:r>
    </w:p>
    <w:p>
      <w:pPr>
        <w:spacing w:after="0" w:line="72" w:lineRule="exact"/>
        <w:rPr>
          <w:sz w:val="20"/>
          <w:szCs w:val="20"/>
          <w:color w:val="auto"/>
        </w:rPr>
      </w:pPr>
    </w:p>
    <w:p>
      <w:pPr>
        <w:ind w:left="660" w:hanging="209"/>
        <w:spacing w:after="0"/>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$40,000 per year for services as a board member;</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$50,000 per year additionally for service as non-executive chairman of the board of directors;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$30,000 per year additionally for service as lead director of the board of directors;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$10,000 per year additionally for service as chairman of the audit committee;</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$10,000 per year additionally for service as an audit committee member;</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$7,500 per year additionally for service as chairman of the compensation committee; and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$7,500 per year additionally for service as a compensation committee member;</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$5,000 per year additionally for service as chairman of the nominating and corporate governance committee; and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$5,000 per year additionally for service as a nominating and corporate governance committee member.</w:t>
      </w:r>
    </w:p>
    <w:p>
      <w:pPr>
        <w:spacing w:after="0" w:line="108" w:lineRule="exact"/>
        <w:rPr>
          <w:sz w:val="20"/>
          <w:szCs w:val="20"/>
          <w:color w:val="auto"/>
        </w:rPr>
      </w:pPr>
    </w:p>
    <w:p>
      <w:pPr>
        <w:ind w:left="460" w:right="240"/>
        <w:spacing w:after="0" w:line="265" w:lineRule="auto"/>
        <w:rPr>
          <w:sz w:val="20"/>
          <w:szCs w:val="20"/>
          <w:color w:val="auto"/>
        </w:rPr>
      </w:pPr>
      <w:r>
        <w:rPr>
          <w:rFonts w:ascii="Arial" w:cs="Arial" w:eastAsia="Arial" w:hAnsi="Arial"/>
          <w:sz w:val="16"/>
          <w:szCs w:val="16"/>
          <w:color w:val="auto"/>
        </w:rPr>
        <w:t>Notwithstanding the foregoing, if our board or any one committee of our board meets in excess of 8 times in a year (measured from annual meeting to annual meeting), such non-employee directors will be provided a fee of $1,500 for each additional meeting attended.</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annual cash retainer and additional annual fee will be paid quarterly in arrears on a prorated basis.</w:t>
      </w:r>
    </w:p>
    <w:p>
      <w:pPr>
        <w:spacing w:after="0" w:line="92" w:lineRule="exact"/>
        <w:rPr>
          <w:sz w:val="20"/>
          <w:szCs w:val="20"/>
          <w:color w:val="auto"/>
        </w:rPr>
      </w:pPr>
    </w:p>
    <w:p>
      <w:pPr>
        <w:ind w:left="460"/>
        <w:spacing w:after="0" w:line="260" w:lineRule="auto"/>
        <w:rPr>
          <w:sz w:val="20"/>
          <w:szCs w:val="20"/>
          <w:color w:val="auto"/>
        </w:rPr>
      </w:pPr>
      <w:r>
        <w:rPr>
          <w:rFonts w:ascii="Arial" w:cs="Arial" w:eastAsia="Arial" w:hAnsi="Arial"/>
          <w:sz w:val="16"/>
          <w:szCs w:val="16"/>
          <w:i w:val="1"/>
          <w:iCs w:val="1"/>
          <w:color w:val="auto"/>
        </w:rPr>
        <w:t>Equity Compensation</w:t>
      </w:r>
      <w:r>
        <w:rPr>
          <w:rFonts w:ascii="Arial" w:cs="Arial" w:eastAsia="Arial" w:hAnsi="Arial"/>
          <w:sz w:val="16"/>
          <w:szCs w:val="16"/>
          <w:color w:val="auto"/>
        </w:rPr>
        <w:t>. Non-employee directors will be eligible to receive all types of awards (except incentive stock options) under the 2021</w:t>
      </w:r>
      <w:r>
        <w:rPr>
          <w:rFonts w:ascii="Arial" w:cs="Arial" w:eastAsia="Arial" w:hAnsi="Arial"/>
          <w:sz w:val="16"/>
          <w:szCs w:val="16"/>
          <w:i w:val="1"/>
          <w:iCs w:val="1"/>
          <w:color w:val="auto"/>
        </w:rPr>
        <w:t xml:space="preserve"> </w:t>
      </w:r>
      <w:r>
        <w:rPr>
          <w:rFonts w:ascii="Arial" w:cs="Arial" w:eastAsia="Arial" w:hAnsi="Arial"/>
          <w:sz w:val="16"/>
          <w:szCs w:val="16"/>
          <w:color w:val="auto"/>
        </w:rPr>
        <w:t>Equity Incentive Plan, or the 2021 Plan (or the applicable equity plan in place at the time of grant), including discretionary awards not covered under the outside director compensation policy. Following the completion of this offering, nondiscretionary, automatic grants of stock options will be made to our non-employee directors as follows:</w:t>
      </w:r>
    </w:p>
    <w:p>
      <w:pPr>
        <w:spacing w:after="0" w:line="77" w:lineRule="exact"/>
        <w:rPr>
          <w:sz w:val="20"/>
          <w:szCs w:val="20"/>
          <w:color w:val="auto"/>
        </w:rPr>
      </w:pPr>
    </w:p>
    <w:p>
      <w:pPr>
        <w:ind w:left="660" w:right="160" w:hanging="209"/>
        <w:spacing w:after="0" w:line="263" w:lineRule="auto"/>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Initial RSU Grant</w:t>
      </w:r>
      <w:r>
        <w:rPr>
          <w:rFonts w:ascii="Arial" w:cs="Arial" w:eastAsia="Arial" w:hAnsi="Arial"/>
          <w:sz w:val="16"/>
          <w:szCs w:val="16"/>
          <w:color w:val="auto"/>
        </w:rPr>
        <w:t>. Each person who first becomes a non-employee director after the completion of this offering automatically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an award of restricted stock units, or an Initial Award, covering a number of shares of our common stock having a value of $125,000, with any resulting fraction rounded down to the nearest whole share. The Initial Award will be granted automatically on the first trading day</w:t>
      </w:r>
    </w:p>
    <w:p>
      <w:pPr>
        <w:spacing w:after="0" w:line="311"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171</w:t>
      </w:r>
    </w:p>
    <w:p>
      <w:pPr>
        <w:sectPr>
          <w:pgSz w:w="11900" w:h="16838" w:orient="portrait"/>
          <w:cols w:equalWidth="0" w:num="1">
            <w:col w:w="10780"/>
          </w:cols>
          <w:pgMar w:left="320" w:top="441" w:right="79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660" w:right="100"/>
        <w:spacing w:after="0" w:line="251" w:lineRule="auto"/>
        <w:rPr>
          <w:sz w:val="20"/>
          <w:szCs w:val="20"/>
          <w:color w:val="auto"/>
        </w:rPr>
      </w:pPr>
      <w:r>
        <w:rPr>
          <w:rFonts w:ascii="Arial" w:cs="Arial" w:eastAsia="Arial" w:hAnsi="Arial"/>
          <w:sz w:val="16"/>
          <w:szCs w:val="16"/>
          <w:color w:val="auto"/>
        </w:rPr>
        <w:t>on or after the date on which such individual first becomes a non-employee director, or the Initial Start Date, whether through election by our stockholders or appointment by our board to fill a vacancy. If an individual was a member of our board and also an employee, becoming a non-employee director due to termination of employment will not entitle the non-employee director to an Initial Award. Each Initial Award will be scheduled to vest as follows: 1/3rd of the restricted stock units subject to the Initial Award will be scheduled to vest on each annual anniversary of the Initial Start Date (or, if there is no corresponding day in the applicable month, then the last day of such month), in each case subject to the non-employee director continuing to be a non-employee director through the applicable vesting date.</w:t>
      </w:r>
    </w:p>
    <w:p>
      <w:pPr>
        <w:spacing w:after="0" w:line="85" w:lineRule="exact"/>
        <w:rPr>
          <w:sz w:val="20"/>
          <w:szCs w:val="20"/>
          <w:color w:val="auto"/>
        </w:rPr>
      </w:pPr>
    </w:p>
    <w:p>
      <w:pPr>
        <w:ind w:left="660" w:hanging="209"/>
        <w:spacing w:after="0" w:line="252" w:lineRule="auto"/>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Annual RSU Grant</w:t>
      </w:r>
      <w:r>
        <w:rPr>
          <w:rFonts w:ascii="Arial" w:cs="Arial" w:eastAsia="Arial" w:hAnsi="Arial"/>
          <w:sz w:val="16"/>
          <w:szCs w:val="16"/>
          <w:color w:val="auto"/>
        </w:rPr>
        <w:t>. Each non-employee director automatically will be granted an award of restricted stock units, or an Annual Award,</w:t>
      </w:r>
      <w:r>
        <w:rPr>
          <w:rFonts w:ascii="Arial" w:cs="Arial" w:eastAsia="Arial" w:hAnsi="Arial"/>
          <w:sz w:val="16"/>
          <w:szCs w:val="16"/>
          <w:i w:val="1"/>
          <w:iCs w:val="1"/>
          <w:color w:val="auto"/>
        </w:rPr>
        <w:t xml:space="preserve"> </w:t>
      </w:r>
      <w:r>
        <w:rPr>
          <w:rFonts w:ascii="Arial" w:cs="Arial" w:eastAsia="Arial" w:hAnsi="Arial"/>
          <w:sz w:val="16"/>
          <w:szCs w:val="16"/>
          <w:color w:val="auto"/>
        </w:rPr>
        <w:t>with a value of $125,000 on the date of each annual meeting of our board of directors, or the Annual Meeting; provided that the first Annual Award granted to an individual who first becomes a non-employee director following the effective date of the policy will have a value equal to the product of (A) $125,000 multiplied by (B) a fraction, (i) the numerator of which is the number of fully completed months between the applicable Initial Start Date and the date of the first Annual Meeting to occur after such individual first becomes a non-employee director, and (ii) the denominator of which is 12; provided further that any resulting fraction with respect to an Annual Award shall be rounded down to the nearest whole share underlying the restricted stock unit. Each Annual Award will be scheduled to vest in full on the earlier of (i) the one-year anniversary of the grant date or (ii) the date of the next Annual Meeting following the grant date, in each case, subject to the non-employee director continuing to be a non-employee director through the applicable vesting date.</w:t>
      </w:r>
    </w:p>
    <w:p>
      <w:pPr>
        <w:spacing w:after="0" w:line="86" w:lineRule="exact"/>
        <w:rPr>
          <w:rFonts w:ascii="Arial" w:cs="Arial" w:eastAsia="Arial" w:hAnsi="Arial"/>
          <w:sz w:val="16"/>
          <w:szCs w:val="16"/>
          <w:color w:val="auto"/>
        </w:rPr>
      </w:pPr>
    </w:p>
    <w:p>
      <w:pPr>
        <w:ind w:left="660" w:right="200" w:hanging="209"/>
        <w:spacing w:after="0" w:line="254" w:lineRule="auto"/>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IPO RSU Grant</w:t>
      </w:r>
      <w:r>
        <w:rPr>
          <w:rFonts w:ascii="Arial" w:cs="Arial" w:eastAsia="Arial" w:hAnsi="Arial"/>
          <w:sz w:val="16"/>
          <w:szCs w:val="16"/>
          <w:color w:val="auto"/>
        </w:rPr>
        <w:t>. On the first trading day following the completion of this offering, each non-employee director automatically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an award of restricted stock units, or an IPO Award, covering a number of shares having a value equal to the product of (A) $125,000 multiplied by (B) a fraction, (i) the numerator of which is the number of full months between the effective date of the policy and the projected date of the first Annual Meeting to occur after the effective date, and (ii) the denominator of which is 12; provided that any resulting fraction with respect to an IPO Award shall be rounded down to the nearest whole restricted stock unit. Each IPO Award will be scheduled to vest in full on the date of the first Annual Meeting following the effective date of the policy, in each case, subject to the non-employee director continuing to be a non-employee director through the applicable vesting date.</w:t>
      </w:r>
    </w:p>
    <w:p>
      <w:pPr>
        <w:spacing w:after="0" w:line="86" w:lineRule="exact"/>
        <w:rPr>
          <w:sz w:val="20"/>
          <w:szCs w:val="20"/>
          <w:color w:val="auto"/>
        </w:rPr>
      </w:pPr>
    </w:p>
    <w:p>
      <w:pPr>
        <w:ind w:left="460" w:right="60"/>
        <w:spacing w:after="0" w:line="256" w:lineRule="auto"/>
        <w:rPr>
          <w:sz w:val="20"/>
          <w:szCs w:val="20"/>
          <w:color w:val="auto"/>
        </w:rPr>
      </w:pPr>
      <w:r>
        <w:rPr>
          <w:rFonts w:ascii="Arial" w:cs="Arial" w:eastAsia="Arial" w:hAnsi="Arial"/>
          <w:sz w:val="16"/>
          <w:szCs w:val="16"/>
          <w:color w:val="auto"/>
        </w:rPr>
        <w:t>The “value” for the Initial Awards, Annual Awards and IPO Awards described above means the grant date fair value calculated in accordance with U.S. generally accepted accounting principles, or such other methodology our board of directors or compensation committee may determine.</w:t>
      </w:r>
    </w:p>
    <w:p>
      <w:pPr>
        <w:spacing w:after="0" w:line="83" w:lineRule="exact"/>
        <w:rPr>
          <w:sz w:val="20"/>
          <w:szCs w:val="20"/>
          <w:color w:val="auto"/>
        </w:rPr>
      </w:pPr>
    </w:p>
    <w:p>
      <w:pPr>
        <w:ind w:left="460" w:right="120"/>
        <w:spacing w:after="0" w:line="252" w:lineRule="auto"/>
        <w:rPr>
          <w:sz w:val="20"/>
          <w:szCs w:val="20"/>
          <w:color w:val="auto"/>
        </w:rPr>
      </w:pPr>
      <w:r>
        <w:rPr>
          <w:rFonts w:ascii="Arial" w:cs="Arial" w:eastAsia="Arial" w:hAnsi="Arial"/>
          <w:sz w:val="16"/>
          <w:szCs w:val="16"/>
          <w:color w:val="auto"/>
        </w:rPr>
        <w:t>In the event of a change in control, as such term is defined in the 2021 Plan, each non-employee director will fully vest in his or her outstanding equity awards, including any Initial Awards, Annual Awards and IPO Awards, provided that the non-employee director continues to be a non-employee director through the date of the change in control. Additionally, in the event of a non-employee director’s death or termination due to disability, such non-employee director will fully vest in his or her outstanding equity awards as of immediately prior to the non-employee director’s death or termination due to disability.</w:t>
      </w:r>
    </w:p>
    <w:p>
      <w:pPr>
        <w:spacing w:after="0" w:line="86" w:lineRule="exact"/>
        <w:rPr>
          <w:sz w:val="20"/>
          <w:szCs w:val="20"/>
          <w:color w:val="auto"/>
        </w:rPr>
      </w:pPr>
    </w:p>
    <w:p>
      <w:pPr>
        <w:ind w:left="460" w:right="100"/>
        <w:spacing w:after="0" w:line="256" w:lineRule="auto"/>
        <w:rPr>
          <w:sz w:val="20"/>
          <w:szCs w:val="20"/>
          <w:color w:val="auto"/>
        </w:rPr>
      </w:pPr>
      <w:r>
        <w:rPr>
          <w:rFonts w:ascii="Arial" w:cs="Arial" w:eastAsia="Arial" w:hAnsi="Arial"/>
          <w:sz w:val="16"/>
          <w:szCs w:val="16"/>
          <w:color w:val="auto"/>
        </w:rPr>
        <w:t>Pursuant to our outside director compensation policy, no non-employee director may be issued, in any fiscal year, cash retainers or fees and equity awards with an aggregate value greater than $500,000, increased to $1,000,000 for the fiscal year an individual initially becomes a member of our board of directors.</w:t>
      </w:r>
    </w:p>
    <w:p>
      <w:pPr>
        <w:spacing w:after="0" w:line="121"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172</w:t>
      </w:r>
    </w:p>
    <w:p>
      <w:pPr>
        <w:sectPr>
          <w:pgSz w:w="11900" w:h="16838" w:orient="portrait"/>
          <w:cols w:equalWidth="0" w:num="1">
            <w:col w:w="10760"/>
          </w:cols>
          <w:pgMar w:left="320" w:top="441" w:right="81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40"/>
        <w:spacing w:after="0" w:line="265" w:lineRule="auto"/>
        <w:rPr>
          <w:sz w:val="20"/>
          <w:szCs w:val="20"/>
          <w:color w:val="auto"/>
        </w:rPr>
      </w:pPr>
      <w:r>
        <w:rPr>
          <w:rFonts w:ascii="Arial" w:cs="Arial" w:eastAsia="Arial" w:hAnsi="Arial"/>
          <w:sz w:val="16"/>
          <w:szCs w:val="16"/>
          <w:color w:val="auto"/>
        </w:rPr>
        <w:t>The following table presents the total compensation that each of our non-employee directors received during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53975</wp:posOffset>
            </wp:positionV>
            <wp:extent cx="6569075" cy="158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2780" w:type="dxa"/>
            <w:vAlign w:val="bottom"/>
          </w:tcPr>
          <w:p>
            <w:pPr>
              <w:jc w:val="right"/>
              <w:ind w:right="138"/>
              <w:spacing w:after="0"/>
              <w:rPr>
                <w:sz w:val="20"/>
                <w:szCs w:val="20"/>
                <w:color w:val="auto"/>
              </w:rPr>
            </w:pPr>
            <w:r>
              <w:rPr>
                <w:rFonts w:ascii="Arial" w:cs="Arial" w:eastAsia="Arial" w:hAnsi="Arial"/>
                <w:sz w:val="16"/>
                <w:szCs w:val="16"/>
                <w:b w:val="1"/>
                <w:bCs w:val="1"/>
                <w:color w:val="auto"/>
              </w:rPr>
              <w:t>Fees earned</w:t>
            </w:r>
          </w:p>
        </w:tc>
        <w:tc>
          <w:tcPr>
            <w:tcW w:w="12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3520" w:type="dxa"/>
            <w:vAlign w:val="bottom"/>
          </w:tcPr>
          <w:p>
            <w:pPr>
              <w:spacing w:after="0"/>
              <w:rPr>
                <w:sz w:val="16"/>
                <w:szCs w:val="16"/>
                <w:color w:val="auto"/>
              </w:rPr>
            </w:pPr>
          </w:p>
        </w:tc>
        <w:tc>
          <w:tcPr>
            <w:tcW w:w="2780" w:type="dxa"/>
            <w:vAlign w:val="bottom"/>
          </w:tcPr>
          <w:p>
            <w:pPr>
              <w:jc w:val="right"/>
              <w:ind w:right="138"/>
              <w:spacing w:after="0"/>
              <w:rPr>
                <w:sz w:val="20"/>
                <w:szCs w:val="20"/>
                <w:color w:val="auto"/>
              </w:rPr>
            </w:pPr>
            <w:r>
              <w:rPr>
                <w:rFonts w:ascii="Arial" w:cs="Arial" w:eastAsia="Arial" w:hAnsi="Arial"/>
                <w:sz w:val="16"/>
                <w:szCs w:val="16"/>
                <w:b w:val="1"/>
                <w:bCs w:val="1"/>
                <w:color w:val="auto"/>
              </w:rPr>
              <w:t>or paid in</w:t>
            </w:r>
          </w:p>
        </w:tc>
        <w:tc>
          <w:tcPr>
            <w:tcW w:w="1280" w:type="dxa"/>
            <w:vAlign w:val="bottom"/>
          </w:tcPr>
          <w:p>
            <w:pPr>
              <w:jc w:val="right"/>
              <w:ind w:right="138"/>
              <w:spacing w:after="0"/>
              <w:rPr>
                <w:sz w:val="20"/>
                <w:szCs w:val="20"/>
                <w:color w:val="auto"/>
              </w:rPr>
            </w:pPr>
            <w:r>
              <w:rPr>
                <w:rFonts w:ascii="Arial" w:cs="Arial" w:eastAsia="Arial" w:hAnsi="Arial"/>
                <w:sz w:val="16"/>
                <w:szCs w:val="16"/>
                <w:b w:val="1"/>
                <w:bCs w:val="1"/>
                <w:color w:val="auto"/>
              </w:rPr>
              <w:t>Option</w:t>
            </w:r>
          </w:p>
        </w:tc>
        <w:tc>
          <w:tcPr>
            <w:tcW w:w="1840" w:type="dxa"/>
            <w:vAlign w:val="bottom"/>
          </w:tcPr>
          <w:p>
            <w:pPr>
              <w:jc w:val="right"/>
              <w:ind w:right="158"/>
              <w:spacing w:after="0"/>
              <w:rPr>
                <w:sz w:val="20"/>
                <w:szCs w:val="20"/>
                <w:color w:val="auto"/>
              </w:rPr>
            </w:pPr>
            <w:r>
              <w:rPr>
                <w:rFonts w:ascii="Arial" w:cs="Arial" w:eastAsia="Arial" w:hAnsi="Arial"/>
                <w:sz w:val="16"/>
                <w:szCs w:val="16"/>
                <w:b w:val="1"/>
                <w:bCs w:val="1"/>
                <w:color w:val="auto"/>
              </w:rPr>
              <w:t>All other</w:t>
            </w: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7"/>
        </w:trPr>
        <w:tc>
          <w:tcPr>
            <w:tcW w:w="35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cash ($)</w:t>
            </w:r>
          </w:p>
        </w:tc>
        <w:tc>
          <w:tcPr>
            <w:tcW w:w="128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awards ($)</w:t>
            </w:r>
          </w:p>
        </w:tc>
        <w:tc>
          <w:tcPr>
            <w:tcW w:w="18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compensation ($)</w:t>
            </w:r>
          </w:p>
        </w:tc>
        <w:tc>
          <w:tcPr>
            <w:tcW w:w="92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Total ($)</w:t>
            </w:r>
          </w:p>
        </w:tc>
      </w:tr>
      <w:tr>
        <w:trPr>
          <w:trHeight w:val="183"/>
        </w:trPr>
        <w:tc>
          <w:tcPr>
            <w:tcW w:w="35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J. Andy Corley(1)</w:t>
            </w:r>
          </w:p>
        </w:tc>
        <w:tc>
          <w:tcPr>
            <w:tcW w:w="2780" w:type="dxa"/>
            <w:vAlign w:val="bottom"/>
            <w:shd w:val="clear" w:color="auto" w:fill="CCEEFF"/>
          </w:tcPr>
          <w:p>
            <w:pPr>
              <w:jc w:val="right"/>
              <w:ind w:right="138"/>
              <w:spacing w:after="0" w:line="183" w:lineRule="exact"/>
              <w:rPr>
                <w:sz w:val="20"/>
                <w:szCs w:val="20"/>
                <w:color w:val="auto"/>
              </w:rPr>
            </w:pPr>
            <w:r>
              <w:rPr>
                <w:rFonts w:ascii="Arial" w:cs="Arial" w:eastAsia="Arial" w:hAnsi="Arial"/>
                <w:sz w:val="16"/>
                <w:szCs w:val="16"/>
                <w:color w:val="auto"/>
              </w:rPr>
              <w:t>120,000</w:t>
            </w:r>
          </w:p>
        </w:tc>
        <w:tc>
          <w:tcPr>
            <w:tcW w:w="1280" w:type="dxa"/>
            <w:vAlign w:val="bottom"/>
            <w:shd w:val="clear" w:color="auto" w:fill="CCEEFF"/>
          </w:tcPr>
          <w:p>
            <w:pPr>
              <w:jc w:val="right"/>
              <w:ind w:right="138"/>
              <w:spacing w:after="0" w:line="183" w:lineRule="exact"/>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158"/>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120,000</w:t>
            </w:r>
          </w:p>
        </w:tc>
        <w:tc>
          <w:tcPr>
            <w:tcW w:w="40" w:type="dxa"/>
            <w:vAlign w:val="bottom"/>
            <w:shd w:val="clear" w:color="auto" w:fill="CCEEFF"/>
          </w:tcPr>
          <w:p>
            <w:pPr>
              <w:spacing w:after="0"/>
              <w:rPr>
                <w:sz w:val="15"/>
                <w:szCs w:val="15"/>
                <w:color w:val="auto"/>
              </w:rPr>
            </w:pPr>
          </w:p>
        </w:tc>
      </w:tr>
      <w:tr>
        <w:trPr>
          <w:trHeight w:val="190"/>
        </w:trPr>
        <w:tc>
          <w:tcPr>
            <w:tcW w:w="3520" w:type="dxa"/>
            <w:vAlign w:val="bottom"/>
          </w:tcPr>
          <w:p>
            <w:pPr>
              <w:spacing w:after="0"/>
              <w:rPr>
                <w:sz w:val="20"/>
                <w:szCs w:val="20"/>
                <w:color w:val="auto"/>
              </w:rPr>
            </w:pPr>
            <w:r>
              <w:rPr>
                <w:rFonts w:ascii="Arial" w:cs="Arial" w:eastAsia="Arial" w:hAnsi="Arial"/>
                <w:sz w:val="16"/>
                <w:szCs w:val="16"/>
                <w:color w:val="auto"/>
              </w:rPr>
              <w:t>Bruce Robertson, Ph.D.</w:t>
            </w:r>
          </w:p>
        </w:tc>
        <w:tc>
          <w:tcPr>
            <w:tcW w:w="278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58"/>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0"/>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William J. Link, Ph.D.</w:t>
            </w:r>
          </w:p>
        </w:tc>
        <w:tc>
          <w:tcPr>
            <w:tcW w:w="27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190"/>
        </w:trPr>
        <w:tc>
          <w:tcPr>
            <w:tcW w:w="3520" w:type="dxa"/>
            <w:vAlign w:val="bottom"/>
          </w:tcPr>
          <w:p>
            <w:pPr>
              <w:spacing w:after="0"/>
              <w:rPr>
                <w:sz w:val="20"/>
                <w:szCs w:val="20"/>
                <w:color w:val="auto"/>
              </w:rPr>
            </w:pPr>
            <w:r>
              <w:rPr>
                <w:rFonts w:ascii="Arial" w:cs="Arial" w:eastAsia="Arial" w:hAnsi="Arial"/>
                <w:sz w:val="16"/>
                <w:szCs w:val="16"/>
                <w:color w:val="auto"/>
              </w:rPr>
              <w:t>Daniel Schwartz, M.D.</w:t>
            </w:r>
          </w:p>
        </w:tc>
        <w:tc>
          <w:tcPr>
            <w:tcW w:w="2780" w:type="dxa"/>
            <w:vAlign w:val="bottom"/>
          </w:tcPr>
          <w:p>
            <w:pPr>
              <w:jc w:val="right"/>
              <w:ind w:right="138"/>
              <w:spacing w:after="0"/>
              <w:rPr>
                <w:sz w:val="20"/>
                <w:szCs w:val="20"/>
                <w:color w:val="auto"/>
              </w:rPr>
            </w:pPr>
            <w:r>
              <w:rPr>
                <w:rFonts w:ascii="Arial" w:cs="Arial" w:eastAsia="Arial" w:hAnsi="Arial"/>
                <w:sz w:val="16"/>
                <w:szCs w:val="16"/>
                <w:color w:val="auto"/>
              </w:rPr>
              <w:t>75,000</w:t>
            </w:r>
          </w:p>
        </w:tc>
        <w:tc>
          <w:tcPr>
            <w:tcW w:w="128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58"/>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75,000</w:t>
            </w:r>
          </w:p>
        </w:tc>
        <w:tc>
          <w:tcPr>
            <w:tcW w:w="40" w:type="dxa"/>
            <w:vAlign w:val="bottom"/>
          </w:tcPr>
          <w:p>
            <w:pPr>
              <w:spacing w:after="0"/>
              <w:rPr>
                <w:sz w:val="16"/>
                <w:szCs w:val="16"/>
                <w:color w:val="auto"/>
              </w:rPr>
            </w:pPr>
          </w:p>
        </w:tc>
      </w:tr>
      <w:tr>
        <w:trPr>
          <w:trHeight w:val="190"/>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Christopher Cox(2)</w:t>
            </w:r>
          </w:p>
        </w:tc>
        <w:tc>
          <w:tcPr>
            <w:tcW w:w="27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50,000</w:t>
            </w:r>
          </w:p>
        </w:tc>
        <w:tc>
          <w:tcPr>
            <w:tcW w:w="12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19,405</w:t>
            </w:r>
          </w:p>
        </w:tc>
        <w:tc>
          <w:tcPr>
            <w:tcW w:w="18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69,405</w:t>
            </w:r>
          </w:p>
        </w:tc>
        <w:tc>
          <w:tcPr>
            <w:tcW w:w="40" w:type="dxa"/>
            <w:vAlign w:val="bottom"/>
            <w:shd w:val="clear" w:color="auto" w:fill="CCEEFF"/>
          </w:tcPr>
          <w:p>
            <w:pPr>
              <w:spacing w:after="0"/>
              <w:rPr>
                <w:sz w:val="16"/>
                <w:szCs w:val="16"/>
                <w:color w:val="auto"/>
              </w:rPr>
            </w:pPr>
          </w:p>
        </w:tc>
      </w:tr>
      <w:tr>
        <w:trPr>
          <w:trHeight w:val="190"/>
        </w:trPr>
        <w:tc>
          <w:tcPr>
            <w:tcW w:w="3520" w:type="dxa"/>
            <w:vAlign w:val="bottom"/>
          </w:tcPr>
          <w:p>
            <w:pPr>
              <w:spacing w:after="0"/>
              <w:rPr>
                <w:sz w:val="20"/>
                <w:szCs w:val="20"/>
                <w:color w:val="auto"/>
              </w:rPr>
            </w:pPr>
            <w:r>
              <w:rPr>
                <w:rFonts w:ascii="Arial" w:cs="Arial" w:eastAsia="Arial" w:hAnsi="Arial"/>
                <w:sz w:val="16"/>
                <w:szCs w:val="16"/>
                <w:color w:val="auto"/>
              </w:rPr>
              <w:t>Rick Wolfen</w:t>
            </w:r>
          </w:p>
        </w:tc>
        <w:tc>
          <w:tcPr>
            <w:tcW w:w="278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58"/>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0"/>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Juliet Tammenoms Bakker</w:t>
            </w:r>
          </w:p>
        </w:tc>
        <w:tc>
          <w:tcPr>
            <w:tcW w:w="27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3" w:lineRule="exact"/>
        <w:rPr>
          <w:sz w:val="20"/>
          <w:szCs w:val="20"/>
          <w:color w:val="auto"/>
        </w:rPr>
      </w:pPr>
    </w:p>
    <w:p>
      <w:pPr>
        <w:ind w:left="760" w:hanging="309"/>
        <w:spacing w:after="0"/>
        <w:tabs>
          <w:tab w:leader="none" w:pos="7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Mr. Corley was paid $120,000 in 2020 in fees for his service as the chairman of our board of directors.</w:t>
      </w:r>
    </w:p>
    <w:p>
      <w:pPr>
        <w:spacing w:after="0" w:line="53" w:lineRule="exact"/>
        <w:rPr>
          <w:rFonts w:ascii="Arial" w:cs="Arial" w:eastAsia="Arial" w:hAnsi="Arial"/>
          <w:sz w:val="13"/>
          <w:szCs w:val="13"/>
          <w:color w:val="auto"/>
        </w:rPr>
      </w:pPr>
    </w:p>
    <w:p>
      <w:pPr>
        <w:ind w:left="760" w:right="60" w:hanging="309"/>
        <w:spacing w:after="0" w:line="230" w:lineRule="auto"/>
        <w:tabs>
          <w:tab w:leader="none" w:pos="7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option grant to Mr. Cox vests in equal monthly installments over 24 months from the date of grant of July 30, 2020, subject to continuous service as of each such vesting date. Upon Mr. Cox’s resignation from the board of directors, the Company will enter into a consulting agreement with Mr. Cox. The option grant granted to Mr. Cox will continue to vest so long as he continues to be a service provider to the Company.</w:t>
      </w:r>
    </w:p>
    <w:p>
      <w:pPr>
        <w:spacing w:after="0" w:line="94" w:lineRule="exact"/>
        <w:rPr>
          <w:sz w:val="20"/>
          <w:szCs w:val="20"/>
          <w:color w:val="auto"/>
        </w:rPr>
      </w:pPr>
    </w:p>
    <w:p>
      <w:pPr>
        <w:ind w:left="460" w:right="220"/>
        <w:spacing w:after="0" w:line="265" w:lineRule="auto"/>
        <w:rPr>
          <w:sz w:val="20"/>
          <w:szCs w:val="20"/>
          <w:color w:val="auto"/>
        </w:rPr>
      </w:pPr>
      <w:r>
        <w:rPr>
          <w:rFonts w:ascii="Arial" w:cs="Arial" w:eastAsia="Arial" w:hAnsi="Arial"/>
          <w:sz w:val="16"/>
          <w:szCs w:val="16"/>
          <w:color w:val="auto"/>
        </w:rPr>
        <w:t>Directors who are also our employees or officers receive no additional compensation for their service as directors. During 2020, Dr. Kurtz served as an employee director. See the section titled “Executive Compensation” for additional information about Dr. Kurtz’s compensation.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Compensation committee interlocks and inside participation</w:t>
      </w:r>
    </w:p>
    <w:p>
      <w:pPr>
        <w:spacing w:after="0" w:line="133" w:lineRule="exact"/>
        <w:rPr>
          <w:sz w:val="20"/>
          <w:szCs w:val="20"/>
          <w:color w:val="auto"/>
        </w:rPr>
      </w:pPr>
    </w:p>
    <w:p>
      <w:pPr>
        <w:jc w:val="both"/>
        <w:ind w:left="460" w:right="100"/>
        <w:spacing w:after="0" w:line="256" w:lineRule="auto"/>
        <w:rPr>
          <w:sz w:val="20"/>
          <w:szCs w:val="20"/>
          <w:color w:val="auto"/>
        </w:rPr>
      </w:pPr>
      <w:r>
        <w:rPr>
          <w:rFonts w:ascii="Arial" w:cs="Arial" w:eastAsia="Arial" w:hAnsi="Arial"/>
          <w:sz w:val="16"/>
          <w:szCs w:val="16"/>
          <w:color w:val="auto"/>
        </w:rPr>
        <w:t>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Code of business conduct and ethics</w:t>
      </w:r>
    </w:p>
    <w:p>
      <w:pPr>
        <w:spacing w:after="0" w:line="133"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Prior to the completion of this offering, we intend to adopt a written code of business conduct and ethics that will apply to our directors, officers and employees, including our principal executive officer, principal financial officer, principal accounting officer or controller or persons performing similar functions. Following this offering, the code of business conduct and ethics will be available on our website at www.rxsight.com.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Information contained on the website is not incorporated by reference into this prospectus and should not be considered to be part of this prospectus.</w:t>
      </w:r>
    </w:p>
    <w:p>
      <w:pPr>
        <w:spacing w:after="0" w:line="129"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173</w:t>
      </w:r>
    </w:p>
    <w:p>
      <w:pPr>
        <w:sectPr>
          <w:pgSz w:w="11900" w:h="16838" w:orient="portrait"/>
          <w:cols w:equalWidth="0" w:num="1">
            <w:col w:w="10800"/>
          </w:cols>
          <w:pgMar w:left="320" w:top="441" w:right="77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Executive compensation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Summary compensation table</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the compensation of our named executive officers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Arial" w:cs="Arial" w:eastAsia="Arial" w:hAnsi="Arial"/>
                <w:sz w:val="16"/>
                <w:szCs w:val="16"/>
                <w:b w:val="1"/>
                <w:bCs w:val="1"/>
                <w:color w:val="auto"/>
              </w:rPr>
              <w:t>Option</w:t>
            </w:r>
          </w:p>
        </w:tc>
        <w:tc>
          <w:tcPr>
            <w:tcW w:w="460" w:type="dxa"/>
            <w:vAlign w:val="bottom"/>
          </w:tcPr>
          <w:p>
            <w:pPr>
              <w:spacing w:after="0"/>
              <w:rPr>
                <w:sz w:val="16"/>
                <w:szCs w:val="16"/>
                <w:color w:val="auto"/>
              </w:rPr>
            </w:pPr>
          </w:p>
        </w:tc>
        <w:tc>
          <w:tcPr>
            <w:tcW w:w="1020" w:type="dxa"/>
            <w:vAlign w:val="bottom"/>
          </w:tcPr>
          <w:p>
            <w:pPr>
              <w:jc w:val="right"/>
              <w:ind w:right="98"/>
              <w:spacing w:after="0"/>
              <w:rPr>
                <w:sz w:val="20"/>
                <w:szCs w:val="20"/>
                <w:color w:val="auto"/>
              </w:rPr>
            </w:pPr>
            <w:r>
              <w:rPr>
                <w:rFonts w:ascii="Arial" w:cs="Arial" w:eastAsia="Arial" w:hAnsi="Arial"/>
                <w:sz w:val="16"/>
                <w:szCs w:val="16"/>
                <w:b w:val="1"/>
                <w:bCs w:val="1"/>
                <w:color w:val="auto"/>
              </w:rPr>
              <w:t>All other</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3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6"/>
                <w:szCs w:val="16"/>
                <w:b w:val="1"/>
                <w:bCs w:val="1"/>
                <w:color w:val="auto"/>
              </w:rPr>
              <w:t>Bonus($)</w:t>
            </w:r>
          </w:p>
        </w:tc>
        <w:tc>
          <w:tcPr>
            <w:tcW w:w="1180" w:type="dxa"/>
            <w:vAlign w:val="bottom"/>
            <w:gridSpan w:val="2"/>
          </w:tcPr>
          <w:p>
            <w:pPr>
              <w:jc w:val="right"/>
              <w:ind w:right="78"/>
              <w:spacing w:after="0"/>
              <w:rPr>
                <w:sz w:val="20"/>
                <w:szCs w:val="20"/>
                <w:color w:val="auto"/>
              </w:rPr>
            </w:pPr>
            <w:r>
              <w:rPr>
                <w:rFonts w:ascii="Arial" w:cs="Arial" w:eastAsia="Arial" w:hAnsi="Arial"/>
                <w:sz w:val="16"/>
                <w:szCs w:val="16"/>
                <w:b w:val="1"/>
                <w:bCs w:val="1"/>
                <w:color w:val="auto"/>
              </w:rPr>
              <w:t>awards($)</w:t>
            </w:r>
          </w:p>
        </w:tc>
        <w:tc>
          <w:tcPr>
            <w:tcW w:w="1480" w:type="dxa"/>
            <w:vAlign w:val="bottom"/>
            <w:gridSpan w:val="2"/>
          </w:tcPr>
          <w:p>
            <w:pPr>
              <w:ind w:left="180"/>
              <w:spacing w:after="0"/>
              <w:rPr>
                <w:sz w:val="20"/>
                <w:szCs w:val="20"/>
                <w:color w:val="auto"/>
              </w:rPr>
            </w:pPr>
            <w:r>
              <w:rPr>
                <w:rFonts w:ascii="Arial" w:cs="Arial" w:eastAsia="Arial" w:hAnsi="Arial"/>
                <w:sz w:val="16"/>
                <w:szCs w:val="16"/>
                <w:b w:val="1"/>
                <w:bCs w:val="1"/>
                <w:color w:val="auto"/>
              </w:rPr>
              <w:t>compensation</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7"/>
        </w:trPr>
        <w:tc>
          <w:tcPr>
            <w:tcW w:w="3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and principal position(1)</w:t>
            </w:r>
          </w:p>
        </w:tc>
        <w:tc>
          <w:tcPr>
            <w:tcW w:w="10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Year</w:t>
            </w: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Salary($)</w:t>
            </w: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(2)</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(3)</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Total($)</w:t>
            </w:r>
          </w:p>
        </w:tc>
      </w:tr>
      <w:tr>
        <w:trPr>
          <w:trHeight w:val="170"/>
        </w:trPr>
        <w:tc>
          <w:tcPr>
            <w:tcW w:w="346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rPr>
              <w:t>Ron Kurtz, M.D</w:t>
            </w:r>
            <w:r>
              <w:rPr>
                <w:rFonts w:ascii="Arial" w:cs="Arial" w:eastAsia="Arial" w:hAnsi="Arial"/>
                <w:sz w:val="16"/>
                <w:szCs w:val="16"/>
                <w:i w:val="1"/>
                <w:iCs w:val="1"/>
                <w:color w:val="auto"/>
              </w:rPr>
              <w:t>.</w:t>
            </w:r>
          </w:p>
        </w:tc>
        <w:tc>
          <w:tcPr>
            <w:tcW w:w="1060" w:type="dxa"/>
            <w:vAlign w:val="bottom"/>
            <w:shd w:val="clear" w:color="auto" w:fill="CCEEFF"/>
          </w:tcPr>
          <w:p>
            <w:pPr>
              <w:jc w:val="right"/>
              <w:ind w:right="78"/>
              <w:spacing w:after="0" w:line="170" w:lineRule="exact"/>
              <w:rPr>
                <w:sz w:val="20"/>
                <w:szCs w:val="20"/>
                <w:color w:val="auto"/>
              </w:rPr>
            </w:pPr>
            <w:r>
              <w:rPr>
                <w:rFonts w:ascii="Arial" w:cs="Arial" w:eastAsia="Arial" w:hAnsi="Arial"/>
                <w:sz w:val="16"/>
                <w:szCs w:val="16"/>
                <w:color w:val="auto"/>
              </w:rPr>
              <w:t>2020</w:t>
            </w:r>
          </w:p>
        </w:tc>
        <w:tc>
          <w:tcPr>
            <w:tcW w:w="1040" w:type="dxa"/>
            <w:vAlign w:val="bottom"/>
            <w:shd w:val="clear" w:color="auto" w:fill="CCEEFF"/>
          </w:tcPr>
          <w:p>
            <w:pPr>
              <w:ind w:left="180"/>
              <w:spacing w:after="0" w:line="170" w:lineRule="exact"/>
              <w:rPr>
                <w:sz w:val="20"/>
                <w:szCs w:val="20"/>
                <w:color w:val="auto"/>
              </w:rPr>
            </w:pPr>
            <w:r>
              <w:rPr>
                <w:rFonts w:ascii="Arial" w:cs="Arial" w:eastAsia="Arial" w:hAnsi="Arial"/>
                <w:sz w:val="16"/>
                <w:szCs w:val="16"/>
                <w:color w:val="auto"/>
              </w:rPr>
              <w:t>$309,583</w:t>
            </w:r>
          </w:p>
        </w:tc>
        <w:tc>
          <w:tcPr>
            <w:tcW w:w="320" w:type="dxa"/>
            <w:vAlign w:val="bottom"/>
            <w:shd w:val="clear" w:color="auto" w:fill="CCEEFF"/>
          </w:tcPr>
          <w:p>
            <w:pPr>
              <w:ind w:left="180"/>
              <w:spacing w:after="0" w:line="170"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78"/>
              <w:spacing w:after="0" w:line="170" w:lineRule="exact"/>
              <w:rPr>
                <w:sz w:val="20"/>
                <w:szCs w:val="20"/>
                <w:color w:val="auto"/>
              </w:rPr>
            </w:pPr>
            <w:r>
              <w:rPr>
                <w:rFonts w:ascii="Arial" w:cs="Arial" w:eastAsia="Arial" w:hAnsi="Arial"/>
                <w:sz w:val="16"/>
                <w:szCs w:val="16"/>
                <w:color w:val="auto"/>
              </w:rPr>
              <w:t>27,000</w:t>
            </w:r>
          </w:p>
        </w:tc>
        <w:tc>
          <w:tcPr>
            <w:tcW w:w="3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78"/>
              <w:spacing w:after="0" w:line="170" w:lineRule="exact"/>
              <w:rPr>
                <w:sz w:val="20"/>
                <w:szCs w:val="20"/>
                <w:color w:val="auto"/>
              </w:rPr>
            </w:pPr>
            <w:r>
              <w:rPr>
                <w:rFonts w:ascii="Arial" w:cs="Arial" w:eastAsia="Arial" w:hAnsi="Arial"/>
                <w:sz w:val="16"/>
                <w:szCs w:val="16"/>
                <w:color w:val="auto"/>
              </w:rPr>
              <w:t>404,100</w:t>
            </w:r>
          </w:p>
        </w:tc>
        <w:tc>
          <w:tcPr>
            <w:tcW w:w="460" w:type="dxa"/>
            <w:vAlign w:val="bottom"/>
            <w:shd w:val="clear" w:color="auto" w:fill="CCEEFF"/>
          </w:tcPr>
          <w:p>
            <w:pPr>
              <w:ind w:left="180"/>
              <w:spacing w:after="0" w:line="170" w:lineRule="exact"/>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8"/>
              <w:spacing w:after="0" w:line="170"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740,683</w:t>
            </w:r>
          </w:p>
        </w:tc>
        <w:tc>
          <w:tcPr>
            <w:tcW w:w="40" w:type="dxa"/>
            <w:vAlign w:val="bottom"/>
            <w:shd w:val="clear" w:color="auto" w:fill="CCEEFF"/>
          </w:tcPr>
          <w:p>
            <w:pPr>
              <w:spacing w:after="0"/>
              <w:rPr>
                <w:sz w:val="14"/>
                <w:szCs w:val="14"/>
                <w:color w:val="auto"/>
              </w:rPr>
            </w:pPr>
          </w:p>
        </w:tc>
      </w:tr>
      <w:tr>
        <w:trPr>
          <w:trHeight w:val="216"/>
        </w:trPr>
        <w:tc>
          <w:tcPr>
            <w:tcW w:w="346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President and Chief Executive Officer</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77"/>
        </w:trPr>
        <w:tc>
          <w:tcPr>
            <w:tcW w:w="3460" w:type="dxa"/>
            <w:vAlign w:val="bottom"/>
          </w:tcPr>
          <w:p>
            <w:pPr>
              <w:spacing w:after="0" w:line="178" w:lineRule="exact"/>
              <w:rPr>
                <w:sz w:val="20"/>
                <w:szCs w:val="20"/>
                <w:color w:val="auto"/>
              </w:rPr>
            </w:pPr>
            <w:r>
              <w:rPr>
                <w:rFonts w:ascii="Arial" w:cs="Arial" w:eastAsia="Arial" w:hAnsi="Arial"/>
                <w:sz w:val="16"/>
                <w:szCs w:val="16"/>
                <w:color w:val="auto"/>
              </w:rPr>
              <w:t>Shelley Thunen</w:t>
            </w:r>
          </w:p>
        </w:tc>
        <w:tc>
          <w:tcPr>
            <w:tcW w:w="1060" w:type="dxa"/>
            <w:vAlign w:val="bottom"/>
          </w:tcPr>
          <w:p>
            <w:pPr>
              <w:jc w:val="right"/>
              <w:ind w:right="78"/>
              <w:spacing w:after="0" w:line="178" w:lineRule="exact"/>
              <w:rPr>
                <w:sz w:val="20"/>
                <w:szCs w:val="20"/>
                <w:color w:val="auto"/>
              </w:rPr>
            </w:pPr>
            <w:r>
              <w:rPr>
                <w:rFonts w:ascii="Arial" w:cs="Arial" w:eastAsia="Arial" w:hAnsi="Arial"/>
                <w:sz w:val="16"/>
                <w:szCs w:val="16"/>
                <w:color w:val="auto"/>
              </w:rPr>
              <w:t>2020</w:t>
            </w:r>
          </w:p>
        </w:tc>
        <w:tc>
          <w:tcPr>
            <w:tcW w:w="1040" w:type="dxa"/>
            <w:vAlign w:val="bottom"/>
          </w:tcPr>
          <w:p>
            <w:pPr>
              <w:ind w:left="180"/>
              <w:spacing w:after="0" w:line="178" w:lineRule="exact"/>
              <w:rPr>
                <w:sz w:val="20"/>
                <w:szCs w:val="20"/>
                <w:color w:val="auto"/>
              </w:rPr>
            </w:pPr>
            <w:r>
              <w:rPr>
                <w:rFonts w:ascii="Arial" w:cs="Arial" w:eastAsia="Arial" w:hAnsi="Arial"/>
                <w:sz w:val="16"/>
                <w:szCs w:val="16"/>
                <w:color w:val="auto"/>
              </w:rPr>
              <w:t>$250,510</w:t>
            </w:r>
          </w:p>
        </w:tc>
        <w:tc>
          <w:tcPr>
            <w:tcW w:w="320" w:type="dxa"/>
            <w:vAlign w:val="bottom"/>
          </w:tcPr>
          <w:p>
            <w:pPr>
              <w:ind w:left="180"/>
              <w:spacing w:after="0" w:line="178" w:lineRule="exact"/>
              <w:rPr>
                <w:sz w:val="20"/>
                <w:szCs w:val="20"/>
                <w:color w:val="auto"/>
              </w:rPr>
            </w:pPr>
            <w:r>
              <w:rPr>
                <w:rFonts w:ascii="Arial" w:cs="Arial" w:eastAsia="Arial" w:hAnsi="Arial"/>
                <w:sz w:val="16"/>
                <w:szCs w:val="16"/>
                <w:color w:val="auto"/>
              </w:rPr>
              <w:t>$</w:t>
            </w:r>
          </w:p>
        </w:tc>
        <w:tc>
          <w:tcPr>
            <w:tcW w:w="740" w:type="dxa"/>
            <w:vAlign w:val="bottom"/>
          </w:tcPr>
          <w:p>
            <w:pPr>
              <w:jc w:val="right"/>
              <w:ind w:right="78"/>
              <w:spacing w:after="0" w:line="178" w:lineRule="exact"/>
              <w:rPr>
                <w:sz w:val="20"/>
                <w:szCs w:val="20"/>
                <w:color w:val="auto"/>
              </w:rPr>
            </w:pPr>
            <w:r>
              <w:rPr>
                <w:rFonts w:ascii="Arial" w:cs="Arial" w:eastAsia="Arial" w:hAnsi="Arial"/>
                <w:sz w:val="16"/>
                <w:szCs w:val="16"/>
                <w:color w:val="auto"/>
              </w:rPr>
              <w:t>45,000</w:t>
            </w:r>
          </w:p>
        </w:tc>
        <w:tc>
          <w:tcPr>
            <w:tcW w:w="34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78"/>
              <w:spacing w:after="0" w:line="178" w:lineRule="exact"/>
              <w:rPr>
                <w:sz w:val="20"/>
                <w:szCs w:val="20"/>
                <w:color w:val="auto"/>
              </w:rPr>
            </w:pPr>
            <w:r>
              <w:rPr>
                <w:rFonts w:ascii="Arial" w:cs="Arial" w:eastAsia="Arial" w:hAnsi="Arial"/>
                <w:sz w:val="16"/>
                <w:szCs w:val="16"/>
                <w:color w:val="auto"/>
              </w:rPr>
              <w:t>404,100</w:t>
            </w:r>
          </w:p>
        </w:tc>
        <w:tc>
          <w:tcPr>
            <w:tcW w:w="460" w:type="dxa"/>
            <w:vAlign w:val="bottom"/>
          </w:tcPr>
          <w:p>
            <w:pPr>
              <w:ind w:left="180"/>
              <w:spacing w:after="0" w:line="178"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98"/>
              <w:spacing w:after="0" w:line="178" w:lineRule="exact"/>
              <w:rPr>
                <w:sz w:val="20"/>
                <w:szCs w:val="20"/>
                <w:color w:val="auto"/>
              </w:rPr>
            </w:pPr>
            <w:r>
              <w:rPr>
                <w:rFonts w:ascii="Arial" w:cs="Arial" w:eastAsia="Arial" w:hAnsi="Arial"/>
                <w:sz w:val="16"/>
                <w:szCs w:val="16"/>
                <w:color w:val="auto"/>
              </w:rPr>
              <w:t>—</w:t>
            </w:r>
          </w:p>
        </w:tc>
        <w:tc>
          <w:tcPr>
            <w:tcW w:w="26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699,610</w:t>
            </w:r>
          </w:p>
        </w:tc>
        <w:tc>
          <w:tcPr>
            <w:tcW w:w="40" w:type="dxa"/>
            <w:vAlign w:val="bottom"/>
          </w:tcPr>
          <w:p>
            <w:pPr>
              <w:spacing w:after="0"/>
              <w:rPr>
                <w:sz w:val="15"/>
                <w:szCs w:val="15"/>
                <w:color w:val="auto"/>
              </w:rPr>
            </w:pPr>
          </w:p>
        </w:tc>
      </w:tr>
      <w:tr>
        <w:trPr>
          <w:trHeight w:val="215"/>
        </w:trPr>
        <w:tc>
          <w:tcPr>
            <w:tcW w:w="3460" w:type="dxa"/>
            <w:vAlign w:val="bottom"/>
          </w:tcPr>
          <w:p>
            <w:pPr>
              <w:ind w:left="200"/>
              <w:spacing w:after="0"/>
              <w:rPr>
                <w:sz w:val="20"/>
                <w:szCs w:val="20"/>
                <w:color w:val="auto"/>
              </w:rPr>
            </w:pPr>
            <w:r>
              <w:rPr>
                <w:rFonts w:ascii="Arial" w:cs="Arial" w:eastAsia="Arial" w:hAnsi="Arial"/>
                <w:sz w:val="16"/>
                <w:szCs w:val="16"/>
                <w:i w:val="1"/>
                <w:iCs w:val="1"/>
                <w:color w:val="auto"/>
              </w:rPr>
              <w:t>Chief Financial Officer</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79"/>
        </w:trPr>
        <w:tc>
          <w:tcPr>
            <w:tcW w:w="34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Eric Weinberg</w:t>
            </w:r>
          </w:p>
        </w:tc>
        <w:tc>
          <w:tcPr>
            <w:tcW w:w="1060" w:type="dxa"/>
            <w:vAlign w:val="bottom"/>
            <w:shd w:val="clear" w:color="auto" w:fill="CCEEFF"/>
          </w:tcPr>
          <w:p>
            <w:pPr>
              <w:jc w:val="right"/>
              <w:ind w:right="78"/>
              <w:spacing w:after="0" w:line="178" w:lineRule="exact"/>
              <w:rPr>
                <w:sz w:val="20"/>
                <w:szCs w:val="20"/>
                <w:color w:val="auto"/>
              </w:rPr>
            </w:pPr>
            <w:r>
              <w:rPr>
                <w:rFonts w:ascii="Arial" w:cs="Arial" w:eastAsia="Arial" w:hAnsi="Arial"/>
                <w:sz w:val="16"/>
                <w:szCs w:val="16"/>
                <w:color w:val="auto"/>
              </w:rPr>
              <w:t>2020</w:t>
            </w:r>
          </w:p>
        </w:tc>
        <w:tc>
          <w:tcPr>
            <w:tcW w:w="1040" w:type="dxa"/>
            <w:vAlign w:val="bottom"/>
            <w:shd w:val="clear" w:color="auto" w:fill="CCEEFF"/>
          </w:tcPr>
          <w:p>
            <w:pPr>
              <w:ind w:left="180"/>
              <w:spacing w:after="0" w:line="178" w:lineRule="exact"/>
              <w:rPr>
                <w:sz w:val="20"/>
                <w:szCs w:val="20"/>
                <w:color w:val="auto"/>
              </w:rPr>
            </w:pPr>
            <w:r>
              <w:rPr>
                <w:rFonts w:ascii="Arial" w:cs="Arial" w:eastAsia="Arial" w:hAnsi="Arial"/>
                <w:sz w:val="16"/>
                <w:szCs w:val="16"/>
                <w:color w:val="auto"/>
              </w:rPr>
              <w:t>$272,595</w:t>
            </w:r>
          </w:p>
        </w:tc>
        <w:tc>
          <w:tcPr>
            <w:tcW w:w="320" w:type="dxa"/>
            <w:vAlign w:val="bottom"/>
            <w:shd w:val="clear" w:color="auto" w:fill="CCEEFF"/>
          </w:tcPr>
          <w:p>
            <w:pPr>
              <w:ind w:left="180"/>
              <w:spacing w:after="0" w:line="178"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78"/>
              <w:spacing w:after="0" w:line="178" w:lineRule="exact"/>
              <w:rPr>
                <w:sz w:val="20"/>
                <w:szCs w:val="20"/>
                <w:color w:val="auto"/>
              </w:rPr>
            </w:pPr>
            <w:r>
              <w:rPr>
                <w:rFonts w:ascii="Arial" w:cs="Arial" w:eastAsia="Arial" w:hAnsi="Arial"/>
                <w:sz w:val="16"/>
                <w:szCs w:val="16"/>
                <w:color w:val="auto"/>
              </w:rPr>
              <w:t>45,000</w:t>
            </w:r>
          </w:p>
        </w:tc>
        <w:tc>
          <w:tcPr>
            <w:tcW w:w="3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78"/>
              <w:spacing w:after="0" w:line="178" w:lineRule="exact"/>
              <w:rPr>
                <w:sz w:val="20"/>
                <w:szCs w:val="20"/>
                <w:color w:val="auto"/>
              </w:rPr>
            </w:pPr>
            <w:r>
              <w:rPr>
                <w:rFonts w:ascii="Arial" w:cs="Arial" w:eastAsia="Arial" w:hAnsi="Arial"/>
                <w:sz w:val="16"/>
                <w:szCs w:val="16"/>
                <w:color w:val="auto"/>
              </w:rPr>
              <w:t>606,150</w:t>
            </w:r>
          </w:p>
        </w:tc>
        <w:tc>
          <w:tcPr>
            <w:tcW w:w="460" w:type="dxa"/>
            <w:vAlign w:val="bottom"/>
            <w:shd w:val="clear" w:color="auto" w:fill="CCEEFF"/>
          </w:tcPr>
          <w:p>
            <w:pPr>
              <w:ind w:left="180"/>
              <w:spacing w:after="0" w:line="178" w:lineRule="exact"/>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8"/>
              <w:spacing w:after="0" w:line="178"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923,745</w:t>
            </w:r>
          </w:p>
        </w:tc>
        <w:tc>
          <w:tcPr>
            <w:tcW w:w="40" w:type="dxa"/>
            <w:vAlign w:val="bottom"/>
            <w:shd w:val="clear" w:color="auto" w:fill="CCEEFF"/>
          </w:tcPr>
          <w:p>
            <w:pPr>
              <w:spacing w:after="0"/>
              <w:rPr>
                <w:sz w:val="15"/>
                <w:szCs w:val="15"/>
                <w:color w:val="auto"/>
              </w:rPr>
            </w:pPr>
          </w:p>
        </w:tc>
      </w:tr>
      <w:tr>
        <w:trPr>
          <w:trHeight w:val="216"/>
        </w:trPr>
        <w:tc>
          <w:tcPr>
            <w:tcW w:w="346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Chief Commercial Officer</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77"/>
        </w:trPr>
        <w:tc>
          <w:tcPr>
            <w:tcW w:w="3460" w:type="dxa"/>
            <w:vAlign w:val="bottom"/>
          </w:tcPr>
          <w:p>
            <w:pPr>
              <w:spacing w:after="0" w:line="178" w:lineRule="exact"/>
              <w:rPr>
                <w:sz w:val="20"/>
                <w:szCs w:val="20"/>
                <w:color w:val="auto"/>
              </w:rPr>
            </w:pPr>
            <w:r>
              <w:rPr>
                <w:rFonts w:ascii="Arial" w:cs="Arial" w:eastAsia="Arial" w:hAnsi="Arial"/>
                <w:sz w:val="16"/>
                <w:szCs w:val="16"/>
                <w:color w:val="auto"/>
              </w:rPr>
              <w:t>Ilya Goldshleger, Ph.D.</w:t>
            </w:r>
          </w:p>
        </w:tc>
        <w:tc>
          <w:tcPr>
            <w:tcW w:w="1060" w:type="dxa"/>
            <w:vAlign w:val="bottom"/>
          </w:tcPr>
          <w:p>
            <w:pPr>
              <w:jc w:val="right"/>
              <w:ind w:right="78"/>
              <w:spacing w:after="0" w:line="178" w:lineRule="exact"/>
              <w:rPr>
                <w:sz w:val="20"/>
                <w:szCs w:val="20"/>
                <w:color w:val="auto"/>
              </w:rPr>
            </w:pPr>
            <w:r>
              <w:rPr>
                <w:rFonts w:ascii="Arial" w:cs="Arial" w:eastAsia="Arial" w:hAnsi="Arial"/>
                <w:sz w:val="16"/>
                <w:szCs w:val="16"/>
                <w:color w:val="auto"/>
              </w:rPr>
              <w:t>2020</w:t>
            </w:r>
          </w:p>
        </w:tc>
        <w:tc>
          <w:tcPr>
            <w:tcW w:w="1040" w:type="dxa"/>
            <w:vAlign w:val="bottom"/>
          </w:tcPr>
          <w:p>
            <w:pPr>
              <w:ind w:left="180"/>
              <w:spacing w:after="0" w:line="178" w:lineRule="exact"/>
              <w:rPr>
                <w:sz w:val="20"/>
                <w:szCs w:val="20"/>
                <w:color w:val="auto"/>
              </w:rPr>
            </w:pPr>
            <w:r>
              <w:rPr>
                <w:rFonts w:ascii="Arial" w:cs="Arial" w:eastAsia="Arial" w:hAnsi="Arial"/>
                <w:sz w:val="16"/>
                <w:szCs w:val="16"/>
                <w:color w:val="auto"/>
              </w:rPr>
              <w:t>$287,094</w:t>
            </w:r>
          </w:p>
        </w:tc>
        <w:tc>
          <w:tcPr>
            <w:tcW w:w="320" w:type="dxa"/>
            <w:vAlign w:val="bottom"/>
          </w:tcPr>
          <w:p>
            <w:pPr>
              <w:ind w:left="180"/>
              <w:spacing w:after="0" w:line="178" w:lineRule="exact"/>
              <w:rPr>
                <w:sz w:val="20"/>
                <w:szCs w:val="20"/>
                <w:color w:val="auto"/>
              </w:rPr>
            </w:pPr>
            <w:r>
              <w:rPr>
                <w:rFonts w:ascii="Arial" w:cs="Arial" w:eastAsia="Arial" w:hAnsi="Arial"/>
                <w:sz w:val="16"/>
                <w:szCs w:val="16"/>
                <w:color w:val="auto"/>
              </w:rPr>
              <w:t>$</w:t>
            </w:r>
          </w:p>
        </w:tc>
        <w:tc>
          <w:tcPr>
            <w:tcW w:w="740" w:type="dxa"/>
            <w:vAlign w:val="bottom"/>
          </w:tcPr>
          <w:p>
            <w:pPr>
              <w:jc w:val="right"/>
              <w:ind w:right="78"/>
              <w:spacing w:after="0" w:line="178" w:lineRule="exact"/>
              <w:rPr>
                <w:sz w:val="20"/>
                <w:szCs w:val="20"/>
                <w:color w:val="auto"/>
              </w:rPr>
            </w:pPr>
            <w:r>
              <w:rPr>
                <w:rFonts w:ascii="Arial" w:cs="Arial" w:eastAsia="Arial" w:hAnsi="Arial"/>
                <w:sz w:val="16"/>
                <w:szCs w:val="16"/>
                <w:color w:val="auto"/>
              </w:rPr>
              <w:t>45,000</w:t>
            </w:r>
          </w:p>
        </w:tc>
        <w:tc>
          <w:tcPr>
            <w:tcW w:w="1180" w:type="dxa"/>
            <w:vAlign w:val="bottom"/>
            <w:gridSpan w:val="2"/>
          </w:tcPr>
          <w:p>
            <w:pPr>
              <w:jc w:val="right"/>
              <w:ind w:right="78"/>
              <w:spacing w:after="0" w:line="178" w:lineRule="exact"/>
              <w:rPr>
                <w:sz w:val="20"/>
                <w:szCs w:val="20"/>
                <w:color w:val="auto"/>
              </w:rPr>
            </w:pPr>
            <w:r>
              <w:rPr>
                <w:rFonts w:ascii="Arial" w:cs="Arial" w:eastAsia="Arial" w:hAnsi="Arial"/>
                <w:sz w:val="16"/>
                <w:szCs w:val="16"/>
                <w:color w:val="auto"/>
              </w:rPr>
              <w:t>$1,212,300</w:t>
            </w:r>
          </w:p>
        </w:tc>
        <w:tc>
          <w:tcPr>
            <w:tcW w:w="460" w:type="dxa"/>
            <w:vAlign w:val="bottom"/>
          </w:tcPr>
          <w:p>
            <w:pPr>
              <w:ind w:left="180"/>
              <w:spacing w:after="0" w:line="178"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98"/>
              <w:spacing w:after="0" w:line="178" w:lineRule="exact"/>
              <w:rPr>
                <w:sz w:val="20"/>
                <w:szCs w:val="20"/>
                <w:color w:val="auto"/>
              </w:rPr>
            </w:pPr>
            <w:r>
              <w:rPr>
                <w:rFonts w:ascii="Arial" w:cs="Arial" w:eastAsia="Arial" w:hAnsi="Arial"/>
                <w:sz w:val="16"/>
                <w:szCs w:val="16"/>
                <w:color w:val="auto"/>
              </w:rPr>
              <w:t>—</w:t>
            </w:r>
          </w:p>
        </w:tc>
        <w:tc>
          <w:tcPr>
            <w:tcW w:w="26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1,544,394</w:t>
            </w:r>
          </w:p>
        </w:tc>
        <w:tc>
          <w:tcPr>
            <w:tcW w:w="40" w:type="dxa"/>
            <w:vAlign w:val="bottom"/>
          </w:tcPr>
          <w:p>
            <w:pPr>
              <w:spacing w:after="0"/>
              <w:rPr>
                <w:sz w:val="15"/>
                <w:szCs w:val="15"/>
                <w:color w:val="auto"/>
              </w:rPr>
            </w:pPr>
          </w:p>
        </w:tc>
      </w:tr>
      <w:tr>
        <w:trPr>
          <w:trHeight w:val="221"/>
        </w:trPr>
        <w:tc>
          <w:tcPr>
            <w:tcW w:w="3460" w:type="dxa"/>
            <w:vAlign w:val="bottom"/>
            <w:tcBorders>
              <w:bottom w:val="single" w:sz="8" w:color="auto"/>
            </w:tcBorders>
          </w:tcPr>
          <w:p>
            <w:pPr>
              <w:ind w:left="200"/>
              <w:spacing w:after="0"/>
              <w:rPr>
                <w:sz w:val="20"/>
                <w:szCs w:val="20"/>
                <w:color w:val="auto"/>
              </w:rPr>
            </w:pPr>
            <w:r>
              <w:rPr>
                <w:rFonts w:ascii="Arial" w:cs="Arial" w:eastAsia="Arial" w:hAnsi="Arial"/>
                <w:sz w:val="16"/>
                <w:szCs w:val="16"/>
                <w:i w:val="1"/>
                <w:iCs w:val="1"/>
                <w:color w:val="auto"/>
              </w:rPr>
              <w:t>Chief Operating Officer</w:t>
            </w:r>
          </w:p>
        </w:tc>
        <w:tc>
          <w:tcPr>
            <w:tcW w:w="10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bl>
    <w:p>
      <w:pPr>
        <w:spacing w:after="0" w:line="63" w:lineRule="exact"/>
        <w:rPr>
          <w:sz w:val="20"/>
          <w:szCs w:val="20"/>
          <w:color w:val="auto"/>
        </w:rPr>
      </w:pPr>
    </w:p>
    <w:p>
      <w:pPr>
        <w:ind w:left="760" w:right="160" w:hanging="309"/>
        <w:spacing w:after="0" w:line="234" w:lineRule="auto"/>
        <w:tabs>
          <w:tab w:leader="none" w:pos="7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RxSight has four named executive officers, each with corporate decision making authority. We have elected to provide compensation information for all four of them even though as an “emerging growth company” we are only required by SEC rules to disclose compensation for three named executive officers.</w:t>
      </w:r>
    </w:p>
    <w:p>
      <w:pPr>
        <w:spacing w:after="0" w:line="50" w:lineRule="exact"/>
        <w:rPr>
          <w:rFonts w:ascii="Arial" w:cs="Arial" w:eastAsia="Arial" w:hAnsi="Arial"/>
          <w:sz w:val="13"/>
          <w:szCs w:val="13"/>
          <w:color w:val="auto"/>
        </w:rPr>
      </w:pPr>
    </w:p>
    <w:p>
      <w:pPr>
        <w:ind w:left="760" w:right="80" w:hanging="309"/>
        <w:spacing w:after="0" w:line="234" w:lineRule="auto"/>
        <w:tabs>
          <w:tab w:leader="none" w:pos="7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The bonus amounts listed in this column reflect annual discretionary bonuses, based on performance in 2020, as reduced due to COVID-19 cost saving measures, as determined by the Board of Directors.</w:t>
      </w:r>
    </w:p>
    <w:p>
      <w:pPr>
        <w:spacing w:after="0" w:line="50" w:lineRule="exact"/>
        <w:rPr>
          <w:rFonts w:ascii="Arial" w:cs="Arial" w:eastAsia="Arial" w:hAnsi="Arial"/>
          <w:sz w:val="13"/>
          <w:szCs w:val="13"/>
          <w:color w:val="auto"/>
        </w:rPr>
      </w:pPr>
    </w:p>
    <w:p>
      <w:pPr>
        <w:ind w:left="760" w:right="80" w:hanging="309"/>
        <w:spacing w:after="0" w:line="228" w:lineRule="auto"/>
        <w:tabs>
          <w:tab w:leader="none" w:pos="7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These figures reflect the aggregate grant date fair value of stock options (service-based) granted in the fiscal year, computed in accordance with the provisions of FASB ASC 718. Assumptions used in the calculation of these amounts are included in the notes to our consolidated financial statements included elsewhere in this registration statement. As required by SEC rules, the amounts shown exclude the impact of estimated forfeitures related to service-based vesting conditions. These amounts do not reflect the actual economic value that will be realized by the named executive officer upon vesting of the stock options, the exercise of the stock options or the sale of the common stock underlying such stock options.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Annual Bonuses</w:t>
      </w:r>
    </w:p>
    <w:p>
      <w:pPr>
        <w:spacing w:after="0" w:line="133" w:lineRule="exact"/>
        <w:rPr>
          <w:sz w:val="20"/>
          <w:szCs w:val="20"/>
          <w:color w:val="auto"/>
        </w:rPr>
      </w:pPr>
    </w:p>
    <w:p>
      <w:pPr>
        <w:ind w:left="460" w:right="240"/>
        <w:spacing w:after="0" w:line="253" w:lineRule="auto"/>
        <w:rPr>
          <w:sz w:val="20"/>
          <w:szCs w:val="20"/>
          <w:color w:val="auto"/>
        </w:rPr>
      </w:pPr>
      <w:r>
        <w:rPr>
          <w:rFonts w:ascii="Arial" w:cs="Arial" w:eastAsia="Arial" w:hAnsi="Arial"/>
          <w:sz w:val="16"/>
          <w:szCs w:val="16"/>
          <w:color w:val="auto"/>
        </w:rPr>
        <w:t>We have maintained an annual discretionary cash bonus program, as determined by our Board of Directors, based on company and individual performance. The bonus amounts in the above table reflect annual discretionary bonuses for 2020, as reduced due to COVID-19 cost saving measures. Each of Dr. Kurtz, Ms. Thunen, Mr. Weinberg and Mr. Goldshleger received an actual bonus for 2020 that was 19%, 52%, 45% and 45%, respectively, of what they would have been eligible to receive if not for the COVID-19 cost saving measures.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Outstanding equity awards at fiscal year-end</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number of stock options outstanding that are held by each of our named executive officers as of</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Option awards</w:t>
            </w:r>
          </w:p>
        </w:tc>
      </w:tr>
      <w:tr>
        <w:trPr>
          <w:trHeight w:val="166"/>
        </w:trPr>
        <w:tc>
          <w:tcPr>
            <w:tcW w:w="298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78"/>
              <w:spacing w:after="0" w:line="166" w:lineRule="exact"/>
              <w:rPr>
                <w:sz w:val="20"/>
                <w:szCs w:val="20"/>
                <w:color w:val="auto"/>
              </w:rPr>
            </w:pPr>
            <w:r>
              <w:rPr>
                <w:rFonts w:ascii="Arial" w:cs="Arial" w:eastAsia="Arial" w:hAnsi="Arial"/>
                <w:sz w:val="16"/>
                <w:szCs w:val="16"/>
                <w:b w:val="1"/>
                <w:bCs w:val="1"/>
                <w:color w:val="auto"/>
              </w:rPr>
              <w:t>Number of</w:t>
            </w:r>
          </w:p>
        </w:tc>
        <w:tc>
          <w:tcPr>
            <w:tcW w:w="1680" w:type="dxa"/>
            <w:vAlign w:val="bottom"/>
            <w:tcBorders>
              <w:top w:val="single" w:sz="8" w:color="auto"/>
            </w:tcBorders>
          </w:tcPr>
          <w:p>
            <w:pPr>
              <w:jc w:val="right"/>
              <w:ind w:right="58"/>
              <w:spacing w:after="0" w:line="166" w:lineRule="exact"/>
              <w:rPr>
                <w:sz w:val="20"/>
                <w:szCs w:val="20"/>
                <w:color w:val="auto"/>
              </w:rPr>
            </w:pPr>
            <w:r>
              <w:rPr>
                <w:rFonts w:ascii="Arial" w:cs="Arial" w:eastAsia="Arial" w:hAnsi="Arial"/>
                <w:sz w:val="16"/>
                <w:szCs w:val="16"/>
                <w:b w:val="1"/>
                <w:bCs w:val="1"/>
                <w:color w:val="auto"/>
              </w:rPr>
              <w:t>Number of</w:t>
            </w:r>
          </w:p>
        </w:tc>
        <w:tc>
          <w:tcPr>
            <w:tcW w:w="4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90"/>
        </w:trPr>
        <w:tc>
          <w:tcPr>
            <w:tcW w:w="2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jc w:val="right"/>
              <w:ind w:right="78"/>
              <w:spacing w:after="0"/>
              <w:rPr>
                <w:sz w:val="20"/>
                <w:szCs w:val="20"/>
                <w:color w:val="auto"/>
              </w:rPr>
            </w:pPr>
            <w:r>
              <w:rPr>
                <w:rFonts w:ascii="Arial" w:cs="Arial" w:eastAsia="Arial" w:hAnsi="Arial"/>
                <w:sz w:val="16"/>
                <w:szCs w:val="16"/>
                <w:b w:val="1"/>
                <w:bCs w:val="1"/>
                <w:color w:val="auto"/>
              </w:rPr>
              <w:t>securities</w:t>
            </w:r>
          </w:p>
        </w:tc>
        <w:tc>
          <w:tcPr>
            <w:tcW w:w="1680" w:type="dxa"/>
            <w:vAlign w:val="bottom"/>
          </w:tcPr>
          <w:p>
            <w:pPr>
              <w:jc w:val="right"/>
              <w:ind w:right="58"/>
              <w:spacing w:after="0"/>
              <w:rPr>
                <w:sz w:val="20"/>
                <w:szCs w:val="20"/>
                <w:color w:val="auto"/>
              </w:rPr>
            </w:pPr>
            <w:r>
              <w:rPr>
                <w:rFonts w:ascii="Arial" w:cs="Arial" w:eastAsia="Arial" w:hAnsi="Arial"/>
                <w:sz w:val="16"/>
                <w:szCs w:val="16"/>
                <w:b w:val="1"/>
                <w:bCs w:val="1"/>
                <w:color w:val="auto"/>
              </w:rPr>
              <w:t>securities</w:t>
            </w: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2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jc w:val="right"/>
              <w:ind w:right="78"/>
              <w:spacing w:after="0"/>
              <w:rPr>
                <w:sz w:val="20"/>
                <w:szCs w:val="20"/>
                <w:color w:val="auto"/>
              </w:rPr>
            </w:pPr>
            <w:r>
              <w:rPr>
                <w:rFonts w:ascii="Arial" w:cs="Arial" w:eastAsia="Arial" w:hAnsi="Arial"/>
                <w:sz w:val="16"/>
                <w:szCs w:val="16"/>
                <w:b w:val="1"/>
                <w:bCs w:val="1"/>
                <w:color w:val="auto"/>
              </w:rPr>
              <w:t>underlying</w:t>
            </w:r>
          </w:p>
        </w:tc>
        <w:tc>
          <w:tcPr>
            <w:tcW w:w="1680" w:type="dxa"/>
            <w:vAlign w:val="bottom"/>
          </w:tcPr>
          <w:p>
            <w:pPr>
              <w:jc w:val="right"/>
              <w:ind w:right="58"/>
              <w:spacing w:after="0"/>
              <w:rPr>
                <w:sz w:val="20"/>
                <w:szCs w:val="20"/>
                <w:color w:val="auto"/>
              </w:rPr>
            </w:pPr>
            <w:r>
              <w:rPr>
                <w:rFonts w:ascii="Arial" w:cs="Arial" w:eastAsia="Arial" w:hAnsi="Arial"/>
                <w:sz w:val="16"/>
                <w:szCs w:val="16"/>
                <w:b w:val="1"/>
                <w:bCs w:val="1"/>
                <w:color w:val="auto"/>
              </w:rPr>
              <w:t>underlying</w:t>
            </w: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2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jc w:val="right"/>
              <w:ind w:right="78"/>
              <w:spacing w:after="0"/>
              <w:rPr>
                <w:sz w:val="20"/>
                <w:szCs w:val="20"/>
                <w:color w:val="auto"/>
              </w:rPr>
            </w:pPr>
            <w:r>
              <w:rPr>
                <w:rFonts w:ascii="Arial" w:cs="Arial" w:eastAsia="Arial" w:hAnsi="Arial"/>
                <w:sz w:val="16"/>
                <w:szCs w:val="16"/>
                <w:b w:val="1"/>
                <w:bCs w:val="1"/>
                <w:color w:val="auto"/>
              </w:rPr>
              <w:t>unexercised</w:t>
            </w:r>
          </w:p>
        </w:tc>
        <w:tc>
          <w:tcPr>
            <w:tcW w:w="1680" w:type="dxa"/>
            <w:vAlign w:val="bottom"/>
          </w:tcPr>
          <w:p>
            <w:pPr>
              <w:jc w:val="right"/>
              <w:ind w:right="58"/>
              <w:spacing w:after="0"/>
              <w:rPr>
                <w:sz w:val="20"/>
                <w:szCs w:val="20"/>
                <w:color w:val="auto"/>
              </w:rPr>
            </w:pPr>
            <w:r>
              <w:rPr>
                <w:rFonts w:ascii="Arial" w:cs="Arial" w:eastAsia="Arial" w:hAnsi="Arial"/>
                <w:sz w:val="16"/>
                <w:szCs w:val="16"/>
                <w:b w:val="1"/>
                <w:bCs w:val="1"/>
                <w:color w:val="auto"/>
              </w:rPr>
              <w:t>unexercised</w:t>
            </w: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298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Arial" w:cs="Arial" w:eastAsia="Arial" w:hAnsi="Arial"/>
                <w:sz w:val="16"/>
                <w:szCs w:val="16"/>
                <w:b w:val="1"/>
                <w:bCs w:val="1"/>
                <w:color w:val="auto"/>
              </w:rPr>
              <w:t>Grant</w:t>
            </w:r>
          </w:p>
        </w:tc>
        <w:tc>
          <w:tcPr>
            <w:tcW w:w="1480" w:type="dxa"/>
            <w:vAlign w:val="bottom"/>
          </w:tcPr>
          <w:p>
            <w:pPr>
              <w:jc w:val="right"/>
              <w:ind w:right="78"/>
              <w:spacing w:after="0"/>
              <w:rPr>
                <w:sz w:val="20"/>
                <w:szCs w:val="20"/>
                <w:color w:val="auto"/>
              </w:rPr>
            </w:pPr>
            <w:r>
              <w:rPr>
                <w:rFonts w:ascii="Arial" w:cs="Arial" w:eastAsia="Arial" w:hAnsi="Arial"/>
                <w:sz w:val="16"/>
                <w:szCs w:val="16"/>
                <w:b w:val="1"/>
                <w:bCs w:val="1"/>
                <w:color w:val="auto"/>
              </w:rPr>
              <w:t>options</w:t>
            </w:r>
          </w:p>
        </w:tc>
        <w:tc>
          <w:tcPr>
            <w:tcW w:w="1680" w:type="dxa"/>
            <w:vAlign w:val="bottom"/>
          </w:tcPr>
          <w:p>
            <w:pPr>
              <w:jc w:val="right"/>
              <w:ind w:right="58"/>
              <w:spacing w:after="0"/>
              <w:rPr>
                <w:sz w:val="20"/>
                <w:szCs w:val="20"/>
                <w:color w:val="auto"/>
              </w:rPr>
            </w:pPr>
            <w:r>
              <w:rPr>
                <w:rFonts w:ascii="Arial" w:cs="Arial" w:eastAsia="Arial" w:hAnsi="Arial"/>
                <w:sz w:val="16"/>
                <w:szCs w:val="16"/>
                <w:b w:val="1"/>
                <w:bCs w:val="1"/>
                <w:color w:val="auto"/>
              </w:rPr>
              <w:t>options</w:t>
            </w:r>
          </w:p>
        </w:tc>
        <w:tc>
          <w:tcPr>
            <w:tcW w:w="1580" w:type="dxa"/>
            <w:vAlign w:val="bottom"/>
            <w:gridSpan w:val="2"/>
          </w:tcPr>
          <w:p>
            <w:pPr>
              <w:ind w:left="180"/>
              <w:spacing w:after="0"/>
              <w:rPr>
                <w:sz w:val="20"/>
                <w:szCs w:val="20"/>
                <w:color w:val="auto"/>
              </w:rPr>
            </w:pPr>
            <w:r>
              <w:rPr>
                <w:rFonts w:ascii="Arial" w:cs="Arial" w:eastAsia="Arial" w:hAnsi="Arial"/>
                <w:sz w:val="16"/>
                <w:szCs w:val="16"/>
                <w:b w:val="1"/>
                <w:bCs w:val="1"/>
                <w:color w:val="auto"/>
              </w:rPr>
              <w:t>Option exercise</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Option</w:t>
            </w:r>
          </w:p>
        </w:tc>
      </w:tr>
      <w:tr>
        <w:trPr>
          <w:trHeight w:val="207"/>
        </w:trPr>
        <w:tc>
          <w:tcPr>
            <w:tcW w:w="2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24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date(1)</w:t>
            </w:r>
          </w:p>
        </w:tc>
        <w:tc>
          <w:tcPr>
            <w:tcW w:w="14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 Exercisable</w:t>
            </w:r>
          </w:p>
        </w:tc>
        <w:tc>
          <w:tcPr>
            <w:tcW w:w="16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 Unexercisable</w:t>
            </w: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price ($)(2)</w:t>
            </w: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expiration date</w:t>
            </w:r>
          </w:p>
        </w:tc>
      </w:tr>
      <w:tr>
        <w:trPr>
          <w:trHeight w:val="170"/>
        </w:trPr>
        <w:tc>
          <w:tcPr>
            <w:tcW w:w="298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rPr>
              <w:t>Ron Kurtz, M.D</w:t>
            </w:r>
          </w:p>
        </w:tc>
        <w:tc>
          <w:tcPr>
            <w:tcW w:w="1240" w:type="dxa"/>
            <w:vAlign w:val="bottom"/>
            <w:shd w:val="clear" w:color="auto" w:fill="CCEEFF"/>
          </w:tcPr>
          <w:p>
            <w:pPr>
              <w:jc w:val="right"/>
              <w:ind w:right="78"/>
              <w:spacing w:after="0" w:line="170" w:lineRule="exact"/>
              <w:rPr>
                <w:sz w:val="20"/>
                <w:szCs w:val="20"/>
                <w:color w:val="auto"/>
              </w:rPr>
            </w:pPr>
            <w:r>
              <w:rPr>
                <w:rFonts w:ascii="Arial" w:cs="Arial" w:eastAsia="Arial" w:hAnsi="Arial"/>
                <w:sz w:val="16"/>
                <w:szCs w:val="16"/>
                <w:color w:val="auto"/>
              </w:rPr>
              <w:t>07/29/2015(3)</w:t>
            </w:r>
          </w:p>
        </w:tc>
        <w:tc>
          <w:tcPr>
            <w:tcW w:w="1480" w:type="dxa"/>
            <w:vAlign w:val="bottom"/>
            <w:shd w:val="clear" w:color="auto" w:fill="CCEEFF"/>
          </w:tcPr>
          <w:p>
            <w:pPr>
              <w:jc w:val="right"/>
              <w:ind w:right="78"/>
              <w:spacing w:after="0" w:line="170" w:lineRule="exact"/>
              <w:rPr>
                <w:sz w:val="20"/>
                <w:szCs w:val="20"/>
                <w:color w:val="auto"/>
              </w:rPr>
            </w:pPr>
            <w:r>
              <w:rPr>
                <w:rFonts w:ascii="Arial" w:cs="Arial" w:eastAsia="Arial" w:hAnsi="Arial"/>
                <w:sz w:val="16"/>
                <w:szCs w:val="16"/>
                <w:color w:val="auto"/>
              </w:rPr>
              <w:t>143,952</w:t>
            </w:r>
          </w:p>
        </w:tc>
        <w:tc>
          <w:tcPr>
            <w:tcW w:w="1680" w:type="dxa"/>
            <w:vAlign w:val="bottom"/>
            <w:shd w:val="clear" w:color="auto" w:fill="CCEEFF"/>
          </w:tcPr>
          <w:p>
            <w:pPr>
              <w:jc w:val="right"/>
              <w:ind w:right="58"/>
              <w:spacing w:after="0" w:line="170" w:lineRule="exact"/>
              <w:rPr>
                <w:sz w:val="20"/>
                <w:szCs w:val="20"/>
                <w:color w:val="auto"/>
              </w:rPr>
            </w:pPr>
            <w:r>
              <w:rPr>
                <w:rFonts w:ascii="Arial" w:cs="Arial" w:eastAsia="Arial" w:hAnsi="Arial"/>
                <w:sz w:val="16"/>
                <w:szCs w:val="16"/>
                <w:color w:val="auto"/>
              </w:rPr>
              <w:t>0</w:t>
            </w:r>
          </w:p>
        </w:tc>
        <w:tc>
          <w:tcPr>
            <w:tcW w:w="420" w:type="dxa"/>
            <w:vAlign w:val="bottom"/>
            <w:shd w:val="clear" w:color="auto" w:fill="CCEEFF"/>
          </w:tcPr>
          <w:p>
            <w:pPr>
              <w:ind w:left="160"/>
              <w:spacing w:after="0" w:line="170" w:lineRule="exact"/>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98"/>
              <w:spacing w:after="0" w:line="170" w:lineRule="exact"/>
              <w:rPr>
                <w:sz w:val="20"/>
                <w:szCs w:val="20"/>
                <w:color w:val="auto"/>
              </w:rPr>
            </w:pPr>
            <w:r>
              <w:rPr>
                <w:rFonts w:ascii="Arial" w:cs="Arial" w:eastAsia="Arial" w:hAnsi="Arial"/>
                <w:sz w:val="16"/>
                <w:szCs w:val="16"/>
                <w:color w:val="auto"/>
              </w:rPr>
              <w:t>3.93</w:t>
            </w:r>
          </w:p>
        </w:tc>
        <w:tc>
          <w:tcPr>
            <w:tcW w:w="13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07/29/2025</w:t>
            </w:r>
          </w:p>
        </w:tc>
        <w:tc>
          <w:tcPr>
            <w:tcW w:w="40" w:type="dxa"/>
            <w:vAlign w:val="bottom"/>
            <w:shd w:val="clear" w:color="auto" w:fill="CCEEFF"/>
          </w:tcPr>
          <w:p>
            <w:pPr>
              <w:spacing w:after="0"/>
              <w:rPr>
                <w:sz w:val="14"/>
                <w:szCs w:val="14"/>
                <w:color w:val="auto"/>
              </w:rPr>
            </w:pPr>
          </w:p>
        </w:tc>
      </w:tr>
      <w:tr>
        <w:trPr>
          <w:trHeight w:val="190"/>
        </w:trPr>
        <w:tc>
          <w:tcPr>
            <w:tcW w:w="298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President and Chief Executive</w:t>
            </w:r>
          </w:p>
        </w:tc>
        <w:tc>
          <w:tcPr>
            <w:tcW w:w="12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03/14/2017(4)</w:t>
            </w:r>
          </w:p>
        </w:tc>
        <w:tc>
          <w:tcPr>
            <w:tcW w:w="14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43,682</w:t>
            </w:r>
          </w:p>
        </w:tc>
        <w:tc>
          <w:tcPr>
            <w:tcW w:w="168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2,299</w:t>
            </w:r>
          </w:p>
        </w:tc>
        <w:tc>
          <w:tcPr>
            <w:tcW w:w="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4.34</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03/14/2027</w:t>
            </w:r>
          </w:p>
        </w:tc>
        <w:tc>
          <w:tcPr>
            <w:tcW w:w="40" w:type="dxa"/>
            <w:vAlign w:val="bottom"/>
            <w:shd w:val="clear" w:color="auto" w:fill="CCEEFF"/>
          </w:tcPr>
          <w:p>
            <w:pPr>
              <w:spacing w:after="0"/>
              <w:rPr>
                <w:sz w:val="16"/>
                <w:szCs w:val="16"/>
                <w:color w:val="auto"/>
              </w:rPr>
            </w:pPr>
          </w:p>
        </w:tc>
      </w:tr>
      <w:tr>
        <w:trPr>
          <w:trHeight w:val="216"/>
        </w:trPr>
        <w:tc>
          <w:tcPr>
            <w:tcW w:w="298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Officer</w:t>
            </w:r>
          </w:p>
        </w:tc>
        <w:tc>
          <w:tcPr>
            <w:tcW w:w="12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04/23/2020(4)</w:t>
            </w:r>
          </w:p>
        </w:tc>
        <w:tc>
          <w:tcPr>
            <w:tcW w:w="14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7,864</w:t>
            </w:r>
          </w:p>
        </w:tc>
        <w:tc>
          <w:tcPr>
            <w:tcW w:w="168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40,335</w:t>
            </w:r>
          </w:p>
        </w:tc>
        <w:tc>
          <w:tcPr>
            <w:tcW w:w="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15.09</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04/23/2030</w:t>
            </w:r>
          </w:p>
        </w:tc>
        <w:tc>
          <w:tcPr>
            <w:tcW w:w="40" w:type="dxa"/>
            <w:vAlign w:val="bottom"/>
            <w:shd w:val="clear" w:color="auto" w:fill="CCEEFF"/>
          </w:tcPr>
          <w:p>
            <w:pPr>
              <w:spacing w:after="0"/>
              <w:rPr>
                <w:sz w:val="18"/>
                <w:szCs w:val="18"/>
                <w:color w:val="auto"/>
              </w:rPr>
            </w:pPr>
          </w:p>
        </w:tc>
      </w:tr>
      <w:tr>
        <w:trPr>
          <w:trHeight w:val="340"/>
        </w:trPr>
        <w:tc>
          <w:tcPr>
            <w:tcW w:w="2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jc w:val="right"/>
              <w:ind w:right="318"/>
              <w:spacing w:after="0"/>
              <w:rPr>
                <w:sz w:val="20"/>
                <w:szCs w:val="20"/>
                <w:color w:val="auto"/>
              </w:rPr>
            </w:pPr>
            <w:r>
              <w:rPr>
                <w:rFonts w:ascii="Arial" w:cs="Arial" w:eastAsia="Arial" w:hAnsi="Arial"/>
                <w:sz w:val="16"/>
                <w:szCs w:val="16"/>
                <w:color w:val="auto"/>
              </w:rPr>
              <w:t>174</w:t>
            </w: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00"/>
          </w:cols>
          <w:pgMar w:left="320" w:top="441" w:right="77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191770</wp:posOffset>
            </wp:positionV>
            <wp:extent cx="6569075" cy="158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32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Option awards</w:t>
            </w:r>
          </w:p>
        </w:tc>
      </w:tr>
      <w:tr>
        <w:trPr>
          <w:trHeight w:val="166"/>
        </w:trPr>
        <w:tc>
          <w:tcPr>
            <w:tcW w:w="294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78"/>
              <w:spacing w:after="0" w:line="166" w:lineRule="exact"/>
              <w:rPr>
                <w:sz w:val="20"/>
                <w:szCs w:val="20"/>
                <w:color w:val="auto"/>
              </w:rPr>
            </w:pPr>
            <w:r>
              <w:rPr>
                <w:rFonts w:ascii="Arial" w:cs="Arial" w:eastAsia="Arial" w:hAnsi="Arial"/>
                <w:sz w:val="16"/>
                <w:szCs w:val="16"/>
                <w:b w:val="1"/>
                <w:bCs w:val="1"/>
                <w:color w:val="auto"/>
              </w:rPr>
              <w:t>Number of</w:t>
            </w:r>
          </w:p>
        </w:tc>
        <w:tc>
          <w:tcPr>
            <w:tcW w:w="1660" w:type="dxa"/>
            <w:vAlign w:val="bottom"/>
            <w:tcBorders>
              <w:top w:val="single" w:sz="8" w:color="auto"/>
            </w:tcBorders>
          </w:tcPr>
          <w:p>
            <w:pPr>
              <w:jc w:val="right"/>
              <w:ind w:right="58"/>
              <w:spacing w:after="0" w:line="166" w:lineRule="exact"/>
              <w:rPr>
                <w:sz w:val="20"/>
                <w:szCs w:val="20"/>
                <w:color w:val="auto"/>
              </w:rPr>
            </w:pPr>
            <w:r>
              <w:rPr>
                <w:rFonts w:ascii="Arial" w:cs="Arial" w:eastAsia="Arial" w:hAnsi="Arial"/>
                <w:sz w:val="16"/>
                <w:szCs w:val="16"/>
                <w:b w:val="1"/>
                <w:bCs w:val="1"/>
                <w:color w:val="auto"/>
              </w:rPr>
              <w:t>Number of</w:t>
            </w:r>
          </w:p>
        </w:tc>
        <w:tc>
          <w:tcPr>
            <w:tcW w:w="4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90"/>
        </w:trPr>
        <w:tc>
          <w:tcPr>
            <w:tcW w:w="2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80" w:type="dxa"/>
            <w:vAlign w:val="bottom"/>
          </w:tcPr>
          <w:p>
            <w:pPr>
              <w:jc w:val="right"/>
              <w:ind w:right="78"/>
              <w:spacing w:after="0"/>
              <w:rPr>
                <w:sz w:val="20"/>
                <w:szCs w:val="20"/>
                <w:color w:val="auto"/>
              </w:rPr>
            </w:pPr>
            <w:r>
              <w:rPr>
                <w:rFonts w:ascii="Arial" w:cs="Arial" w:eastAsia="Arial" w:hAnsi="Arial"/>
                <w:sz w:val="16"/>
                <w:szCs w:val="16"/>
                <w:b w:val="1"/>
                <w:bCs w:val="1"/>
                <w:color w:val="auto"/>
              </w:rPr>
              <w:t>securities</w:t>
            </w:r>
          </w:p>
        </w:tc>
        <w:tc>
          <w:tcPr>
            <w:tcW w:w="1660" w:type="dxa"/>
            <w:vAlign w:val="bottom"/>
          </w:tcPr>
          <w:p>
            <w:pPr>
              <w:jc w:val="right"/>
              <w:ind w:right="58"/>
              <w:spacing w:after="0"/>
              <w:rPr>
                <w:sz w:val="20"/>
                <w:szCs w:val="20"/>
                <w:color w:val="auto"/>
              </w:rPr>
            </w:pPr>
            <w:r>
              <w:rPr>
                <w:rFonts w:ascii="Arial" w:cs="Arial" w:eastAsia="Arial" w:hAnsi="Arial"/>
                <w:sz w:val="16"/>
                <w:szCs w:val="16"/>
                <w:b w:val="1"/>
                <w:bCs w:val="1"/>
                <w:color w:val="auto"/>
              </w:rPr>
              <w:t>securities</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2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80" w:type="dxa"/>
            <w:vAlign w:val="bottom"/>
          </w:tcPr>
          <w:p>
            <w:pPr>
              <w:jc w:val="right"/>
              <w:ind w:right="78"/>
              <w:spacing w:after="0"/>
              <w:rPr>
                <w:sz w:val="20"/>
                <w:szCs w:val="20"/>
                <w:color w:val="auto"/>
              </w:rPr>
            </w:pPr>
            <w:r>
              <w:rPr>
                <w:rFonts w:ascii="Arial" w:cs="Arial" w:eastAsia="Arial" w:hAnsi="Arial"/>
                <w:sz w:val="16"/>
                <w:szCs w:val="16"/>
                <w:b w:val="1"/>
                <w:bCs w:val="1"/>
                <w:color w:val="auto"/>
              </w:rPr>
              <w:t>underlying</w:t>
            </w:r>
          </w:p>
        </w:tc>
        <w:tc>
          <w:tcPr>
            <w:tcW w:w="1660" w:type="dxa"/>
            <w:vAlign w:val="bottom"/>
          </w:tcPr>
          <w:p>
            <w:pPr>
              <w:jc w:val="right"/>
              <w:ind w:right="58"/>
              <w:spacing w:after="0"/>
              <w:rPr>
                <w:sz w:val="20"/>
                <w:szCs w:val="20"/>
                <w:color w:val="auto"/>
              </w:rPr>
            </w:pPr>
            <w:r>
              <w:rPr>
                <w:rFonts w:ascii="Arial" w:cs="Arial" w:eastAsia="Arial" w:hAnsi="Arial"/>
                <w:sz w:val="16"/>
                <w:szCs w:val="16"/>
                <w:b w:val="1"/>
                <w:bCs w:val="1"/>
                <w:color w:val="auto"/>
              </w:rPr>
              <w:t>underlying</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2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80" w:type="dxa"/>
            <w:vAlign w:val="bottom"/>
          </w:tcPr>
          <w:p>
            <w:pPr>
              <w:jc w:val="right"/>
              <w:ind w:right="78"/>
              <w:spacing w:after="0"/>
              <w:rPr>
                <w:sz w:val="20"/>
                <w:szCs w:val="20"/>
                <w:color w:val="auto"/>
              </w:rPr>
            </w:pPr>
            <w:r>
              <w:rPr>
                <w:rFonts w:ascii="Arial" w:cs="Arial" w:eastAsia="Arial" w:hAnsi="Arial"/>
                <w:sz w:val="16"/>
                <w:szCs w:val="16"/>
                <w:b w:val="1"/>
                <w:bCs w:val="1"/>
                <w:color w:val="auto"/>
              </w:rPr>
              <w:t>unexercised</w:t>
            </w:r>
          </w:p>
        </w:tc>
        <w:tc>
          <w:tcPr>
            <w:tcW w:w="1660" w:type="dxa"/>
            <w:vAlign w:val="bottom"/>
          </w:tcPr>
          <w:p>
            <w:pPr>
              <w:jc w:val="right"/>
              <w:ind w:right="58"/>
              <w:spacing w:after="0"/>
              <w:rPr>
                <w:sz w:val="20"/>
                <w:szCs w:val="20"/>
                <w:color w:val="auto"/>
              </w:rPr>
            </w:pPr>
            <w:r>
              <w:rPr>
                <w:rFonts w:ascii="Arial" w:cs="Arial" w:eastAsia="Arial" w:hAnsi="Arial"/>
                <w:sz w:val="16"/>
                <w:szCs w:val="16"/>
                <w:b w:val="1"/>
                <w:bCs w:val="1"/>
                <w:color w:val="auto"/>
              </w:rPr>
              <w:t>unexercised</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2940" w:type="dxa"/>
            <w:vAlign w:val="bottom"/>
          </w:tcPr>
          <w:p>
            <w:pPr>
              <w:spacing w:after="0"/>
              <w:rPr>
                <w:sz w:val="16"/>
                <w:szCs w:val="16"/>
                <w:color w:val="auto"/>
              </w:rPr>
            </w:pPr>
          </w:p>
        </w:tc>
        <w:tc>
          <w:tcPr>
            <w:tcW w:w="1320" w:type="dxa"/>
            <w:vAlign w:val="bottom"/>
          </w:tcPr>
          <w:p>
            <w:pPr>
              <w:jc w:val="right"/>
              <w:ind w:right="358"/>
              <w:spacing w:after="0"/>
              <w:rPr>
                <w:sz w:val="20"/>
                <w:szCs w:val="20"/>
                <w:color w:val="auto"/>
              </w:rPr>
            </w:pPr>
            <w:r>
              <w:rPr>
                <w:rFonts w:ascii="Arial" w:cs="Arial" w:eastAsia="Arial" w:hAnsi="Arial"/>
                <w:sz w:val="16"/>
                <w:szCs w:val="16"/>
                <w:b w:val="1"/>
                <w:bCs w:val="1"/>
                <w:color w:val="auto"/>
              </w:rPr>
              <w:t>Grant</w:t>
            </w:r>
          </w:p>
        </w:tc>
        <w:tc>
          <w:tcPr>
            <w:tcW w:w="1480" w:type="dxa"/>
            <w:vAlign w:val="bottom"/>
          </w:tcPr>
          <w:p>
            <w:pPr>
              <w:jc w:val="right"/>
              <w:ind w:right="78"/>
              <w:spacing w:after="0"/>
              <w:rPr>
                <w:sz w:val="20"/>
                <w:szCs w:val="20"/>
                <w:color w:val="auto"/>
              </w:rPr>
            </w:pPr>
            <w:r>
              <w:rPr>
                <w:rFonts w:ascii="Arial" w:cs="Arial" w:eastAsia="Arial" w:hAnsi="Arial"/>
                <w:sz w:val="16"/>
                <w:szCs w:val="16"/>
                <w:b w:val="1"/>
                <w:bCs w:val="1"/>
                <w:color w:val="auto"/>
              </w:rPr>
              <w:t>options</w:t>
            </w:r>
          </w:p>
        </w:tc>
        <w:tc>
          <w:tcPr>
            <w:tcW w:w="1660" w:type="dxa"/>
            <w:vAlign w:val="bottom"/>
          </w:tcPr>
          <w:p>
            <w:pPr>
              <w:jc w:val="right"/>
              <w:ind w:right="58"/>
              <w:spacing w:after="0"/>
              <w:rPr>
                <w:sz w:val="20"/>
                <w:szCs w:val="20"/>
                <w:color w:val="auto"/>
              </w:rPr>
            </w:pPr>
            <w:r>
              <w:rPr>
                <w:rFonts w:ascii="Arial" w:cs="Arial" w:eastAsia="Arial" w:hAnsi="Arial"/>
                <w:sz w:val="16"/>
                <w:szCs w:val="16"/>
                <w:b w:val="1"/>
                <w:bCs w:val="1"/>
                <w:color w:val="auto"/>
              </w:rPr>
              <w:t>options</w:t>
            </w:r>
          </w:p>
        </w:tc>
        <w:tc>
          <w:tcPr>
            <w:tcW w:w="1560" w:type="dxa"/>
            <w:vAlign w:val="bottom"/>
            <w:gridSpan w:val="2"/>
          </w:tcPr>
          <w:p>
            <w:pPr>
              <w:ind w:left="160"/>
              <w:spacing w:after="0"/>
              <w:rPr>
                <w:sz w:val="20"/>
                <w:szCs w:val="20"/>
                <w:color w:val="auto"/>
              </w:rPr>
            </w:pPr>
            <w:r>
              <w:rPr>
                <w:rFonts w:ascii="Arial" w:cs="Arial" w:eastAsia="Arial" w:hAnsi="Arial"/>
                <w:sz w:val="16"/>
                <w:szCs w:val="16"/>
                <w:b w:val="1"/>
                <w:bCs w:val="1"/>
                <w:color w:val="auto"/>
              </w:rPr>
              <w:t>Option exercise</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Option</w:t>
            </w:r>
          </w:p>
        </w:tc>
      </w:tr>
      <w:tr>
        <w:trPr>
          <w:trHeight w:val="207"/>
        </w:trPr>
        <w:tc>
          <w:tcPr>
            <w:tcW w:w="2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3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date(1)</w:t>
            </w:r>
          </w:p>
        </w:tc>
        <w:tc>
          <w:tcPr>
            <w:tcW w:w="14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 Exercisable</w:t>
            </w:r>
          </w:p>
        </w:tc>
        <w:tc>
          <w:tcPr>
            <w:tcW w:w="16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 Unexercisable</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price ($)(2)</w:t>
            </w: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expiration date</w:t>
            </w:r>
          </w:p>
        </w:tc>
      </w:tr>
      <w:tr>
        <w:trPr>
          <w:trHeight w:val="81"/>
        </w:trPr>
        <w:tc>
          <w:tcPr>
            <w:tcW w:w="29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77"/>
        </w:trPr>
        <w:tc>
          <w:tcPr>
            <w:tcW w:w="29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Shelley Thunen</w:t>
            </w:r>
          </w:p>
        </w:tc>
        <w:tc>
          <w:tcPr>
            <w:tcW w:w="1320" w:type="dxa"/>
            <w:vAlign w:val="bottom"/>
            <w:shd w:val="clear" w:color="auto" w:fill="CCEEFF"/>
          </w:tcPr>
          <w:p>
            <w:pPr>
              <w:jc w:val="right"/>
              <w:ind w:right="158"/>
              <w:spacing w:after="0" w:line="178" w:lineRule="exact"/>
              <w:rPr>
                <w:sz w:val="20"/>
                <w:szCs w:val="20"/>
                <w:color w:val="auto"/>
              </w:rPr>
            </w:pPr>
            <w:r>
              <w:rPr>
                <w:rFonts w:ascii="Arial" w:cs="Arial" w:eastAsia="Arial" w:hAnsi="Arial"/>
                <w:sz w:val="16"/>
                <w:szCs w:val="16"/>
                <w:color w:val="auto"/>
              </w:rPr>
              <w:t>02/04/2016(5)</w:t>
            </w:r>
          </w:p>
        </w:tc>
        <w:tc>
          <w:tcPr>
            <w:tcW w:w="1480" w:type="dxa"/>
            <w:vAlign w:val="bottom"/>
            <w:shd w:val="clear" w:color="auto" w:fill="CCEEFF"/>
          </w:tcPr>
          <w:p>
            <w:pPr>
              <w:jc w:val="right"/>
              <w:ind w:right="78"/>
              <w:spacing w:after="0" w:line="178" w:lineRule="exact"/>
              <w:rPr>
                <w:sz w:val="20"/>
                <w:szCs w:val="20"/>
                <w:color w:val="auto"/>
              </w:rPr>
            </w:pPr>
            <w:r>
              <w:rPr>
                <w:rFonts w:ascii="Arial" w:cs="Arial" w:eastAsia="Arial" w:hAnsi="Arial"/>
                <w:sz w:val="16"/>
                <w:szCs w:val="16"/>
                <w:color w:val="auto"/>
              </w:rPr>
              <w:t>32,268</w:t>
            </w:r>
          </w:p>
        </w:tc>
        <w:tc>
          <w:tcPr>
            <w:tcW w:w="1660" w:type="dxa"/>
            <w:vAlign w:val="bottom"/>
            <w:shd w:val="clear" w:color="auto" w:fill="CCEEFF"/>
          </w:tcPr>
          <w:p>
            <w:pPr>
              <w:jc w:val="right"/>
              <w:ind w:right="58"/>
              <w:spacing w:after="0" w:line="178" w:lineRule="exact"/>
              <w:rPr>
                <w:sz w:val="20"/>
                <w:szCs w:val="20"/>
                <w:color w:val="auto"/>
              </w:rPr>
            </w:pPr>
            <w:r>
              <w:rPr>
                <w:rFonts w:ascii="Arial" w:cs="Arial" w:eastAsia="Arial" w:hAnsi="Arial"/>
                <w:sz w:val="16"/>
                <w:szCs w:val="16"/>
                <w:color w:val="auto"/>
              </w:rPr>
              <w:t>0</w:t>
            </w:r>
          </w:p>
        </w:tc>
        <w:tc>
          <w:tcPr>
            <w:tcW w:w="400" w:type="dxa"/>
            <w:vAlign w:val="bottom"/>
            <w:shd w:val="clear" w:color="auto" w:fill="CCEEFF"/>
          </w:tcPr>
          <w:p>
            <w:pPr>
              <w:ind w:left="160"/>
              <w:spacing w:after="0" w:line="178" w:lineRule="exact"/>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8"/>
              <w:spacing w:after="0" w:line="178" w:lineRule="exact"/>
              <w:rPr>
                <w:sz w:val="20"/>
                <w:szCs w:val="20"/>
                <w:color w:val="auto"/>
              </w:rPr>
            </w:pPr>
            <w:r>
              <w:rPr>
                <w:rFonts w:ascii="Arial" w:cs="Arial" w:eastAsia="Arial" w:hAnsi="Arial"/>
                <w:sz w:val="16"/>
                <w:szCs w:val="16"/>
                <w:color w:val="auto"/>
              </w:rPr>
              <w:t>3.93</w:t>
            </w:r>
          </w:p>
        </w:tc>
        <w:tc>
          <w:tcPr>
            <w:tcW w:w="13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02/04/2026</w:t>
            </w:r>
          </w:p>
        </w:tc>
        <w:tc>
          <w:tcPr>
            <w:tcW w:w="40" w:type="dxa"/>
            <w:vAlign w:val="bottom"/>
            <w:shd w:val="clear" w:color="auto" w:fill="CCEEFF"/>
          </w:tcPr>
          <w:p>
            <w:pPr>
              <w:spacing w:after="0"/>
              <w:rPr>
                <w:sz w:val="15"/>
                <w:szCs w:val="15"/>
                <w:color w:val="auto"/>
              </w:rPr>
            </w:pPr>
          </w:p>
        </w:tc>
      </w:tr>
      <w:tr>
        <w:trPr>
          <w:trHeight w:val="206"/>
        </w:trPr>
        <w:tc>
          <w:tcPr>
            <w:tcW w:w="294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Chief Financial Officer</w:t>
            </w:r>
          </w:p>
        </w:tc>
        <w:tc>
          <w:tcPr>
            <w:tcW w:w="132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10/27/2016(6)</w:t>
            </w:r>
          </w:p>
        </w:tc>
        <w:tc>
          <w:tcPr>
            <w:tcW w:w="14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29,040</w:t>
            </w:r>
          </w:p>
        </w:tc>
        <w:tc>
          <w:tcPr>
            <w:tcW w:w="16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0</w:t>
            </w: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4.34</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10/27/2026</w:t>
            </w:r>
          </w:p>
        </w:tc>
        <w:tc>
          <w:tcPr>
            <w:tcW w:w="40" w:type="dxa"/>
            <w:vAlign w:val="bottom"/>
            <w:shd w:val="clear" w:color="auto" w:fill="CCEEFF"/>
          </w:tcPr>
          <w:p>
            <w:pPr>
              <w:spacing w:after="0"/>
              <w:rPr>
                <w:sz w:val="17"/>
                <w:szCs w:val="17"/>
                <w:color w:val="auto"/>
              </w:rPr>
            </w:pPr>
          </w:p>
        </w:tc>
      </w:tr>
      <w:tr>
        <w:trPr>
          <w:trHeight w:val="190"/>
        </w:trPr>
        <w:tc>
          <w:tcPr>
            <w:tcW w:w="29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03/14/2017(6)</w:t>
            </w:r>
          </w:p>
        </w:tc>
        <w:tc>
          <w:tcPr>
            <w:tcW w:w="14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6,380</w:t>
            </w:r>
          </w:p>
        </w:tc>
        <w:tc>
          <w:tcPr>
            <w:tcW w:w="16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277</w:t>
            </w: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4.34</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03/14/2027</w:t>
            </w:r>
          </w:p>
        </w:tc>
        <w:tc>
          <w:tcPr>
            <w:tcW w:w="40" w:type="dxa"/>
            <w:vAlign w:val="bottom"/>
            <w:shd w:val="clear" w:color="auto" w:fill="CCEEFF"/>
          </w:tcPr>
          <w:p>
            <w:pPr>
              <w:spacing w:after="0"/>
              <w:rPr>
                <w:sz w:val="16"/>
                <w:szCs w:val="16"/>
                <w:color w:val="auto"/>
              </w:rPr>
            </w:pPr>
          </w:p>
        </w:tc>
      </w:tr>
      <w:tr>
        <w:trPr>
          <w:trHeight w:val="190"/>
        </w:trPr>
        <w:tc>
          <w:tcPr>
            <w:tcW w:w="29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07/26/2018(6)</w:t>
            </w:r>
          </w:p>
        </w:tc>
        <w:tc>
          <w:tcPr>
            <w:tcW w:w="14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8,772</w:t>
            </w:r>
          </w:p>
        </w:tc>
        <w:tc>
          <w:tcPr>
            <w:tcW w:w="16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5,747</w:t>
            </w: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18.91</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07/26/2028</w:t>
            </w:r>
          </w:p>
        </w:tc>
        <w:tc>
          <w:tcPr>
            <w:tcW w:w="40" w:type="dxa"/>
            <w:vAlign w:val="bottom"/>
            <w:shd w:val="clear" w:color="auto" w:fill="CCEEFF"/>
          </w:tcPr>
          <w:p>
            <w:pPr>
              <w:spacing w:after="0"/>
              <w:rPr>
                <w:sz w:val="16"/>
                <w:szCs w:val="16"/>
                <w:color w:val="auto"/>
              </w:rPr>
            </w:pPr>
          </w:p>
        </w:tc>
      </w:tr>
      <w:tr>
        <w:trPr>
          <w:trHeight w:val="200"/>
        </w:trPr>
        <w:tc>
          <w:tcPr>
            <w:tcW w:w="29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04/23/2020(6)</w:t>
            </w:r>
          </w:p>
        </w:tc>
        <w:tc>
          <w:tcPr>
            <w:tcW w:w="14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8,067</w:t>
            </w:r>
          </w:p>
        </w:tc>
        <w:tc>
          <w:tcPr>
            <w:tcW w:w="16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40,334</w:t>
            </w: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15.09</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04/23/2030</w:t>
            </w:r>
          </w:p>
        </w:tc>
        <w:tc>
          <w:tcPr>
            <w:tcW w:w="40" w:type="dxa"/>
            <w:vAlign w:val="bottom"/>
            <w:shd w:val="clear" w:color="auto" w:fill="CCEEFF"/>
          </w:tcPr>
          <w:p>
            <w:pPr>
              <w:spacing w:after="0"/>
              <w:rPr>
                <w:sz w:val="17"/>
                <w:szCs w:val="17"/>
                <w:color w:val="auto"/>
              </w:rPr>
            </w:pPr>
          </w:p>
        </w:tc>
      </w:tr>
      <w:tr>
        <w:trPr>
          <w:trHeight w:val="279"/>
        </w:trPr>
        <w:tc>
          <w:tcPr>
            <w:tcW w:w="2940" w:type="dxa"/>
            <w:vAlign w:val="bottom"/>
          </w:tcPr>
          <w:p>
            <w:pPr>
              <w:spacing w:after="0"/>
              <w:rPr>
                <w:sz w:val="20"/>
                <w:szCs w:val="20"/>
                <w:color w:val="auto"/>
              </w:rPr>
            </w:pPr>
            <w:r>
              <w:rPr>
                <w:rFonts w:ascii="Arial" w:cs="Arial" w:eastAsia="Arial" w:hAnsi="Arial"/>
                <w:sz w:val="16"/>
                <w:szCs w:val="16"/>
                <w:color w:val="auto"/>
              </w:rPr>
              <w:t>Eric Weinberg</w:t>
            </w:r>
          </w:p>
        </w:tc>
        <w:tc>
          <w:tcPr>
            <w:tcW w:w="1320" w:type="dxa"/>
            <w:vAlign w:val="bottom"/>
          </w:tcPr>
          <w:p>
            <w:pPr>
              <w:jc w:val="right"/>
              <w:ind w:right="158"/>
              <w:spacing w:after="0"/>
              <w:rPr>
                <w:sz w:val="20"/>
                <w:szCs w:val="20"/>
                <w:color w:val="auto"/>
              </w:rPr>
            </w:pPr>
            <w:r>
              <w:rPr>
                <w:rFonts w:ascii="Arial" w:cs="Arial" w:eastAsia="Arial" w:hAnsi="Arial"/>
                <w:sz w:val="16"/>
                <w:szCs w:val="16"/>
                <w:color w:val="auto"/>
              </w:rPr>
              <w:t>07/29/2015(7)</w:t>
            </w:r>
          </w:p>
        </w:tc>
        <w:tc>
          <w:tcPr>
            <w:tcW w:w="1480" w:type="dxa"/>
            <w:vAlign w:val="bottom"/>
          </w:tcPr>
          <w:p>
            <w:pPr>
              <w:jc w:val="right"/>
              <w:ind w:right="78"/>
              <w:spacing w:after="0"/>
              <w:rPr>
                <w:sz w:val="20"/>
                <w:szCs w:val="20"/>
                <w:color w:val="auto"/>
              </w:rPr>
            </w:pPr>
            <w:r>
              <w:rPr>
                <w:rFonts w:ascii="Arial" w:cs="Arial" w:eastAsia="Arial" w:hAnsi="Arial"/>
                <w:sz w:val="16"/>
                <w:szCs w:val="16"/>
                <w:color w:val="auto"/>
              </w:rPr>
              <w:t>231,174</w:t>
            </w:r>
          </w:p>
        </w:tc>
        <w:tc>
          <w:tcPr>
            <w:tcW w:w="1660" w:type="dxa"/>
            <w:vAlign w:val="bottom"/>
          </w:tcPr>
          <w:p>
            <w:pPr>
              <w:jc w:val="right"/>
              <w:ind w:right="58"/>
              <w:spacing w:after="0"/>
              <w:rPr>
                <w:sz w:val="20"/>
                <w:szCs w:val="20"/>
                <w:color w:val="auto"/>
              </w:rPr>
            </w:pPr>
            <w:r>
              <w:rPr>
                <w:rFonts w:ascii="Arial" w:cs="Arial" w:eastAsia="Arial" w:hAnsi="Arial"/>
                <w:sz w:val="16"/>
                <w:szCs w:val="16"/>
                <w:color w:val="auto"/>
              </w:rPr>
              <w:t>0</w:t>
            </w: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8"/>
              <w:spacing w:after="0"/>
              <w:rPr>
                <w:sz w:val="20"/>
                <w:szCs w:val="20"/>
                <w:color w:val="auto"/>
              </w:rPr>
            </w:pPr>
            <w:r>
              <w:rPr>
                <w:rFonts w:ascii="Arial" w:cs="Arial" w:eastAsia="Arial" w:hAnsi="Arial"/>
                <w:sz w:val="16"/>
                <w:szCs w:val="16"/>
                <w:color w:val="auto"/>
              </w:rPr>
              <w:t>3.93</w:t>
            </w:r>
          </w:p>
        </w:tc>
        <w:tc>
          <w:tcPr>
            <w:tcW w:w="1340" w:type="dxa"/>
            <w:vAlign w:val="bottom"/>
          </w:tcPr>
          <w:p>
            <w:pPr>
              <w:jc w:val="right"/>
              <w:spacing w:after="0"/>
              <w:rPr>
                <w:sz w:val="20"/>
                <w:szCs w:val="20"/>
                <w:color w:val="auto"/>
              </w:rPr>
            </w:pPr>
            <w:r>
              <w:rPr>
                <w:rFonts w:ascii="Arial" w:cs="Arial" w:eastAsia="Arial" w:hAnsi="Arial"/>
                <w:sz w:val="16"/>
                <w:szCs w:val="16"/>
                <w:color w:val="auto"/>
              </w:rPr>
              <w:t>07/29/2025</w:t>
            </w:r>
          </w:p>
        </w:tc>
        <w:tc>
          <w:tcPr>
            <w:tcW w:w="40" w:type="dxa"/>
            <w:vAlign w:val="bottom"/>
          </w:tcPr>
          <w:p>
            <w:pPr>
              <w:spacing w:after="0"/>
              <w:rPr>
                <w:sz w:val="24"/>
                <w:szCs w:val="24"/>
                <w:color w:val="auto"/>
              </w:rPr>
            </w:pPr>
          </w:p>
        </w:tc>
      </w:tr>
      <w:tr>
        <w:trPr>
          <w:trHeight w:val="206"/>
        </w:trPr>
        <w:tc>
          <w:tcPr>
            <w:tcW w:w="2940" w:type="dxa"/>
            <w:vAlign w:val="bottom"/>
          </w:tcPr>
          <w:p>
            <w:pPr>
              <w:ind w:left="200"/>
              <w:spacing w:after="0"/>
              <w:rPr>
                <w:sz w:val="20"/>
                <w:szCs w:val="20"/>
                <w:color w:val="auto"/>
              </w:rPr>
            </w:pPr>
            <w:r>
              <w:rPr>
                <w:rFonts w:ascii="Arial" w:cs="Arial" w:eastAsia="Arial" w:hAnsi="Arial"/>
                <w:sz w:val="16"/>
                <w:szCs w:val="16"/>
                <w:i w:val="1"/>
                <w:iCs w:val="1"/>
                <w:color w:val="auto"/>
              </w:rPr>
              <w:t>Chief Commercial Officer</w:t>
            </w:r>
          </w:p>
        </w:tc>
        <w:tc>
          <w:tcPr>
            <w:tcW w:w="1320" w:type="dxa"/>
            <w:vAlign w:val="bottom"/>
          </w:tcPr>
          <w:p>
            <w:pPr>
              <w:jc w:val="right"/>
              <w:ind w:right="158"/>
              <w:spacing w:after="0"/>
              <w:rPr>
                <w:sz w:val="20"/>
                <w:szCs w:val="20"/>
                <w:color w:val="auto"/>
              </w:rPr>
            </w:pPr>
            <w:r>
              <w:rPr>
                <w:rFonts w:ascii="Arial" w:cs="Arial" w:eastAsia="Arial" w:hAnsi="Arial"/>
                <w:sz w:val="16"/>
                <w:szCs w:val="16"/>
                <w:color w:val="auto"/>
              </w:rPr>
              <w:t>03/14/2017(8)</w:t>
            </w:r>
          </w:p>
        </w:tc>
        <w:tc>
          <w:tcPr>
            <w:tcW w:w="1480" w:type="dxa"/>
            <w:vAlign w:val="bottom"/>
          </w:tcPr>
          <w:p>
            <w:pPr>
              <w:jc w:val="right"/>
              <w:ind w:right="78"/>
              <w:spacing w:after="0"/>
              <w:rPr>
                <w:sz w:val="20"/>
                <w:szCs w:val="20"/>
                <w:color w:val="auto"/>
              </w:rPr>
            </w:pPr>
            <w:r>
              <w:rPr>
                <w:rFonts w:ascii="Arial" w:cs="Arial" w:eastAsia="Arial" w:hAnsi="Arial"/>
                <w:sz w:val="16"/>
                <w:szCs w:val="16"/>
                <w:color w:val="auto"/>
              </w:rPr>
              <w:t>33,604</w:t>
            </w:r>
          </w:p>
        </w:tc>
        <w:tc>
          <w:tcPr>
            <w:tcW w:w="1660" w:type="dxa"/>
            <w:vAlign w:val="bottom"/>
          </w:tcPr>
          <w:p>
            <w:pPr>
              <w:jc w:val="right"/>
              <w:ind w:right="58"/>
              <w:spacing w:after="0"/>
              <w:rPr>
                <w:sz w:val="20"/>
                <w:szCs w:val="20"/>
                <w:color w:val="auto"/>
              </w:rPr>
            </w:pPr>
            <w:r>
              <w:rPr>
                <w:rFonts w:ascii="Arial" w:cs="Arial" w:eastAsia="Arial" w:hAnsi="Arial"/>
                <w:sz w:val="16"/>
                <w:szCs w:val="16"/>
                <w:color w:val="auto"/>
              </w:rPr>
              <w:t>1,563</w:t>
            </w: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8"/>
              <w:spacing w:after="0"/>
              <w:rPr>
                <w:sz w:val="20"/>
                <w:szCs w:val="20"/>
                <w:color w:val="auto"/>
              </w:rPr>
            </w:pPr>
            <w:r>
              <w:rPr>
                <w:rFonts w:ascii="Arial" w:cs="Arial" w:eastAsia="Arial" w:hAnsi="Arial"/>
                <w:sz w:val="16"/>
                <w:szCs w:val="16"/>
                <w:color w:val="auto"/>
              </w:rPr>
              <w:t>4.34</w:t>
            </w:r>
          </w:p>
        </w:tc>
        <w:tc>
          <w:tcPr>
            <w:tcW w:w="1340" w:type="dxa"/>
            <w:vAlign w:val="bottom"/>
          </w:tcPr>
          <w:p>
            <w:pPr>
              <w:jc w:val="right"/>
              <w:spacing w:after="0"/>
              <w:rPr>
                <w:sz w:val="20"/>
                <w:szCs w:val="20"/>
                <w:color w:val="auto"/>
              </w:rPr>
            </w:pPr>
            <w:r>
              <w:rPr>
                <w:rFonts w:ascii="Arial" w:cs="Arial" w:eastAsia="Arial" w:hAnsi="Arial"/>
                <w:sz w:val="16"/>
                <w:szCs w:val="16"/>
                <w:color w:val="auto"/>
              </w:rPr>
              <w:t>03/14/2027</w:t>
            </w:r>
          </w:p>
        </w:tc>
        <w:tc>
          <w:tcPr>
            <w:tcW w:w="40" w:type="dxa"/>
            <w:vAlign w:val="bottom"/>
          </w:tcPr>
          <w:p>
            <w:pPr>
              <w:spacing w:after="0"/>
              <w:rPr>
                <w:sz w:val="17"/>
                <w:szCs w:val="17"/>
                <w:color w:val="auto"/>
              </w:rPr>
            </w:pPr>
          </w:p>
        </w:tc>
      </w:tr>
      <w:tr>
        <w:trPr>
          <w:trHeight w:val="190"/>
        </w:trPr>
        <w:tc>
          <w:tcPr>
            <w:tcW w:w="2940" w:type="dxa"/>
            <w:vAlign w:val="bottom"/>
          </w:tcPr>
          <w:p>
            <w:pPr>
              <w:spacing w:after="0"/>
              <w:rPr>
                <w:sz w:val="16"/>
                <w:szCs w:val="16"/>
                <w:color w:val="auto"/>
              </w:rPr>
            </w:pPr>
          </w:p>
        </w:tc>
        <w:tc>
          <w:tcPr>
            <w:tcW w:w="1320" w:type="dxa"/>
            <w:vAlign w:val="bottom"/>
          </w:tcPr>
          <w:p>
            <w:pPr>
              <w:jc w:val="right"/>
              <w:ind w:right="158"/>
              <w:spacing w:after="0"/>
              <w:rPr>
                <w:sz w:val="20"/>
                <w:szCs w:val="20"/>
                <w:color w:val="auto"/>
              </w:rPr>
            </w:pPr>
            <w:r>
              <w:rPr>
                <w:rFonts w:ascii="Arial" w:cs="Arial" w:eastAsia="Arial" w:hAnsi="Arial"/>
                <w:sz w:val="16"/>
                <w:szCs w:val="16"/>
                <w:color w:val="auto"/>
              </w:rPr>
              <w:t>04/18/2019(8)</w:t>
            </w:r>
          </w:p>
        </w:tc>
        <w:tc>
          <w:tcPr>
            <w:tcW w:w="1480" w:type="dxa"/>
            <w:vAlign w:val="bottom"/>
          </w:tcPr>
          <w:p>
            <w:pPr>
              <w:jc w:val="right"/>
              <w:ind w:right="78"/>
              <w:spacing w:after="0"/>
              <w:rPr>
                <w:sz w:val="20"/>
                <w:szCs w:val="20"/>
                <w:color w:val="auto"/>
              </w:rPr>
            </w:pPr>
            <w:r>
              <w:rPr>
                <w:rFonts w:ascii="Arial" w:cs="Arial" w:eastAsia="Arial" w:hAnsi="Arial"/>
                <w:sz w:val="16"/>
                <w:szCs w:val="16"/>
                <w:color w:val="auto"/>
              </w:rPr>
              <w:t>12,099</w:t>
            </w:r>
          </w:p>
        </w:tc>
        <w:tc>
          <w:tcPr>
            <w:tcW w:w="1660" w:type="dxa"/>
            <w:vAlign w:val="bottom"/>
          </w:tcPr>
          <w:p>
            <w:pPr>
              <w:jc w:val="right"/>
              <w:ind w:right="58"/>
              <w:spacing w:after="0"/>
              <w:rPr>
                <w:sz w:val="20"/>
                <w:szCs w:val="20"/>
                <w:color w:val="auto"/>
              </w:rPr>
            </w:pPr>
            <w:r>
              <w:rPr>
                <w:rFonts w:ascii="Arial" w:cs="Arial" w:eastAsia="Arial" w:hAnsi="Arial"/>
                <w:sz w:val="16"/>
                <w:szCs w:val="16"/>
                <w:color w:val="auto"/>
              </w:rPr>
              <w:t>2,420</w:t>
            </w: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8"/>
              <w:spacing w:after="0"/>
              <w:rPr>
                <w:sz w:val="20"/>
                <w:szCs w:val="20"/>
                <w:color w:val="auto"/>
              </w:rPr>
            </w:pPr>
            <w:r>
              <w:rPr>
                <w:rFonts w:ascii="Arial" w:cs="Arial" w:eastAsia="Arial" w:hAnsi="Arial"/>
                <w:sz w:val="16"/>
                <w:szCs w:val="16"/>
                <w:color w:val="auto"/>
              </w:rPr>
              <w:t>23.04</w:t>
            </w:r>
          </w:p>
        </w:tc>
        <w:tc>
          <w:tcPr>
            <w:tcW w:w="1340" w:type="dxa"/>
            <w:vAlign w:val="bottom"/>
          </w:tcPr>
          <w:p>
            <w:pPr>
              <w:jc w:val="right"/>
              <w:spacing w:after="0"/>
              <w:rPr>
                <w:sz w:val="20"/>
                <w:szCs w:val="20"/>
                <w:color w:val="auto"/>
              </w:rPr>
            </w:pPr>
            <w:r>
              <w:rPr>
                <w:rFonts w:ascii="Arial" w:cs="Arial" w:eastAsia="Arial" w:hAnsi="Arial"/>
                <w:sz w:val="16"/>
                <w:szCs w:val="16"/>
                <w:color w:val="auto"/>
              </w:rPr>
              <w:t>04/18/2029</w:t>
            </w:r>
          </w:p>
        </w:tc>
        <w:tc>
          <w:tcPr>
            <w:tcW w:w="40" w:type="dxa"/>
            <w:vAlign w:val="bottom"/>
          </w:tcPr>
          <w:p>
            <w:pPr>
              <w:spacing w:after="0"/>
              <w:rPr>
                <w:sz w:val="16"/>
                <w:szCs w:val="16"/>
                <w:color w:val="auto"/>
              </w:rPr>
            </w:pPr>
          </w:p>
        </w:tc>
      </w:tr>
      <w:tr>
        <w:trPr>
          <w:trHeight w:val="199"/>
        </w:trPr>
        <w:tc>
          <w:tcPr>
            <w:tcW w:w="2940" w:type="dxa"/>
            <w:vAlign w:val="bottom"/>
          </w:tcPr>
          <w:p>
            <w:pPr>
              <w:spacing w:after="0"/>
              <w:rPr>
                <w:sz w:val="17"/>
                <w:szCs w:val="17"/>
                <w:color w:val="auto"/>
              </w:rPr>
            </w:pPr>
          </w:p>
        </w:tc>
        <w:tc>
          <w:tcPr>
            <w:tcW w:w="1320" w:type="dxa"/>
            <w:vAlign w:val="bottom"/>
          </w:tcPr>
          <w:p>
            <w:pPr>
              <w:jc w:val="right"/>
              <w:ind w:right="158"/>
              <w:spacing w:after="0"/>
              <w:rPr>
                <w:sz w:val="20"/>
                <w:szCs w:val="20"/>
                <w:color w:val="auto"/>
              </w:rPr>
            </w:pPr>
            <w:r>
              <w:rPr>
                <w:rFonts w:ascii="Arial" w:cs="Arial" w:eastAsia="Arial" w:hAnsi="Arial"/>
                <w:sz w:val="16"/>
                <w:szCs w:val="16"/>
                <w:color w:val="auto"/>
              </w:rPr>
              <w:t>04/23/2020(8)</w:t>
            </w:r>
          </w:p>
        </w:tc>
        <w:tc>
          <w:tcPr>
            <w:tcW w:w="1480" w:type="dxa"/>
            <w:vAlign w:val="bottom"/>
          </w:tcPr>
          <w:p>
            <w:pPr>
              <w:jc w:val="right"/>
              <w:ind w:right="78"/>
              <w:spacing w:after="0"/>
              <w:rPr>
                <w:sz w:val="20"/>
                <w:szCs w:val="20"/>
                <w:color w:val="auto"/>
              </w:rPr>
            </w:pPr>
            <w:r>
              <w:rPr>
                <w:rFonts w:ascii="Arial" w:cs="Arial" w:eastAsia="Arial" w:hAnsi="Arial"/>
                <w:sz w:val="16"/>
                <w:szCs w:val="16"/>
                <w:color w:val="auto"/>
              </w:rPr>
              <w:t>12,100</w:t>
            </w:r>
          </w:p>
        </w:tc>
        <w:tc>
          <w:tcPr>
            <w:tcW w:w="1660" w:type="dxa"/>
            <w:vAlign w:val="bottom"/>
          </w:tcPr>
          <w:p>
            <w:pPr>
              <w:jc w:val="right"/>
              <w:ind w:right="58"/>
              <w:spacing w:after="0"/>
              <w:rPr>
                <w:sz w:val="20"/>
                <w:szCs w:val="20"/>
                <w:color w:val="auto"/>
              </w:rPr>
            </w:pPr>
            <w:r>
              <w:rPr>
                <w:rFonts w:ascii="Arial" w:cs="Arial" w:eastAsia="Arial" w:hAnsi="Arial"/>
                <w:sz w:val="16"/>
                <w:szCs w:val="16"/>
                <w:color w:val="auto"/>
              </w:rPr>
              <w:t>60,502</w:t>
            </w: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8"/>
              <w:spacing w:after="0"/>
              <w:rPr>
                <w:sz w:val="20"/>
                <w:szCs w:val="20"/>
                <w:color w:val="auto"/>
              </w:rPr>
            </w:pPr>
            <w:r>
              <w:rPr>
                <w:rFonts w:ascii="Arial" w:cs="Arial" w:eastAsia="Arial" w:hAnsi="Arial"/>
                <w:sz w:val="16"/>
                <w:szCs w:val="16"/>
                <w:color w:val="auto"/>
              </w:rPr>
              <w:t>15.09</w:t>
            </w:r>
          </w:p>
        </w:tc>
        <w:tc>
          <w:tcPr>
            <w:tcW w:w="1340" w:type="dxa"/>
            <w:vAlign w:val="bottom"/>
          </w:tcPr>
          <w:p>
            <w:pPr>
              <w:jc w:val="right"/>
              <w:spacing w:after="0"/>
              <w:rPr>
                <w:sz w:val="20"/>
                <w:szCs w:val="20"/>
                <w:color w:val="auto"/>
              </w:rPr>
            </w:pPr>
            <w:r>
              <w:rPr>
                <w:rFonts w:ascii="Arial" w:cs="Arial" w:eastAsia="Arial" w:hAnsi="Arial"/>
                <w:sz w:val="16"/>
                <w:szCs w:val="16"/>
                <w:color w:val="auto"/>
              </w:rPr>
              <w:t>04/23/2030</w:t>
            </w:r>
          </w:p>
        </w:tc>
        <w:tc>
          <w:tcPr>
            <w:tcW w:w="40" w:type="dxa"/>
            <w:vAlign w:val="bottom"/>
          </w:tcPr>
          <w:p>
            <w:pPr>
              <w:spacing w:after="0"/>
              <w:rPr>
                <w:sz w:val="17"/>
                <w:szCs w:val="17"/>
                <w:color w:val="auto"/>
              </w:rPr>
            </w:pPr>
          </w:p>
        </w:tc>
      </w:tr>
      <w:tr>
        <w:trPr>
          <w:trHeight w:val="179"/>
        </w:trPr>
        <w:tc>
          <w:tcPr>
            <w:tcW w:w="29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Ilya Goldshleger, Ph.D.</w:t>
            </w:r>
          </w:p>
        </w:tc>
        <w:tc>
          <w:tcPr>
            <w:tcW w:w="1320" w:type="dxa"/>
            <w:vAlign w:val="bottom"/>
            <w:shd w:val="clear" w:color="auto" w:fill="CCEEFF"/>
          </w:tcPr>
          <w:p>
            <w:pPr>
              <w:jc w:val="right"/>
              <w:ind w:right="158"/>
              <w:spacing w:after="0" w:line="178" w:lineRule="exact"/>
              <w:rPr>
                <w:sz w:val="20"/>
                <w:szCs w:val="20"/>
                <w:color w:val="auto"/>
              </w:rPr>
            </w:pPr>
            <w:r>
              <w:rPr>
                <w:rFonts w:ascii="Arial" w:cs="Arial" w:eastAsia="Arial" w:hAnsi="Arial"/>
                <w:sz w:val="16"/>
                <w:szCs w:val="16"/>
                <w:color w:val="auto"/>
              </w:rPr>
              <w:t>10/27/2015(9)</w:t>
            </w:r>
          </w:p>
        </w:tc>
        <w:tc>
          <w:tcPr>
            <w:tcW w:w="1480" w:type="dxa"/>
            <w:vAlign w:val="bottom"/>
            <w:shd w:val="clear" w:color="auto" w:fill="CCEEFF"/>
          </w:tcPr>
          <w:p>
            <w:pPr>
              <w:jc w:val="right"/>
              <w:ind w:right="78"/>
              <w:spacing w:after="0" w:line="178" w:lineRule="exact"/>
              <w:rPr>
                <w:sz w:val="20"/>
                <w:szCs w:val="20"/>
                <w:color w:val="auto"/>
              </w:rPr>
            </w:pPr>
            <w:r>
              <w:rPr>
                <w:rFonts w:ascii="Arial" w:cs="Arial" w:eastAsia="Arial" w:hAnsi="Arial"/>
                <w:sz w:val="16"/>
                <w:szCs w:val="16"/>
                <w:color w:val="auto"/>
              </w:rPr>
              <w:t>41,142</w:t>
            </w:r>
          </w:p>
        </w:tc>
        <w:tc>
          <w:tcPr>
            <w:tcW w:w="1660" w:type="dxa"/>
            <w:vAlign w:val="bottom"/>
            <w:shd w:val="clear" w:color="auto" w:fill="CCEEFF"/>
          </w:tcPr>
          <w:p>
            <w:pPr>
              <w:jc w:val="right"/>
              <w:ind w:right="58"/>
              <w:spacing w:after="0" w:line="178" w:lineRule="exact"/>
              <w:rPr>
                <w:sz w:val="20"/>
                <w:szCs w:val="20"/>
                <w:color w:val="auto"/>
              </w:rPr>
            </w:pPr>
            <w:r>
              <w:rPr>
                <w:rFonts w:ascii="Arial" w:cs="Arial" w:eastAsia="Arial" w:hAnsi="Arial"/>
                <w:sz w:val="16"/>
                <w:szCs w:val="16"/>
                <w:color w:val="auto"/>
              </w:rPr>
              <w:t>0</w:t>
            </w:r>
          </w:p>
        </w:tc>
        <w:tc>
          <w:tcPr>
            <w:tcW w:w="400" w:type="dxa"/>
            <w:vAlign w:val="bottom"/>
            <w:shd w:val="clear" w:color="auto" w:fill="CCEEFF"/>
          </w:tcPr>
          <w:p>
            <w:pPr>
              <w:ind w:left="160"/>
              <w:spacing w:after="0" w:line="178" w:lineRule="exact"/>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8"/>
              <w:spacing w:after="0" w:line="178" w:lineRule="exact"/>
              <w:rPr>
                <w:sz w:val="20"/>
                <w:szCs w:val="20"/>
                <w:color w:val="auto"/>
              </w:rPr>
            </w:pPr>
            <w:r>
              <w:rPr>
                <w:rFonts w:ascii="Arial" w:cs="Arial" w:eastAsia="Arial" w:hAnsi="Arial"/>
                <w:sz w:val="16"/>
                <w:szCs w:val="16"/>
                <w:color w:val="auto"/>
              </w:rPr>
              <w:t>3.93</w:t>
            </w:r>
          </w:p>
        </w:tc>
        <w:tc>
          <w:tcPr>
            <w:tcW w:w="13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10/27/2025</w:t>
            </w:r>
          </w:p>
        </w:tc>
        <w:tc>
          <w:tcPr>
            <w:tcW w:w="40" w:type="dxa"/>
            <w:vAlign w:val="bottom"/>
            <w:shd w:val="clear" w:color="auto" w:fill="CCEEFF"/>
          </w:tcPr>
          <w:p>
            <w:pPr>
              <w:spacing w:after="0"/>
              <w:rPr>
                <w:sz w:val="15"/>
                <w:szCs w:val="15"/>
                <w:color w:val="auto"/>
              </w:rPr>
            </w:pPr>
          </w:p>
        </w:tc>
      </w:tr>
      <w:tr>
        <w:trPr>
          <w:trHeight w:val="206"/>
        </w:trPr>
        <w:tc>
          <w:tcPr>
            <w:tcW w:w="294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Chief Operating Officer</w:t>
            </w:r>
          </w:p>
        </w:tc>
        <w:tc>
          <w:tcPr>
            <w:tcW w:w="13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07/28/2016(10)</w:t>
            </w:r>
          </w:p>
        </w:tc>
        <w:tc>
          <w:tcPr>
            <w:tcW w:w="14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4,840</w:t>
            </w:r>
          </w:p>
        </w:tc>
        <w:tc>
          <w:tcPr>
            <w:tcW w:w="16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0</w:t>
            </w: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4.14</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07/28/2026</w:t>
            </w:r>
          </w:p>
        </w:tc>
        <w:tc>
          <w:tcPr>
            <w:tcW w:w="40" w:type="dxa"/>
            <w:vAlign w:val="bottom"/>
            <w:shd w:val="clear" w:color="auto" w:fill="CCEEFF"/>
          </w:tcPr>
          <w:p>
            <w:pPr>
              <w:spacing w:after="0"/>
              <w:rPr>
                <w:sz w:val="17"/>
                <w:szCs w:val="17"/>
                <w:color w:val="auto"/>
              </w:rPr>
            </w:pPr>
          </w:p>
        </w:tc>
      </w:tr>
      <w:tr>
        <w:trPr>
          <w:trHeight w:val="190"/>
        </w:trPr>
        <w:tc>
          <w:tcPr>
            <w:tcW w:w="29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10/27/2016(10)</w:t>
            </w:r>
          </w:p>
        </w:tc>
        <w:tc>
          <w:tcPr>
            <w:tcW w:w="14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9,680</w:t>
            </w:r>
          </w:p>
        </w:tc>
        <w:tc>
          <w:tcPr>
            <w:tcW w:w="16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0</w:t>
            </w: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4.34</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10/27/2026</w:t>
            </w:r>
          </w:p>
        </w:tc>
        <w:tc>
          <w:tcPr>
            <w:tcW w:w="40" w:type="dxa"/>
            <w:vAlign w:val="bottom"/>
            <w:shd w:val="clear" w:color="auto" w:fill="CCEEFF"/>
          </w:tcPr>
          <w:p>
            <w:pPr>
              <w:spacing w:after="0"/>
              <w:rPr>
                <w:sz w:val="16"/>
                <w:szCs w:val="16"/>
                <w:color w:val="auto"/>
              </w:rPr>
            </w:pPr>
          </w:p>
        </w:tc>
      </w:tr>
      <w:tr>
        <w:trPr>
          <w:trHeight w:val="190"/>
        </w:trPr>
        <w:tc>
          <w:tcPr>
            <w:tcW w:w="29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03/14/2017(10)</w:t>
            </w:r>
          </w:p>
        </w:tc>
        <w:tc>
          <w:tcPr>
            <w:tcW w:w="14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9,277</w:t>
            </w:r>
          </w:p>
        </w:tc>
        <w:tc>
          <w:tcPr>
            <w:tcW w:w="16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403</w:t>
            </w: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4.34</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03/14/2027</w:t>
            </w:r>
          </w:p>
        </w:tc>
        <w:tc>
          <w:tcPr>
            <w:tcW w:w="40" w:type="dxa"/>
            <w:vAlign w:val="bottom"/>
            <w:shd w:val="clear" w:color="auto" w:fill="CCEEFF"/>
          </w:tcPr>
          <w:p>
            <w:pPr>
              <w:spacing w:after="0"/>
              <w:rPr>
                <w:sz w:val="16"/>
                <w:szCs w:val="16"/>
                <w:color w:val="auto"/>
              </w:rPr>
            </w:pPr>
          </w:p>
        </w:tc>
      </w:tr>
      <w:tr>
        <w:trPr>
          <w:trHeight w:val="190"/>
        </w:trPr>
        <w:tc>
          <w:tcPr>
            <w:tcW w:w="29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04/26/2017(10)</w:t>
            </w:r>
          </w:p>
        </w:tc>
        <w:tc>
          <w:tcPr>
            <w:tcW w:w="14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19,965</w:t>
            </w:r>
          </w:p>
        </w:tc>
        <w:tc>
          <w:tcPr>
            <w:tcW w:w="16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1,815</w:t>
            </w: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4.14</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04/26/2027</w:t>
            </w:r>
          </w:p>
        </w:tc>
        <w:tc>
          <w:tcPr>
            <w:tcW w:w="40" w:type="dxa"/>
            <w:vAlign w:val="bottom"/>
            <w:shd w:val="clear" w:color="auto" w:fill="CCEEFF"/>
          </w:tcPr>
          <w:p>
            <w:pPr>
              <w:spacing w:after="0"/>
              <w:rPr>
                <w:sz w:val="16"/>
                <w:szCs w:val="16"/>
                <w:color w:val="auto"/>
              </w:rPr>
            </w:pPr>
          </w:p>
        </w:tc>
      </w:tr>
      <w:tr>
        <w:trPr>
          <w:trHeight w:val="190"/>
        </w:trPr>
        <w:tc>
          <w:tcPr>
            <w:tcW w:w="29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01/25/2018(10)</w:t>
            </w:r>
          </w:p>
        </w:tc>
        <w:tc>
          <w:tcPr>
            <w:tcW w:w="14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10,587</w:t>
            </w:r>
          </w:p>
        </w:tc>
        <w:tc>
          <w:tcPr>
            <w:tcW w:w="16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3,932</w:t>
            </w: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18.91</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01/25/2028</w:t>
            </w:r>
          </w:p>
        </w:tc>
        <w:tc>
          <w:tcPr>
            <w:tcW w:w="40" w:type="dxa"/>
            <w:vAlign w:val="bottom"/>
            <w:shd w:val="clear" w:color="auto" w:fill="CCEEFF"/>
          </w:tcPr>
          <w:p>
            <w:pPr>
              <w:spacing w:after="0"/>
              <w:rPr>
                <w:sz w:val="16"/>
                <w:szCs w:val="16"/>
                <w:color w:val="auto"/>
              </w:rPr>
            </w:pPr>
          </w:p>
        </w:tc>
      </w:tr>
      <w:tr>
        <w:trPr>
          <w:trHeight w:val="190"/>
        </w:trPr>
        <w:tc>
          <w:tcPr>
            <w:tcW w:w="29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07/26/2018(10)</w:t>
            </w:r>
          </w:p>
        </w:tc>
        <w:tc>
          <w:tcPr>
            <w:tcW w:w="14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11,697</w:t>
            </w:r>
          </w:p>
        </w:tc>
        <w:tc>
          <w:tcPr>
            <w:tcW w:w="16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7,662</w:t>
            </w: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18.91</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07/26/2028</w:t>
            </w:r>
          </w:p>
        </w:tc>
        <w:tc>
          <w:tcPr>
            <w:tcW w:w="40" w:type="dxa"/>
            <w:vAlign w:val="bottom"/>
            <w:shd w:val="clear" w:color="auto" w:fill="CCEEFF"/>
          </w:tcPr>
          <w:p>
            <w:pPr>
              <w:spacing w:after="0"/>
              <w:rPr>
                <w:sz w:val="16"/>
                <w:szCs w:val="16"/>
                <w:color w:val="auto"/>
              </w:rPr>
            </w:pPr>
          </w:p>
        </w:tc>
      </w:tr>
      <w:tr>
        <w:trPr>
          <w:trHeight w:val="190"/>
        </w:trPr>
        <w:tc>
          <w:tcPr>
            <w:tcW w:w="29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04/18/2019(10)</w:t>
            </w:r>
          </w:p>
        </w:tc>
        <w:tc>
          <w:tcPr>
            <w:tcW w:w="14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25,492</w:t>
            </w:r>
          </w:p>
        </w:tc>
        <w:tc>
          <w:tcPr>
            <w:tcW w:w="16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5,098</w:t>
            </w: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23.04</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04/18/2029</w:t>
            </w:r>
          </w:p>
        </w:tc>
        <w:tc>
          <w:tcPr>
            <w:tcW w:w="40" w:type="dxa"/>
            <w:vAlign w:val="bottom"/>
            <w:shd w:val="clear" w:color="auto" w:fill="CCEEFF"/>
          </w:tcPr>
          <w:p>
            <w:pPr>
              <w:spacing w:after="0"/>
              <w:rPr>
                <w:sz w:val="16"/>
                <w:szCs w:val="16"/>
                <w:color w:val="auto"/>
              </w:rPr>
            </w:pPr>
          </w:p>
        </w:tc>
      </w:tr>
      <w:tr>
        <w:trPr>
          <w:trHeight w:val="200"/>
        </w:trPr>
        <w:tc>
          <w:tcPr>
            <w:tcW w:w="29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04/23/2020(10)</w:t>
            </w:r>
          </w:p>
        </w:tc>
        <w:tc>
          <w:tcPr>
            <w:tcW w:w="14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24,201</w:t>
            </w:r>
          </w:p>
        </w:tc>
        <w:tc>
          <w:tcPr>
            <w:tcW w:w="16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121,006</w:t>
            </w: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15.09</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04/23/2030</w:t>
            </w:r>
          </w:p>
        </w:tc>
        <w:tc>
          <w:tcPr>
            <w:tcW w:w="40" w:type="dxa"/>
            <w:vAlign w:val="bottom"/>
            <w:shd w:val="clear" w:color="auto" w:fill="CCEEFF"/>
          </w:tcPr>
          <w:p>
            <w:pPr>
              <w:spacing w:after="0"/>
              <w:rPr>
                <w:sz w:val="17"/>
                <w:szCs w:val="17"/>
                <w:color w:val="auto"/>
              </w:rPr>
            </w:pP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3" w:lineRule="exact"/>
        <w:rPr>
          <w:sz w:val="20"/>
          <w:szCs w:val="20"/>
          <w:color w:val="auto"/>
        </w:rPr>
      </w:pPr>
    </w:p>
    <w:p>
      <w:pPr>
        <w:ind w:left="760" w:hanging="309"/>
        <w:spacing w:after="0"/>
        <w:tabs>
          <w:tab w:leader="none" w:pos="7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Each of the outstanding options to purchase shares of our common stock was granted pursuant to our 2015 Equity Incentive Plan, as amended.</w:t>
      </w:r>
    </w:p>
    <w:p>
      <w:pPr>
        <w:spacing w:after="0" w:line="53" w:lineRule="exact"/>
        <w:rPr>
          <w:rFonts w:ascii="Arial" w:cs="Arial" w:eastAsia="Arial" w:hAnsi="Arial"/>
          <w:sz w:val="13"/>
          <w:szCs w:val="13"/>
          <w:color w:val="auto"/>
        </w:rPr>
      </w:pPr>
    </w:p>
    <w:p>
      <w:pPr>
        <w:ind w:left="760" w:right="100" w:hanging="309"/>
        <w:spacing w:after="0" w:line="234" w:lineRule="auto"/>
        <w:tabs>
          <w:tab w:leader="none" w:pos="7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This column represents the exercise price of each award, which is equal to the fair market value of a share of our common stock on the date of grant, as determined by our board of directors.</w:t>
      </w:r>
    </w:p>
    <w:p>
      <w:pPr>
        <w:spacing w:after="0" w:line="50" w:lineRule="exact"/>
        <w:rPr>
          <w:rFonts w:ascii="Arial" w:cs="Arial" w:eastAsia="Arial" w:hAnsi="Arial"/>
          <w:sz w:val="13"/>
          <w:szCs w:val="13"/>
          <w:color w:val="auto"/>
        </w:rPr>
      </w:pPr>
    </w:p>
    <w:p>
      <w:pPr>
        <w:ind w:left="760" w:right="100" w:hanging="309"/>
        <w:spacing w:after="0" w:line="228" w:lineRule="auto"/>
        <w:tabs>
          <w:tab w:leader="none" w:pos="7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This award vests as follows: (i) 15.4% of the shares underlying this award vested as of the date of grant; (ii) an additional 15.4% of the shares underlying this award had a vesting commencement date of June 16, 2015 and became fully vested upon pre-market approval of the Company’s LAL by the FDA on or prior to December 31, 2017 (which was achieved in November 2017); and (iii) the remaining 69.2% of the shares underlying this award vested with a vesting commencement date of June 16, 2015, with 25% vesting on the one year anniversary of the vesting commencement date and the remainder vesting in equal monthly installments over the remaining 36 months, such that this portion of the award was fully vested over 4 years.</w:t>
      </w:r>
    </w:p>
    <w:p>
      <w:pPr>
        <w:spacing w:after="0" w:line="50" w:lineRule="exact"/>
        <w:rPr>
          <w:rFonts w:ascii="Arial" w:cs="Arial" w:eastAsia="Arial" w:hAnsi="Arial"/>
          <w:sz w:val="13"/>
          <w:szCs w:val="13"/>
          <w:color w:val="auto"/>
        </w:rPr>
      </w:pPr>
    </w:p>
    <w:p>
      <w:pPr>
        <w:ind w:left="760" w:right="220" w:hanging="309"/>
        <w:spacing w:after="0" w:line="234" w:lineRule="auto"/>
        <w:tabs>
          <w:tab w:leader="none" w:pos="7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shares underlying this award vest in equal monthly installments over 48 months, such that the entire award is vested over 4 years. The vesting commencement date of this award is the grant date.</w:t>
      </w:r>
    </w:p>
    <w:p>
      <w:pPr>
        <w:spacing w:after="0" w:line="50" w:lineRule="exact"/>
        <w:rPr>
          <w:rFonts w:ascii="Arial" w:cs="Arial" w:eastAsia="Arial" w:hAnsi="Arial"/>
          <w:sz w:val="13"/>
          <w:szCs w:val="13"/>
          <w:color w:val="auto"/>
        </w:rPr>
      </w:pPr>
    </w:p>
    <w:p>
      <w:pPr>
        <w:ind w:left="760" w:right="260" w:hanging="309"/>
        <w:spacing w:after="0" w:line="234" w:lineRule="auto"/>
        <w:tabs>
          <w:tab w:leader="none" w:pos="7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This award has a vesting commencement date of January 1, 2016 and vested as follows: 25% vesting on the one year anniversary of the vesting commencement date and the remainder vesting in equal monthly installments over the remaining 36 months, such that the entire option is vested over 4 years.</w:t>
      </w:r>
    </w:p>
    <w:p>
      <w:pPr>
        <w:spacing w:after="0" w:line="50" w:lineRule="exact"/>
        <w:rPr>
          <w:rFonts w:ascii="Arial" w:cs="Arial" w:eastAsia="Arial" w:hAnsi="Arial"/>
          <w:sz w:val="13"/>
          <w:szCs w:val="13"/>
          <w:color w:val="auto"/>
        </w:rPr>
      </w:pPr>
    </w:p>
    <w:p>
      <w:pPr>
        <w:ind w:left="760" w:right="220" w:hanging="309"/>
        <w:spacing w:after="0" w:line="234" w:lineRule="auto"/>
        <w:tabs>
          <w:tab w:leader="none" w:pos="7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shares underlying this award vest in equal monthly installments over 48 months, such that the entire award is vested over 4 years. The vesting commencement date of this award is the grant date.</w:t>
      </w:r>
    </w:p>
    <w:p>
      <w:pPr>
        <w:spacing w:after="0" w:line="50" w:lineRule="exact"/>
        <w:rPr>
          <w:rFonts w:ascii="Arial" w:cs="Arial" w:eastAsia="Arial" w:hAnsi="Arial"/>
          <w:sz w:val="13"/>
          <w:szCs w:val="13"/>
          <w:color w:val="auto"/>
        </w:rPr>
      </w:pPr>
    </w:p>
    <w:p>
      <w:pPr>
        <w:ind w:left="760" w:right="40" w:hanging="309"/>
        <w:spacing w:after="0" w:line="228" w:lineRule="auto"/>
        <w:tabs>
          <w:tab w:leader="none" w:pos="7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This award vests as follows: (i) 16.7% of the shares underlying this award vested on the date of grant; (ii) 8.3% of the shares underlying this award had a vesting commencement date of June 16, 2015 and became fully vested upon pre-market approval of the Company’s LAL by the FDA on or prior to December 31, 2017 (which was achieved in November 2017); and (iii) the remaining 75.0% of the shares underlying this award vested with a vesting commencement date of June 16, 2015 with 25% vesting on the first anniversary of the vesting commencement date and the remainder vesting in equal monthly installments over the remaining 36 months, such that this portion of the award was fully vested over 4 years.</w:t>
      </w:r>
    </w:p>
    <w:p>
      <w:pPr>
        <w:spacing w:after="0" w:line="50" w:lineRule="exact"/>
        <w:rPr>
          <w:rFonts w:ascii="Arial" w:cs="Arial" w:eastAsia="Arial" w:hAnsi="Arial"/>
          <w:sz w:val="13"/>
          <w:szCs w:val="13"/>
          <w:color w:val="auto"/>
        </w:rPr>
      </w:pPr>
    </w:p>
    <w:p>
      <w:pPr>
        <w:ind w:left="760" w:right="220" w:hanging="309"/>
        <w:spacing w:after="0" w:line="234" w:lineRule="auto"/>
        <w:tabs>
          <w:tab w:leader="none" w:pos="7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shares underlying this award vest in equal monthly installments over 48 months, such that the entire award is vested over 4 years. The vesting commencement date of this award is the grant date.</w:t>
      </w:r>
    </w:p>
    <w:p>
      <w:pPr>
        <w:spacing w:after="0" w:line="50" w:lineRule="exact"/>
        <w:rPr>
          <w:rFonts w:ascii="Arial" w:cs="Arial" w:eastAsia="Arial" w:hAnsi="Arial"/>
          <w:sz w:val="13"/>
          <w:szCs w:val="13"/>
          <w:color w:val="auto"/>
        </w:rPr>
      </w:pPr>
    </w:p>
    <w:p>
      <w:pPr>
        <w:ind w:left="760" w:right="80" w:hanging="309"/>
        <w:spacing w:after="0" w:line="234" w:lineRule="auto"/>
        <w:tabs>
          <w:tab w:leader="none" w:pos="7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This award has a vesting commencement date of September 8, 2015 and vested as follows: 25% vesting on the one year anniversary of the vesting commencement date and the remainder vesting in equal monthly installments over the remaining 36 months, such that the entire option is vested over 4 years.</w:t>
      </w:r>
    </w:p>
    <w:p>
      <w:pPr>
        <w:spacing w:after="0" w:line="50" w:lineRule="exact"/>
        <w:rPr>
          <w:rFonts w:ascii="Arial" w:cs="Arial" w:eastAsia="Arial" w:hAnsi="Arial"/>
          <w:sz w:val="13"/>
          <w:szCs w:val="13"/>
          <w:color w:val="auto"/>
        </w:rPr>
      </w:pPr>
    </w:p>
    <w:p>
      <w:pPr>
        <w:ind w:left="780" w:right="200" w:hanging="329"/>
        <w:spacing w:after="0" w:line="234" w:lineRule="auto"/>
        <w:tabs>
          <w:tab w:leader="none" w:pos="78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shares underlying this award vest in equal monthly installments over 48 months, such that the entire award is vested over 4 years. The vesting commencement date of this award is the grant date.</w:t>
      </w:r>
    </w:p>
    <w:p>
      <w:pPr>
        <w:spacing w:after="0" w:line="130"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175</w:t>
      </w:r>
    </w:p>
    <w:p>
      <w:pPr>
        <w:sectPr>
          <w:pgSz w:w="11900" w:h="16838" w:orient="portrait"/>
          <w:cols w:equalWidth="0" w:num="1">
            <w:col w:w="10800"/>
          </w:cols>
          <w:pgMar w:left="320" w:top="441" w:right="77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Employment arrangements with our named executive officers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Ron Kurtz, M.D.</w:t>
      </w:r>
    </w:p>
    <w:p>
      <w:pPr>
        <w:spacing w:after="0" w:line="128" w:lineRule="exact"/>
        <w:rPr>
          <w:sz w:val="20"/>
          <w:szCs w:val="20"/>
          <w:color w:val="auto"/>
        </w:rPr>
      </w:pPr>
    </w:p>
    <w:p>
      <w:pPr>
        <w:ind w:left="460" w:right="120"/>
        <w:spacing w:after="0" w:line="256" w:lineRule="auto"/>
        <w:rPr>
          <w:sz w:val="20"/>
          <w:szCs w:val="20"/>
          <w:color w:val="auto"/>
        </w:rPr>
      </w:pPr>
      <w:r>
        <w:rPr>
          <w:rFonts w:ascii="Arial" w:cs="Arial" w:eastAsia="Arial" w:hAnsi="Arial"/>
          <w:sz w:val="16"/>
          <w:szCs w:val="16"/>
          <w:color w:val="auto"/>
        </w:rPr>
        <w:t>We have entered into a new offer letter agreement, effective as of July 16, 2021, with Dr. Kurtz, our President and Chief Executive Officer. This letter has no specific term and provides for at-will employment. Dr. Kurtz’s annual base salary as of July 16, 2021 is $500,000 and he is eligible for an annual target cash incentive payment equal to 75% of his salary.</w:t>
      </w:r>
    </w:p>
    <w:p>
      <w:pPr>
        <w:spacing w:after="0" w:line="83"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color w:val="auto"/>
        </w:rPr>
        <w:t>Pursuant to Mr. Kurtz’s offer letter, our board of directors is expected to grant Mr. Kurtz an option to purchase shares of our common stock on the date of our initial public offering, pursuant to the terms of the 2021 Plan and the form of option agreement thereunder. The option will have a per share exercise price equal to the fair market value of one share of our common stock on the date of grant. The option will cover a number of shares of our common stock having a grant date fair value equal to $3,100,000, as determined in accordance with a Black-Scholes valuation model.</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Shelley Thunen</w:t>
      </w:r>
    </w:p>
    <w:p>
      <w:pPr>
        <w:spacing w:after="0" w:line="128" w:lineRule="exact"/>
        <w:rPr>
          <w:sz w:val="20"/>
          <w:szCs w:val="20"/>
          <w:color w:val="auto"/>
        </w:rPr>
      </w:pPr>
    </w:p>
    <w:p>
      <w:pPr>
        <w:jc w:val="both"/>
        <w:ind w:left="460" w:right="100"/>
        <w:spacing w:after="0" w:line="256" w:lineRule="auto"/>
        <w:rPr>
          <w:sz w:val="20"/>
          <w:szCs w:val="20"/>
          <w:color w:val="auto"/>
        </w:rPr>
      </w:pPr>
      <w:r>
        <w:rPr>
          <w:rFonts w:ascii="Arial" w:cs="Arial" w:eastAsia="Arial" w:hAnsi="Arial"/>
          <w:sz w:val="16"/>
          <w:szCs w:val="16"/>
          <w:color w:val="auto"/>
        </w:rPr>
        <w:t>We have entered into a new offer letter agreement, effective as of July 16, 2021, with Ms. Thunen, our Chief Financial Officer. This letter has no specific term and provides for at-will employment. Ms. Thunen’s annual base salary as of July 16, 2021 is $375,000 and she is eligible for an annual target cash incentive payment equal to 50% of her base salary.</w:t>
      </w:r>
    </w:p>
    <w:p>
      <w:pPr>
        <w:spacing w:after="0" w:line="83" w:lineRule="exact"/>
        <w:rPr>
          <w:sz w:val="20"/>
          <w:szCs w:val="20"/>
          <w:color w:val="auto"/>
        </w:rPr>
      </w:pPr>
    </w:p>
    <w:p>
      <w:pPr>
        <w:ind w:left="460" w:right="20"/>
        <w:spacing w:after="0" w:line="252" w:lineRule="auto"/>
        <w:rPr>
          <w:sz w:val="20"/>
          <w:szCs w:val="20"/>
          <w:color w:val="auto"/>
        </w:rPr>
      </w:pPr>
      <w:r>
        <w:rPr>
          <w:rFonts w:ascii="Arial" w:cs="Arial" w:eastAsia="Arial" w:hAnsi="Arial"/>
          <w:sz w:val="16"/>
          <w:szCs w:val="16"/>
          <w:color w:val="auto"/>
        </w:rPr>
        <w:t>Pursuant to Ms. Thunen’s offer letter, our board of directors is expected to grant Ms. Thunen an option to purchase shares of our common stock on the date of our initial public offering, pursuant to the terms of the 2021 Plan and the form of option agreement thereunder. The option will have a per share exercise price equal to the fair market value of one share of our common stock on the date of grant. The option will cover a number of shares of our common stock having a grant date fair value equal to $900,000, as determined in accordance with a Black-Scholes valuation model.</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Eric Weinberg</w:t>
      </w:r>
    </w:p>
    <w:p>
      <w:pPr>
        <w:spacing w:after="0" w:line="128" w:lineRule="exact"/>
        <w:rPr>
          <w:sz w:val="20"/>
          <w:szCs w:val="20"/>
          <w:color w:val="auto"/>
        </w:rPr>
      </w:pPr>
    </w:p>
    <w:p>
      <w:pPr>
        <w:jc w:val="both"/>
        <w:ind w:left="460"/>
        <w:spacing w:after="0" w:line="256" w:lineRule="auto"/>
        <w:rPr>
          <w:sz w:val="20"/>
          <w:szCs w:val="20"/>
          <w:color w:val="auto"/>
        </w:rPr>
      </w:pPr>
      <w:r>
        <w:rPr>
          <w:rFonts w:ascii="Arial" w:cs="Arial" w:eastAsia="Arial" w:hAnsi="Arial"/>
          <w:sz w:val="16"/>
          <w:szCs w:val="16"/>
          <w:color w:val="auto"/>
        </w:rPr>
        <w:t>We have entered into a new offer letter agreement, effective as of July 16, 2021, with Mr. Weinberg, our Chief Commercial Officer. This letter has no specific term and provides for at-will employment. Mr. Weinberg’s annual base salary as of July 16, 2021 is $375,000 and he is eligible for an annual target cash incentive payment equal to 50% of his base salary.</w:t>
      </w:r>
    </w:p>
    <w:p>
      <w:pPr>
        <w:spacing w:after="0" w:line="83" w:lineRule="exact"/>
        <w:rPr>
          <w:sz w:val="20"/>
          <w:szCs w:val="20"/>
          <w:color w:val="auto"/>
        </w:rPr>
      </w:pPr>
    </w:p>
    <w:p>
      <w:pPr>
        <w:ind w:left="460" w:right="20"/>
        <w:spacing w:after="0" w:line="252" w:lineRule="auto"/>
        <w:rPr>
          <w:sz w:val="20"/>
          <w:szCs w:val="20"/>
          <w:color w:val="auto"/>
        </w:rPr>
      </w:pPr>
      <w:r>
        <w:rPr>
          <w:rFonts w:ascii="Arial" w:cs="Arial" w:eastAsia="Arial" w:hAnsi="Arial"/>
          <w:sz w:val="16"/>
          <w:szCs w:val="16"/>
          <w:color w:val="auto"/>
        </w:rPr>
        <w:t>Pursuant to Mr. Weinberg’s offer letter, our board of directors is expected to grant Mr. Weinberg an option to purchase shares of our common stock on the date of our initial public offering, pursuant to the terms of the 2021 Plan and the form of option agreement thereunder. The option will have a per share exercise price equal to the fair market value of one share of our common stock on the date of grant. The option will cover a number of shares of our common stock having a grant date fair value equal to $800,000, as determined in accordance with a Black-Scholes valuation model.</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Ilya Goldshleger, Ph.D.</w:t>
      </w:r>
    </w:p>
    <w:p>
      <w:pPr>
        <w:spacing w:after="0" w:line="128" w:lineRule="exact"/>
        <w:rPr>
          <w:sz w:val="20"/>
          <w:szCs w:val="20"/>
          <w:color w:val="auto"/>
        </w:rPr>
      </w:pPr>
    </w:p>
    <w:p>
      <w:pPr>
        <w:ind w:left="460" w:right="80"/>
        <w:spacing w:after="0" w:line="256" w:lineRule="auto"/>
        <w:rPr>
          <w:sz w:val="20"/>
          <w:szCs w:val="20"/>
          <w:color w:val="auto"/>
        </w:rPr>
      </w:pPr>
      <w:r>
        <w:rPr>
          <w:rFonts w:ascii="Arial" w:cs="Arial" w:eastAsia="Arial" w:hAnsi="Arial"/>
          <w:sz w:val="16"/>
          <w:szCs w:val="16"/>
          <w:color w:val="auto"/>
        </w:rPr>
        <w:t>We have entered into a new offer letter agreement, effective as of July 16, 2021, with Dr. Goldshleger, our Chief Operating Officer. This letter has no specific term and provides for at-will employment. Dr. Goldshleger’s annual base salary as of July 16, 2021 is $375,000 and he is eligible for an annual target cash incentive payment equal to 50% of his base salary.</w:t>
      </w:r>
    </w:p>
    <w:p>
      <w:pPr>
        <w:spacing w:after="0" w:line="83" w:lineRule="exact"/>
        <w:rPr>
          <w:sz w:val="20"/>
          <w:szCs w:val="20"/>
          <w:color w:val="auto"/>
        </w:rPr>
      </w:pPr>
    </w:p>
    <w:p>
      <w:pPr>
        <w:ind w:left="460" w:right="160"/>
        <w:spacing w:after="0" w:line="256" w:lineRule="auto"/>
        <w:rPr>
          <w:sz w:val="20"/>
          <w:szCs w:val="20"/>
          <w:color w:val="auto"/>
        </w:rPr>
      </w:pPr>
      <w:r>
        <w:rPr>
          <w:rFonts w:ascii="Arial" w:cs="Arial" w:eastAsia="Arial" w:hAnsi="Arial"/>
          <w:sz w:val="16"/>
          <w:szCs w:val="16"/>
          <w:color w:val="auto"/>
        </w:rPr>
        <w:t>Pursuant to Mr. Goldshleger’s offer letter, our board of directors is expected to grant Mr. Goldshleger an option to purchase shares of our common stock on the date of our initial public offering, pursuant to the terms of the 2021 Plan and the form of option agreement thereunder. The option will have a per share exercise price equal</w:t>
      </w:r>
    </w:p>
    <w:p>
      <w:pPr>
        <w:spacing w:after="0" w:line="121"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176</w:t>
      </w:r>
    </w:p>
    <w:p>
      <w:pPr>
        <w:sectPr>
          <w:pgSz w:w="11900" w:h="16838" w:orient="portrait"/>
          <w:cols w:equalWidth="0" w:num="1">
            <w:col w:w="10760"/>
          </w:cols>
          <w:pgMar w:left="320" w:top="441" w:right="81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65" w:lineRule="auto"/>
        <w:rPr>
          <w:sz w:val="20"/>
          <w:szCs w:val="20"/>
          <w:color w:val="auto"/>
        </w:rPr>
      </w:pPr>
      <w:r>
        <w:rPr>
          <w:rFonts w:ascii="Arial" w:cs="Arial" w:eastAsia="Arial" w:hAnsi="Arial"/>
          <w:sz w:val="16"/>
          <w:szCs w:val="16"/>
          <w:color w:val="auto"/>
        </w:rPr>
        <w:t>to the fair market value of one share of our common stock on the date of grant. The option will cover a number of shares of our common stock having a grant date fair value equal to $900,000, as determined in accordance with a Black-Scholes valuation model.</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Potential payments upon termination or change of control</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entered into a change in control and severance agreement, effective as of July 16, 2021, with each of Mr. Kurtz, Ms. Thunen, Mr.</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Weinberg and Mr. Goldshleger. Each change in control and severance agreement was approved by our board of directors in July 2021.</w:t>
      </w:r>
    </w:p>
    <w:p>
      <w:pPr>
        <w:spacing w:after="0" w:line="108" w:lineRule="exact"/>
        <w:rPr>
          <w:sz w:val="20"/>
          <w:szCs w:val="20"/>
          <w:color w:val="auto"/>
        </w:rPr>
      </w:pPr>
    </w:p>
    <w:p>
      <w:pPr>
        <w:ind w:left="460" w:right="60"/>
        <w:spacing w:after="0" w:line="249" w:lineRule="auto"/>
        <w:rPr>
          <w:sz w:val="20"/>
          <w:szCs w:val="20"/>
          <w:color w:val="auto"/>
        </w:rPr>
      </w:pPr>
      <w:r>
        <w:rPr>
          <w:rFonts w:ascii="Arial" w:cs="Arial" w:eastAsia="Arial" w:hAnsi="Arial"/>
          <w:sz w:val="16"/>
          <w:szCs w:val="16"/>
          <w:color w:val="auto"/>
        </w:rPr>
        <w:t>Pursuant to each applicable named executive officer’s severance agreement, if, within the change in control period beginning on the date a letter of intent or similar agreement is made between us and an acquiror, provided such date occurs no earlier than 9 months prior to a “change in control” (as defined in the applicable agreement), and ending 12 months following a change in control, we terminate the employment of the named executive officer without “cause” or the executive resigns for “good reason” (as such terms are defined in the applicable agreement), and within 60 days following such termination, the named executive officer executes a waiver and release of claims in our favor that becomes effective and irrevocable, the named executive officer will be entitled to receive (i) a lump sum payment equal to the sum of (A) 12 months (18 months with respect to Mr. Kurtz) of the named executive officer’s then current annual base salary and (B) 12 months (18 months with respect to Mr. Kurtz) of the named executive officer’s annual target bonus as in effect in the year of the applicable termination, (ii) reimbursement of premiums to maintain group health insurance continuation benefits pursuant to the Consolidated Omnibus Budget Reconciliation Act of 1985, or COBRA for the named executive officer and his or her respective eligible dependents for up to 12 months (18 months with respect to Mr. Kurtz), and (iii) vesting acceleration as to 100% of the then-unvested shares subject to each of the named executive officer’s then outstanding equity awards (and in the case of awards with performance vesting, unless the applicable award agreement governing such award provides otherwise, all performance goals and other vesting criteria will be deemed achieved at target levels of achievement).</w:t>
      </w:r>
    </w:p>
    <w:p>
      <w:pPr>
        <w:spacing w:after="0" w:line="282"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Pursuant to each applicable named executive officer’s severance agreement, if, outside of the change in control period, we terminate the employment of the named executive officer without cause (excluding death or disability) or the executive resigns for good reason, and within 60 days following such termination, the named executive officer executes a waiver and release of claims in our favor that becomes effective and irrevocable, the named executive officer will be entitled to receive (i) a lump sum payment equal to the sum of (A) 12 months of the named executive officer’s then current annual base salary and (B) 12 months of the named executive officer’s annual target bonus as in effect in the year of the applicable termination, and (ii) reimbursement of premiums to maintain group health insurance continuation benefits pursuant to “COBRA” for the named executive officer and the officer’s respective eligible dependents for up to 12 months.</w:t>
      </w:r>
    </w:p>
    <w:p>
      <w:pPr>
        <w:spacing w:after="0" w:line="91" w:lineRule="exact"/>
        <w:rPr>
          <w:sz w:val="20"/>
          <w:szCs w:val="20"/>
          <w:color w:val="auto"/>
        </w:rPr>
      </w:pPr>
    </w:p>
    <w:p>
      <w:pPr>
        <w:ind w:left="460" w:right="100"/>
        <w:spacing w:after="0" w:line="252" w:lineRule="auto"/>
        <w:rPr>
          <w:sz w:val="20"/>
          <w:szCs w:val="20"/>
          <w:color w:val="auto"/>
        </w:rPr>
      </w:pPr>
      <w:r>
        <w:rPr>
          <w:rFonts w:ascii="Arial" w:cs="Arial" w:eastAsia="Arial" w:hAnsi="Arial"/>
          <w:sz w:val="16"/>
          <w:szCs w:val="16"/>
          <w:color w:val="auto"/>
        </w:rPr>
        <w:t>Pursuant to each applicable named executive officer’s severance agreement, if we experience a change in control, and the named executive officer remains our employee through the date of such change in control, 100% of the then-unvested shares subject to the named executive officer’s then outstanding equity awards will accelerate and fully vest (and in the case of awards with performance vesting, unless the applicable award agreement governing such award provides otherwise, all performance goals and other vesting criteria will be deemed achieved at target levels of achievement).</w:t>
      </w:r>
    </w:p>
    <w:p>
      <w:pPr>
        <w:spacing w:after="0" w:line="86" w:lineRule="exact"/>
        <w:rPr>
          <w:sz w:val="20"/>
          <w:szCs w:val="20"/>
          <w:color w:val="auto"/>
        </w:rPr>
      </w:pPr>
    </w:p>
    <w:p>
      <w:pPr>
        <w:ind w:left="460" w:right="20"/>
        <w:spacing w:after="0" w:line="252" w:lineRule="auto"/>
        <w:rPr>
          <w:sz w:val="20"/>
          <w:szCs w:val="20"/>
          <w:color w:val="auto"/>
        </w:rPr>
      </w:pPr>
      <w:r>
        <w:rPr>
          <w:rFonts w:ascii="Arial" w:cs="Arial" w:eastAsia="Arial" w:hAnsi="Arial"/>
          <w:sz w:val="16"/>
          <w:szCs w:val="16"/>
          <w:color w:val="auto"/>
        </w:rPr>
        <w:t>Pursuant to each applicable named executive officer’s severance agreement, in the event any payment to an executive would be subject to the excise tax imposed by Section 4999 of the Internal Revenue Code, as amended, or the Code (as a result of a payment being classified as a parachute payment under Section 280G of the Code), the executive will receive such payment as would entitle the executive to receive the greatest after-tax benefit, even if it means that we pay the executive a lower aggregate payment so as to minimize or eliminate the potential excise tax imposed by Section 4999 of the Code.</w:t>
      </w:r>
    </w:p>
    <w:p>
      <w:pPr>
        <w:spacing w:after="0" w:line="124"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177</w:t>
      </w:r>
    </w:p>
    <w:p>
      <w:pPr>
        <w:sectPr>
          <w:pgSz w:w="11900" w:h="16838" w:orient="portrait"/>
          <w:cols w:equalWidth="0" w:num="1">
            <w:col w:w="10780"/>
          </w:cols>
          <w:pgMar w:left="320" w:top="440" w:right="79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Employee benefit and stock plans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2021 Equity Incentive Plan</w:t>
      </w:r>
    </w:p>
    <w:p>
      <w:pPr>
        <w:spacing w:after="0" w:line="128" w:lineRule="exact"/>
        <w:rPr>
          <w:sz w:val="20"/>
          <w:szCs w:val="20"/>
          <w:color w:val="auto"/>
        </w:rPr>
      </w:pPr>
    </w:p>
    <w:p>
      <w:pPr>
        <w:ind w:left="460" w:right="60"/>
        <w:spacing w:after="0" w:line="251" w:lineRule="auto"/>
        <w:rPr>
          <w:sz w:val="20"/>
          <w:szCs w:val="20"/>
          <w:color w:val="auto"/>
        </w:rPr>
      </w:pPr>
      <w:r>
        <w:rPr>
          <w:rFonts w:ascii="Arial" w:cs="Arial" w:eastAsia="Arial" w:hAnsi="Arial"/>
          <w:sz w:val="16"/>
          <w:szCs w:val="16"/>
          <w:color w:val="auto"/>
        </w:rPr>
        <w:t>Prior to the effectiveness of this offering, our board of directors adopted, and our stockholders approved our 2021 Plan. Our 2021 Plan became effective on the business day immediately prior to the effective date of the registration statement of which this prospectus forms a part. Our 2021 Plan provides for the grant of incentive stock options, within the meaning of Section 422 of the Code, to our employees and any parent and subsidiary corporations’ employees, and for the grant of nonstatutory stock options, stock appreciation rights, restricted stock, restricted stock units, or RSUs, and performance awards to our employees, directors, and consultants and our parent and subsidiary corporations’ employees and consultants. Our 2015 Plan will terminate immediately prior to effectiveness of the 2021 Plan with respect to the grant of future awards.</w:t>
      </w:r>
    </w:p>
    <w:p>
      <w:pPr>
        <w:spacing w:after="0" w:line="262"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Subject to the adjustment provisions of and the automatic increase described in our 2021 Plan, a total of 7,260,406</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our common stock will be reserved for issuance pursuant to our 2021 Plan. In addition, subject to the adjustment provisions of our 2021 Plan, the shares reserved for issuance under our 2021 Plan also includes any shares subject to awards granted under our 2015 Plan or 2006 Plan that, on or after the business day immediately prior to the effective date of the registration statement of which this prospectus forms a part, expire or otherwise terminate without having been exercised or issued in full, are tendered to or withheld by us for payment of an exercise price or for satisfying tax withholding obligations, or are forfeited to or repurchased by us due to failure to vest (provided that the maximum number of shares that may be added to our 2021 Plan pursuant to outstanding awards under the 2015 Plan and 2006 Plan is 4,840,271 shares). Subject to the adjustment provisions of our 2021 Plan, the number of shares available for issuance under our 2021 Plan will also include an annual increase on the first day of each fiscal year beginning with the 2022 fiscal year and ending on the ten year anniversary of the date our board of directors approved the 2021 Plan, in an amount equal to the least of:</w:t>
      </w:r>
    </w:p>
    <w:p>
      <w:pPr>
        <w:spacing w:after="0" w:line="100" w:lineRule="exact"/>
        <w:rPr>
          <w:sz w:val="20"/>
          <w:szCs w:val="20"/>
          <w:color w:val="auto"/>
        </w:rPr>
      </w:pPr>
    </w:p>
    <w:p>
      <w:pPr>
        <w:ind w:left="2400" w:hanging="503"/>
        <w:spacing w:after="0"/>
        <w:tabs>
          <w:tab w:leader="none" w:pos="24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7,260,406 shares of our common stock;</w:t>
      </w:r>
    </w:p>
    <w:p>
      <w:pPr>
        <w:spacing w:after="0" w:line="120" w:lineRule="exact"/>
        <w:rPr>
          <w:rFonts w:ascii="Arial" w:cs="Arial" w:eastAsia="Arial" w:hAnsi="Arial"/>
          <w:sz w:val="16"/>
          <w:szCs w:val="16"/>
          <w:color w:val="auto"/>
        </w:rPr>
      </w:pPr>
    </w:p>
    <w:p>
      <w:pPr>
        <w:ind w:left="2400" w:hanging="503"/>
        <w:spacing w:after="0"/>
        <w:tabs>
          <w:tab w:leader="none" w:pos="24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4% of the outstanding shares of our common stock on the last day of our immediately preceding fiscal year; or</w:t>
      </w:r>
    </w:p>
    <w:p>
      <w:pPr>
        <w:spacing w:after="0" w:line="120" w:lineRule="exact"/>
        <w:rPr>
          <w:rFonts w:ascii="Arial" w:cs="Arial" w:eastAsia="Arial" w:hAnsi="Arial"/>
          <w:sz w:val="16"/>
          <w:szCs w:val="16"/>
          <w:color w:val="auto"/>
        </w:rPr>
      </w:pPr>
    </w:p>
    <w:p>
      <w:pPr>
        <w:ind w:left="2400" w:hanging="503"/>
        <w:spacing w:after="0"/>
        <w:tabs>
          <w:tab w:leader="none" w:pos="24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such lesser number of shares of our common stock as the administrator may determine.</w:t>
      </w:r>
    </w:p>
    <w:p>
      <w:pPr>
        <w:spacing w:after="0" w:line="108" w:lineRule="exact"/>
        <w:rPr>
          <w:sz w:val="20"/>
          <w:szCs w:val="20"/>
          <w:color w:val="auto"/>
        </w:rPr>
      </w:pPr>
    </w:p>
    <w:p>
      <w:pPr>
        <w:ind w:left="460" w:right="120"/>
        <w:spacing w:after="0" w:line="249" w:lineRule="auto"/>
        <w:rPr>
          <w:sz w:val="20"/>
          <w:szCs w:val="20"/>
          <w:color w:val="auto"/>
        </w:rPr>
      </w:pPr>
      <w:r>
        <w:rPr>
          <w:rFonts w:ascii="Arial" w:cs="Arial" w:eastAsia="Arial" w:hAnsi="Arial"/>
          <w:sz w:val="16"/>
          <w:szCs w:val="16"/>
          <w:color w:val="auto"/>
        </w:rPr>
        <w:t>If a stock option or stock appreciation right granted under the 2021 Plan expires or becomes unexercisable without having been exercised in full or is surrendered pursuant to an exchange program or, with respect to restricted stock, RSUs or stock settled performance awards, is forfeited to, or repurchased by, us due to failure to vest, then the unpurchased shares (or for awards other than stock options or stock appreciation rights, the forfeited or repurchased shares) which were subject thereto will become available for future grant or sale under the 2021 Plan (unless the 2021 Plan has terminated). With respect to stock appreciation rights, only the net shares actually issued will cease to be available under the 2021 Plan and all remaining shares under stock appreciation rights will remain available for future issuance under the 2021 Plan (unless the 2021 Plan has terminated). Subject to the exceptions listed above, shares that have actually been issued under the 2021 Plan under any award will not be returned to the 2021 Plan;. Shares used to pay the exercise price of an award or to satisfy the tax withholding obligations related to an award will become available for future grant or sale under the 2021 Plan. To the extent an award is paid out in cash rather than shares, the cash payment will not result in a reduction in the number of shares available for issuance under the 2021 Plan.</w:t>
      </w:r>
    </w:p>
    <w:p>
      <w:pPr>
        <w:spacing w:after="0" w:line="268" w:lineRule="exact"/>
        <w:rPr>
          <w:sz w:val="20"/>
          <w:szCs w:val="20"/>
          <w:color w:val="auto"/>
        </w:rPr>
      </w:pPr>
    </w:p>
    <w:p>
      <w:pPr>
        <w:ind w:left="460" w:right="160"/>
        <w:spacing w:after="0" w:line="286"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We expect that our compensation committee will administer our 2021 Plan and may further delegate authority to one</w:t>
      </w:r>
      <w:r>
        <w:rPr>
          <w:rFonts w:ascii="Arial" w:cs="Arial" w:eastAsia="Arial" w:hAnsi="Arial"/>
          <w:sz w:val="16"/>
          <w:szCs w:val="16"/>
          <w:i w:val="1"/>
          <w:iCs w:val="1"/>
          <w:color w:val="auto"/>
        </w:rPr>
        <w:t xml:space="preserve"> </w:t>
      </w:r>
      <w:r>
        <w:rPr>
          <w:rFonts w:ascii="Arial" w:cs="Arial" w:eastAsia="Arial" w:hAnsi="Arial"/>
          <w:sz w:val="16"/>
          <w:szCs w:val="16"/>
          <w:color w:val="auto"/>
        </w:rPr>
        <w:t>or more subcommittees or officers to the extent such delegation complies</w:t>
      </w:r>
    </w:p>
    <w:p>
      <w:pPr>
        <w:spacing w:after="0" w:line="97"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178</w:t>
      </w:r>
    </w:p>
    <w:p>
      <w:pPr>
        <w:sectPr>
          <w:pgSz w:w="11900" w:h="16838" w:orient="portrait"/>
          <w:cols w:equalWidth="0" w:num="1">
            <w:col w:w="10780"/>
          </w:cols>
          <w:pgMar w:left="320" w:top="441" w:right="79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0"/>
        <w:spacing w:after="0" w:line="248" w:lineRule="auto"/>
        <w:rPr>
          <w:sz w:val="20"/>
          <w:szCs w:val="20"/>
          <w:color w:val="auto"/>
        </w:rPr>
      </w:pPr>
      <w:r>
        <w:rPr>
          <w:rFonts w:ascii="Arial" w:cs="Arial" w:eastAsia="Arial" w:hAnsi="Arial"/>
          <w:sz w:val="16"/>
          <w:szCs w:val="16"/>
          <w:color w:val="auto"/>
        </w:rPr>
        <w:t>with applicable laws. Subject to the provisions of our 2021 Plan, the administrator will have the power to administer our 2021 Plan and make all determinations deemed necessary or advisable for administering our 2021 Plan, including but not limited to: the power to determine the fair market value of our common stock; select the service providers to whom awards may be granted; determine the number of shares covered by each award; approve forms of award agreements for use under our 2021 Plan; determine the terms and conditions of awards (including, but not limited to, the exercise price, the times or times at which the awards may be exercised, any vesting acceleration or waiver or forfeiture restrictions, and any restriction or limitation regarding any award or the shares relating thereto); construe and interpret the terms of our 2021 Plan and awards granted under it, including but not limited to determining whether and when a change in control has occurred; establish, amend, and rescind rules and regulations relating to our 2021 Plan, and adopt sub-plans relating to the 2021 Plan; interpret, modify, or amend each award, including but not limited to the discretionary authority to extend the post-termination exercisability period of awards; allow participants to satisfy tax withholding obligations in any manner permitted by the 2021 Plan; delegate ministerial duties to any of our employees; authorize any person to take any steps and execute, on our behalf, any documents required for an award previously granted by the administrator to be effective; temporarily suspend the exercisability of an award if the administrator deems such suspension to be necessary or appropriate for administrative purposes, provided that, unless prohibited by applicable laws, such suspension shall be lifted in all cases not less than ten trading days before the last date that the award may be exercised; allow a participant to defer the receipt of payment of cash or the delivery of shares that would otherwise be due to such participant under an award; and make any determinations necessary or appropriate under the adjustment provisions of the 2021 Plan.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canceled in exchange for awards of the same type which may have a higher or lower exercise price or different terms, awards of a different type or cash, or by which the exercise price of an outstanding award is increased or reduced. The administrator’s decisions, interpretations, and other actions will be final and binding on all participants to the full extent permitted by law.</w:t>
      </w:r>
    </w:p>
    <w:p>
      <w:pPr>
        <w:spacing w:after="0" w:line="277"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Our 2021 Plan permits the grant of options. The exercise price of options granted under our 2021 Plan must be at least</w:t>
      </w:r>
      <w:r>
        <w:rPr>
          <w:rFonts w:ascii="Arial" w:cs="Arial" w:eastAsia="Arial" w:hAnsi="Arial"/>
          <w:sz w:val="16"/>
          <w:szCs w:val="16"/>
          <w:i w:val="1"/>
          <w:iCs w:val="1"/>
          <w:color w:val="auto"/>
        </w:rPr>
        <w:t xml:space="preserve"> </w:t>
      </w:r>
      <w:r>
        <w:rPr>
          <w:rFonts w:ascii="Arial" w:cs="Arial" w:eastAsia="Arial" w:hAnsi="Arial"/>
          <w:sz w:val="16"/>
          <w:szCs w:val="16"/>
          <w:color w:val="auto"/>
        </w:rPr>
        <w:t>equal to the fair market value of our common stock on the date of grant, except that options may be granted with a lower exercise price to a service provider who is not a U.S. taxpayer, or pursuant to certain transactions. The term of an option is determined by the administrator, provided that the term of an incentive stock option may not exceed ten years. With respect to any participant who owns more than 10% of the voting power of all classes of our outstanding stock, the term of an incentive stock option granted to such participant must not exceed five years and the exercise price must equal at least 110% of the fair market value on the grant date. The administrator determines the methods of payment of the exercise price of an option, which may include cash, check, or wire transfer, cashless exercise, net exercise, promissory note, shares, or other consideration or method of payment acceptable to the administrator, to the extent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the option will remain exercisable for thirty days. These exercise periods may be tolled in certain circumstances, for example if exercise prior to the end of the applicable period is not permitted because of applicable laws. However, in no event may an option be exercised later than the expiration of its term.</w:t>
      </w:r>
    </w:p>
    <w:p>
      <w:pPr>
        <w:spacing w:after="0" w:line="72" w:lineRule="exact"/>
        <w:rPr>
          <w:sz w:val="20"/>
          <w:szCs w:val="20"/>
          <w:color w:val="auto"/>
        </w:rPr>
      </w:pPr>
    </w:p>
    <w:p>
      <w:pPr>
        <w:ind w:left="460" w:right="180"/>
        <w:spacing w:after="0" w:line="260" w:lineRule="auto"/>
        <w:rPr>
          <w:sz w:val="20"/>
          <w:szCs w:val="20"/>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Our 2021 Plan permits the grant of stock appreciation rights. Stock appreciation rights allow the recipient to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the appreciation in the fair market value of our common stock between the exercise date and the date of grant. The term of stock appreciation rights is determined by the administrator. After the termination of service of an employee, director, or consultant, he or she may exercise his or her stock</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179</w:t>
      </w:r>
    </w:p>
    <w:p>
      <w:pPr>
        <w:sectPr>
          <w:pgSz w:w="11900" w:h="16838" w:orient="portrait"/>
          <w:cols w:equalWidth="0" w:num="1">
            <w:col w:w="10800"/>
          </w:cols>
          <w:pgMar w:left="320" w:top="441" w:right="77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thirty days following the termination of service. These exercise periods may be tolled in certain circumstances, for example if exercise prior to the end of the applicable period is not permitted because of applicable laws. However, in no event may a stock appreciation right be exercised later than the expiration of its term. Subject to the provisions of our 2021 Plan, the 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must be no less than 100% of the fair market value per share on the date of grant.</w:t>
      </w:r>
    </w:p>
    <w:p>
      <w:pPr>
        <w:spacing w:after="0" w:line="72" w:lineRule="exact"/>
        <w:rPr>
          <w:sz w:val="20"/>
          <w:szCs w:val="20"/>
          <w:color w:val="auto"/>
        </w:rPr>
      </w:pPr>
    </w:p>
    <w:p>
      <w:pPr>
        <w:ind w:left="460" w:right="60"/>
        <w:spacing w:after="0" w:line="253"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Our 2021 Plan permits the grant of restricted stock. Restricted stock awards are grants of shares of our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that vest in accordance with terms and conditions established by the administrator. The administrator determines the number of shares of restricted stock granted to any employee, director, or consultant and, subject to the provisions of our 2021 Plan, determines the terms and conditions of such awards. The administrator has the authority to impose whatever conditions to vesting it determines to be appropriate (for example, the administrator will be able to set restrictions based on the achievement of specific performance goals or continued service to us); provided, however, that the administrator, in its sole discretion, may accelerate the time at which any restrictions will lapse or be removed. Recipients of restricted stock awards generally have voting and dividend rights with respect to such shares upon grant without regard to vesting, unless the administrator provides otherwise. Shares of restricted stock that do not vest will be subject to our right of repurchase or forfeiture.</w:t>
      </w:r>
    </w:p>
    <w:p>
      <w:pPr>
        <w:spacing w:after="0" w:line="261" w:lineRule="exact"/>
        <w:rPr>
          <w:sz w:val="20"/>
          <w:szCs w:val="20"/>
          <w:color w:val="auto"/>
        </w:rPr>
      </w:pPr>
    </w:p>
    <w:p>
      <w:pPr>
        <w:ind w:left="460"/>
        <w:spacing w:after="0" w:line="254" w:lineRule="auto"/>
        <w:rPr>
          <w:sz w:val="20"/>
          <w:szCs w:val="20"/>
          <w:color w:val="auto"/>
        </w:rPr>
      </w:pPr>
      <w:r>
        <w:rPr>
          <w:rFonts w:ascii="Arial" w:cs="Arial" w:eastAsia="Arial" w:hAnsi="Arial"/>
          <w:sz w:val="16"/>
          <w:szCs w:val="16"/>
          <w:i w:val="1"/>
          <w:iCs w:val="1"/>
          <w:color w:val="auto"/>
        </w:rPr>
        <w:t>Restricted Stock Units</w:t>
      </w:r>
      <w:r>
        <w:rPr>
          <w:rFonts w:ascii="Arial" w:cs="Arial" w:eastAsia="Arial" w:hAnsi="Arial"/>
          <w:sz w:val="16"/>
          <w:szCs w:val="16"/>
          <w:color w:val="auto"/>
        </w:rPr>
        <w:t>. Our 2021 Plan permits the grant of RSUs. Each RSU will represent an amount equal to the fair market value of one</w:t>
      </w:r>
      <w:r>
        <w:rPr>
          <w:rFonts w:ascii="Arial" w:cs="Arial" w:eastAsia="Arial" w:hAnsi="Arial"/>
          <w:sz w:val="16"/>
          <w:szCs w:val="16"/>
          <w:i w:val="1"/>
          <w:iCs w:val="1"/>
          <w:color w:val="auto"/>
        </w:rPr>
        <w:t xml:space="preserve"> </w:t>
      </w:r>
      <w:r>
        <w:rPr>
          <w:rFonts w:ascii="Arial" w:cs="Arial" w:eastAsia="Arial" w:hAnsi="Arial"/>
          <w:sz w:val="16"/>
          <w:szCs w:val="16"/>
          <w:color w:val="auto"/>
        </w:rPr>
        <w:t>share of our common stock. Subject to the provisions of our 2021 Plan, the administrator determines the terms and conditions of RSUs, including the vesting criteria and the form and timing of payment. The administrator has the authority to set vesting criteria based upon the achievement of company-wide, divisional, business unit, or individual goals (including, but not limited to, continued employment or service), or any other basis determined by the administrator in its discretion. The administrator, in its sole discretion, may pay earned RSUs in the form of cash, in shares, or in some combination of both. Notwithstanding the foregoing, the administrator, in its sole discretion, may accelerate the vesting, or reduce or waive the criteria that must be met for vesting, of the RSUs or the time at which any restrictions will lapse or be removed.</w:t>
      </w:r>
    </w:p>
    <w:p>
      <w:pPr>
        <w:spacing w:after="0" w:line="70" w:lineRule="exact"/>
        <w:rPr>
          <w:sz w:val="20"/>
          <w:szCs w:val="20"/>
          <w:color w:val="auto"/>
        </w:rPr>
      </w:pPr>
    </w:p>
    <w:p>
      <w:pPr>
        <w:ind w:left="460" w:right="40"/>
        <w:spacing w:after="0" w:line="252" w:lineRule="auto"/>
        <w:rPr>
          <w:sz w:val="20"/>
          <w:szCs w:val="20"/>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Our 2021 Plan permits the grant of performance awards. Performance awards are awards that will result in a</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to a participant only if performance goals established by the administrator are achieved or the awards otherwise vest. The administrator may establish performance objectives or other vesting criteria in its discretion, which, depending on the extent to which they are met, will determine the number or the value of performance awards to be paid out to participants. The administrator has the authority to set performance objectives based on the achievement of company-wide, divisional, business unit, or individual goals (including, but not limited to, continued employment or service), or any other basis determined by the administrator in its discretion. Each performance award’s threshold, target, and maximum payout values are established by the administrator on or before the grant date. After the grant of a performance award, the administrator, in its sole discretion, may reduce or waive any performance criteria or other vesting provisions for such performance award. The administrator, in its sole discretion, may pay earned performance awards in the form of cash, in shares, or in some combination thereof.</w:t>
      </w:r>
    </w:p>
    <w:p>
      <w:pPr>
        <w:spacing w:after="0" w:line="74" w:lineRule="exact"/>
        <w:rPr>
          <w:sz w:val="20"/>
          <w:szCs w:val="20"/>
          <w:color w:val="auto"/>
        </w:rPr>
      </w:pPr>
    </w:p>
    <w:p>
      <w:pPr>
        <w:jc w:val="both"/>
        <w:ind w:left="460" w:right="320"/>
        <w:spacing w:after="0" w:line="267" w:lineRule="auto"/>
        <w:rPr>
          <w:sz w:val="20"/>
          <w:szCs w:val="20"/>
          <w:color w:val="auto"/>
        </w:rPr>
      </w:pPr>
      <w:r>
        <w:rPr>
          <w:rFonts w:ascii="Arial" w:cs="Arial" w:eastAsia="Arial" w:hAnsi="Arial"/>
          <w:sz w:val="16"/>
          <w:szCs w:val="16"/>
          <w:i w:val="1"/>
          <w:iCs w:val="1"/>
          <w:color w:val="auto"/>
        </w:rPr>
        <w:t>Non-Employee Directors</w:t>
      </w:r>
      <w:r>
        <w:rPr>
          <w:rFonts w:ascii="Arial" w:cs="Arial" w:eastAsia="Arial" w:hAnsi="Arial"/>
          <w:sz w:val="16"/>
          <w:szCs w:val="16"/>
          <w:color w:val="auto"/>
        </w:rPr>
        <w:t>. Our 2021 Plan provides that all outside (non-employee) directors will be eligible to receive all types of awards</w:t>
      </w:r>
      <w:r>
        <w:rPr>
          <w:rFonts w:ascii="Arial" w:cs="Arial" w:eastAsia="Arial" w:hAnsi="Arial"/>
          <w:sz w:val="16"/>
          <w:szCs w:val="16"/>
          <w:i w:val="1"/>
          <w:iCs w:val="1"/>
          <w:color w:val="auto"/>
        </w:rPr>
        <w:t xml:space="preserve"> </w:t>
      </w:r>
      <w:r>
        <w:rPr>
          <w:rFonts w:ascii="Arial" w:cs="Arial" w:eastAsia="Arial" w:hAnsi="Arial"/>
          <w:sz w:val="16"/>
          <w:szCs w:val="16"/>
          <w:color w:val="auto"/>
        </w:rPr>
        <w:t>(except for incentive stock options) under our 2021 Plan. In order to provide a maximum limit on the awards that can be made to our non-employee directors, our 2021 Plan provides that in</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180</w:t>
      </w:r>
    </w:p>
    <w:p>
      <w:pPr>
        <w:sectPr>
          <w:pgSz w:w="11900" w:h="16838" w:orient="portrait"/>
          <w:cols w:equalWidth="0" w:num="1">
            <w:col w:w="10800"/>
          </w:cols>
          <w:pgMar w:left="320" w:top="441" w:right="77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any given fiscal year, a non-employee director will not be paid, issued or granted cash retainer fees and equity awards having a grant-date fair value greater than $500,000 (increased to $1,000,000 in connection with his or her initial service). The grant-date fair values will be determined according to GAAP. The maximum limits do not reflect the intended size of any potential grants or a commitment to make grants to our outside directors under our 2021 Plan in the future.</w:t>
      </w:r>
    </w:p>
    <w:p>
      <w:pPr>
        <w:spacing w:after="0" w:line="70" w:lineRule="exact"/>
        <w:rPr>
          <w:sz w:val="20"/>
          <w:szCs w:val="20"/>
          <w:color w:val="auto"/>
        </w:rPr>
      </w:pPr>
    </w:p>
    <w:p>
      <w:pPr>
        <w:ind w:left="460" w:right="120"/>
        <w:spacing w:after="0" w:line="260" w:lineRule="auto"/>
        <w:rPr>
          <w:sz w:val="20"/>
          <w:szCs w:val="20"/>
          <w:color w:val="auto"/>
        </w:rPr>
      </w:pPr>
      <w:r>
        <w:rPr>
          <w:rFonts w:ascii="Arial" w:cs="Arial" w:eastAsia="Arial" w:hAnsi="Arial"/>
          <w:sz w:val="16"/>
          <w:szCs w:val="16"/>
          <w:i w:val="1"/>
          <w:iCs w:val="1"/>
          <w:color w:val="auto"/>
        </w:rPr>
        <w:t>Non-Transferability of Awards</w:t>
      </w:r>
      <w:r>
        <w:rPr>
          <w:rFonts w:ascii="Arial" w:cs="Arial" w:eastAsia="Arial" w:hAnsi="Arial"/>
          <w:sz w:val="16"/>
          <w:szCs w:val="16"/>
          <w:color w:val="auto"/>
        </w:rPr>
        <w:t>. Unless the administrator provides otherwise, our 2021 Plan generally does not allow for the transfer of</w:t>
      </w:r>
      <w:r>
        <w:rPr>
          <w:rFonts w:ascii="Arial" w:cs="Arial" w:eastAsia="Arial" w:hAnsi="Arial"/>
          <w:sz w:val="16"/>
          <w:szCs w:val="16"/>
          <w:i w:val="1"/>
          <w:iCs w:val="1"/>
          <w:color w:val="auto"/>
        </w:rPr>
        <w:t xml:space="preserve"> </w:t>
      </w:r>
      <w:r>
        <w:rPr>
          <w:rFonts w:ascii="Arial" w:cs="Arial" w:eastAsia="Arial" w:hAnsi="Arial"/>
          <w:sz w:val="16"/>
          <w:szCs w:val="16"/>
          <w:color w:val="auto"/>
        </w:rPr>
        <w:t>awards other than by will or by the laws of descent or distribution and only the recipient of an award may exercise an award during his or her lifetime. If the administrator makes an award transferrable, such award will contain such additional terms and conditions as the administrator deems appropriate.</w:t>
      </w:r>
    </w:p>
    <w:p>
      <w:pPr>
        <w:spacing w:after="0" w:line="65"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i w:val="1"/>
          <w:iCs w:val="1"/>
          <w:color w:val="auto"/>
        </w:rPr>
        <w:t>Certain Adjustments</w:t>
      </w:r>
      <w:r>
        <w:rPr>
          <w:rFonts w:ascii="Arial" w:cs="Arial" w:eastAsia="Arial" w:hAnsi="Arial"/>
          <w:sz w:val="16"/>
          <w:szCs w:val="16"/>
          <w:color w:val="auto"/>
        </w:rPr>
        <w:t>. If any extraordinary dividend or other extraordinary distribution (whether in cash, shares, other securities,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recapitalization, stock split, reverse stock split, reorganization, merger, consolidation, split-up, spin-off, combination, reclassification, repurchase, or exchange of shares of our common stock or other of our securities, other change in our corporate structure affecting the shares, or any similar equity restructuring transaction affecting our shares occurs (including a change in control), the administrator, to prevent diminution or enlargement of the benefits or potential benefits intended to be provided under the 2021 Plan, will adjust the number and class of shares that may be delivered under the 2021 Plan or the number, class, and price of shares covered by each outstanding award, and the numerical share limits set forth in our 2021 Plan. The conversion of any of our convertible securities and ordinary course repurchases of our shares or other securities will not be treated as an event that will require adjustment under the 2021 Plan.</w:t>
      </w:r>
    </w:p>
    <w:p>
      <w:pPr>
        <w:spacing w:after="0" w:line="71" w:lineRule="exact"/>
        <w:rPr>
          <w:sz w:val="20"/>
          <w:szCs w:val="20"/>
          <w:color w:val="auto"/>
        </w:rPr>
      </w:pPr>
    </w:p>
    <w:p>
      <w:pPr>
        <w:ind w:left="460" w:right="580"/>
        <w:spacing w:after="0" w:line="286" w:lineRule="auto"/>
        <w:rPr>
          <w:sz w:val="20"/>
          <w:szCs w:val="20"/>
          <w:color w:val="auto"/>
        </w:rPr>
      </w:pPr>
      <w:r>
        <w:rPr>
          <w:rFonts w:ascii="Arial" w:cs="Arial" w:eastAsia="Arial" w:hAnsi="Arial"/>
          <w:sz w:val="16"/>
          <w:szCs w:val="16"/>
          <w:i w:val="1"/>
          <w:iCs w:val="1"/>
          <w:color w:val="auto"/>
        </w:rPr>
        <w:t>Dissolution or Liquidation</w:t>
      </w:r>
      <w:r>
        <w:rPr>
          <w:rFonts w:ascii="Arial" w:cs="Arial" w:eastAsia="Arial" w:hAnsi="Arial"/>
          <w:sz w:val="16"/>
          <w:szCs w:val="16"/>
          <w:color w:val="auto"/>
        </w:rPr>
        <w:t>. In the event of our proposed liquidation or dissolution, the administrator will notify participants as soon as</w:t>
      </w:r>
      <w:r>
        <w:rPr>
          <w:rFonts w:ascii="Arial" w:cs="Arial" w:eastAsia="Arial" w:hAnsi="Arial"/>
          <w:sz w:val="16"/>
          <w:szCs w:val="16"/>
          <w:i w:val="1"/>
          <w:iCs w:val="1"/>
          <w:color w:val="auto"/>
        </w:rPr>
        <w:t xml:space="preserve"> </w:t>
      </w:r>
      <w:r>
        <w:rPr>
          <w:rFonts w:ascii="Arial" w:cs="Arial" w:eastAsia="Arial" w:hAnsi="Arial"/>
          <w:sz w:val="16"/>
          <w:szCs w:val="16"/>
          <w:color w:val="auto"/>
        </w:rPr>
        <w:t>practicable and, to the extent not exercised, all awards will terminate immediately prior to the consummation of such proposed plan.</w:t>
      </w:r>
    </w:p>
    <w:p>
      <w:pPr>
        <w:spacing w:after="0" w:line="43"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i w:val="1"/>
          <w:iCs w:val="1"/>
          <w:color w:val="auto"/>
        </w:rPr>
        <w:t>Merger or Change in Control</w:t>
      </w:r>
      <w:r>
        <w:rPr>
          <w:rFonts w:ascii="Arial" w:cs="Arial" w:eastAsia="Arial" w:hAnsi="Arial"/>
          <w:sz w:val="16"/>
          <w:szCs w:val="16"/>
          <w:color w:val="auto"/>
        </w:rPr>
        <w:t>. Our 2021 Plan provides that in the event of a merger or change in control, as defined under our 2021 Plan,</w:t>
      </w:r>
      <w:r>
        <w:rPr>
          <w:rFonts w:ascii="Arial" w:cs="Arial" w:eastAsia="Arial" w:hAnsi="Arial"/>
          <w:sz w:val="16"/>
          <w:szCs w:val="16"/>
          <w:i w:val="1"/>
          <w:iCs w:val="1"/>
          <w:color w:val="auto"/>
        </w:rPr>
        <w:t xml:space="preserve"> </w:t>
      </w:r>
      <w:r>
        <w:rPr>
          <w:rFonts w:ascii="Arial" w:cs="Arial" w:eastAsia="Arial" w:hAnsi="Arial"/>
          <w:sz w:val="16"/>
          <w:szCs w:val="16"/>
          <w:color w:val="auto"/>
        </w:rPr>
        <w:t>each outstanding award will be treated as the administrator determines, without a requirement to obtain a participant’s consent, including, without limitation, that such award will be continued by the successor corporation or a parent or subsidiary of the successor corporation. An award generally will be considered continued if, following the transaction, (i) the award gives the right to purchase or receive the consideration received in the transaction by holders of our shares or (ii) the award is terminated in exchange for an amount of cash or property, if any, equal to the amount that would have been received upon the exercise or realization of the award at the closing of the transaction, which payment may be subject to any escrow applicable to holders of our common stock in connection with the transaction or subjected to the award’s original vesting schedule. The administrator will not be required to treat all awards or portions thereof, the vested and unvested portions of an award, or all participants similarly.</w:t>
      </w:r>
    </w:p>
    <w:p>
      <w:pPr>
        <w:spacing w:after="0" w:line="90" w:lineRule="exact"/>
        <w:rPr>
          <w:sz w:val="20"/>
          <w:szCs w:val="20"/>
          <w:color w:val="auto"/>
        </w:rPr>
      </w:pPr>
    </w:p>
    <w:p>
      <w:pPr>
        <w:ind w:left="460" w:right="100"/>
        <w:spacing w:after="0" w:line="250" w:lineRule="auto"/>
        <w:rPr>
          <w:sz w:val="20"/>
          <w:szCs w:val="20"/>
          <w:color w:val="auto"/>
        </w:rPr>
      </w:pPr>
      <w:r>
        <w:rPr>
          <w:rFonts w:ascii="Arial" w:cs="Arial" w:eastAsia="Arial" w:hAnsi="Arial"/>
          <w:sz w:val="16"/>
          <w:szCs w:val="16"/>
          <w:color w:val="auto"/>
        </w:rPr>
        <w:t>In the event that a successor corporation or its parent or subsidiary does not continue an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unless specifically provided for otherwise under the applicable award agreement or other written agreement with the participant. The award will then terminate upon the expiration of the specified period of time. If an option or stock appreciation right is not continued,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91" w:lineRule="exact"/>
        <w:rPr>
          <w:sz w:val="20"/>
          <w:szCs w:val="20"/>
          <w:color w:val="auto"/>
        </w:rPr>
      </w:pPr>
    </w:p>
    <w:p>
      <w:pPr>
        <w:ind w:left="460" w:right="460"/>
        <w:spacing w:after="0" w:line="265" w:lineRule="auto"/>
        <w:rPr>
          <w:sz w:val="20"/>
          <w:szCs w:val="20"/>
          <w:color w:val="auto"/>
        </w:rPr>
      </w:pPr>
      <w:r>
        <w:rPr>
          <w:rFonts w:ascii="Arial" w:cs="Arial" w:eastAsia="Arial" w:hAnsi="Arial"/>
          <w:sz w:val="16"/>
          <w:szCs w:val="16"/>
          <w:color w:val="auto"/>
        </w:rPr>
        <w:t>With respect to awards granted to an outside director, in the event of a change in control, all of his or her options and stock appreciation rights, if any, will vest fully and become immediately exercisable, all restrictions</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181</w:t>
      </w:r>
    </w:p>
    <w:p>
      <w:pPr>
        <w:sectPr>
          <w:pgSz w:w="11900" w:h="16838" w:orient="portrait"/>
          <w:cols w:equalWidth="0" w:num="1">
            <w:col w:w="10780"/>
          </w:cols>
          <w:pgMar w:left="320" w:top="441" w:right="79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60"/>
        <w:spacing w:after="0" w:line="265" w:lineRule="auto"/>
        <w:rPr>
          <w:sz w:val="20"/>
          <w:szCs w:val="20"/>
          <w:color w:val="auto"/>
        </w:rPr>
      </w:pPr>
      <w:r>
        <w:rPr>
          <w:rFonts w:ascii="Arial" w:cs="Arial" w:eastAsia="Arial" w:hAnsi="Arial"/>
          <w:sz w:val="16"/>
          <w:szCs w:val="16"/>
          <w:color w:val="auto"/>
        </w:rPr>
        <w:t>on his or her restricted stock and RSUs will lapse, and all performance goals or other vesting requirements for his or her performance awards will be deemed achieved at 100% of target levels, and all other terms and conditions met.</w:t>
      </w:r>
    </w:p>
    <w:p>
      <w:pPr>
        <w:spacing w:after="0" w:line="59" w:lineRule="exact"/>
        <w:rPr>
          <w:sz w:val="20"/>
          <w:szCs w:val="20"/>
          <w:color w:val="auto"/>
        </w:rPr>
      </w:pPr>
    </w:p>
    <w:p>
      <w:pPr>
        <w:ind w:left="460" w:right="60"/>
        <w:spacing w:after="0" w:line="260" w:lineRule="auto"/>
        <w:rPr>
          <w:sz w:val="20"/>
          <w:szCs w:val="20"/>
          <w:color w:val="auto"/>
        </w:rPr>
      </w:pPr>
      <w:r>
        <w:rPr>
          <w:rFonts w:ascii="Arial" w:cs="Arial" w:eastAsia="Arial" w:hAnsi="Arial"/>
          <w:sz w:val="16"/>
          <w:szCs w:val="16"/>
          <w:i w:val="1"/>
          <w:iCs w:val="1"/>
          <w:color w:val="auto"/>
        </w:rPr>
        <w:t>Clawback</w:t>
      </w:r>
      <w:r>
        <w:rPr>
          <w:rFonts w:ascii="Arial" w:cs="Arial" w:eastAsia="Arial" w:hAnsi="Arial"/>
          <w:sz w:val="16"/>
          <w:szCs w:val="16"/>
          <w:color w:val="auto"/>
        </w:rPr>
        <w:t>. Awards will be subject to any clawback policy that we are required to adopt pursuant to the listing standards of any 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exchange or association on which our stock is listed or as otherwise required by applicable laws, and the administrator will also be able to specify in an award agreement that the participant’s rights, payments, or benefits with respect to an award will be subject to reduction, cancellation, forfeiture, or recoupment upon the occurrence of certain specified events.</w:t>
      </w:r>
    </w:p>
    <w:p>
      <w:pPr>
        <w:spacing w:after="0" w:line="65" w:lineRule="exact"/>
        <w:rPr>
          <w:sz w:val="20"/>
          <w:szCs w:val="20"/>
          <w:color w:val="auto"/>
        </w:rPr>
      </w:pPr>
    </w:p>
    <w:p>
      <w:pPr>
        <w:ind w:left="460" w:right="40"/>
        <w:spacing w:after="0" w:line="255" w:lineRule="auto"/>
        <w:rPr>
          <w:sz w:val="20"/>
          <w:szCs w:val="20"/>
          <w:color w:val="auto"/>
        </w:rPr>
      </w:pPr>
      <w:r>
        <w:rPr>
          <w:rFonts w:ascii="Arial" w:cs="Arial" w:eastAsia="Arial" w:hAnsi="Arial"/>
          <w:sz w:val="16"/>
          <w:szCs w:val="16"/>
          <w:i w:val="1"/>
          <w:iCs w:val="1"/>
          <w:color w:val="auto"/>
        </w:rPr>
        <w:t>Amendment; Termination</w:t>
      </w:r>
      <w:r>
        <w:rPr>
          <w:rFonts w:ascii="Arial" w:cs="Arial" w:eastAsia="Arial" w:hAnsi="Arial"/>
          <w:sz w:val="16"/>
          <w:szCs w:val="16"/>
          <w:color w:val="auto"/>
        </w:rPr>
        <w:t>. The administrator will have the authority to amend, alter, suspend, or terminate our 2021 Plan, provided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will obtain stockholder approval of any amendment to the extent necessary or desirable to comply with applicable laws. However, no amendment, alteration, suspension, or termination of our 2021 Plan or an Award under it may, taken as a whole, materially impair the existing rights of any participant without the participant’s consent. Our 2021 Plan will continue in effect until it is terminated, provided that incentive stock options may not be granted after the ten year anniversary of the date our board of directors approved the 2021 Plan, and the automatic annual share increase will end on the ten year anniversary of the date our board of directors approved the 2021 Plan.</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2015 Equity Incentive Plan, as amended</w:t>
      </w:r>
    </w:p>
    <w:p>
      <w:pPr>
        <w:spacing w:after="0" w:line="128" w:lineRule="exact"/>
        <w:rPr>
          <w:sz w:val="20"/>
          <w:szCs w:val="20"/>
          <w:color w:val="auto"/>
        </w:rPr>
      </w:pPr>
    </w:p>
    <w:p>
      <w:pPr>
        <w:ind w:left="460" w:right="120"/>
        <w:spacing w:after="0" w:line="265" w:lineRule="auto"/>
        <w:rPr>
          <w:sz w:val="20"/>
          <w:szCs w:val="20"/>
          <w:color w:val="auto"/>
        </w:rPr>
      </w:pPr>
      <w:r>
        <w:rPr>
          <w:rFonts w:ascii="Arial" w:cs="Arial" w:eastAsia="Arial" w:hAnsi="Arial"/>
          <w:sz w:val="16"/>
          <w:szCs w:val="16"/>
          <w:color w:val="auto"/>
        </w:rPr>
        <w:t>Our 2015 Plan was originally adopted by our board of directors and approved by our stockholders in 2015. Our 2015 Plan was most recently amended in March 2021.</w:t>
      </w:r>
    </w:p>
    <w:p>
      <w:pPr>
        <w:spacing w:after="0" w:line="75"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Our 2015 Plan allows us to provide incentive stock options, within the meaning of Section 422 of the Code, nonqualified stock options, performance shares, performance share units, stock appreciation rights, restricted stock, stock grants or stock units (each, an “award” and the recipient of such award, a “participant”) to eligible employees, officers, directors and consultants of ours and any subsidiary of ours. As of one business day prior to the effectiveness of the registration statement of which this prospectus forms a part, our 2015 Plan was terminated and we will not grant any additional awards under our 2015 Plan thereafter. However, our 2015 Plan will continue to govern the terms and conditions of the outstanding awards previously granted under our 2015 Plan.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2021, stock options covering 4,423,932 shares of our common stock were outstanding under our 2015 Plan.</w:t>
      </w:r>
    </w:p>
    <w:p>
      <w:pPr>
        <w:spacing w:after="0" w:line="92" w:lineRule="exact"/>
        <w:rPr>
          <w:sz w:val="20"/>
          <w:szCs w:val="20"/>
          <w:color w:val="auto"/>
        </w:rPr>
      </w:pPr>
    </w:p>
    <w:p>
      <w:pPr>
        <w:ind w:left="460" w:right="20"/>
        <w:spacing w:after="0" w:line="257"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2015 Plan is administered by our board of directors or one or more committees appointed by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or the administrator. The administrator has full power to make all determinations it deems necessary or advisable for administration of our 2015 Plan, including the authority to construe and interpret the terms of our 2015 Plan and the awards granted under our 2015 Plan. The administrator’s powers also include the power to amend the terms and conditions of any outstanding award as provided in our 2015 Plan. The administrator’s determinations and decisions are final and binding on all participants and any other persons holding awards.</w:t>
      </w:r>
    </w:p>
    <w:p>
      <w:pPr>
        <w:spacing w:after="0" w:line="67" w:lineRule="exact"/>
        <w:rPr>
          <w:sz w:val="20"/>
          <w:szCs w:val="20"/>
          <w:color w:val="auto"/>
        </w:rPr>
      </w:pPr>
    </w:p>
    <w:p>
      <w:pPr>
        <w:ind w:left="460" w:right="100"/>
        <w:spacing w:after="0" w:line="260"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Employees, directors and consultants of ours or our subsidiary companies are eligible to receive awards, provided such</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consultants render bona fide services not in connection with the offer and sale of securities in a capital-raising transaction and do not directly promote or maintain a market for our securities. Only our employees or employees of our subsidiary companies are eligible to receive incentive stock options.</w:t>
      </w:r>
    </w:p>
    <w:p>
      <w:pPr>
        <w:spacing w:after="0" w:line="65" w:lineRule="exact"/>
        <w:rPr>
          <w:sz w:val="20"/>
          <w:szCs w:val="20"/>
          <w:color w:val="auto"/>
        </w:rPr>
      </w:pPr>
    </w:p>
    <w:p>
      <w:pPr>
        <w:ind w:left="460" w:right="400"/>
        <w:spacing w:after="0" w:line="267"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options have been granted under our 2015 Plan. Subject to the provisions of our 2015 Plan, the administrator</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determines the term of a stock option, the number of shares subject to a stock option and the time period in which a stock option may be exercised.</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182</w:t>
      </w:r>
    </w:p>
    <w:p>
      <w:pPr>
        <w:sectPr>
          <w:pgSz w:w="11900" w:h="16838" w:orient="portrait"/>
          <w:cols w:equalWidth="0" w:num="1">
            <w:col w:w="10780"/>
          </w:cols>
          <w:pgMar w:left="320" w:top="441" w:right="79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The term of a stock option is stated in the applicable award agreement, but the term of a stock option may not exceed 10 years from the grant date. The administrator determines the exercise price of stock options, which generally may not be less than 100% of the fair market value of our common stock on the grant date, unless expressly determined in writing by the administrator on the stock option’s grant date. However, an incentive stock option granted to an individual who directly or by attribution owns more than 10% of the total combined voting power of all of our classes of stock or of any parent or subsidiary may have a term of no longer than five years from the grant date and will have an exercise price of at least 110% of the fair market value of our common stock on the grant date. In addition, to the extent that the aggregate fair market value of the shares with respect to which incentive stock options are exercisable for the first time by an employee during any calendar year (under all our plans and any parent or subsidiary) exceeds $100,000, such stock options will be treated as nonstatutory stock options.</w:t>
      </w:r>
    </w:p>
    <w:p>
      <w:pPr>
        <w:spacing w:after="0" w:line="90" w:lineRule="exact"/>
        <w:rPr>
          <w:sz w:val="20"/>
          <w:szCs w:val="20"/>
          <w:color w:val="auto"/>
        </w:rPr>
      </w:pPr>
    </w:p>
    <w:p>
      <w:pPr>
        <w:ind w:left="460" w:right="20"/>
        <w:spacing w:after="0" w:line="249" w:lineRule="auto"/>
        <w:rPr>
          <w:sz w:val="20"/>
          <w:szCs w:val="20"/>
          <w:color w:val="auto"/>
        </w:rPr>
      </w:pPr>
      <w:r>
        <w:rPr>
          <w:rFonts w:ascii="Arial" w:cs="Arial" w:eastAsia="Arial" w:hAnsi="Arial"/>
          <w:sz w:val="16"/>
          <w:szCs w:val="16"/>
          <w:color w:val="auto"/>
        </w:rPr>
        <w:t>The administrator determines how a participant may pay the exercise price of a stock option, and the permissible methods are generally set forth in the applicable award agreement. If a participant’s service to us or any subsidiary of ours is terminated, as applicable, that participant may exercise the vested portion of his or her stock option for the period of time stated in the applicable award agreement. Vested stock options generally will remain exercisable for three months or such other period of time as set forth in the applicable award agreement if a participant ceases to provide services for a reason other than death, disability or, if set forth in an award agreement, termination for cause. If a participant’s service is terminated due to death or disability, vested stock options generally will remain exercisable for 1 year from the date of termination (or such other period as set forth in the applicable award agreement). The administrator may provide in an award agreement that options will terminate immediately upon a participant’s termination for cause. In no event will a stock option remain exercisable beyond its original term. If a participant does not exercise his or her stock option within the time specified in the award agreement, the stock option will terminate. Except as described above, the administrator has the discretion to determine the post-termination exercisability periods for a stock option.</w:t>
      </w:r>
    </w:p>
    <w:p>
      <w:pPr>
        <w:spacing w:after="0" w:line="268" w:lineRule="exact"/>
        <w:rPr>
          <w:sz w:val="20"/>
          <w:szCs w:val="20"/>
          <w:color w:val="auto"/>
        </w:rPr>
      </w:pPr>
    </w:p>
    <w:p>
      <w:pPr>
        <w:ind w:left="460" w:right="80"/>
        <w:spacing w:after="0" w:line="263" w:lineRule="auto"/>
        <w:rPr>
          <w:sz w:val="20"/>
          <w:szCs w:val="20"/>
          <w:color w:val="auto"/>
        </w:rPr>
      </w:pPr>
      <w:r>
        <w:rPr>
          <w:rFonts w:ascii="Arial" w:cs="Arial" w:eastAsia="Arial" w:hAnsi="Arial"/>
          <w:sz w:val="16"/>
          <w:szCs w:val="16"/>
          <w:i w:val="1"/>
          <w:iCs w:val="1"/>
          <w:color w:val="auto"/>
        </w:rPr>
        <w:t>Non-transferability of Awards</w:t>
      </w:r>
      <w:r>
        <w:rPr>
          <w:rFonts w:ascii="Arial" w:cs="Arial" w:eastAsia="Arial" w:hAnsi="Arial"/>
          <w:sz w:val="16"/>
          <w:szCs w:val="16"/>
          <w:color w:val="auto"/>
        </w:rPr>
        <w:t>. Unless determined otherwise by the administrator, awards may not be transferred in any manner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by will or by the laws of descent and distribution, and with respect to non-statutory stock options, by instrument to an inter vivos or testamentary trust or by gift to immediate family. In addition, during an applicable participant’s lifetime, only that participant may exercise their award.</w:t>
      </w:r>
    </w:p>
    <w:p>
      <w:pPr>
        <w:spacing w:after="0" w:line="257" w:lineRule="exact"/>
        <w:rPr>
          <w:sz w:val="20"/>
          <w:szCs w:val="20"/>
          <w:color w:val="auto"/>
        </w:rPr>
      </w:pPr>
    </w:p>
    <w:p>
      <w:pPr>
        <w:ind w:left="460" w:right="40"/>
        <w:spacing w:after="0" w:line="252" w:lineRule="auto"/>
        <w:rPr>
          <w:sz w:val="20"/>
          <w:szCs w:val="20"/>
          <w:color w:val="auto"/>
        </w:rPr>
      </w:pPr>
      <w:r>
        <w:rPr>
          <w:rFonts w:ascii="Arial" w:cs="Arial" w:eastAsia="Arial" w:hAnsi="Arial"/>
          <w:sz w:val="16"/>
          <w:szCs w:val="16"/>
          <w:i w:val="1"/>
          <w:iCs w:val="1"/>
          <w:color w:val="auto"/>
        </w:rPr>
        <w:t>Certain Adjustments</w:t>
      </w:r>
      <w:r>
        <w:rPr>
          <w:rFonts w:ascii="Arial" w:cs="Arial" w:eastAsia="Arial" w:hAnsi="Arial"/>
          <w:sz w:val="16"/>
          <w:szCs w:val="16"/>
          <w:color w:val="auto"/>
        </w:rPr>
        <w:t>. Upon a change in our corporate capitalization, such as a stock split, stock dividend or a corporate transaction, any</w:t>
      </w:r>
      <w:r>
        <w:rPr>
          <w:rFonts w:ascii="Arial" w:cs="Arial" w:eastAsia="Arial" w:hAnsi="Arial"/>
          <w:sz w:val="16"/>
          <w:szCs w:val="16"/>
          <w:i w:val="1"/>
          <w:iCs w:val="1"/>
          <w:color w:val="auto"/>
        </w:rPr>
        <w:t xml:space="preserve"> </w:t>
      </w:r>
      <w:r>
        <w:rPr>
          <w:rFonts w:ascii="Arial" w:cs="Arial" w:eastAsia="Arial" w:hAnsi="Arial"/>
          <w:sz w:val="16"/>
          <w:szCs w:val="16"/>
          <w:color w:val="auto"/>
        </w:rPr>
        <w:t>merger, consolidation, combination, exchange of shares or the like, separation, including a spin-off, or other distribution of stock or property of the Company, any reorganization or any partial or complete liquidation of the Company, the administrator will adjust the number and class of shares that may be delivered under our 2015 Plan, the number, class and price of shares subject to outstanding awards granted under our 2015 Plan, and in the award limits set forth in our 2015 Plan, in order to prevent dilution or enlargement of rights. Additionally, the administrator will make adjustments in the terms and conditions of, and the criteria included in, awards in recognition of unusual or nonrecurring events affecting the Company or the financial statements of the Company or of changes in applicable laws, regulations, or accounting principles, whenever the administrator determines that such adjustments are appropriate in order to prevent dilution or enlargement of the benefits or potential benefits intended to be made available under our 2015 Plan.</w:t>
      </w:r>
    </w:p>
    <w:p>
      <w:pPr>
        <w:spacing w:after="0" w:line="74" w:lineRule="exact"/>
        <w:rPr>
          <w:sz w:val="20"/>
          <w:szCs w:val="20"/>
          <w:color w:val="auto"/>
        </w:rPr>
      </w:pPr>
    </w:p>
    <w:p>
      <w:pPr>
        <w:ind w:left="460" w:right="40"/>
        <w:spacing w:after="0" w:line="254"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In the event of a change in control (as defined in our 2015 Plan), unless otherwise specifically prohibited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laws, or by the rules and regulations of any governing governmental agencies or national securities exchange or trading system, or unless the otherwise specified in an award agreement, our board of directors may treat awards as follows: (i) elect to terminate options or stock appreciation rights in exchange for a cash payment equal to the amount by which the fair market value of the shares subject to such option or stock appreciation right to the extent the option or stock appreciation right has vested exceeds the exercise price with respect to such shares; (ii) elect to terminate options or stock appreciation rights provided that each participant is first notified of and given the opportunity to exercise his/her vested options or stock</w:t>
      </w:r>
    </w:p>
    <w:p>
      <w:pPr>
        <w:spacing w:after="0" w:line="1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183</w:t>
      </w:r>
    </w:p>
    <w:p>
      <w:pPr>
        <w:sectPr>
          <w:pgSz w:w="11900" w:h="16838" w:orient="portrait"/>
          <w:cols w:equalWidth="0" w:num="1">
            <w:col w:w="10800"/>
          </w:cols>
          <w:pgMar w:left="320" w:top="440" w:right="77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160"/>
        <w:spacing w:after="0" w:line="251" w:lineRule="auto"/>
        <w:rPr>
          <w:sz w:val="20"/>
          <w:szCs w:val="20"/>
          <w:color w:val="auto"/>
        </w:rPr>
      </w:pPr>
      <w:r>
        <w:rPr>
          <w:rFonts w:ascii="Arial" w:cs="Arial" w:eastAsia="Arial" w:hAnsi="Arial"/>
          <w:sz w:val="16"/>
          <w:szCs w:val="16"/>
          <w:color w:val="auto"/>
        </w:rPr>
        <w:t>appreciation rights for a specified period of time (of not less than 15 days) from the date of notification and before the option or stock appreciation right is terminated; (iii) permit awards to be assumed by a new parent corporation or a successor corporation (or its parent) and replaced with a comparable award of the parent corporation or successor corporation (or its parent); (iv) amend an award agreement to accelerate vesting; (v) provide that vesting of any award shall accelerate if the participant is terminated other than for cause or if the participant resigns for good reason (as such terms are defined in the 2015 Plan); (vi) or implement any combination of the foregoing or implement any other action with respect to an award that it deems appropriate.</w:t>
      </w:r>
    </w:p>
    <w:p>
      <w:pPr>
        <w:spacing w:after="0" w:line="72" w:lineRule="exact"/>
        <w:rPr>
          <w:sz w:val="20"/>
          <w:szCs w:val="20"/>
          <w:color w:val="auto"/>
        </w:rPr>
      </w:pPr>
    </w:p>
    <w:p>
      <w:pPr>
        <w:ind w:left="460"/>
        <w:spacing w:after="0" w:line="255"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Our board of directors may, at any time, terminate or amend our 2015 Plan in any respect, including,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limitation, amendment of any form of award agreement or instrument to be executed pursuant to our 2015 Plan, but no such amendment may adversely affect in any material any award without the written consent of the holder of such award. To the extent necessary and desirable to comply with applicable laws, we will obtain stockholder approval of any amendment to our 2015 Plan. As noted above, as of one business day prior to the effectiveness of the registration statement of which this prospectus forms a part, our 2015 Plan was terminated and we will not grant any additional awards under our 2015 Plan thereafter.</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2006 Stock Plan</w:t>
      </w:r>
    </w:p>
    <w:p>
      <w:pPr>
        <w:spacing w:after="0" w:line="128" w:lineRule="exact"/>
        <w:rPr>
          <w:sz w:val="20"/>
          <w:szCs w:val="20"/>
          <w:color w:val="auto"/>
        </w:rPr>
      </w:pPr>
    </w:p>
    <w:p>
      <w:pPr>
        <w:ind w:left="460" w:right="20"/>
        <w:spacing w:after="0" w:line="256" w:lineRule="auto"/>
        <w:rPr>
          <w:sz w:val="20"/>
          <w:szCs w:val="20"/>
          <w:color w:val="auto"/>
        </w:rPr>
      </w:pPr>
      <w:r>
        <w:rPr>
          <w:rFonts w:ascii="Arial" w:cs="Arial" w:eastAsia="Arial" w:hAnsi="Arial"/>
          <w:sz w:val="16"/>
          <w:szCs w:val="16"/>
          <w:color w:val="auto"/>
        </w:rPr>
        <w:t>Our 2006 Plan was originally adopted by our board of directors and approved by our stockholders in 2006. Our 2006 Plan was terminated in 2015 in connection with the adoption of our 2015 Plan and as a result no new awards may be issued under our 2006 Plan. However, our 2006 Plan will continue to govern the terms and conditions of the outstanding awards previously granted under our 2006 Plan.</w:t>
      </w:r>
    </w:p>
    <w:p>
      <w:pPr>
        <w:spacing w:after="0" w:line="83" w:lineRule="exact"/>
        <w:rPr>
          <w:sz w:val="20"/>
          <w:szCs w:val="20"/>
          <w:color w:val="auto"/>
        </w:rPr>
      </w:pPr>
    </w:p>
    <w:p>
      <w:pPr>
        <w:ind w:left="460" w:right="40"/>
        <w:spacing w:after="0" w:line="256" w:lineRule="auto"/>
        <w:rPr>
          <w:sz w:val="20"/>
          <w:szCs w:val="20"/>
          <w:color w:val="auto"/>
        </w:rPr>
      </w:pPr>
      <w:r>
        <w:rPr>
          <w:rFonts w:ascii="Arial" w:cs="Arial" w:eastAsia="Arial" w:hAnsi="Arial"/>
          <w:sz w:val="16"/>
          <w:szCs w:val="16"/>
          <w:color w:val="auto"/>
        </w:rPr>
        <w:t>Prior to its termination, our 2006 Plan allowed us to grant incentive stock options, within the meaning of Section 422 of the Code, nonstatutory stock options, and stock purchase rights (each, an “award” and the recipient of such award, a “participant”) to eligible employees and consultants of ours and any parent or subsidiary of ours.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2021, stock options covering 199,711 shares of our common stock were outstanding under our 2006 Plan.</w:t>
      </w:r>
    </w:p>
    <w:p>
      <w:pPr>
        <w:spacing w:after="0" w:line="92" w:lineRule="exact"/>
        <w:rPr>
          <w:sz w:val="20"/>
          <w:szCs w:val="20"/>
          <w:color w:val="auto"/>
        </w:rPr>
      </w:pPr>
    </w:p>
    <w:p>
      <w:pPr>
        <w:ind w:left="460" w:right="240"/>
        <w:spacing w:after="0" w:line="257"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2006 Plan is administered by our board of directors or one or more committees appointed by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Different committees may administer our 2006 Plan with respect to different service providers. The administrator has all authority and discretion necessary or appropriate to administer our 2006 Plan and to control its operation, including the authority to construe and interpret the terms of our 2006 Plan and the awards granted under our 2006 Plan. The administrator’s decisions are final and binding on all participants and any other persons holding awards.</w:t>
      </w:r>
    </w:p>
    <w:p>
      <w:pPr>
        <w:spacing w:after="0" w:line="67"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Employees and consultants of ours or our parent or subsidiary companies were eligible to receive awards under the 2006 Plan.</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Only our employees or employees of our parent or subsidiary companies were eligible to receive incentive stock options.</w:t>
      </w:r>
    </w:p>
    <w:p>
      <w:pPr>
        <w:spacing w:after="0" w:line="92" w:lineRule="exact"/>
        <w:rPr>
          <w:sz w:val="20"/>
          <w:szCs w:val="20"/>
          <w:color w:val="auto"/>
        </w:rPr>
      </w:pPr>
    </w:p>
    <w:p>
      <w:pPr>
        <w:jc w:val="both"/>
        <w:ind w:left="460" w:right="600"/>
        <w:spacing w:after="0" w:line="286"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options have been granted under our 2006 Plan. Subject to the provisions of our 2006 Plan, the administrator</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the term of an option, the number of shares subject to an option, and the time period in which an option may be exercised.</w:t>
      </w:r>
    </w:p>
    <w:p>
      <w:pPr>
        <w:spacing w:after="0" w:line="43"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i w:val="1"/>
          <w:iCs w:val="1"/>
          <w:color w:val="auto"/>
        </w:rPr>
        <w:t>Non-transferability of Awards</w:t>
      </w:r>
      <w:r>
        <w:rPr>
          <w:rFonts w:ascii="Arial" w:cs="Arial" w:eastAsia="Arial" w:hAnsi="Arial"/>
          <w:sz w:val="16"/>
          <w:szCs w:val="16"/>
          <w:color w:val="auto"/>
        </w:rPr>
        <w:t>. Unless determined otherwise by the administrator, awards may not be sold, pledged, assigned, hypothecated</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otherwise transferred in any manner other than by will or by the laws of descent and distribution.</w:t>
      </w:r>
    </w:p>
    <w:p>
      <w:pPr>
        <w:spacing w:after="0" w:line="43" w:lineRule="exact"/>
        <w:rPr>
          <w:sz w:val="20"/>
          <w:szCs w:val="20"/>
          <w:color w:val="auto"/>
        </w:rPr>
      </w:pPr>
    </w:p>
    <w:p>
      <w:pPr>
        <w:ind w:left="460" w:right="20"/>
        <w:spacing w:after="0" w:line="267" w:lineRule="auto"/>
        <w:rPr>
          <w:sz w:val="20"/>
          <w:szCs w:val="20"/>
          <w:color w:val="auto"/>
        </w:rPr>
      </w:pPr>
      <w:r>
        <w:rPr>
          <w:rFonts w:ascii="Arial" w:cs="Arial" w:eastAsia="Arial" w:hAnsi="Arial"/>
          <w:sz w:val="16"/>
          <w:szCs w:val="16"/>
          <w:i w:val="1"/>
          <w:iCs w:val="1"/>
          <w:color w:val="auto"/>
        </w:rPr>
        <w:t>Certain Adjustments</w:t>
      </w:r>
      <w:r>
        <w:rPr>
          <w:rFonts w:ascii="Arial" w:cs="Arial" w:eastAsia="Arial" w:hAnsi="Arial"/>
          <w:sz w:val="16"/>
          <w:szCs w:val="16"/>
          <w:color w:val="auto"/>
        </w:rPr>
        <w:t>. If there is a stock split, reverse stock split, stock dividend, combination, recapitalization or reclassification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or any other increase or decrease in the number of issued shares of common stock effected without receipt by the participants of consideration by us, the number of shares of</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184</w:t>
      </w:r>
    </w:p>
    <w:p>
      <w:pPr>
        <w:sectPr>
          <w:pgSz w:w="11900" w:h="16838" w:orient="portrait"/>
          <w:cols w:equalWidth="0" w:num="1">
            <w:col w:w="10800"/>
          </w:cols>
          <w:pgMar w:left="320" w:top="440" w:right="77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65" w:lineRule="auto"/>
        <w:rPr>
          <w:sz w:val="20"/>
          <w:szCs w:val="20"/>
          <w:color w:val="auto"/>
        </w:rPr>
      </w:pPr>
      <w:r>
        <w:rPr>
          <w:rFonts w:ascii="Arial" w:cs="Arial" w:eastAsia="Arial" w:hAnsi="Arial"/>
          <w:sz w:val="16"/>
          <w:szCs w:val="16"/>
          <w:color w:val="auto"/>
        </w:rPr>
        <w:t>common stock covered by each outstanding award, as well as the price per share of common stock covered by each such outstanding award, shall be proportionately adjusted by the administrator for any increase or decrease in the number of issued shares of common stock.</w:t>
      </w:r>
    </w:p>
    <w:p>
      <w:pPr>
        <w:spacing w:after="0" w:line="59" w:lineRule="exact"/>
        <w:rPr>
          <w:sz w:val="20"/>
          <w:szCs w:val="20"/>
          <w:color w:val="auto"/>
        </w:rPr>
      </w:pPr>
    </w:p>
    <w:p>
      <w:pPr>
        <w:ind w:left="460" w:right="640"/>
        <w:spacing w:after="0" w:line="286" w:lineRule="auto"/>
        <w:rPr>
          <w:sz w:val="20"/>
          <w:szCs w:val="20"/>
          <w:color w:val="auto"/>
        </w:rPr>
      </w:pPr>
      <w:r>
        <w:rPr>
          <w:rFonts w:ascii="Arial" w:cs="Arial" w:eastAsia="Arial" w:hAnsi="Arial"/>
          <w:sz w:val="16"/>
          <w:szCs w:val="16"/>
          <w:i w:val="1"/>
          <w:iCs w:val="1"/>
          <w:color w:val="auto"/>
        </w:rPr>
        <w:t>Dissolution or Liquidation</w:t>
      </w:r>
      <w:r>
        <w:rPr>
          <w:rFonts w:ascii="Arial" w:cs="Arial" w:eastAsia="Arial" w:hAnsi="Arial"/>
          <w:sz w:val="16"/>
          <w:szCs w:val="16"/>
          <w:color w:val="auto"/>
        </w:rPr>
        <w:t>. In the event of our proposed dissolution or liquidation, each award will terminate immediately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consummation of such proposed action, unless otherwise determined by the administrator.</w:t>
      </w:r>
    </w:p>
    <w:p>
      <w:pPr>
        <w:spacing w:after="0" w:line="43" w:lineRule="exact"/>
        <w:rPr>
          <w:sz w:val="20"/>
          <w:szCs w:val="20"/>
          <w:color w:val="auto"/>
        </w:rPr>
      </w:pPr>
    </w:p>
    <w:p>
      <w:pPr>
        <w:ind w:left="460" w:right="60"/>
        <w:spacing w:after="0" w:line="252" w:lineRule="auto"/>
        <w:rPr>
          <w:sz w:val="20"/>
          <w:szCs w:val="20"/>
          <w:color w:val="auto"/>
        </w:rPr>
      </w:pPr>
      <w:r>
        <w:rPr>
          <w:rFonts w:ascii="Arial" w:cs="Arial" w:eastAsia="Arial" w:hAnsi="Arial"/>
          <w:sz w:val="16"/>
          <w:szCs w:val="16"/>
          <w:i w:val="1"/>
          <w:iCs w:val="1"/>
          <w:color w:val="auto"/>
        </w:rPr>
        <w:t>Change of Control</w:t>
      </w:r>
      <w:r>
        <w:rPr>
          <w:rFonts w:ascii="Arial" w:cs="Arial" w:eastAsia="Arial" w:hAnsi="Arial"/>
          <w:sz w:val="16"/>
          <w:szCs w:val="16"/>
          <w:color w:val="auto"/>
        </w:rPr>
        <w:t>. In the event of a corporate transaction (including a change in control), the administrator may, in its discretion, (1)</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for an assumption or substitution of, or adjustment to, each outstanding award by the successor corporation or a parent or subsidiary of the successor corporation, and/or (2) provide for termination of awards as a result of the corporate transaction on such terms and conditions as it deems appropriate, including providing for cancellation of awards for a cash payment to the participant. The administrator need not provide for identical treatment of each outstanding award. Notwithstanding the foregoing, in the event of a change in control, the vesting and exercisability of each outstanding award shall accelerate such that the awards shall become fully vested and exercisable, in each case effective as of immediately prior to the consummation of the transaction. To the extent an award is not being assumed or substituted, such award shall terminate upon such consummation and the administrator shall notify the award holder of such fact at least five (5) days prior to the date on which the award terminates.</w:t>
      </w:r>
    </w:p>
    <w:p>
      <w:pPr>
        <w:spacing w:after="0" w:line="74" w:lineRule="exact"/>
        <w:rPr>
          <w:sz w:val="20"/>
          <w:szCs w:val="20"/>
          <w:color w:val="auto"/>
        </w:rPr>
      </w:pPr>
    </w:p>
    <w:p>
      <w:pPr>
        <w:ind w:left="460" w:right="140"/>
        <w:spacing w:after="0" w:line="267"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Our board of directors may, at any time, amend our 2006 Plan in any respect, but no such amendment may</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materially and adversely affect the rights of any award holder under any outstanding grant, without his or her consent. As noted above, our 2006 Plan was terminated in 2015.</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2021 Employee Stock Purchase Plan</w:t>
      </w:r>
    </w:p>
    <w:p>
      <w:pPr>
        <w:spacing w:after="0" w:line="128" w:lineRule="exact"/>
        <w:rPr>
          <w:sz w:val="20"/>
          <w:szCs w:val="20"/>
          <w:color w:val="auto"/>
        </w:rPr>
      </w:pPr>
    </w:p>
    <w:p>
      <w:pPr>
        <w:jc w:val="both"/>
        <w:ind w:left="460" w:right="240"/>
        <w:spacing w:after="0" w:line="253" w:lineRule="auto"/>
        <w:rPr>
          <w:sz w:val="20"/>
          <w:szCs w:val="20"/>
          <w:color w:val="auto"/>
        </w:rPr>
      </w:pPr>
      <w:r>
        <w:rPr>
          <w:rFonts w:ascii="Arial" w:cs="Arial" w:eastAsia="Arial" w:hAnsi="Arial"/>
          <w:sz w:val="16"/>
          <w:szCs w:val="16"/>
          <w:color w:val="auto"/>
        </w:rPr>
        <w:t>Prior to the effectiveness of this offering, our board of directors adopted and our stockholders approved, our 2021 ESPP. Our 2021 ESPP became effective on the business day immediately prior to the effective date of the registration statement of which this prospectus forms a part. We believe that allowing our employees to participate in our 2021 ESPP provides them with a further incentive towards promoting our success and accomplishing our corporate goals.</w:t>
      </w:r>
    </w:p>
    <w:p>
      <w:pPr>
        <w:spacing w:after="0" w:line="70" w:lineRule="exact"/>
        <w:rPr>
          <w:sz w:val="20"/>
          <w:szCs w:val="20"/>
          <w:color w:val="auto"/>
        </w:rPr>
      </w:pPr>
    </w:p>
    <w:p>
      <w:pPr>
        <w:ind w:left="460" w:right="40"/>
        <w:spacing w:after="0" w:line="267" w:lineRule="auto"/>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A total of 484,027 shares of our common stock is available for sale under our 2021 ESPP. The number of shares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that will be available for sale under our 2021 ESPP also includes an annual increase on the first day of each fiscal year beginning with our 2020 fiscal year, equal to the least of:</w:t>
      </w:r>
    </w:p>
    <w:p>
      <w:pPr>
        <w:spacing w:after="0" w:line="87" w:lineRule="exact"/>
        <w:rPr>
          <w:sz w:val="20"/>
          <w:szCs w:val="20"/>
          <w:color w:val="auto"/>
        </w:rPr>
      </w:pPr>
    </w:p>
    <w:p>
      <w:pPr>
        <w:ind w:left="660" w:hanging="209"/>
        <w:spacing w:after="0"/>
        <w:tabs>
          <w:tab w:leader="none" w:pos="6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1,452,081 shares;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1% of the outstanding shares of our common stock as of the last day of the immediately preceding fiscal year; or</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such other amount as the administrator may determine.</w:t>
      </w:r>
    </w:p>
    <w:p>
      <w:pPr>
        <w:spacing w:after="0" w:line="92" w:lineRule="exact"/>
        <w:rPr>
          <w:sz w:val="20"/>
          <w:szCs w:val="20"/>
          <w:color w:val="auto"/>
        </w:rPr>
      </w:pPr>
    </w:p>
    <w:p>
      <w:pPr>
        <w:ind w:left="460"/>
        <w:spacing w:after="0" w:line="254" w:lineRule="auto"/>
        <w:rPr>
          <w:sz w:val="20"/>
          <w:szCs w:val="20"/>
          <w:color w:val="auto"/>
        </w:rPr>
      </w:pPr>
      <w:r>
        <w:rPr>
          <w:rFonts w:ascii="Arial" w:cs="Arial" w:eastAsia="Arial" w:hAnsi="Arial"/>
          <w:sz w:val="16"/>
          <w:szCs w:val="16"/>
          <w:i w:val="1"/>
          <w:iCs w:val="1"/>
          <w:color w:val="auto"/>
        </w:rPr>
        <w:t>2021 ESPP Administration</w:t>
      </w:r>
      <w:r>
        <w:rPr>
          <w:rFonts w:ascii="Arial" w:cs="Arial" w:eastAsia="Arial" w:hAnsi="Arial"/>
          <w:sz w:val="16"/>
          <w:szCs w:val="16"/>
          <w:color w:val="auto"/>
        </w:rPr>
        <w:t>. We expect that the compensation committee of our board of directors will administer our 2021 ESPP and will</w:t>
      </w:r>
      <w:r>
        <w:rPr>
          <w:rFonts w:ascii="Arial" w:cs="Arial" w:eastAsia="Arial" w:hAnsi="Arial"/>
          <w:sz w:val="16"/>
          <w:szCs w:val="16"/>
          <w:i w:val="1"/>
          <w:iCs w:val="1"/>
          <w:color w:val="auto"/>
        </w:rPr>
        <w:t xml:space="preserve"> </w:t>
      </w:r>
      <w:r>
        <w:rPr>
          <w:rFonts w:ascii="Arial" w:cs="Arial" w:eastAsia="Arial" w:hAnsi="Arial"/>
          <w:sz w:val="16"/>
          <w:szCs w:val="16"/>
          <w:color w:val="auto"/>
        </w:rPr>
        <w:t>have full and exclusive discretionary authority to construe, interpret, and apply the terms of the 2021 ESPP, delegate ministerial duties to any of our employees, designate separate offerings under the 2021 ESPP, designate our subsidiaries and affiliates as participating in the 2021 ESPP, determine eligibility, adjudicate all disputed claims filed under the 2021 ESPP, and establish procedures that it deems necessary for the administration of the 2021 ESPP, including, but not limited to, adopting such procedures and sub-plans as are necessary or appropriate to permit participation in the 2021 ESPP by employees who are foreign nationals or employed outside the United States. The administrator’s findings, decisions and determinations are final and binding on all participants to the full extent permitted by law.</w:t>
      </w:r>
    </w:p>
    <w:p>
      <w:pPr>
        <w:spacing w:after="0" w:line="1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185</w:t>
      </w:r>
    </w:p>
    <w:p>
      <w:pPr>
        <w:sectPr>
          <w:pgSz w:w="11900" w:h="16838" w:orient="portrait"/>
          <w:cols w:equalWidth="0" w:num="1">
            <w:col w:w="10780"/>
          </w:cols>
          <w:pgMar w:left="320" w:top="441" w:right="79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right="60"/>
        <w:spacing w:after="0" w:line="253"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Generally, all of our employees will be eligible to participate if they are customarily employed by us, or any participating</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or affiliate, for at least 20 hours per week and more than five months in any calendar year. The administrator, in its discretion, may, prior to an enrollment date, for all options to be granted on such enrollment date in an offering, determine that an employee who (i) has not completed at least two years of service (or a lesser period of time determined by the administrator) since his or her last hire date,</w:t>
      </w:r>
    </w:p>
    <w:p>
      <w:pPr>
        <w:spacing w:after="0" w:line="1" w:lineRule="exact"/>
        <w:rPr>
          <w:sz w:val="20"/>
          <w:szCs w:val="20"/>
          <w:color w:val="auto"/>
        </w:rPr>
      </w:pPr>
    </w:p>
    <w:p>
      <w:pPr>
        <w:ind w:left="460" w:hanging="9"/>
        <w:spacing w:after="0" w:line="252" w:lineRule="auto"/>
        <w:tabs>
          <w:tab w:leader="none" w:pos="689"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customarily works not more than 20 hours per week (or a lesser period of time determined by the administrator), (iii) customarily works not more than five months per calendar year (or a lesser period of time determined by the administrator), (iv) is a highly compensated employee within the meaning of Section 414(q) of the Code, or (v) is a highly compensated employee within the meaning of Section 414(q) of the Code with compensation above a certain level or is an officer or subject to disclosure requirements under Section 16(a) of the Exchange Act, is or is not eligible to participate in such offering period.</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However, an employee may not be granted rights to purchase shares of our common stock under our 2021 ESPP if such employee:</w:t>
      </w:r>
    </w:p>
    <w:p>
      <w:pPr>
        <w:spacing w:after="0" w:line="120" w:lineRule="exact"/>
        <w:rPr>
          <w:sz w:val="20"/>
          <w:szCs w:val="20"/>
          <w:color w:val="auto"/>
        </w:rPr>
      </w:pPr>
    </w:p>
    <w:p>
      <w:pPr>
        <w:ind w:left="660" w:right="100" w:hanging="209"/>
        <w:spacing w:after="0" w:line="265" w:lineRule="auto"/>
        <w:tabs>
          <w:tab w:leader="none" w:pos="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immediately after the grant would own capital stock and/or hold outstanding options to purchase such stock possessing 5% or more of the total combined voting power or value of all classes of capital stock of ours or of any parent or subsidiary of ours; or</w:t>
      </w:r>
    </w:p>
    <w:p>
      <w:pPr>
        <w:spacing w:after="0" w:line="88" w:lineRule="exact"/>
        <w:rPr>
          <w:rFonts w:ascii="Arial" w:cs="Arial" w:eastAsia="Arial" w:hAnsi="Arial"/>
          <w:sz w:val="16"/>
          <w:szCs w:val="16"/>
          <w:color w:val="auto"/>
        </w:rPr>
      </w:pPr>
    </w:p>
    <w:p>
      <w:pPr>
        <w:ind w:left="660" w:right="140" w:hanging="209"/>
        <w:spacing w:after="0" w:line="256" w:lineRule="auto"/>
        <w:tabs>
          <w:tab w:leader="none" w:pos="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holds rights to purchase shares of our common stock under all employee stock purchase plans of ours or any parent or subsidiary of ours that accrue at a rate that exceeds $25,000 worth of shares of our common stock for each calendar year in which such rights are outstanding at any time.</w:t>
      </w:r>
    </w:p>
    <w:p>
      <w:pPr>
        <w:spacing w:after="0" w:line="67" w:lineRule="exact"/>
        <w:rPr>
          <w:sz w:val="20"/>
          <w:szCs w:val="20"/>
          <w:color w:val="auto"/>
        </w:rPr>
      </w:pPr>
    </w:p>
    <w:p>
      <w:pPr>
        <w:ind w:left="460" w:right="20"/>
        <w:spacing w:after="0" w:line="255" w:lineRule="auto"/>
        <w:rPr>
          <w:sz w:val="20"/>
          <w:szCs w:val="20"/>
          <w:color w:val="auto"/>
        </w:rPr>
      </w:pPr>
      <w:r>
        <w:rPr>
          <w:rFonts w:ascii="Arial" w:cs="Arial" w:eastAsia="Arial" w:hAnsi="Arial"/>
          <w:sz w:val="16"/>
          <w:szCs w:val="16"/>
          <w:i w:val="1"/>
          <w:iCs w:val="1"/>
          <w:color w:val="auto"/>
        </w:rPr>
        <w:t>Offering Periods</w:t>
      </w:r>
      <w:r>
        <w:rPr>
          <w:rFonts w:ascii="Arial" w:cs="Arial" w:eastAsia="Arial" w:hAnsi="Arial"/>
          <w:sz w:val="16"/>
          <w:szCs w:val="16"/>
          <w:color w:val="auto"/>
        </w:rPr>
        <w:t>. Our 2021 ESPP includes a component that allows us to make offerings intended to qualify under Section 423 of the Code</w:t>
      </w:r>
      <w:r>
        <w:rPr>
          <w:rFonts w:ascii="Arial" w:cs="Arial" w:eastAsia="Arial" w:hAnsi="Arial"/>
          <w:sz w:val="16"/>
          <w:szCs w:val="16"/>
          <w:i w:val="1"/>
          <w:iCs w:val="1"/>
          <w:color w:val="auto"/>
        </w:rPr>
        <w:t xml:space="preserve"> </w:t>
      </w:r>
      <w:r>
        <w:rPr>
          <w:rFonts w:ascii="Arial" w:cs="Arial" w:eastAsia="Arial" w:hAnsi="Arial"/>
          <w:sz w:val="16"/>
          <w:szCs w:val="16"/>
          <w:color w:val="auto"/>
        </w:rPr>
        <w:t>and a component that allows us to make offerings not intended to qualify under Section 423 of the Code, as described in our 2021 ESPP. Our 2021 ESPP will provide for offering periods as may be determined by the administrator in its discretion, in each case on a uniform and nondiscriminatory basis. Offering periods will expire on the earliest to occur of (i) the completion of the purchase of shares of common stock on the last exercise date occurring within 27 months of the applicable enrollment date on which the option to purchase shares was granted, or (ii) such shorter period as may be established by the administrator.</w:t>
      </w:r>
    </w:p>
    <w:p>
      <w:pPr>
        <w:spacing w:after="0" w:line="70" w:lineRule="exact"/>
        <w:rPr>
          <w:sz w:val="20"/>
          <w:szCs w:val="20"/>
          <w:color w:val="auto"/>
        </w:rPr>
      </w:pPr>
    </w:p>
    <w:p>
      <w:pPr>
        <w:ind w:left="460" w:right="120"/>
        <w:spacing w:after="0" w:line="257" w:lineRule="auto"/>
        <w:rPr>
          <w:sz w:val="20"/>
          <w:szCs w:val="20"/>
          <w:color w:val="auto"/>
        </w:rPr>
      </w:pPr>
      <w:r>
        <w:rPr>
          <w:rFonts w:ascii="Arial" w:cs="Arial" w:eastAsia="Arial" w:hAnsi="Arial"/>
          <w:sz w:val="16"/>
          <w:szCs w:val="16"/>
          <w:i w:val="1"/>
          <w:iCs w:val="1"/>
          <w:color w:val="auto"/>
        </w:rPr>
        <w:t>Contributions</w:t>
      </w:r>
      <w:r>
        <w:rPr>
          <w:rFonts w:ascii="Arial" w:cs="Arial" w:eastAsia="Arial" w:hAnsi="Arial"/>
          <w:sz w:val="16"/>
          <w:szCs w:val="16"/>
          <w:color w:val="auto"/>
        </w:rPr>
        <w:t>. Our 2021 ESPP permits participants to purchase shares of our common stock through contributions (in the form of payroll</w:t>
      </w:r>
      <w:r>
        <w:rPr>
          <w:rFonts w:ascii="Arial" w:cs="Arial" w:eastAsia="Arial" w:hAnsi="Arial"/>
          <w:sz w:val="16"/>
          <w:szCs w:val="16"/>
          <w:i w:val="1"/>
          <w:iCs w:val="1"/>
          <w:color w:val="auto"/>
        </w:rPr>
        <w:t xml:space="preserve"> </w:t>
      </w:r>
      <w:r>
        <w:rPr>
          <w:rFonts w:ascii="Arial" w:cs="Arial" w:eastAsia="Arial" w:hAnsi="Arial"/>
          <w:sz w:val="16"/>
          <w:szCs w:val="16"/>
          <w:color w:val="auto"/>
        </w:rPr>
        <w:t>deductions or otherwise to the extent permitted by the administrator) of up to 15% of their eligible compensation, which includes a participant’s base straight time gross earnings but excludes payments for incentive compensation, bonuses, payments for overtime and shift premium, equity compensation income and other similar compensation. Unless otherwise determined by the administrator, a participant may make a onetime decrease (but not increase) to the rate of his or her contributions to 0% during an offering period.</w:t>
      </w:r>
    </w:p>
    <w:p>
      <w:pPr>
        <w:spacing w:after="0" w:line="67" w:lineRule="exact"/>
        <w:rPr>
          <w:sz w:val="20"/>
          <w:szCs w:val="20"/>
          <w:color w:val="auto"/>
        </w:rPr>
      </w:pPr>
    </w:p>
    <w:p>
      <w:pPr>
        <w:ind w:left="460" w:right="20"/>
        <w:spacing w:after="0" w:line="255" w:lineRule="auto"/>
        <w:rPr>
          <w:sz w:val="20"/>
          <w:szCs w:val="20"/>
          <w:color w:val="auto"/>
        </w:rPr>
      </w:pPr>
      <w:r>
        <w:rPr>
          <w:rFonts w:ascii="Arial" w:cs="Arial" w:eastAsia="Arial" w:hAnsi="Arial"/>
          <w:sz w:val="16"/>
          <w:szCs w:val="16"/>
          <w:i w:val="1"/>
          <w:iCs w:val="1"/>
          <w:color w:val="auto"/>
        </w:rPr>
        <w:t xml:space="preserve">Exercise of Purchase Right </w:t>
      </w:r>
      <w:r>
        <w:rPr>
          <w:rFonts w:ascii="Arial" w:cs="Arial" w:eastAsia="Arial" w:hAnsi="Arial"/>
          <w:sz w:val="16"/>
          <w:szCs w:val="16"/>
          <w:color w:val="auto"/>
        </w:rPr>
        <w:t>. Amounts contributed and accumulated by the participant will be used to purchase shares of our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at the end of each offering. Prior to the commencement of offerings under the 2021 ESPP, the administrator will determine the maximum number of shares that a participant may purchase. The purchase price of the shares will be 85% of the lower of the fair market value of our common stock on the first trading day of the offering period or on the exercise date. 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70" w:lineRule="exact"/>
        <w:rPr>
          <w:sz w:val="20"/>
          <w:szCs w:val="20"/>
          <w:color w:val="auto"/>
        </w:rPr>
      </w:pPr>
    </w:p>
    <w:p>
      <w:pPr>
        <w:ind w:left="460" w:right="80"/>
        <w:spacing w:after="0" w:line="286" w:lineRule="auto"/>
        <w:rPr>
          <w:sz w:val="20"/>
          <w:szCs w:val="20"/>
          <w:color w:val="auto"/>
        </w:rPr>
      </w:pPr>
      <w:r>
        <w:rPr>
          <w:rFonts w:ascii="Arial" w:cs="Arial" w:eastAsia="Arial" w:hAnsi="Arial"/>
          <w:sz w:val="16"/>
          <w:szCs w:val="16"/>
          <w:i w:val="1"/>
          <w:iCs w:val="1"/>
          <w:color w:val="auto"/>
        </w:rPr>
        <w:t>Non-Transferability</w:t>
      </w:r>
      <w:r>
        <w:rPr>
          <w:rFonts w:ascii="Arial" w:cs="Arial" w:eastAsia="Arial" w:hAnsi="Arial"/>
          <w:sz w:val="16"/>
          <w:szCs w:val="16"/>
          <w:color w:val="auto"/>
        </w:rPr>
        <w:t>. A participant may not transfer contributions credited to his or her account nor any rights granted under our 2021 ESPP</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by will, the laws of descent and distribution or as otherwise provided under our 2021 ESPP.</w:t>
      </w:r>
    </w:p>
    <w:p>
      <w:pPr>
        <w:spacing w:after="0" w:line="43" w:lineRule="exact"/>
        <w:rPr>
          <w:sz w:val="20"/>
          <w:szCs w:val="20"/>
          <w:color w:val="auto"/>
        </w:rPr>
      </w:pPr>
    </w:p>
    <w:p>
      <w:pPr>
        <w:ind w:left="460" w:right="40"/>
        <w:spacing w:after="0" w:line="286" w:lineRule="auto"/>
        <w:rPr>
          <w:sz w:val="20"/>
          <w:szCs w:val="20"/>
          <w:color w:val="auto"/>
        </w:rPr>
      </w:pPr>
      <w:r>
        <w:rPr>
          <w:rFonts w:ascii="Arial" w:cs="Arial" w:eastAsia="Arial" w:hAnsi="Arial"/>
          <w:sz w:val="16"/>
          <w:szCs w:val="16"/>
          <w:i w:val="1"/>
          <w:iCs w:val="1"/>
          <w:color w:val="auto"/>
        </w:rPr>
        <w:t>Merger or Change in Control</w:t>
      </w:r>
      <w:r>
        <w:rPr>
          <w:rFonts w:ascii="Arial" w:cs="Arial" w:eastAsia="Arial" w:hAnsi="Arial"/>
          <w:sz w:val="16"/>
          <w:szCs w:val="16"/>
          <w:color w:val="auto"/>
        </w:rPr>
        <w:t>. Our 2021 ESPP provides that in the event of a merger or change in control, as defined under our 2021 ESPP, a</w:t>
      </w:r>
      <w:r>
        <w:rPr>
          <w:rFonts w:ascii="Arial" w:cs="Arial" w:eastAsia="Arial" w:hAnsi="Arial"/>
          <w:sz w:val="16"/>
          <w:szCs w:val="16"/>
          <w:i w:val="1"/>
          <w:iCs w:val="1"/>
          <w:color w:val="auto"/>
        </w:rPr>
        <w:t xml:space="preserve"> </w:t>
      </w:r>
      <w:r>
        <w:rPr>
          <w:rFonts w:ascii="Arial" w:cs="Arial" w:eastAsia="Arial" w:hAnsi="Arial"/>
          <w:sz w:val="16"/>
          <w:szCs w:val="16"/>
          <w:color w:val="auto"/>
        </w:rPr>
        <w:t>successor corporation (or a parent or subsidiary of the successor corporation)</w:t>
      </w:r>
    </w:p>
    <w:p>
      <w:pPr>
        <w:spacing w:after="0" w:line="97"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186</w:t>
      </w:r>
    </w:p>
    <w:p>
      <w:pPr>
        <w:sectPr>
          <w:pgSz w:w="11900" w:h="16838" w:orient="portrait"/>
          <w:cols w:equalWidth="0" w:num="1">
            <w:col w:w="10780"/>
          </w:cols>
          <w:pgMar w:left="320" w:top="441" w:right="79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160"/>
        <w:spacing w:after="0" w:line="252" w:lineRule="auto"/>
        <w:rPr>
          <w:sz w:val="20"/>
          <w:szCs w:val="20"/>
          <w:color w:val="auto"/>
        </w:rPr>
      </w:pPr>
      <w:r>
        <w:rPr>
          <w:rFonts w:ascii="Arial" w:cs="Arial" w:eastAsia="Arial" w:hAnsi="Arial"/>
          <w:sz w:val="16"/>
          <w:szCs w:val="16"/>
          <w:color w:val="auto"/>
        </w:rPr>
        <w:t>will assume or substitute each outstanding purchase right. If the successor corporation refuses to assume or substitute for the outstanding purchase right, the offering period with respect to which the purchase right relates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70" w:lineRule="exact"/>
        <w:rPr>
          <w:sz w:val="20"/>
          <w:szCs w:val="20"/>
          <w:color w:val="auto"/>
        </w:rPr>
      </w:pPr>
    </w:p>
    <w:p>
      <w:pPr>
        <w:ind w:left="460" w:right="520"/>
        <w:spacing w:after="0" w:line="286" w:lineRule="auto"/>
        <w:rPr>
          <w:sz w:val="20"/>
          <w:szCs w:val="20"/>
          <w:color w:val="auto"/>
        </w:rPr>
      </w:pPr>
      <w:r>
        <w:rPr>
          <w:rFonts w:ascii="Arial" w:cs="Arial" w:eastAsia="Arial" w:hAnsi="Arial"/>
          <w:sz w:val="16"/>
          <w:szCs w:val="16"/>
          <w:i w:val="1"/>
          <w:iCs w:val="1"/>
          <w:color w:val="auto"/>
        </w:rPr>
        <w:t>Amendment; Termination</w:t>
      </w:r>
      <w:r>
        <w:rPr>
          <w:rFonts w:ascii="Arial" w:cs="Arial" w:eastAsia="Arial" w:hAnsi="Arial"/>
          <w:sz w:val="16"/>
          <w:szCs w:val="16"/>
          <w:color w:val="auto"/>
        </w:rPr>
        <w:t>. The administrator will have the authority to amend, suspend or terminate our 2021 ESPP. Our 2021 ESPP</w:t>
      </w:r>
      <w:r>
        <w:rPr>
          <w:rFonts w:ascii="Arial" w:cs="Arial" w:eastAsia="Arial" w:hAnsi="Arial"/>
          <w:sz w:val="16"/>
          <w:szCs w:val="16"/>
          <w:i w:val="1"/>
          <w:iCs w:val="1"/>
          <w:color w:val="auto"/>
        </w:rPr>
        <w:t xml:space="preserve"> </w:t>
      </w:r>
      <w:r>
        <w:rPr>
          <w:rFonts w:ascii="Arial" w:cs="Arial" w:eastAsia="Arial" w:hAnsi="Arial"/>
          <w:sz w:val="16"/>
          <w:szCs w:val="16"/>
          <w:color w:val="auto"/>
        </w:rPr>
        <w:t>automatically will terminate in 2041, unless we terminate it sooner.</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Executive Incentive Compensation Plan</w:t>
      </w:r>
    </w:p>
    <w:p>
      <w:pPr>
        <w:spacing w:after="0" w:line="128" w:lineRule="exact"/>
        <w:rPr>
          <w:sz w:val="20"/>
          <w:szCs w:val="20"/>
          <w:color w:val="auto"/>
        </w:rPr>
      </w:pPr>
    </w:p>
    <w:p>
      <w:pPr>
        <w:ind w:left="460" w:right="200"/>
        <w:spacing w:after="0" w:line="265" w:lineRule="auto"/>
        <w:rPr>
          <w:sz w:val="20"/>
          <w:szCs w:val="20"/>
          <w:color w:val="auto"/>
        </w:rPr>
      </w:pPr>
      <w:r>
        <w:rPr>
          <w:rFonts w:ascii="Arial" w:cs="Arial" w:eastAsia="Arial" w:hAnsi="Arial"/>
          <w:sz w:val="16"/>
          <w:szCs w:val="16"/>
          <w:color w:val="auto"/>
        </w:rPr>
        <w:t>We expect our board of directors to approve our Executive Incentive Compensation Plan, or Master Bonus Plan which will become effective on the date it is approved.</w:t>
      </w:r>
    </w:p>
    <w:p>
      <w:pPr>
        <w:spacing w:after="0" w:line="75"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Our board of directors or a committee appointed by our board of directors will administer the Master Bonus Plan, provided that unless and until our board of directors determines otherwise, our compensation committee will administer the Master Bonus Plan. The Master Bonus Plan allows the administrator to provide awards to our “officers” as defined in Rule 16a-1(f) of the Securities and Exchange Act of 1934, as amended, whether such individual is so employed at the time the Master Bonus Plan is adopted or becomes so employed subsequent to the adoption of the Master Bonus Plan. The administrator, in its sole discretion, may establish a target award for each participant under the Master Bonus Plan, which may be expressed as a percentage of the participant’s average annual base salary for the applicable performance period, a fixed dollar amount, or such other amount or based on such other formula as the administrator determines to be appropriate.</w:t>
      </w:r>
    </w:p>
    <w:p>
      <w:pPr>
        <w:spacing w:after="0" w:line="91"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Under the Master Bonus Plan, the administrator determines the performance goals, if any, applicable to any target award (or portion thereof) for a performance period, which may include, without limitation, goals related to: attainment of research and development milestones; revenue; capital raising; cash flow; cash position;; corporate transactions; earnings per share; expenses; financial milestones; gross margin; growth in stockholder value; leadership development or succession planning; license or research collaboration arrangements; market share; net income (loss); new product or business development; new product invention or innovation; number of customers; operating cash flow; operating income (loss); operating margin (loss); overhead or other expense reductions; patents; product release timelines; regulatory milestones or regulatory-related goals; revenue growth; stock price; total stockholder return; working capital; and individual objectives such as peer reviews or other subjective or objective criteria. As determined by the administrator, the performance goals may be based on GAAP or non GAAP results and any actual results may be adjusted by the administrator for one-time items or unbudgeted or unexpected items or payments of awards under the Master Bonus Plan when determining whether the performance goals have been met. The performance goals may be based on any factors the administrator determines relevant, including without limitation on an individual, divisional, portfolio, project, business unit, segment, or company-wide basis. Any criteria used may be measured on such basis as the administrator determines, including without limitation: (a) in absolute terms, (b) in combination with another performance goal or goals (for example, but not by way of limitation, as a ratio or matrix), (c) in relative terms (including, but not limited to, results for other periods, passage of time or against another company or companies or an index or indices), (d) on a per-share basis, (e) against our performance as a whole or a segment or (f) on a pre-tax or after-tax basis. The performance goals may differ from participant to participant and from award to award. Failure to meet the applicable performance goals will result in a failure to earn the target award, subject to the administrator’s discretion to modify an award. The administrator also may determine that a target award (or portion thereof) will not have a performance goal associated with it but instead will be granted (if at all) as determined by the administrator.</w:t>
      </w:r>
    </w:p>
    <w:p>
      <w:pPr>
        <w:spacing w:after="0" w:line="317"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187</w:t>
      </w:r>
    </w:p>
    <w:p>
      <w:pPr>
        <w:sectPr>
          <w:pgSz w:w="11900" w:h="16838" w:orient="portrait"/>
          <w:cols w:equalWidth="0" w:num="1">
            <w:col w:w="10800"/>
          </w:cols>
          <w:pgMar w:left="320" w:top="441" w:right="77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160"/>
        <w:spacing w:after="0" w:line="252" w:lineRule="auto"/>
        <w:rPr>
          <w:sz w:val="20"/>
          <w:szCs w:val="20"/>
          <w:color w:val="auto"/>
        </w:rPr>
      </w:pPr>
      <w:r>
        <w:rPr>
          <w:rFonts w:ascii="Arial" w:cs="Arial" w:eastAsia="Arial" w:hAnsi="Arial"/>
          <w:sz w:val="16"/>
          <w:szCs w:val="16"/>
          <w:color w:val="auto"/>
        </w:rPr>
        <w:t>The administrator may, in its sole discretion and at any time, increase, reduce, or eliminate a participant’s actual award, or increase, reduce, or eliminate the amount allocated to the bonus pool for a particular performance period. The actual award may be below, at or above a participant’s target award, in the administrator’s discretion. The administrator may determine the amount of any increase, reduction, or elimination on the basis of such factors as it deems relevant, and it is not required to establish any allocation or weighting with respect to the factors it considers.</w:t>
      </w:r>
    </w:p>
    <w:p>
      <w:pPr>
        <w:spacing w:after="0" w:line="86" w:lineRule="exact"/>
        <w:rPr>
          <w:sz w:val="20"/>
          <w:szCs w:val="20"/>
          <w:color w:val="auto"/>
        </w:rPr>
      </w:pPr>
    </w:p>
    <w:p>
      <w:pPr>
        <w:ind w:left="460" w:right="100"/>
        <w:spacing w:after="0" w:line="250" w:lineRule="auto"/>
        <w:rPr>
          <w:sz w:val="20"/>
          <w:szCs w:val="20"/>
          <w:color w:val="auto"/>
        </w:rPr>
      </w:pPr>
      <w:r>
        <w:rPr>
          <w:rFonts w:ascii="Arial" w:cs="Arial" w:eastAsia="Arial" w:hAnsi="Arial"/>
          <w:sz w:val="16"/>
          <w:szCs w:val="16"/>
          <w:color w:val="auto"/>
        </w:rPr>
        <w:t>Actual awards under the Master Bonus Plan generally will be paid in cash (or its equivalent) in a single lump sum only after they are earned and approved by the administrator, provided that the administrator reserves the right, in its sole discretion, to settle an actual award with a grant of an equity award with such terms and conditions, including vesting requirements, as determined by the administrator in its sole discretion. Unless otherwise determined by administrator, to earn an actual award, a participant must be employed by us (or an affiliate of us, as applicable) through the date the bonus is paid. Payment of bonuses occurs as soon as administratively practicable after the end of the applicable performance period, but in no case after the later of (i) the 15th day of the third month of the fiscal year immediately following the fiscal year in which the bonuses vest and (ii) March 15 of the calendar year immediately following the calendar year in which the bonuses vest.</w:t>
      </w:r>
    </w:p>
    <w:p>
      <w:pPr>
        <w:spacing w:after="0" w:line="281" w:lineRule="exact"/>
        <w:rPr>
          <w:sz w:val="20"/>
          <w:szCs w:val="20"/>
          <w:color w:val="auto"/>
        </w:rPr>
      </w:pPr>
    </w:p>
    <w:p>
      <w:pPr>
        <w:ind w:left="460" w:right="200"/>
        <w:spacing w:after="0" w:line="256" w:lineRule="auto"/>
        <w:rPr>
          <w:sz w:val="20"/>
          <w:szCs w:val="20"/>
          <w:color w:val="auto"/>
        </w:rPr>
      </w:pPr>
      <w:r>
        <w:rPr>
          <w:rFonts w:ascii="Arial" w:cs="Arial" w:eastAsia="Arial" w:hAnsi="Arial"/>
          <w:sz w:val="16"/>
          <w:szCs w:val="16"/>
          <w:color w:val="auto"/>
        </w:rPr>
        <w:t>Awards under our Master Bonus Plan will be subject to reduction, cancellation, forfeiture, or recoupment in accordance with any clawback policy that we adopt pursuant to the listing standards of any national securities exchange or association on which our securities are listed or as is otherwise required by the Dodd-Frank Wall Street Reform and Consumer Protection Act or other applicable laws.</w:t>
      </w:r>
    </w:p>
    <w:p>
      <w:pPr>
        <w:spacing w:after="0" w:line="83" w:lineRule="exact"/>
        <w:rPr>
          <w:sz w:val="20"/>
          <w:szCs w:val="20"/>
          <w:color w:val="auto"/>
        </w:rPr>
      </w:pPr>
    </w:p>
    <w:p>
      <w:pPr>
        <w:ind w:left="460" w:right="220"/>
        <w:spacing w:after="0" w:line="256" w:lineRule="auto"/>
        <w:rPr>
          <w:sz w:val="20"/>
          <w:szCs w:val="20"/>
          <w:color w:val="auto"/>
        </w:rPr>
      </w:pPr>
      <w:r>
        <w:rPr>
          <w:rFonts w:ascii="Arial" w:cs="Arial" w:eastAsia="Arial" w:hAnsi="Arial"/>
          <w:sz w:val="16"/>
          <w:szCs w:val="16"/>
          <w:color w:val="auto"/>
        </w:rPr>
        <w:t>The administrator will have the authority to amend or terminate the Master Bonus Plan. However, such action may not materially alter or materially impair the existing rights of any participant with respect to any earned bonus without the participant’s consent. The Master Bonus Plan will remain in effect until terminated in accordance with the terms of the Master Bonus Plan.</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401(k) plan</w:t>
      </w:r>
    </w:p>
    <w:p>
      <w:pPr>
        <w:spacing w:after="0" w:line="128"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We maintain a defined contribution 401(k) retirement savings plan for the benefit of our employees, including our named executive officers, who satisfy certain eligibility requirements. Under the 401(k) plan, eligible employees may elect to defer a portion of their compensation, within the limits prescribed by the Code, on a pre-tax or after-tax (Roth) basis, through contributions to the 401(k) plan.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We do not match contributions made by our employees or provide any other form of employer contributions, except as required by applicable law with respect to mandatory top-heavy contributions.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Limitation of liability and indemnification</w:t>
      </w:r>
    </w:p>
    <w:p>
      <w:pPr>
        <w:spacing w:after="0" w:line="133" w:lineRule="exact"/>
        <w:rPr>
          <w:sz w:val="20"/>
          <w:szCs w:val="20"/>
          <w:color w:val="auto"/>
        </w:rPr>
      </w:pPr>
    </w:p>
    <w:p>
      <w:pPr>
        <w:ind w:left="460" w:right="80"/>
        <w:spacing w:after="0" w:line="253" w:lineRule="auto"/>
        <w:rPr>
          <w:sz w:val="20"/>
          <w:szCs w:val="20"/>
          <w:color w:val="auto"/>
        </w:rPr>
      </w:pPr>
      <w:r>
        <w:rPr>
          <w:rFonts w:ascii="Arial" w:cs="Arial" w:eastAsia="Arial" w:hAnsi="Arial"/>
          <w:sz w:val="16"/>
          <w:szCs w:val="16"/>
          <w:color w:val="auto"/>
        </w:rPr>
        <w:t>Our amended and restated certificate of incorporation and amended and restated bylaws, each to be effective upon the completion of this offering, will provide that we will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99" w:lineRule="exact"/>
        <w:rPr>
          <w:sz w:val="20"/>
          <w:szCs w:val="20"/>
          <w:color w:val="auto"/>
        </w:rPr>
      </w:pPr>
    </w:p>
    <w:p>
      <w:pPr>
        <w:ind w:left="660" w:hanging="209"/>
        <w:spacing w:after="0"/>
        <w:tabs>
          <w:tab w:leader="none" w:pos="6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any breach of the director’s duty of loyalty to us or to our stockholders;</w:t>
      </w:r>
    </w:p>
    <w:p>
      <w:pPr>
        <w:spacing w:after="0" w:line="6" w:lineRule="exact"/>
        <w:rPr>
          <w:rFonts w:ascii="Arial" w:cs="Arial" w:eastAsia="Arial" w:hAnsi="Arial"/>
          <w:sz w:val="16"/>
          <w:szCs w:val="16"/>
          <w:color w:val="auto"/>
        </w:rPr>
      </w:pPr>
    </w:p>
    <w:p>
      <w:pPr>
        <w:ind w:left="660" w:hanging="209"/>
        <w:spacing w:after="0"/>
        <w:tabs>
          <w:tab w:leader="none" w:pos="6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acts or omissions not in good faith or that involve intentional misconduct or a knowing violation of law;</w:t>
      </w:r>
    </w:p>
    <w:p>
      <w:pPr>
        <w:spacing w:after="0" w:line="6" w:lineRule="exact"/>
        <w:rPr>
          <w:rFonts w:ascii="Arial" w:cs="Arial" w:eastAsia="Arial" w:hAnsi="Arial"/>
          <w:sz w:val="16"/>
          <w:szCs w:val="16"/>
          <w:color w:val="auto"/>
        </w:rPr>
      </w:pPr>
    </w:p>
    <w:p>
      <w:pPr>
        <w:ind w:left="660" w:hanging="209"/>
        <w:spacing w:after="0"/>
        <w:tabs>
          <w:tab w:leader="none" w:pos="6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unlawful payment of dividends or unlawful stock repurchases or redemptions; and</w:t>
      </w:r>
    </w:p>
    <w:p>
      <w:pPr>
        <w:spacing w:after="0" w:line="6" w:lineRule="exact"/>
        <w:rPr>
          <w:rFonts w:ascii="Arial" w:cs="Arial" w:eastAsia="Arial" w:hAnsi="Arial"/>
          <w:sz w:val="16"/>
          <w:szCs w:val="16"/>
          <w:color w:val="auto"/>
        </w:rPr>
      </w:pPr>
    </w:p>
    <w:p>
      <w:pPr>
        <w:ind w:left="660" w:hanging="209"/>
        <w:spacing w:after="0"/>
        <w:tabs>
          <w:tab w:leader="none" w:pos="6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any transaction from which the director derived an improper personal benefit.</w:t>
      </w:r>
    </w:p>
    <w:p>
      <w:pPr>
        <w:spacing w:after="0" w:line="14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188</w:t>
      </w:r>
    </w:p>
    <w:p>
      <w:pPr>
        <w:sectPr>
          <w:pgSz w:w="11900" w:h="16838" w:orient="portrait"/>
          <w:cols w:equalWidth="0" w:num="1">
            <w:col w:w="10800"/>
          </w:cols>
          <w:pgMar w:left="320" w:top="441" w:right="77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00"/>
        <w:spacing w:after="0" w:line="251" w:lineRule="auto"/>
        <w:rPr>
          <w:sz w:val="20"/>
          <w:szCs w:val="20"/>
          <w:color w:val="auto"/>
        </w:rPr>
      </w:pPr>
      <w:r>
        <w:rPr>
          <w:rFonts w:ascii="Arial" w:cs="Arial" w:eastAsia="Arial" w:hAnsi="Arial"/>
          <w:sz w:val="16"/>
          <w:szCs w:val="16"/>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88"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In addition to the indemnification required in our amended and restated certificate of incorporation and amended and restated bylaws, we intend to enter into an indemnification agreement with each member of our board of directors and each of our officers prior to the completion of the offering.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284" w:lineRule="exact"/>
        <w:rPr>
          <w:sz w:val="20"/>
          <w:szCs w:val="20"/>
          <w:color w:val="auto"/>
        </w:rPr>
      </w:pPr>
    </w:p>
    <w:p>
      <w:pPr>
        <w:jc w:val="both"/>
        <w:ind w:left="460" w:right="160"/>
        <w:spacing w:after="0" w:line="248"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w:t>
      </w:r>
    </w:p>
    <w:p>
      <w:pPr>
        <w:ind w:left="460" w:right="20"/>
        <w:spacing w:after="0" w:line="251" w:lineRule="auto"/>
        <w:rPr>
          <w:sz w:val="20"/>
          <w:szCs w:val="20"/>
          <w:color w:val="auto"/>
        </w:rPr>
      </w:pPr>
      <w:r>
        <w:rPr>
          <w:rFonts w:ascii="Arial" w:cs="Arial" w:eastAsia="Arial" w:hAnsi="Arial"/>
          <w:sz w:val="16"/>
          <w:szCs w:val="16"/>
          <w:color w:val="auto"/>
        </w:rPr>
        <w:t>Moreover, a stockholder’s investment may be harmed to the extent we pay the costs of settlement and damage awards against directors and officers pursuant to these indemnification provisions. Insofar as indemnification for liabilities arising under the Securities Act of 1933, as amended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316"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189</w:t>
      </w:r>
    </w:p>
    <w:p>
      <w:pPr>
        <w:sectPr>
          <w:pgSz w:w="11900" w:h="16838" w:orient="portrait"/>
          <w:cols w:equalWidth="0" w:num="1">
            <w:col w:w="10720"/>
          </w:cols>
          <w:pgMar w:left="320" w:top="440" w:right="85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Certain relationships and related party transactions</w:t>
      </w:r>
    </w:p>
    <w:p>
      <w:pPr>
        <w:spacing w:after="0" w:line="149" w:lineRule="exact"/>
        <w:rPr>
          <w:sz w:val="20"/>
          <w:szCs w:val="20"/>
          <w:color w:val="auto"/>
        </w:rPr>
      </w:pPr>
    </w:p>
    <w:p>
      <w:pPr>
        <w:ind w:left="460" w:right="320"/>
        <w:spacing w:after="0" w:line="253" w:lineRule="auto"/>
        <w:rPr>
          <w:sz w:val="20"/>
          <w:szCs w:val="20"/>
          <w:color w:val="auto"/>
        </w:rPr>
      </w:pPr>
      <w:r>
        <w:rPr>
          <w:rFonts w:ascii="Arial" w:cs="Arial" w:eastAsia="Arial" w:hAnsi="Arial"/>
          <w:sz w:val="16"/>
          <w:szCs w:val="16"/>
          <w:color w:val="auto"/>
        </w:rPr>
        <w:t>Other than compensation arrangements, including employment, termination of employment and change in control arrangements, with our directors and executive officers, including those discussed in the sections titled “Management” and “Executive Compensation,” and the registration rights described in the section titled “Description of Capital Stock—Registration Rights,” the following is a description of each transaction since January 1, 2018 and each currently proposed transaction in which:</w:t>
      </w:r>
    </w:p>
    <w:p>
      <w:pPr>
        <w:spacing w:after="0" w:line="99" w:lineRule="exact"/>
        <w:rPr>
          <w:sz w:val="20"/>
          <w:szCs w:val="20"/>
          <w:color w:val="auto"/>
        </w:rPr>
      </w:pPr>
    </w:p>
    <w:p>
      <w:pPr>
        <w:ind w:left="660" w:hanging="209"/>
        <w:spacing w:after="0"/>
        <w:tabs>
          <w:tab w:leader="none" w:pos="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we have been or are to be a participant;</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amount involved exceeded or exceeds $120,000; and</w:t>
      </w:r>
    </w:p>
    <w:p>
      <w:pPr>
        <w:spacing w:after="0" w:line="120" w:lineRule="exact"/>
        <w:rPr>
          <w:rFonts w:ascii="Arial" w:cs="Arial" w:eastAsia="Arial" w:hAnsi="Arial"/>
          <w:sz w:val="16"/>
          <w:szCs w:val="16"/>
          <w:color w:val="auto"/>
        </w:rPr>
      </w:pPr>
    </w:p>
    <w:p>
      <w:pPr>
        <w:ind w:left="660" w:right="80" w:hanging="209"/>
        <w:spacing w:after="0" w:line="265" w:lineRule="auto"/>
        <w:tabs>
          <w:tab w:leader="none" w:pos="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75"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On July 29, 2015, in connection with his appointment to the Board, the Board approved compensation for Christopher Cox consisting of (i) cash in the amount of $50,000 per annum (the “Cox Annual Cash Payment”), an initial stock option award of 48,402 shares of Common Stock vesting monthly in equal amounts over 24 months, and (iii) an annual stock option award in the amount of 2,420 shares of Common Stock beginning following the one-year anniversary of Mr. Cox joining the Board, subject to vesting monthly in equal amounts over 24 months following the date of grant (the “Cox Annual Grant”). To date, the Company has paid each of the Cox Annual Cash Payments and made the Cox Annual Grants owed to Mr. Cox pursuant to the aforementioned Board approvals. Upon Mr. Cox’s resignation from the Board, the Company will enter into a consulting agreement with Mr. Cox. Any option grants previously granted to Mr. Cox will continue to vest so long as he continues to be a service provider to the Company.</w:t>
      </w:r>
    </w:p>
    <w:p>
      <w:pPr>
        <w:spacing w:after="0" w:line="90" w:lineRule="exact"/>
        <w:rPr>
          <w:sz w:val="20"/>
          <w:szCs w:val="20"/>
          <w:color w:val="auto"/>
        </w:rPr>
      </w:pPr>
    </w:p>
    <w:p>
      <w:pPr>
        <w:ind w:left="460" w:right="40"/>
        <w:spacing w:after="0" w:line="250" w:lineRule="auto"/>
        <w:rPr>
          <w:sz w:val="20"/>
          <w:szCs w:val="20"/>
          <w:color w:val="auto"/>
        </w:rPr>
      </w:pPr>
      <w:r>
        <w:rPr>
          <w:rFonts w:ascii="Arial" w:cs="Arial" w:eastAsia="Arial" w:hAnsi="Arial"/>
          <w:sz w:val="16"/>
          <w:szCs w:val="16"/>
          <w:color w:val="auto"/>
        </w:rPr>
        <w:t>On January 1, 2019, the Company entered into a consulting agreement with Yelroc Consulting, Inc., an entity owned by J. Andy Corley (the “Corley Consulting Agreement”). Under the Corley Consulting Agreement, J. Andy Corley agreed to serve as Chairman of the Board, help lead the Company’s strategic discussions and negotiations, and provide technical and commercial consulting experience. Mr. Corley is compensated for his services under the Corley Consulting Agreement at the rate of $10,000 per month and is also reimbursed for reasonable and customary business expenses that he incurs as a result of performing his consulting services. The original term of the Corley Consulting Agreement was until December 31, 2020. Amendment No. 1 to the Corley Consulting Agreement by and between the Company and Yelroc Consulting, Inc., dated as of December 16, 2020, extended the term of the Corley Consulting Agreement until December 31, 2021. The Company and Yelroc Consulting Inc. have entered into a Termination Agreement effective upon the closing of this offering, whereby the parties will terminate the Corley Consulting Agreement.</w:t>
      </w:r>
    </w:p>
    <w:p>
      <w:pPr>
        <w:spacing w:after="0" w:line="88"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On January 1, 2019, the Company entered into a consulting agreement with Daniel M. Schwartz, MD (the “Schwartz Consulting Agreement”). Under the Schwartz Consulting Agreement, Daniel Schwartz agreed to serve as a member of the Board and assist with the Company’s strategic discussions and negotiations. Mr. Schwartz is compensated for his services under the Schwartz Consulting Agreement at the rate of $6,250 per month and is also reimbursed for reasonable and customary business expenses that he incurs as a result of performing his consulting services. The original term of the Schwartz Consulting Agreement was until December 31, 2020. Amendment No. 1 to the Schwartz Consulting Agreement by and between the Company and Daniel M. Schwartz, MD, dated as of December 16, 2020, extended the term of the Schwartz Consulting Agreement until December 31, 2021.</w:t>
      </w:r>
    </w:p>
    <w:p>
      <w:pPr>
        <w:spacing w:after="0" w:line="91" w:lineRule="exact"/>
        <w:rPr>
          <w:sz w:val="20"/>
          <w:szCs w:val="20"/>
          <w:color w:val="auto"/>
        </w:rPr>
      </w:pPr>
    </w:p>
    <w:p>
      <w:pPr>
        <w:ind w:left="460" w:right="80"/>
        <w:spacing w:after="0" w:line="252" w:lineRule="auto"/>
        <w:rPr>
          <w:sz w:val="20"/>
          <w:szCs w:val="20"/>
          <w:color w:val="auto"/>
        </w:rPr>
      </w:pPr>
      <w:r>
        <w:rPr>
          <w:rFonts w:ascii="Arial" w:cs="Arial" w:eastAsia="Arial" w:hAnsi="Arial"/>
          <w:sz w:val="16"/>
          <w:szCs w:val="16"/>
          <w:color w:val="auto"/>
        </w:rPr>
        <w:t>On April 18, 2019, the Company entered into an Amended and Restated Secured Full Recourse Promissory Note with Daniel Schwartz for $160,000.00 (“Schwartz Promissory Note”). The Schwartz Promissory Note contains a 7.0% annual interest rate and a three year term. The Schwartz Promissory Note is secured by a Stock Pledge Agreement. On July 23, 2021, Mr. Schwartz entered into a Share Forfeiture and Release Agreement with the Company, under which Mr. Schwartz forfeited certain shares of the Company in exchange for the satisfaction of Mr. Schwartz’s obligations under the Schwartz Promissory Note.</w:t>
      </w:r>
    </w:p>
    <w:p>
      <w:pPr>
        <w:spacing w:after="0" w:line="124"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190</w:t>
      </w:r>
    </w:p>
    <w:p>
      <w:pPr>
        <w:sectPr>
          <w:pgSz w:w="11900" w:h="16838" w:orient="portrait"/>
          <w:cols w:equalWidth="0" w:num="1">
            <w:col w:w="10760"/>
          </w:cols>
          <w:pgMar w:left="320" w:top="440" w:right="81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Sales of securities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Investor rights agreement</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party to an amended and restated investor rights agreement with certain holders of our capital stock, including (i) RxSight I, LLC,</w:t>
      </w:r>
    </w:p>
    <w:p>
      <w:pPr>
        <w:spacing w:after="0" w:line="6" w:lineRule="exact"/>
        <w:rPr>
          <w:sz w:val="20"/>
          <w:szCs w:val="20"/>
          <w:color w:val="auto"/>
        </w:rPr>
      </w:pPr>
    </w:p>
    <w:p>
      <w:pPr>
        <w:ind w:left="460" w:right="80" w:hanging="9"/>
        <w:spacing w:after="0" w:line="253" w:lineRule="auto"/>
        <w:tabs>
          <w:tab w:leader="none" w:pos="689" w:val="left"/>
        </w:tabs>
        <w:numPr>
          <w:ilvl w:val="0"/>
          <w:numId w:val="122"/>
        </w:numPr>
        <w:rPr>
          <w:rFonts w:ascii="Arial" w:cs="Arial" w:eastAsia="Arial" w:hAnsi="Arial"/>
          <w:sz w:val="16"/>
          <w:szCs w:val="16"/>
          <w:color w:val="auto"/>
        </w:rPr>
      </w:pPr>
      <w:r>
        <w:rPr>
          <w:rFonts w:ascii="Arial" w:cs="Arial" w:eastAsia="Arial" w:hAnsi="Arial"/>
          <w:sz w:val="16"/>
          <w:szCs w:val="16"/>
          <w:color w:val="auto"/>
        </w:rPr>
        <w:t>H.I.G. BioVentures - Calhoun, LLC, (iii) Longitude Venture Partners II, L.P., (iv) RA Capital Healthcare Fund, L.P. and (v) BP Calhoun Associates LLC. Under our investor rights agreement, certain holders of our capital stock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Indemnification agreements</w:t>
      </w:r>
    </w:p>
    <w:p>
      <w:pPr>
        <w:spacing w:after="0" w:line="133"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We have entered, and intend to continue to enter, into separate indemnification agreements with each of our directors and executive officers, in addition to the indemnification provided for in our amended and restated certificate of incorporation and amended and restated bylaws. The indemnification agreements and our amended restated certificate of incorporation and amended and restated bylaws that will be in effect upon the completion of this offering require us to indemnify our directors, executive officers and certain controlling persons to the fullest extent permitted by Delaware law. See the section titled “Executive Compensation—Limitation of Liability and Indemnification” for additional information.</w:t>
      </w:r>
    </w:p>
    <w:p>
      <w:pPr>
        <w:spacing w:after="0" w:line="349"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Equity grants to executive officers and directors</w:t>
      </w:r>
    </w:p>
    <w:p>
      <w:pPr>
        <w:spacing w:after="0" w:line="133" w:lineRule="exact"/>
        <w:rPr>
          <w:sz w:val="20"/>
          <w:szCs w:val="20"/>
          <w:color w:val="auto"/>
        </w:rPr>
      </w:pPr>
    </w:p>
    <w:p>
      <w:pPr>
        <w:ind w:left="460" w:right="220"/>
        <w:spacing w:after="0" w:line="265" w:lineRule="auto"/>
        <w:rPr>
          <w:sz w:val="20"/>
          <w:szCs w:val="20"/>
          <w:color w:val="auto"/>
        </w:rPr>
      </w:pPr>
      <w:r>
        <w:rPr>
          <w:rFonts w:ascii="Arial" w:cs="Arial" w:eastAsia="Arial" w:hAnsi="Arial"/>
          <w:sz w:val="16"/>
          <w:szCs w:val="16"/>
          <w:color w:val="auto"/>
        </w:rPr>
        <w:t>We have granted options to our named executive officers and certain of our non-employee directors as more fully described in the sections titled “Director Compensation” and “Executive Compensation.”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Related party transaction policy</w:t>
      </w:r>
    </w:p>
    <w:p>
      <w:pPr>
        <w:spacing w:after="0" w:line="133" w:lineRule="exact"/>
        <w:rPr>
          <w:sz w:val="20"/>
          <w:szCs w:val="20"/>
          <w:color w:val="auto"/>
        </w:rPr>
      </w:pPr>
    </w:p>
    <w:p>
      <w:pPr>
        <w:ind w:left="460" w:right="120"/>
        <w:spacing w:after="0" w:line="253" w:lineRule="auto"/>
        <w:rPr>
          <w:sz w:val="20"/>
          <w:szCs w:val="20"/>
          <w:color w:val="auto"/>
        </w:rPr>
      </w:pPr>
      <w:r>
        <w:rPr>
          <w:rFonts w:ascii="Arial" w:cs="Arial" w:eastAsia="Arial" w:hAnsi="Arial"/>
          <w:sz w:val="16"/>
          <w:szCs w:val="16"/>
          <w:color w:val="auto"/>
        </w:rPr>
        <w:t>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will provide that our audit committee shall review and approve in advance any related party transaction.</w:t>
      </w:r>
    </w:p>
    <w:p>
      <w:pPr>
        <w:spacing w:after="0" w:line="86" w:lineRule="exact"/>
        <w:rPr>
          <w:sz w:val="20"/>
          <w:szCs w:val="20"/>
          <w:color w:val="auto"/>
        </w:rPr>
      </w:pPr>
    </w:p>
    <w:p>
      <w:pPr>
        <w:ind w:left="460" w:right="20"/>
        <w:spacing w:after="0" w:line="252" w:lineRule="auto"/>
        <w:rPr>
          <w:sz w:val="20"/>
          <w:szCs w:val="20"/>
          <w:color w:val="auto"/>
        </w:rPr>
      </w:pPr>
      <w:r>
        <w:rPr>
          <w:rFonts w:ascii="Arial" w:cs="Arial" w:eastAsia="Arial" w:hAnsi="Arial"/>
          <w:sz w:val="16"/>
          <w:szCs w:val="16"/>
          <w:color w:val="auto"/>
        </w:rPr>
        <w:t>Prior to the completion of this offering, we intend to adopt a formal written policy providing that we are not permitted to enter into any transaction that exceeds $120,000 and in which any related person has a direct or indirect material interest without the consent of our audit committee.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24"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191</w:t>
      </w:r>
    </w:p>
    <w:p>
      <w:pPr>
        <w:sectPr>
          <w:pgSz w:w="11900" w:h="16838" w:orient="portrait"/>
          <w:cols w:equalWidth="0" w:num="1">
            <w:col w:w="10760"/>
          </w:cols>
          <w:pgMar w:left="320" w:top="441" w:right="81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Principal Stockholders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beneficial ownership of our common stock as of July 2, 2021 by:</w:t>
      </w:r>
    </w:p>
    <w:p>
      <w:pPr>
        <w:spacing w:after="0" w:line="120" w:lineRule="exact"/>
        <w:rPr>
          <w:sz w:val="20"/>
          <w:szCs w:val="20"/>
          <w:color w:val="auto"/>
        </w:rPr>
      </w:pPr>
    </w:p>
    <w:p>
      <w:pPr>
        <w:ind w:left="660" w:hanging="209"/>
        <w:spacing w:after="0"/>
        <w:tabs>
          <w:tab w:leader="none" w:pos="6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each person, or group of affiliated persons, who is known by us to beneficially own more than 5% of our common stock;</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each of the named executive officers;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each of our directors; and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all of our current executive officers and directors as a group.</w:t>
      </w:r>
    </w:p>
    <w:p>
      <w:pPr>
        <w:spacing w:after="0" w:line="108" w:lineRule="exact"/>
        <w:rPr>
          <w:sz w:val="20"/>
          <w:szCs w:val="20"/>
          <w:color w:val="auto"/>
        </w:rPr>
      </w:pPr>
    </w:p>
    <w:p>
      <w:pPr>
        <w:ind w:left="460" w:right="60"/>
        <w:spacing w:after="0" w:line="252"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86" w:lineRule="exact"/>
        <w:rPr>
          <w:sz w:val="20"/>
          <w:szCs w:val="20"/>
          <w:color w:val="auto"/>
        </w:rPr>
      </w:pPr>
    </w:p>
    <w:p>
      <w:pPr>
        <w:ind w:left="460" w:right="40"/>
        <w:spacing w:after="0" w:line="249" w:lineRule="auto"/>
        <w:rPr>
          <w:sz w:val="20"/>
          <w:szCs w:val="20"/>
          <w:color w:val="auto"/>
        </w:rPr>
      </w:pPr>
      <w:r>
        <w:rPr>
          <w:rFonts w:ascii="Arial" w:cs="Arial" w:eastAsia="Arial" w:hAnsi="Arial"/>
          <w:sz w:val="16"/>
          <w:szCs w:val="16"/>
          <w:color w:val="auto"/>
        </w:rPr>
        <w:t>We have based our calculation of the percentage of beneficial ownership prior to this offering on 19,201,149 shares of our common stock outstanding as of July 2, 2021, which includes (i) 14,850,993 shares of our common stock resulting from the conversion of all 14,376,272 outstanding shares of our convertible preferred stock at July 2, 2021 into our common stock immediately prior to the completion of this offering, as if this conversion had occurred as of July 2, 2021 and (ii) 225,945 shares of common stock issuable upon the exercise of warrants to purchase shares of Series H convertible preferred stock outstanding as of July 2, 2021, which will be converted into shares of our common stock following such exercise and immediately prior to the completion of this offering, at a weighted-average exercise price of $12.40 per share. We have based our calculation of the percentage of beneficial ownership after this offering on 26,551,149 shares of our common stock outstanding immediately after the completion of this offering, assuming no exercise by the underwriters of their option to purchase additional shares. We have deemed shares of our common stock subject to stock options that are currently exercisable or exercisable within 60 days of July 2, 2021, to be outstanding and to be beneficially owned by the person holding the stock option for the purpose of computing the percentage ownership of that person. We did not deem these shares outstanding, however, for the purpose of computing the percentage ownership of any other person. Percentage ownership of our common stock after the offering assumes the sale of 7,350,000 shares by us in this offering.</w:t>
      </w:r>
    </w:p>
    <w:p>
      <w:pPr>
        <w:spacing w:after="0" w:line="283" w:lineRule="exact"/>
        <w:rPr>
          <w:sz w:val="20"/>
          <w:szCs w:val="20"/>
          <w:color w:val="auto"/>
        </w:rPr>
      </w:pPr>
    </w:p>
    <w:p>
      <w:pPr>
        <w:ind w:left="460" w:right="160"/>
        <w:spacing w:after="0" w:line="265" w:lineRule="auto"/>
        <w:rPr>
          <w:sz w:val="20"/>
          <w:szCs w:val="20"/>
          <w:color w:val="auto"/>
        </w:rPr>
      </w:pPr>
      <w:r>
        <w:rPr>
          <w:rFonts w:ascii="Arial" w:cs="Arial" w:eastAsia="Arial" w:hAnsi="Arial"/>
          <w:sz w:val="16"/>
          <w:szCs w:val="16"/>
          <w:color w:val="auto"/>
        </w:rPr>
        <w:t>Unless otherwise indicated, the address of each beneficial owner listed in the table below is c/o RxSight, Inc., 100 Columbia, Aliso Viejo, CA 92656.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53975</wp:posOffset>
            </wp:positionV>
            <wp:extent cx="6569075" cy="158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4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Shares Beneficially Owned</w:t>
            </w:r>
          </w:p>
        </w:tc>
        <w:tc>
          <w:tcPr>
            <w:tcW w:w="22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Shares Beneficially Owned</w:t>
            </w:r>
          </w:p>
        </w:tc>
        <w:tc>
          <w:tcPr>
            <w:tcW w:w="0" w:type="dxa"/>
            <w:vAlign w:val="bottom"/>
          </w:tcPr>
          <w:p>
            <w:pPr>
              <w:spacing w:after="0"/>
              <w:rPr>
                <w:sz w:val="1"/>
                <w:szCs w:val="1"/>
                <w:color w:val="auto"/>
              </w:rPr>
            </w:pPr>
          </w:p>
        </w:tc>
      </w:tr>
      <w:tr>
        <w:trPr>
          <w:trHeight w:val="220"/>
        </w:trPr>
        <w:tc>
          <w:tcPr>
            <w:tcW w:w="2840" w:type="dxa"/>
            <w:vAlign w:val="bottom"/>
            <w:vMerge w:val="restart"/>
          </w:tcPr>
          <w:p>
            <w:pPr>
              <w:spacing w:after="0"/>
              <w:rPr>
                <w:sz w:val="20"/>
                <w:szCs w:val="20"/>
                <w:color w:val="auto"/>
              </w:rPr>
            </w:pPr>
            <w:r>
              <w:rPr>
                <w:rFonts w:ascii="Arial" w:cs="Arial" w:eastAsia="Arial" w:hAnsi="Arial"/>
                <w:sz w:val="16"/>
                <w:szCs w:val="16"/>
                <w:b w:val="1"/>
                <w:bCs w:val="1"/>
                <w:color w:val="auto"/>
              </w:rPr>
              <w:t>Name of Beneficial Owner</w:t>
            </w:r>
          </w:p>
        </w:tc>
        <w:tc>
          <w:tcPr>
            <w:tcW w:w="2820" w:type="dxa"/>
            <w:vAlign w:val="bottom"/>
          </w:tcPr>
          <w:p>
            <w:pPr>
              <w:spacing w:after="0"/>
              <w:rPr>
                <w:sz w:val="19"/>
                <w:szCs w:val="19"/>
                <w:color w:val="auto"/>
              </w:rPr>
            </w:pPr>
          </w:p>
        </w:tc>
        <w:tc>
          <w:tcPr>
            <w:tcW w:w="24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Prior to this Offering</w:t>
            </w:r>
          </w:p>
        </w:tc>
        <w:tc>
          <w:tcPr>
            <w:tcW w:w="22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After this Offering</w:t>
            </w:r>
          </w:p>
        </w:tc>
        <w:tc>
          <w:tcPr>
            <w:tcW w:w="0" w:type="dxa"/>
            <w:vAlign w:val="bottom"/>
          </w:tcPr>
          <w:p>
            <w:pPr>
              <w:spacing w:after="0"/>
              <w:rPr>
                <w:sz w:val="1"/>
                <w:szCs w:val="1"/>
                <w:color w:val="auto"/>
              </w:rPr>
            </w:pPr>
          </w:p>
        </w:tc>
      </w:tr>
      <w:tr>
        <w:trPr>
          <w:trHeight w:val="183"/>
        </w:trPr>
        <w:tc>
          <w:tcPr>
            <w:tcW w:w="2840" w:type="dxa"/>
            <w:vAlign w:val="bottom"/>
            <w:tcBorders>
              <w:bottom w:val="single" w:sz="8" w:color="auto"/>
            </w:tcBorders>
            <w:vMerge w:val="continue"/>
          </w:tcPr>
          <w:p>
            <w:pPr>
              <w:spacing w:after="0"/>
              <w:rPr>
                <w:sz w:val="15"/>
                <w:szCs w:val="15"/>
                <w:color w:val="auto"/>
              </w:rPr>
            </w:pPr>
          </w:p>
        </w:tc>
        <w:tc>
          <w:tcPr>
            <w:tcW w:w="2820" w:type="dxa"/>
            <w:vAlign w:val="bottom"/>
            <w:tcBorders>
              <w:top w:val="single" w:sz="8" w:color="auto"/>
              <w:bottom w:val="single" w:sz="8" w:color="auto"/>
            </w:tcBorders>
          </w:tcPr>
          <w:p>
            <w:pPr>
              <w:jc w:val="right"/>
              <w:ind w:right="198"/>
              <w:spacing w:after="0" w:line="183" w:lineRule="exact"/>
              <w:rPr>
                <w:sz w:val="20"/>
                <w:szCs w:val="20"/>
                <w:color w:val="auto"/>
              </w:rPr>
            </w:pPr>
            <w:r>
              <w:rPr>
                <w:rFonts w:ascii="Arial" w:cs="Arial" w:eastAsia="Arial" w:hAnsi="Arial"/>
                <w:sz w:val="16"/>
                <w:szCs w:val="16"/>
                <w:b w:val="1"/>
                <w:bCs w:val="1"/>
                <w:color w:val="auto"/>
              </w:rPr>
              <w:t>Shares</w:t>
            </w:r>
          </w:p>
        </w:tc>
        <w:tc>
          <w:tcPr>
            <w:tcW w:w="23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Percentage</w:t>
            </w:r>
          </w:p>
        </w:tc>
        <w:tc>
          <w:tcPr>
            <w:tcW w:w="40" w:type="dxa"/>
            <w:vAlign w:val="bottom"/>
            <w:tcBorders>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78"/>
              <w:spacing w:after="0" w:line="183" w:lineRule="exact"/>
              <w:rPr>
                <w:sz w:val="20"/>
                <w:szCs w:val="20"/>
                <w:color w:val="auto"/>
              </w:rPr>
            </w:pPr>
            <w:r>
              <w:rPr>
                <w:rFonts w:ascii="Arial" w:cs="Arial" w:eastAsia="Arial" w:hAnsi="Arial"/>
                <w:sz w:val="16"/>
                <w:szCs w:val="16"/>
                <w:b w:val="1"/>
                <w:bCs w:val="1"/>
                <w:color w:val="auto"/>
              </w:rPr>
              <w:t>Shares</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Percentage</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840" w:type="dxa"/>
            <w:vAlign w:val="bottom"/>
          </w:tcPr>
          <w:p>
            <w:pPr>
              <w:spacing w:after="0"/>
              <w:rPr>
                <w:sz w:val="20"/>
                <w:szCs w:val="20"/>
                <w:color w:val="auto"/>
              </w:rPr>
            </w:pPr>
            <w:r>
              <w:rPr>
                <w:rFonts w:ascii="Arial" w:cs="Arial" w:eastAsia="Arial" w:hAnsi="Arial"/>
                <w:sz w:val="16"/>
                <w:szCs w:val="16"/>
                <w:b w:val="1"/>
                <w:bCs w:val="1"/>
                <w:color w:val="auto"/>
              </w:rPr>
              <w:t>5% Stockholders:</w:t>
            </w:r>
          </w:p>
        </w:tc>
        <w:tc>
          <w:tcPr>
            <w:tcW w:w="28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840" w:type="dxa"/>
            <w:vAlign w:val="bottom"/>
          </w:tcPr>
          <w:p>
            <w:pPr>
              <w:ind w:left="200"/>
              <w:spacing w:after="0"/>
              <w:rPr>
                <w:sz w:val="20"/>
                <w:szCs w:val="20"/>
                <w:color w:val="auto"/>
              </w:rPr>
            </w:pPr>
            <w:r>
              <w:rPr>
                <w:rFonts w:ascii="Arial" w:cs="Arial" w:eastAsia="Arial" w:hAnsi="Arial"/>
                <w:sz w:val="16"/>
                <w:szCs w:val="16"/>
                <w:color w:val="auto"/>
              </w:rPr>
              <w:t>RxSight I, LLC</w:t>
            </w:r>
            <w:r>
              <w:rPr>
                <w:rFonts w:ascii="Arial" w:cs="Arial" w:eastAsia="Arial" w:hAnsi="Arial"/>
                <w:sz w:val="10"/>
                <w:szCs w:val="10"/>
                <w:color w:val="auto"/>
              </w:rPr>
              <w:t>(1)</w:t>
            </w:r>
          </w:p>
        </w:tc>
        <w:tc>
          <w:tcPr>
            <w:tcW w:w="2820" w:type="dxa"/>
            <w:vAlign w:val="bottom"/>
          </w:tcPr>
          <w:p>
            <w:pPr>
              <w:jc w:val="right"/>
              <w:ind w:right="198"/>
              <w:spacing w:after="0"/>
              <w:rPr>
                <w:sz w:val="20"/>
                <w:szCs w:val="20"/>
                <w:color w:val="auto"/>
              </w:rPr>
            </w:pPr>
            <w:r>
              <w:rPr>
                <w:rFonts w:ascii="Arial" w:cs="Arial" w:eastAsia="Arial" w:hAnsi="Arial"/>
                <w:sz w:val="16"/>
                <w:szCs w:val="16"/>
                <w:color w:val="auto"/>
              </w:rPr>
              <w:t>2,016,778</w:t>
            </w:r>
          </w:p>
        </w:tc>
        <w:tc>
          <w:tcPr>
            <w:tcW w:w="2380" w:type="dxa"/>
            <w:vAlign w:val="bottom"/>
          </w:tcPr>
          <w:p>
            <w:pPr>
              <w:jc w:val="right"/>
              <w:spacing w:after="0"/>
              <w:rPr>
                <w:sz w:val="20"/>
                <w:szCs w:val="20"/>
                <w:color w:val="auto"/>
              </w:rPr>
            </w:pPr>
            <w:r>
              <w:rPr>
                <w:rFonts w:ascii="Arial" w:cs="Arial" w:eastAsia="Arial" w:hAnsi="Arial"/>
                <w:sz w:val="16"/>
                <w:szCs w:val="16"/>
                <w:color w:val="auto"/>
              </w:rPr>
              <w:t>10.50%</w:t>
            </w:r>
          </w:p>
        </w:tc>
        <w:tc>
          <w:tcPr>
            <w:tcW w:w="40" w:type="dxa"/>
            <w:vAlign w:val="bottom"/>
          </w:tcPr>
          <w:p>
            <w:pPr>
              <w:spacing w:after="0"/>
              <w:rPr>
                <w:sz w:val="17"/>
                <w:szCs w:val="17"/>
                <w:color w:val="auto"/>
              </w:rPr>
            </w:pPr>
          </w:p>
        </w:tc>
        <w:tc>
          <w:tcPr>
            <w:tcW w:w="1080" w:type="dxa"/>
            <w:vAlign w:val="bottom"/>
          </w:tcPr>
          <w:p>
            <w:pPr>
              <w:jc w:val="right"/>
              <w:ind w:right="78"/>
              <w:spacing w:after="0"/>
              <w:rPr>
                <w:sz w:val="20"/>
                <w:szCs w:val="20"/>
                <w:color w:val="auto"/>
              </w:rPr>
            </w:pPr>
            <w:r>
              <w:rPr>
                <w:rFonts w:ascii="Arial" w:cs="Arial" w:eastAsia="Arial" w:hAnsi="Arial"/>
                <w:sz w:val="16"/>
                <w:szCs w:val="16"/>
                <w:color w:val="auto"/>
              </w:rPr>
              <w:t>2,016,778</w:t>
            </w:r>
          </w:p>
        </w:tc>
        <w:tc>
          <w:tcPr>
            <w:tcW w:w="1080" w:type="dxa"/>
            <w:vAlign w:val="bottom"/>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0"/>
              <w:spacing w:after="0" w:line="155" w:lineRule="exact"/>
              <w:rPr>
                <w:sz w:val="20"/>
                <w:szCs w:val="20"/>
                <w:color w:val="auto"/>
              </w:rPr>
            </w:pPr>
            <w:r>
              <w:rPr>
                <w:rFonts w:ascii="Arial" w:cs="Arial" w:eastAsia="Arial" w:hAnsi="Arial"/>
                <w:sz w:val="16"/>
                <w:szCs w:val="16"/>
                <w:color w:val="auto"/>
              </w:rPr>
              <w:t>Longitude Venture Partners II, L.P.</w:t>
            </w:r>
          </w:p>
        </w:tc>
        <w:tc>
          <w:tcPr>
            <w:tcW w:w="2820" w:type="dxa"/>
            <w:vAlign w:val="bottom"/>
            <w:vMerge w:val="restart"/>
          </w:tcPr>
          <w:p>
            <w:pPr>
              <w:jc w:val="right"/>
              <w:ind w:right="198"/>
              <w:spacing w:after="0"/>
              <w:rPr>
                <w:sz w:val="20"/>
                <w:szCs w:val="20"/>
                <w:color w:val="auto"/>
              </w:rPr>
            </w:pPr>
            <w:r>
              <w:rPr>
                <w:rFonts w:ascii="Arial" w:cs="Arial" w:eastAsia="Arial" w:hAnsi="Arial"/>
                <w:sz w:val="16"/>
                <w:szCs w:val="16"/>
                <w:color w:val="auto"/>
              </w:rPr>
              <w:t>1,891,738</w:t>
            </w:r>
          </w:p>
        </w:tc>
        <w:tc>
          <w:tcPr>
            <w:tcW w:w="2380" w:type="dxa"/>
            <w:vAlign w:val="bottom"/>
            <w:vMerge w:val="restart"/>
          </w:tcPr>
          <w:p>
            <w:pPr>
              <w:jc w:val="right"/>
              <w:spacing w:after="0"/>
              <w:rPr>
                <w:sz w:val="20"/>
                <w:szCs w:val="20"/>
                <w:color w:val="auto"/>
              </w:rPr>
            </w:pPr>
            <w:r>
              <w:rPr>
                <w:rFonts w:ascii="Arial" w:cs="Arial" w:eastAsia="Arial" w:hAnsi="Arial"/>
                <w:sz w:val="16"/>
                <w:szCs w:val="16"/>
                <w:color w:val="auto"/>
              </w:rPr>
              <w:t>9.85%</w:t>
            </w:r>
          </w:p>
        </w:tc>
        <w:tc>
          <w:tcPr>
            <w:tcW w:w="40" w:type="dxa"/>
            <w:vAlign w:val="bottom"/>
          </w:tcPr>
          <w:p>
            <w:pPr>
              <w:spacing w:after="0"/>
              <w:rPr>
                <w:sz w:val="13"/>
                <w:szCs w:val="13"/>
                <w:color w:val="auto"/>
              </w:rPr>
            </w:pPr>
          </w:p>
        </w:tc>
        <w:tc>
          <w:tcPr>
            <w:tcW w:w="1080" w:type="dxa"/>
            <w:vAlign w:val="bottom"/>
            <w:vMerge w:val="restart"/>
          </w:tcPr>
          <w:p>
            <w:pPr>
              <w:jc w:val="right"/>
              <w:ind w:right="78"/>
              <w:spacing w:after="0"/>
              <w:rPr>
                <w:sz w:val="20"/>
                <w:szCs w:val="20"/>
                <w:color w:val="auto"/>
              </w:rPr>
            </w:pPr>
            <w:r>
              <w:rPr>
                <w:rFonts w:ascii="Arial" w:cs="Arial" w:eastAsia="Arial" w:hAnsi="Arial"/>
                <w:sz w:val="16"/>
                <w:szCs w:val="16"/>
                <w:color w:val="auto"/>
              </w:rPr>
              <w:t>1,891,738</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7.12%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40" w:type="dxa"/>
            <w:vAlign w:val="bottom"/>
          </w:tcPr>
          <w:p>
            <w:pPr>
              <w:ind w:left="400"/>
              <w:spacing w:after="0"/>
              <w:rPr>
                <w:sz w:val="20"/>
                <w:szCs w:val="20"/>
                <w:color w:val="auto"/>
              </w:rPr>
            </w:pPr>
            <w:r>
              <w:rPr>
                <w:rFonts w:ascii="Arial" w:cs="Arial" w:eastAsia="Arial" w:hAnsi="Arial"/>
                <w:sz w:val="11"/>
                <w:szCs w:val="11"/>
                <w:color w:val="auto"/>
              </w:rPr>
              <w:t>(2)</w:t>
            </w:r>
          </w:p>
        </w:tc>
        <w:tc>
          <w:tcPr>
            <w:tcW w:w="2820" w:type="dxa"/>
            <w:vAlign w:val="bottom"/>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840" w:type="dxa"/>
            <w:vAlign w:val="bottom"/>
          </w:tcPr>
          <w:p>
            <w:pPr>
              <w:ind w:left="200"/>
              <w:spacing w:after="0"/>
              <w:rPr>
                <w:sz w:val="20"/>
                <w:szCs w:val="20"/>
                <w:color w:val="auto"/>
              </w:rPr>
            </w:pPr>
            <w:r>
              <w:rPr>
                <w:rFonts w:ascii="Arial" w:cs="Arial" w:eastAsia="Arial" w:hAnsi="Arial"/>
                <w:sz w:val="16"/>
                <w:szCs w:val="16"/>
                <w:color w:val="auto"/>
              </w:rPr>
              <w:t>Entities affiliated with Richard M.</w:t>
            </w:r>
          </w:p>
        </w:tc>
        <w:tc>
          <w:tcPr>
            <w:tcW w:w="2820" w:type="dxa"/>
            <w:vAlign w:val="bottom"/>
            <w:vMerge w:val="restart"/>
          </w:tcPr>
          <w:p>
            <w:pPr>
              <w:jc w:val="right"/>
              <w:ind w:right="198"/>
              <w:spacing w:after="0"/>
              <w:rPr>
                <w:sz w:val="20"/>
                <w:szCs w:val="20"/>
                <w:color w:val="auto"/>
              </w:rPr>
            </w:pPr>
            <w:r>
              <w:rPr>
                <w:rFonts w:ascii="Arial" w:cs="Arial" w:eastAsia="Arial" w:hAnsi="Arial"/>
                <w:sz w:val="16"/>
                <w:szCs w:val="16"/>
                <w:color w:val="auto"/>
              </w:rPr>
              <w:t>1,840,244</w:t>
            </w:r>
          </w:p>
        </w:tc>
        <w:tc>
          <w:tcPr>
            <w:tcW w:w="2380" w:type="dxa"/>
            <w:vAlign w:val="bottom"/>
            <w:vMerge w:val="restart"/>
          </w:tcPr>
          <w:p>
            <w:pPr>
              <w:jc w:val="right"/>
              <w:spacing w:after="0"/>
              <w:rPr>
                <w:sz w:val="20"/>
                <w:szCs w:val="20"/>
                <w:color w:val="auto"/>
              </w:rPr>
            </w:pPr>
            <w:r>
              <w:rPr>
                <w:rFonts w:ascii="Arial" w:cs="Arial" w:eastAsia="Arial" w:hAnsi="Arial"/>
                <w:sz w:val="16"/>
                <w:szCs w:val="16"/>
                <w:color w:val="auto"/>
              </w:rPr>
              <w:t>9.58%</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40" w:type="dxa"/>
            <w:vAlign w:val="bottom"/>
          </w:tcPr>
          <w:p>
            <w:pPr>
              <w:ind w:left="400"/>
              <w:spacing w:after="0"/>
              <w:rPr>
                <w:sz w:val="20"/>
                <w:szCs w:val="20"/>
                <w:color w:val="auto"/>
              </w:rPr>
            </w:pPr>
            <w:r>
              <w:rPr>
                <w:rFonts w:ascii="Arial" w:cs="Arial" w:eastAsia="Arial" w:hAnsi="Arial"/>
                <w:sz w:val="16"/>
                <w:szCs w:val="16"/>
                <w:color w:val="auto"/>
              </w:rPr>
              <w:t>Wolfen</w:t>
            </w:r>
            <w:r>
              <w:rPr>
                <w:rFonts w:ascii="Arial" w:cs="Arial" w:eastAsia="Arial" w:hAnsi="Arial"/>
                <w:sz w:val="10"/>
                <w:szCs w:val="10"/>
                <w:color w:val="auto"/>
              </w:rPr>
              <w:t>(3)</w:t>
            </w:r>
          </w:p>
        </w:tc>
        <w:tc>
          <w:tcPr>
            <w:tcW w:w="2820" w:type="dxa"/>
            <w:vAlign w:val="bottom"/>
            <w:vMerge w:val="continue"/>
          </w:tcPr>
          <w:p>
            <w:pPr>
              <w:spacing w:after="0"/>
              <w:rPr>
                <w:sz w:val="16"/>
                <w:szCs w:val="16"/>
                <w:color w:val="auto"/>
              </w:rPr>
            </w:pPr>
          </w:p>
        </w:tc>
        <w:tc>
          <w:tcPr>
            <w:tcW w:w="2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jc w:val="right"/>
              <w:ind w:right="78"/>
              <w:spacing w:after="0"/>
              <w:rPr>
                <w:sz w:val="20"/>
                <w:szCs w:val="20"/>
                <w:color w:val="auto"/>
              </w:rPr>
            </w:pPr>
            <w:r>
              <w:rPr>
                <w:rFonts w:ascii="Arial" w:cs="Arial" w:eastAsia="Arial" w:hAnsi="Arial"/>
                <w:sz w:val="16"/>
                <w:szCs w:val="16"/>
                <w:color w:val="auto"/>
              </w:rPr>
              <w:t>1,840,244</w:t>
            </w:r>
          </w:p>
        </w:tc>
        <w:tc>
          <w:tcPr>
            <w:tcW w:w="1080" w:type="dxa"/>
            <w:vAlign w:val="bottom"/>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40" w:type="dxa"/>
            <w:vAlign w:val="bottom"/>
          </w:tcPr>
          <w:p>
            <w:pPr>
              <w:ind w:left="200"/>
              <w:spacing w:after="0"/>
              <w:rPr>
                <w:sz w:val="20"/>
                <w:szCs w:val="20"/>
                <w:color w:val="auto"/>
              </w:rPr>
            </w:pPr>
            <w:r>
              <w:rPr>
                <w:rFonts w:ascii="Arial" w:cs="Arial" w:eastAsia="Arial" w:hAnsi="Arial"/>
                <w:sz w:val="16"/>
                <w:szCs w:val="16"/>
                <w:color w:val="auto"/>
              </w:rPr>
              <w:t>H.I.G. BioVentures – Calhoun,</w:t>
            </w:r>
          </w:p>
        </w:tc>
        <w:tc>
          <w:tcPr>
            <w:tcW w:w="2820" w:type="dxa"/>
            <w:vAlign w:val="bottom"/>
            <w:vMerge w:val="restart"/>
          </w:tcPr>
          <w:p>
            <w:pPr>
              <w:jc w:val="right"/>
              <w:ind w:right="198"/>
              <w:spacing w:after="0"/>
              <w:rPr>
                <w:sz w:val="20"/>
                <w:szCs w:val="20"/>
                <w:color w:val="auto"/>
              </w:rPr>
            </w:pPr>
            <w:r>
              <w:rPr>
                <w:rFonts w:ascii="Arial" w:cs="Arial" w:eastAsia="Arial" w:hAnsi="Arial"/>
                <w:sz w:val="16"/>
                <w:szCs w:val="16"/>
                <w:color w:val="auto"/>
              </w:rPr>
              <w:t>1,431,912</w:t>
            </w:r>
          </w:p>
        </w:tc>
        <w:tc>
          <w:tcPr>
            <w:tcW w:w="2380" w:type="dxa"/>
            <w:vAlign w:val="bottom"/>
            <w:vMerge w:val="restart"/>
          </w:tcPr>
          <w:p>
            <w:pPr>
              <w:jc w:val="right"/>
              <w:spacing w:after="0"/>
              <w:rPr>
                <w:sz w:val="20"/>
                <w:szCs w:val="20"/>
                <w:color w:val="auto"/>
              </w:rPr>
            </w:pPr>
            <w:r>
              <w:rPr>
                <w:rFonts w:ascii="Arial" w:cs="Arial" w:eastAsia="Arial" w:hAnsi="Arial"/>
                <w:sz w:val="16"/>
                <w:szCs w:val="16"/>
                <w:color w:val="auto"/>
              </w:rPr>
              <w:t>7.46%</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40" w:type="dxa"/>
            <w:vAlign w:val="bottom"/>
          </w:tcPr>
          <w:p>
            <w:pPr>
              <w:ind w:left="400"/>
              <w:spacing w:after="0"/>
              <w:rPr>
                <w:sz w:val="20"/>
                <w:szCs w:val="20"/>
                <w:color w:val="auto"/>
              </w:rPr>
            </w:pPr>
            <w:r>
              <w:rPr>
                <w:rFonts w:ascii="Arial" w:cs="Arial" w:eastAsia="Arial" w:hAnsi="Arial"/>
                <w:sz w:val="16"/>
                <w:szCs w:val="16"/>
                <w:color w:val="auto"/>
              </w:rPr>
              <w:t>LLC</w:t>
            </w:r>
            <w:r>
              <w:rPr>
                <w:rFonts w:ascii="Arial" w:cs="Arial" w:eastAsia="Arial" w:hAnsi="Arial"/>
                <w:sz w:val="10"/>
                <w:szCs w:val="10"/>
                <w:color w:val="auto"/>
              </w:rPr>
              <w:t>(4)</w:t>
            </w:r>
          </w:p>
        </w:tc>
        <w:tc>
          <w:tcPr>
            <w:tcW w:w="2820" w:type="dxa"/>
            <w:vAlign w:val="bottom"/>
            <w:vMerge w:val="continue"/>
          </w:tcPr>
          <w:p>
            <w:pPr>
              <w:spacing w:after="0"/>
              <w:rPr>
                <w:sz w:val="16"/>
                <w:szCs w:val="16"/>
                <w:color w:val="auto"/>
              </w:rPr>
            </w:pPr>
          </w:p>
        </w:tc>
        <w:tc>
          <w:tcPr>
            <w:tcW w:w="2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jc w:val="right"/>
              <w:ind w:right="78"/>
              <w:spacing w:after="0"/>
              <w:rPr>
                <w:sz w:val="20"/>
                <w:szCs w:val="20"/>
                <w:color w:val="auto"/>
              </w:rPr>
            </w:pPr>
            <w:r>
              <w:rPr>
                <w:rFonts w:ascii="Arial" w:cs="Arial" w:eastAsia="Arial" w:hAnsi="Arial"/>
                <w:sz w:val="16"/>
                <w:szCs w:val="16"/>
                <w:color w:val="auto"/>
              </w:rPr>
              <w:t>1,431,912</w:t>
            </w:r>
          </w:p>
        </w:tc>
        <w:tc>
          <w:tcPr>
            <w:tcW w:w="1080" w:type="dxa"/>
            <w:vAlign w:val="bottom"/>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40" w:type="dxa"/>
            <w:vAlign w:val="bottom"/>
          </w:tcPr>
          <w:p>
            <w:pPr>
              <w:ind w:left="200"/>
              <w:spacing w:after="0"/>
              <w:rPr>
                <w:sz w:val="20"/>
                <w:szCs w:val="20"/>
                <w:color w:val="auto"/>
              </w:rPr>
            </w:pPr>
            <w:r>
              <w:rPr>
                <w:rFonts w:ascii="Arial" w:cs="Arial" w:eastAsia="Arial" w:hAnsi="Arial"/>
                <w:sz w:val="16"/>
                <w:szCs w:val="16"/>
                <w:color w:val="auto"/>
              </w:rPr>
              <w:t>RA Capital Healthcare Fund</w:t>
            </w:r>
            <w:r>
              <w:rPr>
                <w:rFonts w:ascii="Arial" w:cs="Arial" w:eastAsia="Arial" w:hAnsi="Arial"/>
                <w:sz w:val="10"/>
                <w:szCs w:val="10"/>
                <w:color w:val="auto"/>
              </w:rPr>
              <w:t>(5)</w:t>
            </w:r>
          </w:p>
        </w:tc>
        <w:tc>
          <w:tcPr>
            <w:tcW w:w="2820" w:type="dxa"/>
            <w:vAlign w:val="bottom"/>
          </w:tcPr>
          <w:p>
            <w:pPr>
              <w:jc w:val="right"/>
              <w:ind w:right="198"/>
              <w:spacing w:after="0"/>
              <w:rPr>
                <w:sz w:val="20"/>
                <w:szCs w:val="20"/>
                <w:color w:val="auto"/>
              </w:rPr>
            </w:pPr>
            <w:r>
              <w:rPr>
                <w:rFonts w:ascii="Arial" w:cs="Arial" w:eastAsia="Arial" w:hAnsi="Arial"/>
                <w:sz w:val="16"/>
                <w:szCs w:val="16"/>
                <w:color w:val="auto"/>
              </w:rPr>
              <w:t>1,177,796</w:t>
            </w:r>
          </w:p>
        </w:tc>
        <w:tc>
          <w:tcPr>
            <w:tcW w:w="2380" w:type="dxa"/>
            <w:vAlign w:val="bottom"/>
          </w:tcPr>
          <w:p>
            <w:pPr>
              <w:jc w:val="right"/>
              <w:spacing w:after="0"/>
              <w:rPr>
                <w:sz w:val="20"/>
                <w:szCs w:val="20"/>
                <w:color w:val="auto"/>
              </w:rPr>
            </w:pPr>
            <w:r>
              <w:rPr>
                <w:rFonts w:ascii="Arial" w:cs="Arial" w:eastAsia="Arial" w:hAnsi="Arial"/>
                <w:sz w:val="16"/>
                <w:szCs w:val="16"/>
                <w:color w:val="auto"/>
              </w:rPr>
              <w:t>6.13%</w:t>
            </w:r>
          </w:p>
        </w:tc>
        <w:tc>
          <w:tcPr>
            <w:tcW w:w="40" w:type="dxa"/>
            <w:vAlign w:val="bottom"/>
          </w:tcPr>
          <w:p>
            <w:pPr>
              <w:spacing w:after="0"/>
              <w:rPr>
                <w:sz w:val="17"/>
                <w:szCs w:val="17"/>
                <w:color w:val="auto"/>
              </w:rPr>
            </w:pPr>
          </w:p>
        </w:tc>
        <w:tc>
          <w:tcPr>
            <w:tcW w:w="1080" w:type="dxa"/>
            <w:vAlign w:val="bottom"/>
          </w:tcPr>
          <w:p>
            <w:pPr>
              <w:jc w:val="right"/>
              <w:ind w:right="78"/>
              <w:spacing w:after="0"/>
              <w:rPr>
                <w:sz w:val="20"/>
                <w:szCs w:val="20"/>
                <w:color w:val="auto"/>
              </w:rPr>
            </w:pPr>
            <w:r>
              <w:rPr>
                <w:rFonts w:ascii="Arial" w:cs="Arial" w:eastAsia="Arial" w:hAnsi="Arial"/>
                <w:sz w:val="16"/>
                <w:szCs w:val="16"/>
                <w:color w:val="auto"/>
              </w:rPr>
              <w:t>1,177,796</w:t>
            </w:r>
          </w:p>
        </w:tc>
        <w:tc>
          <w:tcPr>
            <w:tcW w:w="1080" w:type="dxa"/>
            <w:vAlign w:val="bottom"/>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40" w:type="dxa"/>
            <w:vAlign w:val="bottom"/>
          </w:tcPr>
          <w:p>
            <w:pPr>
              <w:ind w:left="200"/>
              <w:spacing w:after="0"/>
              <w:rPr>
                <w:sz w:val="20"/>
                <w:szCs w:val="20"/>
                <w:color w:val="auto"/>
              </w:rPr>
            </w:pPr>
            <w:r>
              <w:rPr>
                <w:rFonts w:ascii="Arial" w:cs="Arial" w:eastAsia="Arial" w:hAnsi="Arial"/>
                <w:sz w:val="16"/>
                <w:szCs w:val="16"/>
                <w:color w:val="auto"/>
              </w:rPr>
              <w:t>BP Calhoun Associates</w:t>
            </w:r>
            <w:r>
              <w:rPr>
                <w:rFonts w:ascii="Arial" w:cs="Arial" w:eastAsia="Arial" w:hAnsi="Arial"/>
                <w:sz w:val="10"/>
                <w:szCs w:val="10"/>
                <w:color w:val="auto"/>
              </w:rPr>
              <w:t>(6)</w:t>
            </w:r>
          </w:p>
        </w:tc>
        <w:tc>
          <w:tcPr>
            <w:tcW w:w="2820" w:type="dxa"/>
            <w:vAlign w:val="bottom"/>
          </w:tcPr>
          <w:p>
            <w:pPr>
              <w:jc w:val="right"/>
              <w:ind w:right="198"/>
              <w:spacing w:after="0"/>
              <w:rPr>
                <w:sz w:val="20"/>
                <w:szCs w:val="20"/>
                <w:color w:val="auto"/>
              </w:rPr>
            </w:pPr>
            <w:r>
              <w:rPr>
                <w:rFonts w:ascii="Arial" w:cs="Arial" w:eastAsia="Arial" w:hAnsi="Arial"/>
                <w:sz w:val="16"/>
                <w:szCs w:val="16"/>
                <w:color w:val="auto"/>
              </w:rPr>
              <w:t>1,068,232</w:t>
            </w:r>
          </w:p>
        </w:tc>
        <w:tc>
          <w:tcPr>
            <w:tcW w:w="2380" w:type="dxa"/>
            <w:vAlign w:val="bottom"/>
          </w:tcPr>
          <w:p>
            <w:pPr>
              <w:jc w:val="right"/>
              <w:spacing w:after="0"/>
              <w:rPr>
                <w:sz w:val="20"/>
                <w:szCs w:val="20"/>
                <w:color w:val="auto"/>
              </w:rPr>
            </w:pPr>
            <w:r>
              <w:rPr>
                <w:rFonts w:ascii="Arial" w:cs="Arial" w:eastAsia="Arial" w:hAnsi="Arial"/>
                <w:sz w:val="16"/>
                <w:szCs w:val="16"/>
                <w:color w:val="auto"/>
              </w:rPr>
              <w:t>5.56%</w:t>
            </w:r>
          </w:p>
        </w:tc>
        <w:tc>
          <w:tcPr>
            <w:tcW w:w="40" w:type="dxa"/>
            <w:vAlign w:val="bottom"/>
          </w:tcPr>
          <w:p>
            <w:pPr>
              <w:spacing w:after="0"/>
              <w:rPr>
                <w:sz w:val="18"/>
                <w:szCs w:val="18"/>
                <w:color w:val="auto"/>
              </w:rPr>
            </w:pPr>
          </w:p>
        </w:tc>
        <w:tc>
          <w:tcPr>
            <w:tcW w:w="1080" w:type="dxa"/>
            <w:vAlign w:val="bottom"/>
          </w:tcPr>
          <w:p>
            <w:pPr>
              <w:jc w:val="right"/>
              <w:ind w:right="78"/>
              <w:spacing w:after="0"/>
              <w:rPr>
                <w:sz w:val="20"/>
                <w:szCs w:val="20"/>
                <w:color w:val="auto"/>
              </w:rPr>
            </w:pPr>
            <w:r>
              <w:rPr>
                <w:rFonts w:ascii="Arial" w:cs="Arial" w:eastAsia="Arial" w:hAnsi="Arial"/>
                <w:sz w:val="16"/>
                <w:szCs w:val="16"/>
                <w:color w:val="auto"/>
              </w:rPr>
              <w:t>1,068,232</w:t>
            </w:r>
          </w:p>
        </w:tc>
        <w:tc>
          <w:tcPr>
            <w:tcW w:w="108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840" w:type="dxa"/>
            <w:vAlign w:val="bottom"/>
          </w:tcPr>
          <w:p>
            <w:pPr>
              <w:spacing w:after="0"/>
              <w:rPr>
                <w:sz w:val="24"/>
                <w:szCs w:val="24"/>
                <w:color w:val="auto"/>
              </w:rPr>
            </w:pPr>
          </w:p>
        </w:tc>
        <w:tc>
          <w:tcPr>
            <w:tcW w:w="2820" w:type="dxa"/>
            <w:vAlign w:val="bottom"/>
          </w:tcPr>
          <w:p>
            <w:pPr>
              <w:jc w:val="right"/>
              <w:ind w:right="278"/>
              <w:spacing w:after="0"/>
              <w:rPr>
                <w:sz w:val="20"/>
                <w:szCs w:val="20"/>
                <w:color w:val="auto"/>
              </w:rPr>
            </w:pPr>
            <w:r>
              <w:rPr>
                <w:rFonts w:ascii="Arial" w:cs="Arial" w:eastAsia="Arial" w:hAnsi="Arial"/>
                <w:sz w:val="16"/>
                <w:szCs w:val="16"/>
                <w:color w:val="auto"/>
              </w:rPr>
              <w:t>192</w:t>
            </w: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41" w:right="77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191770</wp:posOffset>
            </wp:positionV>
            <wp:extent cx="6569075" cy="158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329"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4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Shares Beneficially Owned</w:t>
            </w:r>
          </w:p>
        </w:tc>
        <w:tc>
          <w:tcPr>
            <w:tcW w:w="2160" w:type="dxa"/>
            <w:vAlign w:val="bottom"/>
            <w:gridSpan w:val="2"/>
          </w:tcPr>
          <w:p>
            <w:pPr>
              <w:jc w:val="right"/>
              <w:spacing w:after="0"/>
              <w:rPr>
                <w:sz w:val="20"/>
                <w:szCs w:val="20"/>
                <w:color w:val="auto"/>
              </w:rPr>
            </w:pPr>
            <w:r>
              <w:rPr>
                <w:rFonts w:ascii="Arial" w:cs="Arial" w:eastAsia="Arial" w:hAnsi="Arial"/>
                <w:sz w:val="16"/>
                <w:szCs w:val="16"/>
                <w:b w:val="1"/>
                <w:bCs w:val="1"/>
                <w:color w:val="auto"/>
              </w:rPr>
              <w:t>Shares Beneficially Owned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960" w:type="dxa"/>
            <w:vAlign w:val="bottom"/>
            <w:vMerge w:val="restart"/>
          </w:tcPr>
          <w:p>
            <w:pPr>
              <w:spacing w:after="0"/>
              <w:rPr>
                <w:sz w:val="20"/>
                <w:szCs w:val="20"/>
                <w:color w:val="auto"/>
              </w:rPr>
            </w:pPr>
            <w:r>
              <w:rPr>
                <w:rFonts w:ascii="Arial" w:cs="Arial" w:eastAsia="Arial" w:hAnsi="Arial"/>
                <w:sz w:val="16"/>
                <w:szCs w:val="16"/>
                <w:b w:val="1"/>
                <w:bCs w:val="1"/>
                <w:color w:val="auto"/>
              </w:rPr>
              <w:t>Name of Beneficial Owner</w:t>
            </w:r>
          </w:p>
        </w:tc>
        <w:tc>
          <w:tcPr>
            <w:tcW w:w="2720" w:type="dxa"/>
            <w:vAlign w:val="bottom"/>
          </w:tcPr>
          <w:p>
            <w:pPr>
              <w:spacing w:after="0"/>
              <w:rPr>
                <w:sz w:val="19"/>
                <w:szCs w:val="19"/>
                <w:color w:val="auto"/>
              </w:rPr>
            </w:pPr>
          </w:p>
        </w:tc>
        <w:tc>
          <w:tcPr>
            <w:tcW w:w="24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Prior to this Offering</w:t>
            </w:r>
          </w:p>
        </w:tc>
        <w:tc>
          <w:tcPr>
            <w:tcW w:w="2160" w:type="dxa"/>
            <w:vAlign w:val="bottom"/>
            <w:gridSpan w:val="2"/>
          </w:tcPr>
          <w:p>
            <w:pPr>
              <w:jc w:val="right"/>
              <w:spacing w:after="0"/>
              <w:rPr>
                <w:sz w:val="20"/>
                <w:szCs w:val="20"/>
                <w:color w:val="auto"/>
              </w:rPr>
            </w:pPr>
            <w:r>
              <w:rPr>
                <w:rFonts w:ascii="Arial" w:cs="Arial" w:eastAsia="Arial" w:hAnsi="Arial"/>
                <w:sz w:val="16"/>
                <w:szCs w:val="16"/>
                <w:b w:val="1"/>
                <w:bCs w:val="1"/>
                <w:color w:val="auto"/>
              </w:rPr>
              <w:t>After this Offering</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960" w:type="dxa"/>
            <w:vAlign w:val="bottom"/>
            <w:tcBorders>
              <w:bottom w:val="single" w:sz="8" w:color="auto"/>
            </w:tcBorders>
            <w:vMerge w:val="continue"/>
          </w:tcPr>
          <w:p>
            <w:pPr>
              <w:spacing w:after="0"/>
              <w:rPr>
                <w:sz w:val="15"/>
                <w:szCs w:val="15"/>
                <w:color w:val="auto"/>
              </w:rPr>
            </w:pPr>
          </w:p>
        </w:tc>
        <w:tc>
          <w:tcPr>
            <w:tcW w:w="2720" w:type="dxa"/>
            <w:vAlign w:val="bottom"/>
            <w:tcBorders>
              <w:top w:val="single" w:sz="8" w:color="auto"/>
              <w:bottom w:val="single" w:sz="8" w:color="auto"/>
            </w:tcBorders>
          </w:tcPr>
          <w:p>
            <w:pPr>
              <w:jc w:val="right"/>
              <w:ind w:right="158"/>
              <w:spacing w:after="0" w:line="183" w:lineRule="exact"/>
              <w:rPr>
                <w:sz w:val="20"/>
                <w:szCs w:val="20"/>
                <w:color w:val="auto"/>
              </w:rPr>
            </w:pPr>
            <w:r>
              <w:rPr>
                <w:rFonts w:ascii="Arial" w:cs="Arial" w:eastAsia="Arial" w:hAnsi="Arial"/>
                <w:sz w:val="16"/>
                <w:szCs w:val="16"/>
                <w:b w:val="1"/>
                <w:bCs w:val="1"/>
                <w:color w:val="auto"/>
              </w:rPr>
              <w:t>Shares</w:t>
            </w:r>
          </w:p>
        </w:tc>
        <w:tc>
          <w:tcPr>
            <w:tcW w:w="23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Percentage</w:t>
            </w:r>
          </w:p>
        </w:tc>
        <w:tc>
          <w:tcPr>
            <w:tcW w:w="40" w:type="dxa"/>
            <w:vAlign w:val="bottom"/>
            <w:tcBorders>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78"/>
              <w:spacing w:after="0" w:line="183" w:lineRule="exact"/>
              <w:rPr>
                <w:sz w:val="20"/>
                <w:szCs w:val="20"/>
                <w:color w:val="auto"/>
              </w:rPr>
            </w:pPr>
            <w:r>
              <w:rPr>
                <w:rFonts w:ascii="Arial" w:cs="Arial" w:eastAsia="Arial" w:hAnsi="Arial"/>
                <w:sz w:val="16"/>
                <w:szCs w:val="16"/>
                <w:b w:val="1"/>
                <w:bCs w:val="1"/>
                <w:color w:val="auto"/>
              </w:rPr>
              <w:t>Shares</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Percentage</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960" w:type="dxa"/>
            <w:vAlign w:val="bottom"/>
          </w:tcPr>
          <w:p>
            <w:pPr>
              <w:spacing w:after="0" w:line="166" w:lineRule="exact"/>
              <w:rPr>
                <w:sz w:val="20"/>
                <w:szCs w:val="20"/>
                <w:color w:val="auto"/>
              </w:rPr>
            </w:pPr>
            <w:r>
              <w:rPr>
                <w:rFonts w:ascii="Arial" w:cs="Arial" w:eastAsia="Arial" w:hAnsi="Arial"/>
                <w:sz w:val="16"/>
                <w:szCs w:val="16"/>
                <w:b w:val="1"/>
                <w:bCs w:val="1"/>
                <w:color w:val="auto"/>
              </w:rPr>
              <w:t>Named Executive Officers, Directors</w:t>
            </w:r>
          </w:p>
        </w:tc>
        <w:tc>
          <w:tcPr>
            <w:tcW w:w="27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60" w:type="dxa"/>
            <w:vAlign w:val="bottom"/>
          </w:tcPr>
          <w:p>
            <w:pPr>
              <w:ind w:left="200"/>
              <w:spacing w:after="0"/>
              <w:rPr>
                <w:sz w:val="20"/>
                <w:szCs w:val="20"/>
                <w:color w:val="auto"/>
              </w:rPr>
            </w:pPr>
            <w:r>
              <w:rPr>
                <w:rFonts w:ascii="Arial" w:cs="Arial" w:eastAsia="Arial" w:hAnsi="Arial"/>
                <w:sz w:val="16"/>
                <w:szCs w:val="16"/>
                <w:b w:val="1"/>
                <w:bCs w:val="1"/>
                <w:color w:val="auto"/>
              </w:rPr>
              <w:t>and Director Nominees:</w:t>
            </w:r>
          </w:p>
        </w:tc>
        <w:tc>
          <w:tcPr>
            <w:tcW w:w="2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rPr>
              <w:t>William J. Link, Ph.D.</w:t>
            </w:r>
            <w:r>
              <w:rPr>
                <w:rFonts w:ascii="Arial" w:cs="Arial" w:eastAsia="Arial" w:hAnsi="Arial"/>
                <w:sz w:val="10"/>
                <w:szCs w:val="10"/>
                <w:color w:val="auto"/>
              </w:rPr>
              <w:t>(7)</w:t>
            </w:r>
          </w:p>
        </w:tc>
        <w:tc>
          <w:tcPr>
            <w:tcW w:w="2720" w:type="dxa"/>
            <w:vAlign w:val="bottom"/>
          </w:tcPr>
          <w:p>
            <w:pPr>
              <w:jc w:val="right"/>
              <w:ind w:right="158"/>
              <w:spacing w:after="0"/>
              <w:rPr>
                <w:sz w:val="20"/>
                <w:szCs w:val="20"/>
                <w:color w:val="auto"/>
              </w:rPr>
            </w:pPr>
            <w:r>
              <w:rPr>
                <w:rFonts w:ascii="Arial" w:cs="Arial" w:eastAsia="Arial" w:hAnsi="Arial"/>
                <w:sz w:val="16"/>
                <w:szCs w:val="16"/>
                <w:color w:val="auto"/>
              </w:rPr>
              <w:t>2,016,778</w:t>
            </w:r>
          </w:p>
        </w:tc>
        <w:tc>
          <w:tcPr>
            <w:tcW w:w="2360" w:type="dxa"/>
            <w:vAlign w:val="bottom"/>
          </w:tcPr>
          <w:p>
            <w:pPr>
              <w:jc w:val="right"/>
              <w:spacing w:after="0"/>
              <w:rPr>
                <w:sz w:val="20"/>
                <w:szCs w:val="20"/>
                <w:color w:val="auto"/>
              </w:rPr>
            </w:pPr>
            <w:r>
              <w:rPr>
                <w:rFonts w:ascii="Arial" w:cs="Arial" w:eastAsia="Arial" w:hAnsi="Arial"/>
                <w:sz w:val="16"/>
                <w:szCs w:val="16"/>
                <w:color w:val="auto"/>
              </w:rPr>
              <w:t>10.50%</w:t>
            </w:r>
          </w:p>
        </w:tc>
        <w:tc>
          <w:tcPr>
            <w:tcW w:w="40" w:type="dxa"/>
            <w:vAlign w:val="bottom"/>
          </w:tcPr>
          <w:p>
            <w:pPr>
              <w:spacing w:after="0"/>
              <w:rPr>
                <w:sz w:val="17"/>
                <w:szCs w:val="17"/>
                <w:color w:val="auto"/>
              </w:rPr>
            </w:pPr>
          </w:p>
        </w:tc>
        <w:tc>
          <w:tcPr>
            <w:tcW w:w="1080" w:type="dxa"/>
            <w:vAlign w:val="bottom"/>
          </w:tcPr>
          <w:p>
            <w:pPr>
              <w:jc w:val="right"/>
              <w:ind w:right="78"/>
              <w:spacing w:after="0"/>
              <w:rPr>
                <w:sz w:val="20"/>
                <w:szCs w:val="20"/>
                <w:color w:val="auto"/>
              </w:rPr>
            </w:pPr>
            <w:r>
              <w:rPr>
                <w:rFonts w:ascii="Arial" w:cs="Arial" w:eastAsia="Arial" w:hAnsi="Arial"/>
                <w:sz w:val="16"/>
                <w:szCs w:val="16"/>
                <w:color w:val="auto"/>
              </w:rPr>
              <w:t>2,016,778</w:t>
            </w:r>
          </w:p>
        </w:tc>
        <w:tc>
          <w:tcPr>
            <w:tcW w:w="1080" w:type="dxa"/>
            <w:vAlign w:val="bottom"/>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rPr>
              <w:t>Juliet Tammenoms Bakker</w:t>
            </w:r>
            <w:r>
              <w:rPr>
                <w:rFonts w:ascii="Arial" w:cs="Arial" w:eastAsia="Arial" w:hAnsi="Arial"/>
                <w:sz w:val="10"/>
                <w:szCs w:val="10"/>
                <w:color w:val="auto"/>
              </w:rPr>
              <w:t>(8)</w:t>
            </w:r>
          </w:p>
        </w:tc>
        <w:tc>
          <w:tcPr>
            <w:tcW w:w="2720" w:type="dxa"/>
            <w:vAlign w:val="bottom"/>
          </w:tcPr>
          <w:p>
            <w:pPr>
              <w:jc w:val="right"/>
              <w:ind w:right="158"/>
              <w:spacing w:after="0"/>
              <w:rPr>
                <w:sz w:val="20"/>
                <w:szCs w:val="20"/>
                <w:color w:val="auto"/>
              </w:rPr>
            </w:pPr>
            <w:r>
              <w:rPr>
                <w:rFonts w:ascii="Arial" w:cs="Arial" w:eastAsia="Arial" w:hAnsi="Arial"/>
                <w:sz w:val="16"/>
                <w:szCs w:val="16"/>
                <w:color w:val="auto"/>
              </w:rPr>
              <w:t>1,891,738</w:t>
            </w:r>
          </w:p>
        </w:tc>
        <w:tc>
          <w:tcPr>
            <w:tcW w:w="2360" w:type="dxa"/>
            <w:vAlign w:val="bottom"/>
          </w:tcPr>
          <w:p>
            <w:pPr>
              <w:jc w:val="right"/>
              <w:spacing w:after="0"/>
              <w:rPr>
                <w:sz w:val="20"/>
                <w:szCs w:val="20"/>
                <w:color w:val="auto"/>
              </w:rPr>
            </w:pPr>
            <w:r>
              <w:rPr>
                <w:rFonts w:ascii="Arial" w:cs="Arial" w:eastAsia="Arial" w:hAnsi="Arial"/>
                <w:sz w:val="16"/>
                <w:szCs w:val="16"/>
                <w:color w:val="auto"/>
              </w:rPr>
              <w:t>9.85%</w:t>
            </w:r>
          </w:p>
        </w:tc>
        <w:tc>
          <w:tcPr>
            <w:tcW w:w="40" w:type="dxa"/>
            <w:vAlign w:val="bottom"/>
          </w:tcPr>
          <w:p>
            <w:pPr>
              <w:spacing w:after="0"/>
              <w:rPr>
                <w:sz w:val="17"/>
                <w:szCs w:val="17"/>
                <w:color w:val="auto"/>
              </w:rPr>
            </w:pPr>
          </w:p>
        </w:tc>
        <w:tc>
          <w:tcPr>
            <w:tcW w:w="1080" w:type="dxa"/>
            <w:vAlign w:val="bottom"/>
          </w:tcPr>
          <w:p>
            <w:pPr>
              <w:jc w:val="right"/>
              <w:ind w:right="78"/>
              <w:spacing w:after="0"/>
              <w:rPr>
                <w:sz w:val="20"/>
                <w:szCs w:val="20"/>
                <w:color w:val="auto"/>
              </w:rPr>
            </w:pPr>
            <w:r>
              <w:rPr>
                <w:rFonts w:ascii="Arial" w:cs="Arial" w:eastAsia="Arial" w:hAnsi="Arial"/>
                <w:sz w:val="16"/>
                <w:szCs w:val="16"/>
                <w:color w:val="auto"/>
              </w:rPr>
              <w:t>1,891,738</w:t>
            </w:r>
          </w:p>
        </w:tc>
        <w:tc>
          <w:tcPr>
            <w:tcW w:w="1080" w:type="dxa"/>
            <w:vAlign w:val="bottom"/>
          </w:tcPr>
          <w:p>
            <w:pPr>
              <w:jc w:val="right"/>
              <w:spacing w:after="0"/>
              <w:rPr>
                <w:sz w:val="20"/>
                <w:szCs w:val="20"/>
                <w:color w:val="auto"/>
              </w:rPr>
            </w:pPr>
            <w:r>
              <w:rPr>
                <w:rFonts w:ascii="Arial" w:cs="Arial" w:eastAsia="Arial" w:hAnsi="Arial"/>
                <w:sz w:val="16"/>
                <w:szCs w:val="16"/>
                <w:color w:val="auto"/>
              </w:rPr>
              <w:t>7.12%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rPr>
              <w:t>Richard M. Wolfen</w:t>
            </w:r>
            <w:r>
              <w:rPr>
                <w:rFonts w:ascii="Arial" w:cs="Arial" w:eastAsia="Arial" w:hAnsi="Arial"/>
                <w:sz w:val="10"/>
                <w:szCs w:val="10"/>
                <w:color w:val="auto"/>
              </w:rPr>
              <w:t>(9)</w:t>
            </w:r>
          </w:p>
        </w:tc>
        <w:tc>
          <w:tcPr>
            <w:tcW w:w="2720" w:type="dxa"/>
            <w:vAlign w:val="bottom"/>
          </w:tcPr>
          <w:p>
            <w:pPr>
              <w:jc w:val="right"/>
              <w:ind w:right="158"/>
              <w:spacing w:after="0"/>
              <w:rPr>
                <w:sz w:val="20"/>
                <w:szCs w:val="20"/>
                <w:color w:val="auto"/>
              </w:rPr>
            </w:pPr>
            <w:r>
              <w:rPr>
                <w:rFonts w:ascii="Arial" w:cs="Arial" w:eastAsia="Arial" w:hAnsi="Arial"/>
                <w:sz w:val="16"/>
                <w:szCs w:val="16"/>
                <w:color w:val="auto"/>
              </w:rPr>
              <w:t>1,840,244</w:t>
            </w:r>
          </w:p>
        </w:tc>
        <w:tc>
          <w:tcPr>
            <w:tcW w:w="2360" w:type="dxa"/>
            <w:vAlign w:val="bottom"/>
          </w:tcPr>
          <w:p>
            <w:pPr>
              <w:jc w:val="right"/>
              <w:spacing w:after="0"/>
              <w:rPr>
                <w:sz w:val="20"/>
                <w:szCs w:val="20"/>
                <w:color w:val="auto"/>
              </w:rPr>
            </w:pPr>
            <w:r>
              <w:rPr>
                <w:rFonts w:ascii="Arial" w:cs="Arial" w:eastAsia="Arial" w:hAnsi="Arial"/>
                <w:sz w:val="16"/>
                <w:szCs w:val="16"/>
                <w:color w:val="auto"/>
              </w:rPr>
              <w:t>9.58%</w:t>
            </w:r>
          </w:p>
        </w:tc>
        <w:tc>
          <w:tcPr>
            <w:tcW w:w="40" w:type="dxa"/>
            <w:vAlign w:val="bottom"/>
          </w:tcPr>
          <w:p>
            <w:pPr>
              <w:spacing w:after="0"/>
              <w:rPr>
                <w:sz w:val="17"/>
                <w:szCs w:val="17"/>
                <w:color w:val="auto"/>
              </w:rPr>
            </w:pPr>
          </w:p>
        </w:tc>
        <w:tc>
          <w:tcPr>
            <w:tcW w:w="1080" w:type="dxa"/>
            <w:vAlign w:val="bottom"/>
          </w:tcPr>
          <w:p>
            <w:pPr>
              <w:jc w:val="right"/>
              <w:ind w:right="78"/>
              <w:spacing w:after="0"/>
              <w:rPr>
                <w:sz w:val="20"/>
                <w:szCs w:val="20"/>
                <w:color w:val="auto"/>
              </w:rPr>
            </w:pPr>
            <w:r>
              <w:rPr>
                <w:rFonts w:ascii="Arial" w:cs="Arial" w:eastAsia="Arial" w:hAnsi="Arial"/>
                <w:sz w:val="16"/>
                <w:szCs w:val="16"/>
                <w:color w:val="auto"/>
              </w:rPr>
              <w:t>1,840,244</w:t>
            </w:r>
          </w:p>
        </w:tc>
        <w:tc>
          <w:tcPr>
            <w:tcW w:w="1080" w:type="dxa"/>
            <w:vAlign w:val="bottom"/>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rPr>
              <w:t>Bruce Robertson, Ph.D.</w:t>
            </w:r>
            <w:r>
              <w:rPr>
                <w:rFonts w:ascii="Arial" w:cs="Arial" w:eastAsia="Arial" w:hAnsi="Arial"/>
                <w:sz w:val="10"/>
                <w:szCs w:val="10"/>
                <w:color w:val="auto"/>
              </w:rPr>
              <w:t>(10)</w:t>
            </w:r>
          </w:p>
        </w:tc>
        <w:tc>
          <w:tcPr>
            <w:tcW w:w="2720" w:type="dxa"/>
            <w:vAlign w:val="bottom"/>
          </w:tcPr>
          <w:p>
            <w:pPr>
              <w:jc w:val="right"/>
              <w:ind w:right="158"/>
              <w:spacing w:after="0"/>
              <w:rPr>
                <w:sz w:val="20"/>
                <w:szCs w:val="20"/>
                <w:color w:val="auto"/>
              </w:rPr>
            </w:pPr>
            <w:r>
              <w:rPr>
                <w:rFonts w:ascii="Arial" w:cs="Arial" w:eastAsia="Arial" w:hAnsi="Arial"/>
                <w:sz w:val="16"/>
                <w:szCs w:val="16"/>
                <w:color w:val="auto"/>
              </w:rPr>
              <w:t>1,431,912</w:t>
            </w:r>
          </w:p>
        </w:tc>
        <w:tc>
          <w:tcPr>
            <w:tcW w:w="2360" w:type="dxa"/>
            <w:vAlign w:val="bottom"/>
          </w:tcPr>
          <w:p>
            <w:pPr>
              <w:jc w:val="right"/>
              <w:spacing w:after="0"/>
              <w:rPr>
                <w:sz w:val="20"/>
                <w:szCs w:val="20"/>
                <w:color w:val="auto"/>
              </w:rPr>
            </w:pPr>
            <w:r>
              <w:rPr>
                <w:rFonts w:ascii="Arial" w:cs="Arial" w:eastAsia="Arial" w:hAnsi="Arial"/>
                <w:sz w:val="16"/>
                <w:szCs w:val="16"/>
                <w:color w:val="auto"/>
              </w:rPr>
              <w:t>7.46%</w:t>
            </w:r>
          </w:p>
        </w:tc>
        <w:tc>
          <w:tcPr>
            <w:tcW w:w="40" w:type="dxa"/>
            <w:vAlign w:val="bottom"/>
          </w:tcPr>
          <w:p>
            <w:pPr>
              <w:spacing w:after="0"/>
              <w:rPr>
                <w:sz w:val="17"/>
                <w:szCs w:val="17"/>
                <w:color w:val="auto"/>
              </w:rPr>
            </w:pPr>
          </w:p>
        </w:tc>
        <w:tc>
          <w:tcPr>
            <w:tcW w:w="1080" w:type="dxa"/>
            <w:vAlign w:val="bottom"/>
          </w:tcPr>
          <w:p>
            <w:pPr>
              <w:jc w:val="right"/>
              <w:ind w:right="78"/>
              <w:spacing w:after="0"/>
              <w:rPr>
                <w:sz w:val="20"/>
                <w:szCs w:val="20"/>
                <w:color w:val="auto"/>
              </w:rPr>
            </w:pPr>
            <w:r>
              <w:rPr>
                <w:rFonts w:ascii="Arial" w:cs="Arial" w:eastAsia="Arial" w:hAnsi="Arial"/>
                <w:sz w:val="16"/>
                <w:szCs w:val="16"/>
                <w:color w:val="auto"/>
              </w:rPr>
              <w:t>1,431,912</w:t>
            </w:r>
          </w:p>
        </w:tc>
        <w:tc>
          <w:tcPr>
            <w:tcW w:w="1080" w:type="dxa"/>
            <w:vAlign w:val="bottom"/>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rPr>
              <w:t>Ron Kurtz, M.D.</w:t>
            </w:r>
            <w:r>
              <w:rPr>
                <w:rFonts w:ascii="Arial" w:cs="Arial" w:eastAsia="Arial" w:hAnsi="Arial"/>
                <w:sz w:val="10"/>
                <w:szCs w:val="10"/>
                <w:color w:val="auto"/>
              </w:rPr>
              <w:t>(11)</w:t>
            </w:r>
          </w:p>
        </w:tc>
        <w:tc>
          <w:tcPr>
            <w:tcW w:w="2720" w:type="dxa"/>
            <w:vAlign w:val="bottom"/>
          </w:tcPr>
          <w:p>
            <w:pPr>
              <w:jc w:val="right"/>
              <w:ind w:right="158"/>
              <w:spacing w:after="0"/>
              <w:rPr>
                <w:sz w:val="20"/>
                <w:szCs w:val="20"/>
                <w:color w:val="auto"/>
              </w:rPr>
            </w:pPr>
            <w:r>
              <w:rPr>
                <w:rFonts w:ascii="Arial" w:cs="Arial" w:eastAsia="Arial" w:hAnsi="Arial"/>
                <w:sz w:val="16"/>
                <w:szCs w:val="16"/>
                <w:color w:val="auto"/>
              </w:rPr>
              <w:t>821,420</w:t>
            </w:r>
          </w:p>
        </w:tc>
        <w:tc>
          <w:tcPr>
            <w:tcW w:w="2360" w:type="dxa"/>
            <w:vAlign w:val="bottom"/>
          </w:tcPr>
          <w:p>
            <w:pPr>
              <w:jc w:val="right"/>
              <w:spacing w:after="0"/>
              <w:rPr>
                <w:sz w:val="20"/>
                <w:szCs w:val="20"/>
                <w:color w:val="auto"/>
              </w:rPr>
            </w:pPr>
            <w:r>
              <w:rPr>
                <w:rFonts w:ascii="Arial" w:cs="Arial" w:eastAsia="Arial" w:hAnsi="Arial"/>
                <w:sz w:val="16"/>
                <w:szCs w:val="16"/>
                <w:color w:val="auto"/>
              </w:rPr>
              <w:t>4.27%</w:t>
            </w:r>
          </w:p>
        </w:tc>
        <w:tc>
          <w:tcPr>
            <w:tcW w:w="40" w:type="dxa"/>
            <w:vAlign w:val="bottom"/>
          </w:tcPr>
          <w:p>
            <w:pPr>
              <w:spacing w:after="0"/>
              <w:rPr>
                <w:sz w:val="17"/>
                <w:szCs w:val="17"/>
                <w:color w:val="auto"/>
              </w:rPr>
            </w:pPr>
          </w:p>
        </w:tc>
        <w:tc>
          <w:tcPr>
            <w:tcW w:w="1080" w:type="dxa"/>
            <w:vAlign w:val="bottom"/>
          </w:tcPr>
          <w:p>
            <w:pPr>
              <w:jc w:val="right"/>
              <w:ind w:right="78"/>
              <w:spacing w:after="0"/>
              <w:rPr>
                <w:sz w:val="20"/>
                <w:szCs w:val="20"/>
                <w:color w:val="auto"/>
              </w:rPr>
            </w:pPr>
            <w:r>
              <w:rPr>
                <w:rFonts w:ascii="Arial" w:cs="Arial" w:eastAsia="Arial" w:hAnsi="Arial"/>
                <w:sz w:val="16"/>
                <w:szCs w:val="16"/>
                <w:color w:val="auto"/>
              </w:rPr>
              <w:t>821,420</w:t>
            </w:r>
          </w:p>
        </w:tc>
        <w:tc>
          <w:tcPr>
            <w:tcW w:w="1080" w:type="dxa"/>
            <w:vAlign w:val="bottom"/>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rPr>
              <w:t>Daniel Schwartz</w:t>
            </w:r>
            <w:r>
              <w:rPr>
                <w:rFonts w:ascii="Arial" w:cs="Arial" w:eastAsia="Arial" w:hAnsi="Arial"/>
                <w:sz w:val="10"/>
                <w:szCs w:val="10"/>
                <w:color w:val="auto"/>
              </w:rPr>
              <w:t>(12)</w:t>
            </w:r>
          </w:p>
        </w:tc>
        <w:tc>
          <w:tcPr>
            <w:tcW w:w="2720" w:type="dxa"/>
            <w:vAlign w:val="bottom"/>
          </w:tcPr>
          <w:p>
            <w:pPr>
              <w:jc w:val="right"/>
              <w:ind w:right="158"/>
              <w:spacing w:after="0"/>
              <w:rPr>
                <w:sz w:val="20"/>
                <w:szCs w:val="20"/>
                <w:color w:val="auto"/>
              </w:rPr>
            </w:pPr>
            <w:r>
              <w:rPr>
                <w:rFonts w:ascii="Arial" w:cs="Arial" w:eastAsia="Arial" w:hAnsi="Arial"/>
                <w:sz w:val="16"/>
                <w:szCs w:val="16"/>
                <w:color w:val="auto"/>
              </w:rPr>
              <w:t>612,701</w:t>
            </w:r>
          </w:p>
        </w:tc>
        <w:tc>
          <w:tcPr>
            <w:tcW w:w="2360" w:type="dxa"/>
            <w:vAlign w:val="bottom"/>
          </w:tcPr>
          <w:p>
            <w:pPr>
              <w:jc w:val="right"/>
              <w:spacing w:after="0"/>
              <w:rPr>
                <w:sz w:val="20"/>
                <w:szCs w:val="20"/>
                <w:color w:val="auto"/>
              </w:rPr>
            </w:pPr>
            <w:r>
              <w:rPr>
                <w:rFonts w:ascii="Arial" w:cs="Arial" w:eastAsia="Arial" w:hAnsi="Arial"/>
                <w:sz w:val="16"/>
                <w:szCs w:val="16"/>
                <w:color w:val="auto"/>
              </w:rPr>
              <w:t>3.16%</w:t>
            </w:r>
          </w:p>
        </w:tc>
        <w:tc>
          <w:tcPr>
            <w:tcW w:w="40" w:type="dxa"/>
            <w:vAlign w:val="bottom"/>
          </w:tcPr>
          <w:p>
            <w:pPr>
              <w:spacing w:after="0"/>
              <w:rPr>
                <w:sz w:val="17"/>
                <w:szCs w:val="17"/>
                <w:color w:val="auto"/>
              </w:rPr>
            </w:pPr>
          </w:p>
        </w:tc>
        <w:tc>
          <w:tcPr>
            <w:tcW w:w="1080" w:type="dxa"/>
            <w:vAlign w:val="bottom"/>
          </w:tcPr>
          <w:p>
            <w:pPr>
              <w:jc w:val="right"/>
              <w:ind w:right="78"/>
              <w:spacing w:after="0"/>
              <w:rPr>
                <w:sz w:val="20"/>
                <w:szCs w:val="20"/>
                <w:color w:val="auto"/>
              </w:rPr>
            </w:pPr>
            <w:r>
              <w:rPr>
                <w:rFonts w:ascii="Arial" w:cs="Arial" w:eastAsia="Arial" w:hAnsi="Arial"/>
                <w:sz w:val="16"/>
                <w:szCs w:val="16"/>
                <w:color w:val="auto"/>
              </w:rPr>
              <w:t>612,701</w:t>
            </w:r>
          </w:p>
        </w:tc>
        <w:tc>
          <w:tcPr>
            <w:tcW w:w="108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rPr>
              <w:t>Eric Weinberg</w:t>
            </w:r>
            <w:r>
              <w:rPr>
                <w:rFonts w:ascii="Arial" w:cs="Arial" w:eastAsia="Arial" w:hAnsi="Arial"/>
                <w:sz w:val="10"/>
                <w:szCs w:val="10"/>
                <w:color w:val="auto"/>
              </w:rPr>
              <w:t>(13)</w:t>
            </w:r>
          </w:p>
        </w:tc>
        <w:tc>
          <w:tcPr>
            <w:tcW w:w="2720" w:type="dxa"/>
            <w:vAlign w:val="bottom"/>
          </w:tcPr>
          <w:p>
            <w:pPr>
              <w:jc w:val="right"/>
              <w:ind w:right="158"/>
              <w:spacing w:after="0"/>
              <w:rPr>
                <w:sz w:val="20"/>
                <w:szCs w:val="20"/>
                <w:color w:val="auto"/>
              </w:rPr>
            </w:pPr>
            <w:r>
              <w:rPr>
                <w:rFonts w:ascii="Arial" w:cs="Arial" w:eastAsia="Arial" w:hAnsi="Arial"/>
                <w:sz w:val="16"/>
                <w:szCs w:val="16"/>
                <w:color w:val="auto"/>
              </w:rPr>
              <w:t>590,697</w:t>
            </w:r>
          </w:p>
        </w:tc>
        <w:tc>
          <w:tcPr>
            <w:tcW w:w="2360" w:type="dxa"/>
            <w:vAlign w:val="bottom"/>
          </w:tcPr>
          <w:p>
            <w:pPr>
              <w:jc w:val="right"/>
              <w:spacing w:after="0"/>
              <w:rPr>
                <w:sz w:val="20"/>
                <w:szCs w:val="20"/>
                <w:color w:val="auto"/>
              </w:rPr>
            </w:pPr>
            <w:r>
              <w:rPr>
                <w:rFonts w:ascii="Arial" w:cs="Arial" w:eastAsia="Arial" w:hAnsi="Arial"/>
                <w:sz w:val="16"/>
                <w:szCs w:val="16"/>
                <w:color w:val="auto"/>
              </w:rPr>
              <w:t>3.03%</w:t>
            </w:r>
          </w:p>
        </w:tc>
        <w:tc>
          <w:tcPr>
            <w:tcW w:w="40" w:type="dxa"/>
            <w:vAlign w:val="bottom"/>
          </w:tcPr>
          <w:p>
            <w:pPr>
              <w:spacing w:after="0"/>
              <w:rPr>
                <w:sz w:val="17"/>
                <w:szCs w:val="17"/>
                <w:color w:val="auto"/>
              </w:rPr>
            </w:pPr>
          </w:p>
        </w:tc>
        <w:tc>
          <w:tcPr>
            <w:tcW w:w="1080" w:type="dxa"/>
            <w:vAlign w:val="bottom"/>
          </w:tcPr>
          <w:p>
            <w:pPr>
              <w:jc w:val="right"/>
              <w:ind w:right="78"/>
              <w:spacing w:after="0"/>
              <w:rPr>
                <w:sz w:val="20"/>
                <w:szCs w:val="20"/>
                <w:color w:val="auto"/>
              </w:rPr>
            </w:pPr>
            <w:r>
              <w:rPr>
                <w:rFonts w:ascii="Arial" w:cs="Arial" w:eastAsia="Arial" w:hAnsi="Arial"/>
                <w:sz w:val="16"/>
                <w:szCs w:val="16"/>
                <w:color w:val="auto"/>
              </w:rPr>
              <w:t>590,697</w:t>
            </w:r>
          </w:p>
        </w:tc>
        <w:tc>
          <w:tcPr>
            <w:tcW w:w="108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rPr>
              <w:t>J. Andy Corley</w:t>
            </w:r>
            <w:r>
              <w:rPr>
                <w:rFonts w:ascii="Arial" w:cs="Arial" w:eastAsia="Arial" w:hAnsi="Arial"/>
                <w:sz w:val="10"/>
                <w:szCs w:val="10"/>
                <w:color w:val="auto"/>
              </w:rPr>
              <w:t>(14)</w:t>
            </w:r>
          </w:p>
        </w:tc>
        <w:tc>
          <w:tcPr>
            <w:tcW w:w="2720" w:type="dxa"/>
            <w:vAlign w:val="bottom"/>
          </w:tcPr>
          <w:p>
            <w:pPr>
              <w:jc w:val="right"/>
              <w:ind w:right="158"/>
              <w:spacing w:after="0"/>
              <w:rPr>
                <w:sz w:val="20"/>
                <w:szCs w:val="20"/>
                <w:color w:val="auto"/>
              </w:rPr>
            </w:pPr>
            <w:r>
              <w:rPr>
                <w:rFonts w:ascii="Arial" w:cs="Arial" w:eastAsia="Arial" w:hAnsi="Arial"/>
                <w:sz w:val="16"/>
                <w:szCs w:val="16"/>
                <w:color w:val="auto"/>
              </w:rPr>
              <w:t>378,243</w:t>
            </w:r>
          </w:p>
        </w:tc>
        <w:tc>
          <w:tcPr>
            <w:tcW w:w="2360" w:type="dxa"/>
            <w:vAlign w:val="bottom"/>
          </w:tcPr>
          <w:p>
            <w:pPr>
              <w:jc w:val="right"/>
              <w:spacing w:after="0"/>
              <w:rPr>
                <w:sz w:val="20"/>
                <w:szCs w:val="20"/>
                <w:color w:val="auto"/>
              </w:rPr>
            </w:pPr>
            <w:r>
              <w:rPr>
                <w:rFonts w:ascii="Arial" w:cs="Arial" w:eastAsia="Arial" w:hAnsi="Arial"/>
                <w:sz w:val="16"/>
                <w:szCs w:val="16"/>
                <w:color w:val="auto"/>
              </w:rPr>
              <w:t>1.97%</w:t>
            </w:r>
          </w:p>
        </w:tc>
        <w:tc>
          <w:tcPr>
            <w:tcW w:w="40" w:type="dxa"/>
            <w:vAlign w:val="bottom"/>
          </w:tcPr>
          <w:p>
            <w:pPr>
              <w:spacing w:after="0"/>
              <w:rPr>
                <w:sz w:val="17"/>
                <w:szCs w:val="17"/>
                <w:color w:val="auto"/>
              </w:rPr>
            </w:pPr>
          </w:p>
        </w:tc>
        <w:tc>
          <w:tcPr>
            <w:tcW w:w="1080" w:type="dxa"/>
            <w:vAlign w:val="bottom"/>
          </w:tcPr>
          <w:p>
            <w:pPr>
              <w:jc w:val="right"/>
              <w:ind w:right="78"/>
              <w:spacing w:after="0"/>
              <w:rPr>
                <w:sz w:val="20"/>
                <w:szCs w:val="20"/>
                <w:color w:val="auto"/>
              </w:rPr>
            </w:pPr>
            <w:r>
              <w:rPr>
                <w:rFonts w:ascii="Arial" w:cs="Arial" w:eastAsia="Arial" w:hAnsi="Arial"/>
                <w:sz w:val="16"/>
                <w:szCs w:val="16"/>
                <w:color w:val="auto"/>
              </w:rPr>
              <w:t>378,243</w:t>
            </w:r>
          </w:p>
        </w:tc>
        <w:tc>
          <w:tcPr>
            <w:tcW w:w="108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rPr>
              <w:t>Ilya Goldshleger</w:t>
            </w:r>
            <w:r>
              <w:rPr>
                <w:rFonts w:ascii="Arial" w:cs="Arial" w:eastAsia="Arial" w:hAnsi="Arial"/>
                <w:sz w:val="10"/>
                <w:szCs w:val="10"/>
                <w:color w:val="auto"/>
              </w:rPr>
              <w:t>(15)</w:t>
            </w:r>
          </w:p>
        </w:tc>
        <w:tc>
          <w:tcPr>
            <w:tcW w:w="2720" w:type="dxa"/>
            <w:vAlign w:val="bottom"/>
          </w:tcPr>
          <w:p>
            <w:pPr>
              <w:jc w:val="right"/>
              <w:ind w:right="158"/>
              <w:spacing w:after="0"/>
              <w:rPr>
                <w:sz w:val="20"/>
                <w:szCs w:val="20"/>
                <w:color w:val="auto"/>
              </w:rPr>
            </w:pPr>
            <w:r>
              <w:rPr>
                <w:rFonts w:ascii="Arial" w:cs="Arial" w:eastAsia="Arial" w:hAnsi="Arial"/>
                <w:sz w:val="16"/>
                <w:szCs w:val="16"/>
                <w:color w:val="auto"/>
              </w:rPr>
              <w:t>204,127</w:t>
            </w:r>
          </w:p>
        </w:tc>
        <w:tc>
          <w:tcPr>
            <w:tcW w:w="2360" w:type="dxa"/>
            <w:vAlign w:val="bottom"/>
          </w:tcPr>
          <w:p>
            <w:pPr>
              <w:jc w:val="right"/>
              <w:spacing w:after="0"/>
              <w:rPr>
                <w:sz w:val="20"/>
                <w:szCs w:val="20"/>
                <w:color w:val="auto"/>
              </w:rPr>
            </w:pPr>
            <w:r>
              <w:rPr>
                <w:rFonts w:ascii="Arial" w:cs="Arial" w:eastAsia="Arial" w:hAnsi="Arial"/>
                <w:sz w:val="16"/>
                <w:szCs w:val="16"/>
                <w:color w:val="auto"/>
              </w:rPr>
              <w:t>1.05%</w:t>
            </w:r>
          </w:p>
        </w:tc>
        <w:tc>
          <w:tcPr>
            <w:tcW w:w="40" w:type="dxa"/>
            <w:vAlign w:val="bottom"/>
          </w:tcPr>
          <w:p>
            <w:pPr>
              <w:spacing w:after="0"/>
              <w:rPr>
                <w:sz w:val="17"/>
                <w:szCs w:val="17"/>
                <w:color w:val="auto"/>
              </w:rPr>
            </w:pPr>
          </w:p>
        </w:tc>
        <w:tc>
          <w:tcPr>
            <w:tcW w:w="1080" w:type="dxa"/>
            <w:vAlign w:val="bottom"/>
          </w:tcPr>
          <w:p>
            <w:pPr>
              <w:jc w:val="right"/>
              <w:ind w:right="78"/>
              <w:spacing w:after="0"/>
              <w:rPr>
                <w:sz w:val="20"/>
                <w:szCs w:val="20"/>
                <w:color w:val="auto"/>
              </w:rPr>
            </w:pPr>
            <w:r>
              <w:rPr>
                <w:rFonts w:ascii="Arial" w:cs="Arial" w:eastAsia="Arial" w:hAnsi="Arial"/>
                <w:sz w:val="16"/>
                <w:szCs w:val="16"/>
                <w:color w:val="auto"/>
              </w:rPr>
              <w:t>204,127</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rPr>
              <w:t>Shelley Thunen</w:t>
            </w:r>
            <w:r>
              <w:rPr>
                <w:rFonts w:ascii="Arial" w:cs="Arial" w:eastAsia="Arial" w:hAnsi="Arial"/>
                <w:sz w:val="10"/>
                <w:szCs w:val="10"/>
                <w:color w:val="auto"/>
              </w:rPr>
              <w:t>(16)</w:t>
            </w:r>
          </w:p>
        </w:tc>
        <w:tc>
          <w:tcPr>
            <w:tcW w:w="2720" w:type="dxa"/>
            <w:vAlign w:val="bottom"/>
          </w:tcPr>
          <w:p>
            <w:pPr>
              <w:jc w:val="right"/>
              <w:ind w:right="158"/>
              <w:spacing w:after="0"/>
              <w:rPr>
                <w:sz w:val="20"/>
                <w:szCs w:val="20"/>
                <w:color w:val="auto"/>
              </w:rPr>
            </w:pPr>
            <w:r>
              <w:rPr>
                <w:rFonts w:ascii="Arial" w:cs="Arial" w:eastAsia="Arial" w:hAnsi="Arial"/>
                <w:sz w:val="16"/>
                <w:szCs w:val="16"/>
                <w:color w:val="auto"/>
              </w:rPr>
              <w:t>121,507</w:t>
            </w:r>
          </w:p>
        </w:tc>
        <w:tc>
          <w:tcPr>
            <w:tcW w:w="23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80" w:type="dxa"/>
            <w:vAlign w:val="bottom"/>
          </w:tcPr>
          <w:p>
            <w:pPr>
              <w:jc w:val="right"/>
              <w:ind w:right="78"/>
              <w:spacing w:after="0"/>
              <w:rPr>
                <w:sz w:val="20"/>
                <w:szCs w:val="20"/>
                <w:color w:val="auto"/>
              </w:rPr>
            </w:pPr>
            <w:r>
              <w:rPr>
                <w:rFonts w:ascii="Arial" w:cs="Arial" w:eastAsia="Arial" w:hAnsi="Arial"/>
                <w:sz w:val="16"/>
                <w:szCs w:val="16"/>
                <w:color w:val="auto"/>
              </w:rPr>
              <w:t>121,507</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rPr>
              <w:t>Christopher Cox</w:t>
            </w:r>
            <w:r>
              <w:rPr>
                <w:rFonts w:ascii="Arial" w:cs="Arial" w:eastAsia="Arial" w:hAnsi="Arial"/>
                <w:sz w:val="10"/>
                <w:szCs w:val="10"/>
                <w:color w:val="auto"/>
              </w:rPr>
              <w:t>(17)</w:t>
            </w:r>
          </w:p>
        </w:tc>
        <w:tc>
          <w:tcPr>
            <w:tcW w:w="2720" w:type="dxa"/>
            <w:vAlign w:val="bottom"/>
          </w:tcPr>
          <w:p>
            <w:pPr>
              <w:jc w:val="right"/>
              <w:ind w:right="158"/>
              <w:spacing w:after="0"/>
              <w:rPr>
                <w:sz w:val="20"/>
                <w:szCs w:val="20"/>
                <w:color w:val="auto"/>
              </w:rPr>
            </w:pPr>
            <w:r>
              <w:rPr>
                <w:rFonts w:ascii="Arial" w:cs="Arial" w:eastAsia="Arial" w:hAnsi="Arial"/>
                <w:sz w:val="16"/>
                <w:szCs w:val="16"/>
                <w:color w:val="auto"/>
              </w:rPr>
              <w:t>60,864</w:t>
            </w:r>
          </w:p>
        </w:tc>
        <w:tc>
          <w:tcPr>
            <w:tcW w:w="23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80" w:type="dxa"/>
            <w:vAlign w:val="bottom"/>
          </w:tcPr>
          <w:p>
            <w:pPr>
              <w:jc w:val="right"/>
              <w:ind w:right="78"/>
              <w:spacing w:after="0"/>
              <w:rPr>
                <w:sz w:val="20"/>
                <w:szCs w:val="20"/>
                <w:color w:val="auto"/>
              </w:rPr>
            </w:pPr>
            <w:r>
              <w:rPr>
                <w:rFonts w:ascii="Arial" w:cs="Arial" w:eastAsia="Arial" w:hAnsi="Arial"/>
                <w:sz w:val="16"/>
                <w:szCs w:val="16"/>
                <w:color w:val="auto"/>
              </w:rPr>
              <w:t>60,864</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rPr>
              <w:t>Robert Warner</w:t>
            </w:r>
            <w:r>
              <w:rPr>
                <w:rFonts w:ascii="Arial" w:cs="Arial" w:eastAsia="Arial" w:hAnsi="Arial"/>
                <w:sz w:val="10"/>
                <w:szCs w:val="10"/>
                <w:color w:val="auto"/>
              </w:rPr>
              <w:t>(18)</w:t>
            </w:r>
          </w:p>
        </w:tc>
        <w:tc>
          <w:tcPr>
            <w:tcW w:w="2720" w:type="dxa"/>
            <w:vAlign w:val="bottom"/>
          </w:tcPr>
          <w:p>
            <w:pPr>
              <w:jc w:val="right"/>
              <w:ind w:right="158"/>
              <w:spacing w:after="0"/>
              <w:rPr>
                <w:sz w:val="20"/>
                <w:szCs w:val="20"/>
                <w:color w:val="auto"/>
              </w:rPr>
            </w:pPr>
            <w:r>
              <w:rPr>
                <w:rFonts w:ascii="Arial" w:cs="Arial" w:eastAsia="Arial" w:hAnsi="Arial"/>
                <w:sz w:val="16"/>
                <w:szCs w:val="16"/>
                <w:color w:val="auto"/>
              </w:rPr>
              <w:t>—</w:t>
            </w:r>
          </w:p>
        </w:tc>
        <w:tc>
          <w:tcPr>
            <w:tcW w:w="2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rPr>
              <w:t>Julie B. Andrews</w:t>
            </w:r>
            <w:r>
              <w:rPr>
                <w:rFonts w:ascii="Arial" w:cs="Arial" w:eastAsia="Arial" w:hAnsi="Arial"/>
                <w:sz w:val="10"/>
                <w:szCs w:val="10"/>
                <w:color w:val="auto"/>
              </w:rPr>
              <w:t>(19)</w:t>
            </w:r>
          </w:p>
        </w:tc>
        <w:tc>
          <w:tcPr>
            <w:tcW w:w="2720" w:type="dxa"/>
            <w:vAlign w:val="bottom"/>
          </w:tcPr>
          <w:p>
            <w:pPr>
              <w:jc w:val="right"/>
              <w:ind w:right="158"/>
              <w:spacing w:after="0"/>
              <w:rPr>
                <w:sz w:val="20"/>
                <w:szCs w:val="20"/>
                <w:color w:val="auto"/>
              </w:rPr>
            </w:pPr>
            <w:r>
              <w:rPr>
                <w:rFonts w:ascii="Arial" w:cs="Arial" w:eastAsia="Arial" w:hAnsi="Arial"/>
                <w:sz w:val="16"/>
                <w:szCs w:val="16"/>
                <w:color w:val="auto"/>
              </w:rPr>
              <w:t>—</w:t>
            </w:r>
          </w:p>
        </w:tc>
        <w:tc>
          <w:tcPr>
            <w:tcW w:w="2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6"/>
                <w:szCs w:val="16"/>
                <w:color w:val="auto"/>
              </w:rPr>
              <w:t>Robert J. Palmisano</w:t>
            </w:r>
            <w:r>
              <w:rPr>
                <w:rFonts w:ascii="Arial" w:cs="Arial" w:eastAsia="Arial" w:hAnsi="Arial"/>
                <w:sz w:val="10"/>
                <w:szCs w:val="10"/>
                <w:color w:val="auto"/>
              </w:rPr>
              <w:t>(20)</w:t>
            </w:r>
          </w:p>
        </w:tc>
        <w:tc>
          <w:tcPr>
            <w:tcW w:w="2720" w:type="dxa"/>
            <w:vAlign w:val="bottom"/>
          </w:tcPr>
          <w:p>
            <w:pPr>
              <w:jc w:val="right"/>
              <w:ind w:right="158"/>
              <w:spacing w:after="0"/>
              <w:rPr>
                <w:sz w:val="20"/>
                <w:szCs w:val="20"/>
                <w:color w:val="auto"/>
              </w:rPr>
            </w:pPr>
            <w:r>
              <w:rPr>
                <w:rFonts w:ascii="Arial" w:cs="Arial" w:eastAsia="Arial" w:hAnsi="Arial"/>
                <w:sz w:val="16"/>
                <w:szCs w:val="16"/>
                <w:color w:val="auto"/>
              </w:rPr>
              <w:t>—</w:t>
            </w:r>
          </w:p>
        </w:tc>
        <w:tc>
          <w:tcPr>
            <w:tcW w:w="2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960" w:type="dxa"/>
            <w:vAlign w:val="bottom"/>
          </w:tcPr>
          <w:p>
            <w:pPr>
              <w:spacing w:after="0"/>
              <w:rPr>
                <w:sz w:val="20"/>
                <w:szCs w:val="20"/>
                <w:color w:val="auto"/>
              </w:rPr>
            </w:pPr>
            <w:r>
              <w:rPr>
                <w:rFonts w:ascii="Arial" w:cs="Arial" w:eastAsia="Arial" w:hAnsi="Arial"/>
                <w:sz w:val="16"/>
                <w:szCs w:val="16"/>
                <w:b w:val="1"/>
                <w:bCs w:val="1"/>
                <w:color w:val="auto"/>
              </w:rPr>
              <w:t>All executive officers and directors</w:t>
            </w:r>
          </w:p>
        </w:tc>
        <w:tc>
          <w:tcPr>
            <w:tcW w:w="27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296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as a group (14 persons)</w:t>
            </w:r>
            <w:r>
              <w:rPr>
                <w:rFonts w:ascii="Arial" w:cs="Arial" w:eastAsia="Arial" w:hAnsi="Arial"/>
                <w:sz w:val="10"/>
                <w:szCs w:val="10"/>
                <w:b w:val="1"/>
                <w:bCs w:val="1"/>
                <w:color w:val="auto"/>
              </w:rPr>
              <w:t>(21)</w:t>
            </w:r>
          </w:p>
        </w:tc>
        <w:tc>
          <w:tcPr>
            <w:tcW w:w="272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9,970,231</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49.74%</w:t>
            </w:r>
          </w:p>
        </w:tc>
        <w:tc>
          <w:tcPr>
            <w:tcW w:w="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9,970,231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760" w:hanging="309"/>
        <w:spacing w:after="0"/>
        <w:tabs>
          <w:tab w:leader="none" w:pos="76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Represents beneficial ownership of less than one percent (1%) of the outstanding shares of our common stock.</w:t>
      </w:r>
    </w:p>
    <w:p>
      <w:pPr>
        <w:spacing w:after="0" w:line="19" w:lineRule="exact"/>
        <w:rPr>
          <w:sz w:val="20"/>
          <w:szCs w:val="20"/>
          <w:color w:val="auto"/>
        </w:rPr>
      </w:pPr>
    </w:p>
    <w:p>
      <w:pPr>
        <w:ind w:left="760" w:right="20" w:hanging="309"/>
        <w:spacing w:after="0" w:line="185" w:lineRule="auto"/>
        <w:tabs>
          <w:tab w:leader="none" w:pos="760" w:val="left"/>
        </w:tabs>
        <w:numPr>
          <w:ilvl w:val="0"/>
          <w:numId w:val="125"/>
        </w:numPr>
        <w:rPr>
          <w:rFonts w:ascii="Arial" w:cs="Arial" w:eastAsia="Arial" w:hAnsi="Arial"/>
          <w:sz w:val="21"/>
          <w:szCs w:val="21"/>
          <w:color w:val="auto"/>
          <w:vertAlign w:val="superscript"/>
        </w:rPr>
      </w:pPr>
      <w:r>
        <w:rPr>
          <w:rFonts w:ascii="Arial" w:cs="Arial" w:eastAsia="Arial" w:hAnsi="Arial"/>
          <w:sz w:val="13"/>
          <w:szCs w:val="13"/>
          <w:color w:val="auto"/>
        </w:rPr>
        <w:t>Consists of 2,016,778 shares of Series H Preferred Stock held by RxSight I, LLC. William J. Link is a managing member of RxSight I, LLC and may be deemed to share voting and investment power over the securities held by RxSight I, LLC. William disclaims beneficial ownership of such shares except to the extent of his respective pecuniary interests therein. The address of RxSight I, LLC is 11 Linda Isle, Newport Beach, CA 92660.</w:t>
      </w:r>
    </w:p>
    <w:p>
      <w:pPr>
        <w:spacing w:after="0" w:line="1" w:lineRule="exact"/>
        <w:rPr>
          <w:rFonts w:ascii="Arial" w:cs="Arial" w:eastAsia="Arial" w:hAnsi="Arial"/>
          <w:sz w:val="21"/>
          <w:szCs w:val="21"/>
          <w:color w:val="auto"/>
          <w:vertAlign w:val="superscript"/>
        </w:rPr>
      </w:pPr>
    </w:p>
    <w:p>
      <w:pPr>
        <w:ind w:left="760" w:right="160" w:hanging="309"/>
        <w:spacing w:after="0" w:line="199" w:lineRule="auto"/>
        <w:tabs>
          <w:tab w:leader="none" w:pos="760" w:val="left"/>
        </w:tabs>
        <w:numPr>
          <w:ilvl w:val="0"/>
          <w:numId w:val="125"/>
        </w:numPr>
        <w:rPr>
          <w:rFonts w:ascii="Arial" w:cs="Arial" w:eastAsia="Arial" w:hAnsi="Arial"/>
          <w:sz w:val="21"/>
          <w:szCs w:val="21"/>
          <w:color w:val="auto"/>
          <w:vertAlign w:val="superscript"/>
        </w:rPr>
      </w:pPr>
      <w:r>
        <w:rPr>
          <w:rFonts w:ascii="Arial" w:cs="Arial" w:eastAsia="Arial" w:hAnsi="Arial"/>
          <w:sz w:val="13"/>
          <w:szCs w:val="13"/>
          <w:color w:val="auto"/>
        </w:rPr>
        <w:t>Consists of 1,613,423 shares of Series G Preferred Stock and 242,013 shares of Series H Preferred Stock, and 36,302 warrants for shares of Series H Preferred Stock held by Longitude Venture Partners II, L.P. (“LVP II”). Longitude Capital Partners II, LLC (“LCP II”) is the general partner of LVP II and may be deemed to have voting and investment power over the securities held by LVP II Patrick G. Enright and Juliet Tammenoms Bakker are managing members of LCP II and may be deemed to share voting and investment power over the securities held by LVP II, LCP II and each of Mr. Enright and Ms. Tammenoms Bakker disclaim beneficial ownership of such shares except to the extent of their respective pecuniary interests therein. The address of LVP II is 2740 Sand Hill Road, 2nd Floor, Menlo Park, CA 94025.</w:t>
      </w:r>
    </w:p>
    <w:p>
      <w:pPr>
        <w:spacing w:after="0" w:line="1" w:lineRule="exact"/>
        <w:rPr>
          <w:rFonts w:ascii="Arial" w:cs="Arial" w:eastAsia="Arial" w:hAnsi="Arial"/>
          <w:sz w:val="21"/>
          <w:szCs w:val="21"/>
          <w:color w:val="auto"/>
          <w:vertAlign w:val="superscript"/>
        </w:rPr>
      </w:pPr>
    </w:p>
    <w:p>
      <w:pPr>
        <w:ind w:left="760" w:right="40" w:hanging="309"/>
        <w:spacing w:after="0" w:line="235" w:lineRule="auto"/>
        <w:tabs>
          <w:tab w:leader="none" w:pos="760" w:val="left"/>
        </w:tabs>
        <w:numPr>
          <w:ilvl w:val="0"/>
          <w:numId w:val="125"/>
        </w:numPr>
        <w:rPr>
          <w:rFonts w:ascii="Arial" w:cs="Arial" w:eastAsia="Arial" w:hAnsi="Arial"/>
          <w:sz w:val="20"/>
          <w:szCs w:val="20"/>
          <w:color w:val="auto"/>
          <w:vertAlign w:val="superscript"/>
        </w:rPr>
      </w:pPr>
      <w:r>
        <w:rPr>
          <w:rFonts w:ascii="Arial" w:cs="Arial" w:eastAsia="Arial" w:hAnsi="Arial"/>
          <w:sz w:val="12"/>
          <w:szCs w:val="12"/>
          <w:color w:val="auto"/>
        </w:rPr>
        <w:t>Consists of (i) 233,547 shares of Common Stock, 11,714 shares of Series A Preferred Stock, 181,790 shares of Series B Preferred Stock, 382,217 shares of Series C Preferred Stock (391,807 shares of Common Stock on an as converted basis), 11,491 shares of Series D Preferred Stock (13,382 shares of Common Stock on an as converted basis), 6,050 shares of Series E Preferred Stock (7,359 shares of Common Stock on an as converted basis), 116,166 shares of Series F Preferred Stock (176,628 shares of Common Stock on an as converted basis), 245,930 shares of the Series G Preferred Stock, and 92,771 shares of the Series H Preferred Stock held by Werner F. Wolfen &amp; Mary G. Wolfen, Trustees of the Wolfen Revocable Trust date 7/22/02; (ii) 38,722 shares of Common Stock and 98,303 shares of Series G Preferred Stock held by Werner F. Wolfen and Mary G. Wolfen, Trustees of the Wolfen Family Foundation; (iii) 1,196 shares of Common Stock, 2,800 shares of Series A Preferred Stock, 2,017 shares of Series B Preferred Stock, 9,680 shares of Series D Preferred Stock (11,274 shares of Common Stock on an as converted basis), 4,840 shares of Series E Preferred Stock (5,887 shares of Common Stock on an as converted basis), 42,552 shares of Series G Preferred Stock, and 9,680 shares of Series H Preferred Stock, and 1,452 warrants for shares of Series H Preferred Stock held by Richard M. Wolfen; (iv) 25,441 shares of Series B Preferred Stock, 9,679 shares of Series D Preferred Stock (11,271 shares of Common Stock on an as converted basis), and 13,518 shares of Series F Preferred Stock (20,553 shares of Common Stock on an as converted basis) held by W&amp;M Wolfen Receptacle Trust; (v) 5,512 shares of Series B Preferred Stock, 5,531 shares of Series C Preferred Stock (5,669 shares of Common Stock on an as converted basis), 6,914 shares of Series D Preferred Stock (8,052 shares of Common Stock on an as converted basis), 6,050 shares of Series E Preferred Stock (7,359 shares of Common Stock on an as converted basis), 6,497 shares of Series G Preferred Stock, and 23,192 shares of Series H Preferred Stock held by Lawrence P. Wolfen Testamentary Trust; (vi) 5,512 shares of Series B Preferred Stock, 5,531 shares of Series C Preferred Stock (5,669 shares of Common Stock on an as converted basis), 6,914 shares of Series D Preferred Stock (8,052 shares of Common Stock on an as converted basis), 6,050 shares of Series E Preferred Stock (7,359 shares of Common Stock on an as converted basis), 6,497 shares of Series G Preferred Stock, and 23,192 shares of Series H Preferred Stock held by Cynthia R. Scott Trust dated 7/1/2008; (vii) 5,531 shares of Series C Preferred Stock (5,669 shares of Common Stock on an as converted basis) and 18,554 shares of Series H Preferred Stock held by James A Wolfen 2008 Trust dated 5/19/2008; (viii) 5,798 shares of Series B Preferred Stock and 7,421 shares of Series F Preferred Stock (11,283 shares of Common Stock on an as converted basis) held by Mary G. Wolfen 2020 Annuity Trust RxSight; (ix) 5,798 shares of</w:t>
      </w:r>
    </w:p>
    <w:p>
      <w:pPr>
        <w:spacing w:after="0" w:line="131"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193</w:t>
      </w:r>
    </w:p>
    <w:p>
      <w:pPr>
        <w:sectPr>
          <w:pgSz w:w="11900" w:h="16838" w:orient="portrait"/>
          <w:cols w:equalWidth="0" w:num="1">
            <w:col w:w="10800"/>
          </w:cols>
          <w:pgMar w:left="320" w:top="440" w:right="77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760"/>
        <w:spacing w:after="0" w:line="220" w:lineRule="auto"/>
        <w:rPr>
          <w:sz w:val="20"/>
          <w:szCs w:val="20"/>
          <w:color w:val="auto"/>
        </w:rPr>
      </w:pPr>
      <w:r>
        <w:rPr>
          <w:rFonts w:ascii="Arial" w:cs="Arial" w:eastAsia="Arial" w:hAnsi="Arial"/>
          <w:sz w:val="13"/>
          <w:szCs w:val="13"/>
          <w:color w:val="auto"/>
        </w:rPr>
        <w:t>Series B Preferred Stock and 7,421 shares of Series F Preferred Stock (11,283 shares of Common Stock on an as converted basis) held by Werner F. Wolfen 2020 Annuity Trust RxSight; (x) 7,499 shares of Series B Preferred Stock and 4,650 shares of Series D Preferred Stock (5,414 shares of Common Stock on an as converted basis) held by R&amp;K Wolfen Receptacle Trust; (xi) 1,684 shares of Series B Preferred Stock and 10,360 shares of Series F Preferred Stock (15,752 shares of Common Stock on an as converted basis) held by Mary G. Wolfen; (xii) 3,510 shares of Series B Preferred Stock and 1,386 shares of Series D Preferred Stock (1,614 shares of Common Stock on an as converted basis) held by Karen Africk Wolfen 2020 Annuity Trust RxSight; (xiii) 3,510 shares of Series B Preferred Stock and 1,386 shares of Series D Preferred Stock (1,614 shares of Common Stock on an as converted basis) held by Richard M. Wolfen 2020 Annuity Trust RxSight; (xiv) 1,127 shares of Series D Preferred Stock held (1,312 shares of Common Stock on an as converted basis) by Karen Africk Wolfen; and (xv) 1,127 shares of Series D Preferred Stock (1,312 shares of Common Stock on an as converted basis) held by Richard M. Wolfen. The address of all “Wolfen Entities” is 919 North Roxbury Drive, Beverly Hills, CA 90210.</w:t>
      </w:r>
    </w:p>
    <w:p>
      <w:pPr>
        <w:spacing w:after="0" w:line="19" w:lineRule="exact"/>
        <w:rPr>
          <w:sz w:val="20"/>
          <w:szCs w:val="20"/>
          <w:color w:val="auto"/>
        </w:rPr>
      </w:pPr>
    </w:p>
    <w:p>
      <w:pPr>
        <w:ind w:left="760" w:hanging="309"/>
        <w:spacing w:after="0" w:line="214" w:lineRule="auto"/>
        <w:tabs>
          <w:tab w:leader="none" w:pos="760" w:val="left"/>
        </w:tabs>
        <w:numPr>
          <w:ilvl w:val="0"/>
          <w:numId w:val="126"/>
        </w:numPr>
        <w:rPr>
          <w:rFonts w:ascii="Arial" w:cs="Arial" w:eastAsia="Arial" w:hAnsi="Arial"/>
          <w:sz w:val="20"/>
          <w:szCs w:val="20"/>
          <w:color w:val="auto"/>
          <w:vertAlign w:val="superscript"/>
        </w:rPr>
      </w:pPr>
      <w:r>
        <w:rPr>
          <w:rFonts w:ascii="Arial" w:cs="Arial" w:eastAsia="Arial" w:hAnsi="Arial"/>
          <w:sz w:val="12"/>
          <w:szCs w:val="12"/>
          <w:color w:val="auto"/>
        </w:rPr>
        <w:t>Consists of 968,054 shares of Series G Preferred Stock, 403,355 shares of Series H Preferred Stock, and 60,503 warrants for shares of Series H Preferred Stock held by H.I.G. BioVentures – Calhoun, LLC. Affiliates of H.I.G. Capital manage all aspects of H.I.G. BioVentures – Calhoun, LLC. Anthony Tamer and Sami Mnaymneh are the managing partners of H.I.G. Capital and as such have the right to direct all activities related thereto. Alex Zisson, Dr. Michael Wasserman, and Dr. Bruce Robertson are the managing directors of H.I.G. BioVentures – Calhoun, LLC, an affiliate of H.I.G. Capital. Dr. Robertson, a director of RxSight, disclaims beneficial ownership of the shares owned by H.I.G. BioVentures – Calhoun, LLC except to the extent of his pecuniary interests therein. The address of H.I.G. BioVentures – Calhoun, LLC is 1450 Brickell Avenue, 31st Floor, Miami, FL 33131.</w:t>
      </w:r>
    </w:p>
    <w:p>
      <w:pPr>
        <w:ind w:left="760" w:right="80" w:hanging="309"/>
        <w:spacing w:after="0" w:line="221" w:lineRule="auto"/>
        <w:tabs>
          <w:tab w:leader="none" w:pos="760" w:val="left"/>
        </w:tabs>
        <w:numPr>
          <w:ilvl w:val="0"/>
          <w:numId w:val="126"/>
        </w:numPr>
        <w:rPr>
          <w:rFonts w:ascii="Arial" w:cs="Arial" w:eastAsia="Arial" w:hAnsi="Arial"/>
          <w:sz w:val="20"/>
          <w:szCs w:val="20"/>
          <w:color w:val="auto"/>
          <w:vertAlign w:val="superscript"/>
        </w:rPr>
      </w:pPr>
      <w:r>
        <w:rPr>
          <w:rFonts w:ascii="Arial" w:cs="Arial" w:eastAsia="Arial" w:hAnsi="Arial"/>
          <w:sz w:val="12"/>
          <w:szCs w:val="12"/>
          <w:color w:val="auto"/>
        </w:rPr>
        <w:t>Consists of (i) 661,503 shares of Series G Preferred Stock, 262,987 shares of Series H Preferred Stock, and 39,448 warrants for shares of Series H Preferred Stock held by RA Capital Healthcare Fund, L.P. (RA Healthcare); and (ii) 145,208 shares of Series G Preferred Stock, 59,696 shares of Series H Preferred Stock, and 8,954 warrants for shares of Series H Preferred Stock held by held by Blackwell Partners LLC-Series A (Blackwell). RA Capital Management, L.P. is the investment manager for RA Healthcare and Blackwell. The general partner of RA Capital Management, L.P. is RA Capital Management GP, LLC, of which Peter Kolchinsky and Rajeev Shah are the managing members. RA Capital Management, L.P., RA Capital Management GP, LLC, Peter Kolchinsky and Rajeev Shah may be deemed to have voting and investment power over the shares held of record by RA Healthcare and Blackwell. RA Capital Management, L.P., RA Capital Management GP, LLC, Peter Kolchinsky and Rajeev Shah disclaim beneficial ownership of such shares, except to the extent of any pecuniary interest therein. The address of the entities listed above is 200 Berkeley Street, 18th Floor, Boston, Massachusetts 02116.</w:t>
      </w:r>
    </w:p>
    <w:p>
      <w:pPr>
        <w:spacing w:after="0" w:line="2" w:lineRule="exact"/>
        <w:rPr>
          <w:rFonts w:ascii="Arial" w:cs="Arial" w:eastAsia="Arial" w:hAnsi="Arial"/>
          <w:sz w:val="20"/>
          <w:szCs w:val="20"/>
          <w:color w:val="auto"/>
          <w:vertAlign w:val="superscript"/>
        </w:rPr>
      </w:pPr>
    </w:p>
    <w:p>
      <w:pPr>
        <w:ind w:left="760" w:right="120" w:hanging="309"/>
        <w:spacing w:after="0" w:line="181" w:lineRule="auto"/>
        <w:tabs>
          <w:tab w:leader="none" w:pos="760" w:val="left"/>
        </w:tabs>
        <w:numPr>
          <w:ilvl w:val="0"/>
          <w:numId w:val="126"/>
        </w:numPr>
        <w:rPr>
          <w:rFonts w:ascii="Arial" w:cs="Arial" w:eastAsia="Arial" w:hAnsi="Arial"/>
          <w:sz w:val="20"/>
          <w:szCs w:val="20"/>
          <w:color w:val="auto"/>
          <w:vertAlign w:val="superscript"/>
        </w:rPr>
      </w:pPr>
      <w:r>
        <w:rPr>
          <w:rFonts w:ascii="Arial" w:cs="Arial" w:eastAsia="Arial" w:hAnsi="Arial"/>
          <w:sz w:val="12"/>
          <w:szCs w:val="12"/>
          <w:color w:val="auto"/>
        </w:rPr>
        <w:t>Consists of 806,711 shares of Series G Preferred Stock and 227,410 shares of Series H Preferred Stock, and 34,111 warrants for shares of Series H Preferred Stock held by BP Calhoun Associates. The address of BP Calhoun Associates is 285 Riverside Ave., #200, Westport, CT 06880.</w:t>
      </w:r>
    </w:p>
    <w:p>
      <w:pPr>
        <w:spacing w:after="0" w:line="1" w:lineRule="exact"/>
        <w:rPr>
          <w:rFonts w:ascii="Arial" w:cs="Arial" w:eastAsia="Arial" w:hAnsi="Arial"/>
          <w:sz w:val="20"/>
          <w:szCs w:val="20"/>
          <w:color w:val="auto"/>
          <w:vertAlign w:val="superscript"/>
        </w:rPr>
      </w:pPr>
    </w:p>
    <w:p>
      <w:pPr>
        <w:ind w:left="760" w:hanging="309"/>
        <w:spacing w:after="0" w:line="181" w:lineRule="auto"/>
        <w:tabs>
          <w:tab w:leader="none" w:pos="760" w:val="left"/>
        </w:tabs>
        <w:numPr>
          <w:ilvl w:val="0"/>
          <w:numId w:val="126"/>
        </w:numPr>
        <w:rPr>
          <w:rFonts w:ascii="Arial" w:cs="Arial" w:eastAsia="Arial" w:hAnsi="Arial"/>
          <w:sz w:val="16"/>
          <w:szCs w:val="16"/>
          <w:color w:val="auto"/>
          <w:vertAlign w:val="superscript"/>
        </w:rPr>
      </w:pPr>
      <w:r>
        <w:rPr>
          <w:rFonts w:ascii="Arial" w:cs="Arial" w:eastAsia="Arial" w:hAnsi="Arial"/>
          <w:sz w:val="10"/>
          <w:szCs w:val="10"/>
          <w:color w:val="auto"/>
        </w:rPr>
        <w:t>Consists of the shares described in note 1 above.</w:t>
      </w:r>
    </w:p>
    <w:p>
      <w:pPr>
        <w:ind w:left="760" w:hanging="309"/>
        <w:spacing w:after="0" w:line="181" w:lineRule="auto"/>
        <w:tabs>
          <w:tab w:leader="none" w:pos="760" w:val="left"/>
        </w:tabs>
        <w:numPr>
          <w:ilvl w:val="0"/>
          <w:numId w:val="126"/>
        </w:numPr>
        <w:rPr>
          <w:rFonts w:ascii="Arial" w:cs="Arial" w:eastAsia="Arial" w:hAnsi="Arial"/>
          <w:sz w:val="16"/>
          <w:szCs w:val="16"/>
          <w:color w:val="auto"/>
          <w:vertAlign w:val="superscript"/>
        </w:rPr>
      </w:pPr>
      <w:r>
        <w:rPr>
          <w:rFonts w:ascii="Arial" w:cs="Arial" w:eastAsia="Arial" w:hAnsi="Arial"/>
          <w:sz w:val="10"/>
          <w:szCs w:val="10"/>
          <w:color w:val="auto"/>
        </w:rPr>
        <w:t>Consists of the shares described in note 2 above.</w:t>
      </w:r>
    </w:p>
    <w:p>
      <w:pPr>
        <w:ind w:left="760" w:hanging="309"/>
        <w:spacing w:after="0" w:line="181" w:lineRule="auto"/>
        <w:tabs>
          <w:tab w:leader="none" w:pos="760" w:val="left"/>
        </w:tabs>
        <w:numPr>
          <w:ilvl w:val="0"/>
          <w:numId w:val="126"/>
        </w:numPr>
        <w:rPr>
          <w:rFonts w:ascii="Arial" w:cs="Arial" w:eastAsia="Arial" w:hAnsi="Arial"/>
          <w:sz w:val="16"/>
          <w:szCs w:val="16"/>
          <w:color w:val="auto"/>
          <w:vertAlign w:val="superscript"/>
        </w:rPr>
      </w:pPr>
      <w:r>
        <w:rPr>
          <w:rFonts w:ascii="Arial" w:cs="Arial" w:eastAsia="Arial" w:hAnsi="Arial"/>
          <w:sz w:val="10"/>
          <w:szCs w:val="10"/>
          <w:color w:val="auto"/>
        </w:rPr>
        <w:t>Consists of the shares described in note 3 above.</w:t>
      </w:r>
    </w:p>
    <w:p>
      <w:pPr>
        <w:ind w:left="780" w:hanging="329"/>
        <w:spacing w:after="0" w:line="181" w:lineRule="auto"/>
        <w:tabs>
          <w:tab w:leader="none" w:pos="780" w:val="left"/>
        </w:tabs>
        <w:numPr>
          <w:ilvl w:val="0"/>
          <w:numId w:val="126"/>
        </w:numPr>
        <w:rPr>
          <w:rFonts w:ascii="Arial" w:cs="Arial" w:eastAsia="Arial" w:hAnsi="Arial"/>
          <w:sz w:val="16"/>
          <w:szCs w:val="16"/>
          <w:color w:val="auto"/>
          <w:vertAlign w:val="superscript"/>
        </w:rPr>
      </w:pPr>
      <w:r>
        <w:rPr>
          <w:rFonts w:ascii="Arial" w:cs="Arial" w:eastAsia="Arial" w:hAnsi="Arial"/>
          <w:sz w:val="10"/>
          <w:szCs w:val="10"/>
          <w:color w:val="auto"/>
        </w:rPr>
        <w:t>Consists of the shares described in note 4 above.</w:t>
      </w:r>
    </w:p>
    <w:p>
      <w:pPr>
        <w:ind w:left="780" w:hanging="329"/>
        <w:spacing w:after="0" w:line="185" w:lineRule="auto"/>
        <w:tabs>
          <w:tab w:leader="none" w:pos="780" w:val="left"/>
        </w:tabs>
        <w:numPr>
          <w:ilvl w:val="0"/>
          <w:numId w:val="126"/>
        </w:numPr>
        <w:rPr>
          <w:rFonts w:ascii="Arial" w:cs="Arial" w:eastAsia="Arial" w:hAnsi="Arial"/>
          <w:sz w:val="21"/>
          <w:szCs w:val="21"/>
          <w:color w:val="auto"/>
          <w:vertAlign w:val="superscript"/>
        </w:rPr>
      </w:pPr>
      <w:r>
        <w:rPr>
          <w:rFonts w:ascii="Arial" w:cs="Arial" w:eastAsia="Arial" w:hAnsi="Arial"/>
          <w:sz w:val="13"/>
          <w:szCs w:val="13"/>
          <w:color w:val="auto"/>
        </w:rPr>
        <w:t>Consists of (i) 800,972 shares of Common Stock held by Cricklewood LP and (iii) 20,448 shares of Common Stock issuable pursuant to options held directly by Mr. Kurtz exercisable within 60 days of July 2, 2021. Ronald Kurtz, our Chief Executive Officer and a member of our board directors is the manager of the general partner of Cricklewood LP and shares voting and investment control of the general partner of Cricklewood LP with Jennifer Simpson, Mr. Kurtz’s spouse.</w:t>
      </w:r>
    </w:p>
    <w:p>
      <w:pPr>
        <w:spacing w:after="0" w:line="1" w:lineRule="exact"/>
        <w:rPr>
          <w:rFonts w:ascii="Arial" w:cs="Arial" w:eastAsia="Arial" w:hAnsi="Arial"/>
          <w:sz w:val="21"/>
          <w:szCs w:val="21"/>
          <w:color w:val="auto"/>
          <w:vertAlign w:val="superscript"/>
        </w:rPr>
      </w:pPr>
    </w:p>
    <w:p>
      <w:pPr>
        <w:ind w:left="780" w:right="120" w:hanging="329"/>
        <w:spacing w:after="0" w:line="185" w:lineRule="auto"/>
        <w:tabs>
          <w:tab w:leader="none" w:pos="780" w:val="left"/>
        </w:tabs>
        <w:numPr>
          <w:ilvl w:val="0"/>
          <w:numId w:val="126"/>
        </w:numPr>
        <w:rPr>
          <w:rFonts w:ascii="Arial" w:cs="Arial" w:eastAsia="Arial" w:hAnsi="Arial"/>
          <w:sz w:val="21"/>
          <w:szCs w:val="21"/>
          <w:color w:val="auto"/>
          <w:vertAlign w:val="superscript"/>
        </w:rPr>
      </w:pPr>
      <w:r>
        <w:rPr>
          <w:rFonts w:ascii="Arial" w:cs="Arial" w:eastAsia="Arial" w:hAnsi="Arial"/>
          <w:sz w:val="13"/>
          <w:szCs w:val="13"/>
          <w:color w:val="auto"/>
        </w:rPr>
        <w:t>Consists of (i) 414,690 shares of Common Stock held directly by Daniel Schwartz, (ii) 3,872 shares of Series C Preferred Stock held (3,969 shares of Common Stock on an as converted basis) directly by Daniel Schwartz, and (iii) 194,042 shares of Common Stock issuable pursuant to options held directly by Daniel Schwartz exercisable within 60 days of July 2, 2021.</w:t>
      </w:r>
    </w:p>
    <w:p>
      <w:pPr>
        <w:spacing w:after="0" w:line="1" w:lineRule="exact"/>
        <w:rPr>
          <w:rFonts w:ascii="Arial" w:cs="Arial" w:eastAsia="Arial" w:hAnsi="Arial"/>
          <w:sz w:val="21"/>
          <w:szCs w:val="21"/>
          <w:color w:val="auto"/>
          <w:vertAlign w:val="superscript"/>
        </w:rPr>
      </w:pPr>
    </w:p>
    <w:p>
      <w:pPr>
        <w:ind w:left="780" w:right="140" w:hanging="329"/>
        <w:spacing w:after="0" w:line="181" w:lineRule="auto"/>
        <w:tabs>
          <w:tab w:leader="none" w:pos="780" w:val="left"/>
        </w:tabs>
        <w:numPr>
          <w:ilvl w:val="0"/>
          <w:numId w:val="126"/>
        </w:numPr>
        <w:rPr>
          <w:rFonts w:ascii="Arial" w:cs="Arial" w:eastAsia="Arial" w:hAnsi="Arial"/>
          <w:sz w:val="20"/>
          <w:szCs w:val="20"/>
          <w:color w:val="auto"/>
          <w:vertAlign w:val="superscript"/>
        </w:rPr>
      </w:pPr>
      <w:r>
        <w:rPr>
          <w:rFonts w:ascii="Arial" w:cs="Arial" w:eastAsia="Arial" w:hAnsi="Arial"/>
          <w:sz w:val="12"/>
          <w:szCs w:val="12"/>
          <w:color w:val="auto"/>
        </w:rPr>
        <w:t>Consists of (i) 318,728 shares of Common Stock held by EJW Living Trust and (ii) 271,969 shares of Common Stock issuable pursuant to options held directly by Eric Weinberg exercisable within 60 days of July 2, 2021.</w:t>
      </w:r>
    </w:p>
    <w:p>
      <w:pPr>
        <w:spacing w:after="0" w:line="1" w:lineRule="exact"/>
        <w:rPr>
          <w:rFonts w:ascii="Arial" w:cs="Arial" w:eastAsia="Arial" w:hAnsi="Arial"/>
          <w:sz w:val="20"/>
          <w:szCs w:val="20"/>
          <w:color w:val="auto"/>
          <w:vertAlign w:val="superscript"/>
        </w:rPr>
      </w:pPr>
    </w:p>
    <w:p>
      <w:pPr>
        <w:ind w:left="780" w:right="280" w:hanging="329"/>
        <w:spacing w:after="0" w:line="181" w:lineRule="auto"/>
        <w:tabs>
          <w:tab w:leader="none" w:pos="780" w:val="left"/>
        </w:tabs>
        <w:numPr>
          <w:ilvl w:val="0"/>
          <w:numId w:val="126"/>
        </w:numPr>
        <w:rPr>
          <w:rFonts w:ascii="Arial" w:cs="Arial" w:eastAsia="Arial" w:hAnsi="Arial"/>
          <w:sz w:val="20"/>
          <w:szCs w:val="20"/>
          <w:color w:val="auto"/>
          <w:vertAlign w:val="superscript"/>
        </w:rPr>
      </w:pPr>
      <w:r>
        <w:rPr>
          <w:rFonts w:ascii="Arial" w:cs="Arial" w:eastAsia="Arial" w:hAnsi="Arial"/>
          <w:sz w:val="12"/>
          <w:szCs w:val="12"/>
          <w:color w:val="auto"/>
        </w:rPr>
        <w:t>Consists of (i) 358,076 shares of Common Stock held by Andy Corley Living Trust dated 7/17/2013 and (ii) 20,167 shares of Common Stock issuable pursuant to options held directly by Andy Corley exercisable within 60 days of July 2, 2021.</w:t>
      </w:r>
    </w:p>
    <w:p>
      <w:pPr>
        <w:spacing w:after="0" w:line="1" w:lineRule="exact"/>
        <w:rPr>
          <w:rFonts w:ascii="Arial" w:cs="Arial" w:eastAsia="Arial" w:hAnsi="Arial"/>
          <w:sz w:val="20"/>
          <w:szCs w:val="20"/>
          <w:color w:val="auto"/>
          <w:vertAlign w:val="superscript"/>
        </w:rPr>
      </w:pPr>
    </w:p>
    <w:p>
      <w:pPr>
        <w:ind w:left="780" w:hanging="329"/>
        <w:spacing w:after="0" w:line="181" w:lineRule="auto"/>
        <w:tabs>
          <w:tab w:leader="none" w:pos="780" w:val="left"/>
        </w:tabs>
        <w:numPr>
          <w:ilvl w:val="0"/>
          <w:numId w:val="126"/>
        </w:numPr>
        <w:rPr>
          <w:rFonts w:ascii="Arial" w:cs="Arial" w:eastAsia="Arial" w:hAnsi="Arial"/>
          <w:sz w:val="16"/>
          <w:szCs w:val="16"/>
          <w:color w:val="auto"/>
          <w:vertAlign w:val="superscript"/>
        </w:rPr>
      </w:pPr>
      <w:r>
        <w:rPr>
          <w:rFonts w:ascii="Arial" w:cs="Arial" w:eastAsia="Arial" w:hAnsi="Arial"/>
          <w:sz w:val="10"/>
          <w:szCs w:val="10"/>
          <w:color w:val="auto"/>
        </w:rPr>
        <w:t>Consists of 204,127 shares of Common Stock issuable pursuant to options held directly by Ilya Goldshleger exercisable within 60 days of July 2, 2021.</w:t>
      </w:r>
    </w:p>
    <w:p>
      <w:pPr>
        <w:ind w:left="780" w:right="380" w:hanging="329"/>
        <w:spacing w:after="0" w:line="181" w:lineRule="auto"/>
        <w:tabs>
          <w:tab w:leader="none" w:pos="780" w:val="left"/>
        </w:tabs>
        <w:numPr>
          <w:ilvl w:val="0"/>
          <w:numId w:val="126"/>
        </w:numPr>
        <w:rPr>
          <w:rFonts w:ascii="Arial" w:cs="Arial" w:eastAsia="Arial" w:hAnsi="Arial"/>
          <w:sz w:val="20"/>
          <w:szCs w:val="20"/>
          <w:color w:val="auto"/>
          <w:vertAlign w:val="superscript"/>
        </w:rPr>
      </w:pPr>
      <w:r>
        <w:rPr>
          <w:rFonts w:ascii="Arial" w:cs="Arial" w:eastAsia="Arial" w:hAnsi="Arial"/>
          <w:sz w:val="12"/>
          <w:szCs w:val="12"/>
          <w:color w:val="auto"/>
        </w:rPr>
        <w:t>Consists of (i) 48,402 shares of Common Stock held by Shelley B. Thunen Revocable Family Trust, as Amended and 73,105 shares of Common Stock issuable pursuant to options held directly by Shelley B. Thunen exercisable within 60 days of July 2, 2021.</w:t>
      </w:r>
    </w:p>
    <w:p>
      <w:pPr>
        <w:spacing w:after="0" w:line="1" w:lineRule="exact"/>
        <w:rPr>
          <w:rFonts w:ascii="Arial" w:cs="Arial" w:eastAsia="Arial" w:hAnsi="Arial"/>
          <w:sz w:val="20"/>
          <w:szCs w:val="20"/>
          <w:color w:val="auto"/>
          <w:vertAlign w:val="superscript"/>
        </w:rPr>
      </w:pPr>
    </w:p>
    <w:p>
      <w:pPr>
        <w:ind w:left="780" w:hanging="329"/>
        <w:spacing w:after="0" w:line="193" w:lineRule="auto"/>
        <w:tabs>
          <w:tab w:leader="none" w:pos="780" w:val="left"/>
        </w:tabs>
        <w:numPr>
          <w:ilvl w:val="0"/>
          <w:numId w:val="126"/>
        </w:numPr>
        <w:rPr>
          <w:rFonts w:ascii="Arial" w:cs="Arial" w:eastAsia="Arial" w:hAnsi="Arial"/>
          <w:sz w:val="13"/>
          <w:szCs w:val="13"/>
          <w:color w:val="auto"/>
          <w:vertAlign w:val="superscript"/>
        </w:rPr>
      </w:pPr>
      <w:r>
        <w:rPr>
          <w:rFonts w:ascii="Arial" w:cs="Arial" w:eastAsia="Arial" w:hAnsi="Arial"/>
          <w:sz w:val="8"/>
          <w:szCs w:val="8"/>
          <w:color w:val="auto"/>
        </w:rPr>
        <w:t>Consists of 60,864 shares of Common Stock issuable pursuant to options held directly by Chris Cox exercisable within 60 days of July 2, 2021.</w:t>
      </w:r>
    </w:p>
    <w:p>
      <w:pPr>
        <w:ind w:left="780" w:hanging="329"/>
        <w:spacing w:after="0" w:line="181" w:lineRule="auto"/>
        <w:tabs>
          <w:tab w:leader="none" w:pos="780" w:val="left"/>
        </w:tabs>
        <w:numPr>
          <w:ilvl w:val="0"/>
          <w:numId w:val="126"/>
        </w:numPr>
        <w:rPr>
          <w:rFonts w:ascii="Arial" w:cs="Arial" w:eastAsia="Arial" w:hAnsi="Arial"/>
          <w:sz w:val="16"/>
          <w:szCs w:val="16"/>
          <w:color w:val="auto"/>
          <w:vertAlign w:val="superscript"/>
        </w:rPr>
      </w:pPr>
      <w:r>
        <w:rPr>
          <w:rFonts w:ascii="Arial" w:cs="Arial" w:eastAsia="Arial" w:hAnsi="Arial"/>
          <w:sz w:val="10"/>
          <w:szCs w:val="10"/>
          <w:color w:val="auto"/>
        </w:rPr>
        <w:t>Mr. Warner has been nominated to join our board of directors and will be elected to our board of directors effective concurrent with the closing of this offering.</w:t>
      </w:r>
    </w:p>
    <w:p>
      <w:pPr>
        <w:ind w:left="780" w:hanging="329"/>
        <w:spacing w:after="0" w:line="181" w:lineRule="auto"/>
        <w:tabs>
          <w:tab w:leader="none" w:pos="780" w:val="left"/>
        </w:tabs>
        <w:numPr>
          <w:ilvl w:val="0"/>
          <w:numId w:val="126"/>
        </w:numPr>
        <w:rPr>
          <w:rFonts w:ascii="Arial" w:cs="Arial" w:eastAsia="Arial" w:hAnsi="Arial"/>
          <w:sz w:val="16"/>
          <w:szCs w:val="16"/>
          <w:color w:val="auto"/>
          <w:vertAlign w:val="superscript"/>
        </w:rPr>
      </w:pPr>
      <w:r>
        <w:rPr>
          <w:rFonts w:ascii="Arial" w:cs="Arial" w:eastAsia="Arial" w:hAnsi="Arial"/>
          <w:sz w:val="10"/>
          <w:szCs w:val="10"/>
          <w:color w:val="auto"/>
        </w:rPr>
        <w:t>Ms. Andrews has been nominated to join our board of directors and will be elected to our board of directors effective concurrent with the closing of this offering.</w:t>
      </w:r>
    </w:p>
    <w:p>
      <w:pPr>
        <w:ind w:left="780" w:hanging="329"/>
        <w:spacing w:after="0" w:line="183" w:lineRule="auto"/>
        <w:tabs>
          <w:tab w:leader="none" w:pos="780" w:val="left"/>
        </w:tabs>
        <w:numPr>
          <w:ilvl w:val="0"/>
          <w:numId w:val="126"/>
        </w:numPr>
        <w:rPr>
          <w:rFonts w:ascii="Arial" w:cs="Arial" w:eastAsia="Arial" w:hAnsi="Arial"/>
          <w:sz w:val="18"/>
          <w:szCs w:val="18"/>
          <w:color w:val="auto"/>
          <w:vertAlign w:val="superscript"/>
        </w:rPr>
      </w:pPr>
      <w:r>
        <w:rPr>
          <w:rFonts w:ascii="Arial" w:cs="Arial" w:eastAsia="Arial" w:hAnsi="Arial"/>
          <w:sz w:val="11"/>
          <w:szCs w:val="11"/>
          <w:color w:val="auto"/>
        </w:rPr>
        <w:t>Mr. Palmisano has been nominated to join our board of directors and will be elected to our board of directors effective concurrent with the closing of this offering.</w:t>
      </w:r>
    </w:p>
    <w:p>
      <w:pPr>
        <w:ind w:left="780" w:hanging="329"/>
        <w:spacing w:after="0" w:line="187" w:lineRule="auto"/>
        <w:tabs>
          <w:tab w:leader="none" w:pos="780" w:val="left"/>
        </w:tabs>
        <w:numPr>
          <w:ilvl w:val="0"/>
          <w:numId w:val="126"/>
        </w:numPr>
        <w:rPr>
          <w:rFonts w:ascii="Arial" w:cs="Arial" w:eastAsia="Arial" w:hAnsi="Arial"/>
          <w:sz w:val="17"/>
          <w:szCs w:val="17"/>
          <w:color w:val="auto"/>
          <w:vertAlign w:val="superscript"/>
        </w:rPr>
      </w:pPr>
      <w:r>
        <w:rPr>
          <w:rFonts w:ascii="Arial" w:cs="Arial" w:eastAsia="Arial" w:hAnsi="Arial"/>
          <w:sz w:val="11"/>
          <w:szCs w:val="11"/>
          <w:color w:val="auto"/>
        </w:rPr>
        <w:t>Consists of the shares described in notes 7 through 20 above.</w:t>
      </w:r>
    </w:p>
    <w:p>
      <w:pPr>
        <w:spacing w:after="0" w:line="130"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194</w:t>
      </w:r>
    </w:p>
    <w:p>
      <w:pPr>
        <w:sectPr>
          <w:pgSz w:w="11900" w:h="16838" w:orient="portrait"/>
          <w:cols w:equalWidth="0" w:num="1">
            <w:col w:w="10780"/>
          </w:cols>
          <w:pgMar w:left="320" w:top="441" w:right="799"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Description of capital stock</w:t>
      </w:r>
    </w:p>
    <w:p>
      <w:pPr>
        <w:spacing w:after="0" w:line="149" w:lineRule="exact"/>
        <w:rPr>
          <w:sz w:val="20"/>
          <w:szCs w:val="20"/>
          <w:color w:val="auto"/>
        </w:rPr>
      </w:pPr>
    </w:p>
    <w:p>
      <w:pPr>
        <w:ind w:left="460" w:right="120"/>
        <w:spacing w:after="0" w:line="251" w:lineRule="auto"/>
        <w:rPr>
          <w:sz w:val="20"/>
          <w:szCs w:val="20"/>
          <w:color w:val="auto"/>
        </w:rPr>
      </w:pPr>
      <w:r>
        <w:rPr>
          <w:rFonts w:ascii="Arial" w:cs="Arial" w:eastAsia="Arial" w:hAnsi="Arial"/>
          <w:sz w:val="16"/>
          <w:szCs w:val="16"/>
          <w:color w:val="auto"/>
        </w:rPr>
        <w:t>The following description summarizes certain terms of our capital stock, as they are expected to be in effect upon the completion of this offering. We expect to adopt an amended and restated certificate of incorporation and bylaws in connection with the completion of this offering, and this description summarizes certain of the provisions that are expected to be included in those documents. This summary does not purport to be complete and is qualified in its entirety by the provisions in our certificate of incorporation and bylaws, copies of which have been filed with the SEC as exhibits to the registration statement of which this prospectus is a part, and to the applicable provisions of Delaware law.</w:t>
      </w:r>
    </w:p>
    <w:p>
      <w:pPr>
        <w:spacing w:after="0" w:line="280" w:lineRule="exact"/>
        <w:rPr>
          <w:sz w:val="20"/>
          <w:szCs w:val="20"/>
          <w:color w:val="auto"/>
        </w:rPr>
      </w:pPr>
    </w:p>
    <w:p>
      <w:pPr>
        <w:jc w:val="both"/>
        <w:ind w:left="460" w:right="160"/>
        <w:spacing w:after="0" w:line="256" w:lineRule="auto"/>
        <w:rPr>
          <w:sz w:val="20"/>
          <w:szCs w:val="20"/>
          <w:color w:val="auto"/>
        </w:rPr>
      </w:pPr>
      <w:r>
        <w:rPr>
          <w:rFonts w:ascii="Arial" w:cs="Arial" w:eastAsia="Arial" w:hAnsi="Arial"/>
          <w:sz w:val="16"/>
          <w:szCs w:val="16"/>
          <w:color w:val="auto"/>
        </w:rPr>
        <w:t>Upon the completion of this offering and the filing of our amended and restated certificate of incorporation to be effective upon completion of this offering, our authorized capital stock will consist of 900,000,000 shares of common stock, par value $0.001 per share, and 100,000,000 shares of convertible preferred stock, par value $0.001 per share.</w:t>
      </w:r>
    </w:p>
    <w:p>
      <w:pPr>
        <w:spacing w:after="0" w:line="83" w:lineRule="exact"/>
        <w:rPr>
          <w:sz w:val="20"/>
          <w:szCs w:val="20"/>
          <w:color w:val="auto"/>
        </w:rPr>
      </w:pPr>
    </w:p>
    <w:p>
      <w:pPr>
        <w:ind w:left="460" w:right="940"/>
        <w:spacing w:after="0" w:line="265" w:lineRule="auto"/>
        <w:rPr>
          <w:sz w:val="20"/>
          <w:szCs w:val="20"/>
          <w:color w:val="auto"/>
        </w:rPr>
      </w:pPr>
      <w:r>
        <w:rPr>
          <w:rFonts w:ascii="Arial" w:cs="Arial" w:eastAsia="Arial" w:hAnsi="Arial"/>
          <w:sz w:val="16"/>
          <w:szCs w:val="16"/>
          <w:color w:val="auto"/>
        </w:rPr>
        <w:t>Upon the completion of this offering, all of the outstanding shares of our convertible preferred stock will convert into an aggregate of 14,850,993 shares of our common stock.</w:t>
      </w:r>
    </w:p>
    <w:p>
      <w:pPr>
        <w:spacing w:after="0" w:line="75" w:lineRule="exact"/>
        <w:rPr>
          <w:sz w:val="20"/>
          <w:szCs w:val="20"/>
          <w:color w:val="auto"/>
        </w:rPr>
      </w:pPr>
    </w:p>
    <w:p>
      <w:pPr>
        <w:ind w:left="460"/>
        <w:spacing w:after="0" w:line="248" w:lineRule="auto"/>
        <w:rPr>
          <w:sz w:val="20"/>
          <w:szCs w:val="20"/>
          <w:color w:val="auto"/>
        </w:rPr>
      </w:pPr>
      <w:r>
        <w:rPr>
          <w:rFonts w:ascii="Arial" w:cs="Arial" w:eastAsia="Arial" w:hAnsi="Arial"/>
          <w:sz w:val="16"/>
          <w:szCs w:val="16"/>
          <w:color w:val="auto"/>
        </w:rPr>
        <w:t>Based on 19,170,933 shares of common stock outstanding as of March 31, 2021, after giving effect to (i) the conversion of all of our outstanding 14,376,272 shares of convertible preferred stock at March 31, 2021 into 14,850,993 shares of common stock upon the completion of this offering, (ii) the cash exercise of 225,945 shares of common stock issuable upon the exercise of warrants to purchase shares of Series H convertible preferred stock outstanding as of March 31, 2021, which will be converted into shares of our common stock following such exercise and immediately prior to the completion of this offering, at a weighted-average exercise price of $12.40 per share, and</w:t>
      </w:r>
    </w:p>
    <w:p>
      <w:pPr>
        <w:ind w:left="460" w:right="20" w:hanging="9"/>
        <w:spacing w:after="0" w:line="256" w:lineRule="auto"/>
        <w:tabs>
          <w:tab w:leader="none" w:pos="72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issuance of 7,350,000 shares of common stock in this offering, there will be 26,520,933 shares of common stock outstanding upon the completion of this offering. As of March 31, 2021, we had 428 stockholders of record. As of March 31, 2021, there were 4,623,643 shares of common stock subject to outstanding options.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Common stock</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Voting rights</w:t>
      </w:r>
    </w:p>
    <w:p>
      <w:pPr>
        <w:spacing w:after="0" w:line="128" w:lineRule="exact"/>
        <w:rPr>
          <w:sz w:val="20"/>
          <w:szCs w:val="20"/>
          <w:color w:val="auto"/>
        </w:rPr>
      </w:pPr>
    </w:p>
    <w:p>
      <w:pPr>
        <w:ind w:left="460" w:right="80"/>
        <w:spacing w:after="0" w:line="250" w:lineRule="auto"/>
        <w:rPr>
          <w:sz w:val="20"/>
          <w:szCs w:val="20"/>
          <w:color w:val="auto"/>
        </w:rPr>
      </w:pPr>
      <w:r>
        <w:rPr>
          <w:rFonts w:ascii="Arial" w:cs="Arial" w:eastAsia="Arial" w:hAnsi="Arial"/>
          <w:sz w:val="16"/>
          <w:szCs w:val="16"/>
          <w:color w:val="auto"/>
        </w:rPr>
        <w:t>Each holder of common stock is entitled to one vote for each share on all matters submitted to a vote of the stockholders, including the election of directors. Our certificate of incorporation and bylaws to be in effect upon the completion of this offering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Dividends</w:t>
      </w:r>
    </w:p>
    <w:p>
      <w:pPr>
        <w:spacing w:after="0" w:line="128" w:lineRule="exact"/>
        <w:rPr>
          <w:sz w:val="20"/>
          <w:szCs w:val="20"/>
          <w:color w:val="auto"/>
        </w:rPr>
      </w:pPr>
    </w:p>
    <w:p>
      <w:pPr>
        <w:ind w:left="460" w:right="160"/>
        <w:spacing w:after="0" w:line="265" w:lineRule="auto"/>
        <w:rPr>
          <w:sz w:val="20"/>
          <w:szCs w:val="20"/>
          <w:color w:val="auto"/>
        </w:rPr>
      </w:pPr>
      <w:r>
        <w:rPr>
          <w:rFonts w:ascii="Arial" w:cs="Arial" w:eastAsia="Arial" w:hAnsi="Arial"/>
          <w:sz w:val="16"/>
          <w:szCs w:val="16"/>
          <w:color w:val="auto"/>
        </w:rPr>
        <w:t>Subject to preferences that may be applicable to any then-outstanding convertible preferred stock, holders of our common stock are entitled to receive dividends, if any, as may be declared from time to time by our board of directors out of legally available funds.</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Liquidation</w:t>
      </w:r>
    </w:p>
    <w:p>
      <w:pPr>
        <w:spacing w:after="0" w:line="128" w:lineRule="exact"/>
        <w:rPr>
          <w:sz w:val="20"/>
          <w:szCs w:val="20"/>
          <w:color w:val="auto"/>
        </w:rPr>
      </w:pPr>
    </w:p>
    <w:p>
      <w:pPr>
        <w:ind w:left="460" w:right="80"/>
        <w:spacing w:after="0" w:line="256" w:lineRule="auto"/>
        <w:rPr>
          <w:sz w:val="20"/>
          <w:szCs w:val="20"/>
          <w:color w:val="auto"/>
        </w:rPr>
      </w:pPr>
      <w:r>
        <w:rPr>
          <w:rFonts w:ascii="Arial" w:cs="Arial" w:eastAsia="Arial" w:hAnsi="Arial"/>
          <w:sz w:val="16"/>
          <w:szCs w:val="16"/>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convertible preferred stock.</w:t>
      </w:r>
    </w:p>
    <w:p>
      <w:pPr>
        <w:spacing w:after="0" w:line="121"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195</w:t>
      </w:r>
    </w:p>
    <w:p>
      <w:pPr>
        <w:sectPr>
          <w:pgSz w:w="11900" w:h="16838" w:orient="portrait"/>
          <w:cols w:equalWidth="0" w:num="1">
            <w:col w:w="10780"/>
          </w:cols>
          <w:pgMar w:left="320" w:top="441" w:right="79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Rights and preferences</w:t>
      </w:r>
    </w:p>
    <w:p>
      <w:pPr>
        <w:spacing w:after="0" w:line="128" w:lineRule="exact"/>
        <w:rPr>
          <w:sz w:val="20"/>
          <w:szCs w:val="20"/>
          <w:color w:val="auto"/>
        </w:rPr>
      </w:pPr>
    </w:p>
    <w:p>
      <w:pPr>
        <w:ind w:left="460" w:right="60"/>
        <w:spacing w:after="0" w:line="255" w:lineRule="auto"/>
        <w:rPr>
          <w:sz w:val="20"/>
          <w:szCs w:val="20"/>
          <w:color w:val="auto"/>
        </w:rPr>
      </w:pPr>
      <w:r>
        <w:rPr>
          <w:rFonts w:ascii="Arial" w:cs="Arial" w:eastAsia="Arial" w:hAnsi="Arial"/>
          <w:sz w:val="16"/>
          <w:szCs w:val="16"/>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Fully paid and nonassessable</w:t>
      </w:r>
    </w:p>
    <w:p>
      <w:pPr>
        <w:spacing w:after="0" w:line="128" w:lineRule="exact"/>
        <w:rPr>
          <w:sz w:val="20"/>
          <w:szCs w:val="20"/>
          <w:color w:val="auto"/>
        </w:rPr>
      </w:pPr>
    </w:p>
    <w:p>
      <w:pPr>
        <w:ind w:left="460" w:right="140"/>
        <w:spacing w:after="0" w:line="265" w:lineRule="auto"/>
        <w:rPr>
          <w:sz w:val="20"/>
          <w:szCs w:val="20"/>
          <w:color w:val="auto"/>
        </w:rPr>
      </w:pPr>
      <w:r>
        <w:rPr>
          <w:rFonts w:ascii="Arial" w:cs="Arial" w:eastAsia="Arial" w:hAnsi="Arial"/>
          <w:sz w:val="16"/>
          <w:szCs w:val="16"/>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Preferred stock</w:t>
      </w:r>
    </w:p>
    <w:p>
      <w:pPr>
        <w:spacing w:after="0" w:line="133"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Upon the completion of this offering, our board of directors will have the authority, without further action by the stockholders, to issue up to 100,000,000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Upon completion of this offering, no shares of preferred stock will be outstanding, and we have no present plan to issue any shares of preferred stock.</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Common stock options</w:t>
      </w:r>
    </w:p>
    <w:p>
      <w:pPr>
        <w:spacing w:after="0" w:line="133" w:lineRule="exact"/>
        <w:rPr>
          <w:sz w:val="20"/>
          <w:szCs w:val="20"/>
          <w:color w:val="auto"/>
        </w:rPr>
      </w:pPr>
    </w:p>
    <w:p>
      <w:pPr>
        <w:ind w:left="460" w:right="40"/>
        <w:spacing w:after="0" w:line="256" w:lineRule="auto"/>
        <w:rPr>
          <w:sz w:val="20"/>
          <w:szCs w:val="20"/>
          <w:color w:val="auto"/>
        </w:rPr>
      </w:pPr>
      <w:r>
        <w:rPr>
          <w:rFonts w:ascii="Arial" w:cs="Arial" w:eastAsia="Arial" w:hAnsi="Arial"/>
          <w:sz w:val="16"/>
          <w:szCs w:val="16"/>
          <w:color w:val="auto"/>
        </w:rPr>
        <w:t>As of March 31, 2021, we had outstanding options to purchase an aggregate of 4,423,932 shares of our common stock, with a weighted-average exercise price of $10.63 per share, under our 2015 Plan. After March 31, 2021, we issued options to purchase an aggregate of 7,260 shares of our common stock, with a weighted-average exercise price of $19.94 per share, under our 2015 Plan.</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Registration rights</w:t>
      </w:r>
    </w:p>
    <w:p>
      <w:pPr>
        <w:spacing w:after="0" w:line="133" w:lineRule="exact"/>
        <w:rPr>
          <w:sz w:val="20"/>
          <w:szCs w:val="20"/>
          <w:color w:val="auto"/>
        </w:rPr>
      </w:pPr>
    </w:p>
    <w:p>
      <w:pPr>
        <w:ind w:left="460" w:right="20"/>
        <w:spacing w:after="0" w:line="256" w:lineRule="auto"/>
        <w:rPr>
          <w:sz w:val="20"/>
          <w:szCs w:val="20"/>
          <w:color w:val="auto"/>
        </w:rPr>
      </w:pPr>
      <w:r>
        <w:rPr>
          <w:rFonts w:ascii="Arial" w:cs="Arial" w:eastAsia="Arial" w:hAnsi="Arial"/>
          <w:sz w:val="16"/>
          <w:szCs w:val="16"/>
          <w:color w:val="auto"/>
        </w:rPr>
        <w:t>After the completion of this offering, under our investor rights agreement, the holders of up to 15,076,938 shares of common stock or their transferees, have the right to require us to register the offer and sale of their shares, or to include their shares in any registration statement we file, in each case as described below.</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Demand registration rights</w:t>
      </w:r>
    </w:p>
    <w:p>
      <w:pPr>
        <w:spacing w:after="0" w:line="128"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After the completion of this offering, the holders of up to 15,076,938 shares of our common stock will be entitled to certain demand registration rights. At any time beginning after 180 days following the completion of this offering, the holders of at least 50% of the shares having registration rights then outstanding can request that we file a registration statement to register the offer and sale of their shares. We are only obligated to effect up to two such registrations. Each such request for registration must cover securities the anticipated aggregate gross proceeds of which, before deducting underwriting discounts and expenses, is at least $20 million. These demand registration rights are subject to specified conditions and limitations, including the right of the underwriters to limit the number of shares included in any such registration under certain circumstances. If we determine that it would be materially detrimental to us and our stockholders to effect such a demand registration, we have the right to defer such registration, not more than once in any twelve month period, for a period of up to 90 days.</w:t>
      </w:r>
    </w:p>
    <w:p>
      <w:pPr>
        <w:spacing w:after="0" w:line="318"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196</w:t>
      </w:r>
    </w:p>
    <w:p>
      <w:pPr>
        <w:sectPr>
          <w:pgSz w:w="11900" w:h="16838" w:orient="portrait"/>
          <w:cols w:equalWidth="0" w:num="1">
            <w:col w:w="10800"/>
          </w:cols>
          <w:pgMar w:left="320" w:top="441" w:right="779" w:bottom="1440" w:gutter="0" w:footer="0" w:header="0"/>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Form S-3 registration rights</w:t>
      </w:r>
    </w:p>
    <w:p>
      <w:pPr>
        <w:spacing w:after="0" w:line="128"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After the completion of this offering, the holders of up to 15,076,938 shares of our common stock will be entitled to certain Form S-3 registration rights. At any time after 180 days following the completion of this offering when we are eligible to file a registration statement on Form S-3, the holders of the shares having these rights then outstanding can request that we register the offer and sale of their shares of our common stock on a registration statement on Form S-3 so long as the request covers securities the anticipated aggregate public offering price of which is at least $1 million. These stockholders may make an unlimited number of requests for registration on a registration statement on Form S-3. However, we will not be required to effect a registration on Form S-3 if we have effected two such registrations within the twelve-month period preceding the date of the request. These Form S-3 registration rights are subject to specified conditions and limitations, including the right of the underwriters to limit the number of shares included in any such registration under certain circumstances. Additionally, if we determine that it would be seriously detrimental to us and our stockholders to effect such a demand registration, we have the right to defer such registration, not more than once in any twelve month period, for a period of up to 90 days.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Piggyback registration rights</w:t>
      </w:r>
    </w:p>
    <w:p>
      <w:pPr>
        <w:spacing w:after="0" w:line="128" w:lineRule="exact"/>
        <w:rPr>
          <w:sz w:val="20"/>
          <w:szCs w:val="20"/>
          <w:color w:val="auto"/>
        </w:rPr>
      </w:pPr>
    </w:p>
    <w:p>
      <w:pPr>
        <w:ind w:left="460" w:right="120"/>
        <w:spacing w:after="0" w:line="248" w:lineRule="auto"/>
        <w:rPr>
          <w:sz w:val="20"/>
          <w:szCs w:val="20"/>
          <w:color w:val="auto"/>
        </w:rPr>
      </w:pPr>
      <w:r>
        <w:rPr>
          <w:rFonts w:ascii="Arial" w:cs="Arial" w:eastAsia="Arial" w:hAnsi="Arial"/>
          <w:sz w:val="16"/>
          <w:szCs w:val="16"/>
          <w:color w:val="auto"/>
        </w:rPr>
        <w:t>After the completion of this offering, the holders of up to 15,076,938 shares of our common stock will be entitled to certain “piggyback” registration rights. If we propose to register the offer and sale of shares of our common stock under the Securities Act, all holders of these shares then outstanding can request that we include their shares in such registration, subject to certain marketing and other limitations, including the right of the underwriters to limit the number of shares included in any such registration statement under certain circumstances. As a result, whenever we propose to file a registration statement under the Securities Act, other than with respect to (1) a registration related to any employee benefit plan or a corporate reorganization or other transaction covered by Rule 145 promulgated under the Securities Act,</w:t>
      </w:r>
    </w:p>
    <w:p>
      <w:pPr>
        <w:ind w:left="460" w:right="160" w:hanging="9"/>
        <w:spacing w:after="0" w:line="255" w:lineRule="auto"/>
        <w:tabs>
          <w:tab w:leader="none" w:pos="707"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 registration relating to the offer and sale of debt securities, (3) a registration on any registration form that does not permit secondary sales or (4) a registration pursuant to the demand or Form S-3 registration rights described in the preceding two paragraphs above, the holders of these shares are entitled to notice of the registration and have the right, subject to certain limitations, to include their shares in the registration.</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Expenses of registration</w:t>
      </w:r>
    </w:p>
    <w:p>
      <w:pPr>
        <w:spacing w:after="0" w:line="128" w:lineRule="exact"/>
        <w:rPr>
          <w:sz w:val="20"/>
          <w:szCs w:val="20"/>
          <w:color w:val="auto"/>
        </w:rPr>
      </w:pPr>
    </w:p>
    <w:p>
      <w:pPr>
        <w:ind w:left="460" w:right="260"/>
        <w:spacing w:after="0" w:line="265" w:lineRule="auto"/>
        <w:rPr>
          <w:sz w:val="20"/>
          <w:szCs w:val="20"/>
          <w:color w:val="auto"/>
        </w:rPr>
      </w:pPr>
      <w:r>
        <w:rPr>
          <w:rFonts w:ascii="Arial" w:cs="Arial" w:eastAsia="Arial" w:hAnsi="Arial"/>
          <w:sz w:val="16"/>
          <w:szCs w:val="16"/>
          <w:color w:val="auto"/>
        </w:rPr>
        <w:t>We will pay all expenses up to $50,000 relating to any demand registrations, Form S-3 registrations and piggyback registrations, subject to specified exceptions.</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Termination</w:t>
      </w:r>
    </w:p>
    <w:p>
      <w:pPr>
        <w:spacing w:after="0" w:line="128" w:lineRule="exact"/>
        <w:rPr>
          <w:sz w:val="20"/>
          <w:szCs w:val="20"/>
          <w:color w:val="auto"/>
        </w:rPr>
      </w:pPr>
    </w:p>
    <w:p>
      <w:pPr>
        <w:ind w:left="460" w:right="160"/>
        <w:spacing w:after="0" w:line="253" w:lineRule="auto"/>
        <w:rPr>
          <w:sz w:val="20"/>
          <w:szCs w:val="20"/>
          <w:color w:val="auto"/>
        </w:rPr>
      </w:pPr>
      <w:r>
        <w:rPr>
          <w:rFonts w:ascii="Arial" w:cs="Arial" w:eastAsia="Arial" w:hAnsi="Arial"/>
          <w:sz w:val="16"/>
          <w:szCs w:val="16"/>
          <w:color w:val="auto"/>
        </w:rPr>
        <w:t>The registration rights terminate upon the earliest of (1) the date that is three years after the completion of this offering, (2) immediately prior to the completion of certain liquidation events and (3) as to a given holder of registration rights, the date after the completion of this offering when such holder of registration rights can sell all of such holder’s registrable securities during any ninety day period pursuant to Rule 144 promulgated under the Securities Act and such holder holds less than one percent (1%) of our outstanding securities.</w:t>
      </w:r>
    </w:p>
    <w:p>
      <w:pPr>
        <w:spacing w:after="0" w:line="155" w:lineRule="exact"/>
        <w:rPr>
          <w:sz w:val="20"/>
          <w:szCs w:val="20"/>
          <w:color w:val="auto"/>
        </w:rPr>
      </w:pPr>
    </w:p>
    <w:p>
      <w:pPr>
        <w:ind w:left="460" w:right="800"/>
        <w:spacing w:after="0" w:line="277" w:lineRule="auto"/>
        <w:rPr>
          <w:sz w:val="20"/>
          <w:szCs w:val="20"/>
          <w:color w:val="auto"/>
        </w:rPr>
      </w:pPr>
      <w:r>
        <w:rPr>
          <w:rFonts w:ascii="Arial" w:cs="Arial" w:eastAsia="Arial" w:hAnsi="Arial"/>
          <w:sz w:val="20"/>
          <w:szCs w:val="20"/>
          <w:b w:val="1"/>
          <w:bCs w:val="1"/>
          <w:color w:val="auto"/>
        </w:rPr>
        <w:t>Anti-takeover effects of certain provisions of Delaware law, our amended and restated certificate of incorporation and our amended and restated bylaws</w:t>
      </w:r>
    </w:p>
    <w:p>
      <w:pPr>
        <w:spacing w:after="0" w:line="60" w:lineRule="exact"/>
        <w:rPr>
          <w:sz w:val="20"/>
          <w:szCs w:val="20"/>
          <w:color w:val="auto"/>
        </w:rPr>
      </w:pPr>
    </w:p>
    <w:p>
      <w:pPr>
        <w:jc w:val="both"/>
        <w:ind w:left="460" w:right="180"/>
        <w:spacing w:after="0" w:line="253" w:lineRule="auto"/>
        <w:rPr>
          <w:sz w:val="20"/>
          <w:szCs w:val="20"/>
          <w:color w:val="auto"/>
        </w:rPr>
      </w:pPr>
      <w:r>
        <w:rPr>
          <w:rFonts w:ascii="Arial" w:cs="Arial" w:eastAsia="Arial" w:hAnsi="Arial"/>
          <w:sz w:val="16"/>
          <w:szCs w:val="16"/>
          <w:color w:val="auto"/>
        </w:rPr>
        <w:t>Certain provisions of Delaware law and certain provisions that will be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197</w:t>
      </w:r>
    </w:p>
    <w:p>
      <w:pPr>
        <w:sectPr>
          <w:pgSz w:w="11900" w:h="16838" w:orient="portrait"/>
          <w:cols w:equalWidth="0" w:num="1">
            <w:col w:w="10800"/>
          </w:cols>
          <w:pgMar w:left="320" w:top="441" w:right="77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Preferred stock</w:t>
      </w:r>
    </w:p>
    <w:p>
      <w:pPr>
        <w:spacing w:after="0" w:line="128" w:lineRule="exact"/>
        <w:rPr>
          <w:sz w:val="20"/>
          <w:szCs w:val="20"/>
          <w:color w:val="auto"/>
        </w:rPr>
      </w:pPr>
    </w:p>
    <w:p>
      <w:pPr>
        <w:ind w:left="460" w:right="140"/>
        <w:spacing w:after="0" w:line="252" w:lineRule="auto"/>
        <w:rPr>
          <w:sz w:val="20"/>
          <w:szCs w:val="20"/>
          <w:color w:val="auto"/>
        </w:rPr>
      </w:pPr>
      <w:r>
        <w:rPr>
          <w:rFonts w:ascii="Arial" w:cs="Arial" w:eastAsia="Arial" w:hAnsi="Arial"/>
          <w:sz w:val="16"/>
          <w:szCs w:val="16"/>
          <w:color w:val="auto"/>
        </w:rPr>
        <w:t>Our amended and restated certificate of incorporation will contain provisions that permit our board of directors to issue, without any further vote or action by the stockholders, 100,000,000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Classified board</w:t>
      </w:r>
    </w:p>
    <w:p>
      <w:pPr>
        <w:spacing w:after="0" w:line="128" w:lineRule="exact"/>
        <w:rPr>
          <w:sz w:val="20"/>
          <w:szCs w:val="20"/>
          <w:color w:val="auto"/>
        </w:rPr>
      </w:pPr>
    </w:p>
    <w:p>
      <w:pPr>
        <w:ind w:left="460" w:right="20"/>
        <w:spacing w:after="0" w:line="251" w:lineRule="auto"/>
        <w:rPr>
          <w:sz w:val="20"/>
          <w:szCs w:val="20"/>
          <w:color w:val="auto"/>
        </w:rPr>
      </w:pPr>
      <w:r>
        <w:rPr>
          <w:rFonts w:ascii="Arial" w:cs="Arial" w:eastAsia="Arial" w:hAnsi="Arial"/>
          <w:sz w:val="16"/>
          <w:szCs w:val="16"/>
          <w:color w:val="auto"/>
        </w:rPr>
        <w:t>Our amended and restated certificate of incorporation will provide that our board of directors is divided into three classes, designated Class I, Class II and Class III. Each class will be an equal number of directors, as nearly as possible, consisting of one third of the total number of directors constituting the entire board of directors. The term of initial Class I directors shall terminate on the date of the 2022 annual meeting, the term of the initial Class II directors shall terminate on the date of the 2023 annual meeting, and the term of the initial Class III directors shall terminate on the date of the 2024 annual meeting. At each annual meeting of stockholders beginning in 2022, successors to the class of directors whose term expires at that annual meeting will be elected for a three-year term.</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Removal of directors</w:t>
      </w:r>
    </w:p>
    <w:p>
      <w:pPr>
        <w:spacing w:after="0" w:line="128" w:lineRule="exact"/>
        <w:rPr>
          <w:sz w:val="20"/>
          <w:szCs w:val="20"/>
          <w:color w:val="auto"/>
        </w:rPr>
      </w:pPr>
    </w:p>
    <w:p>
      <w:pPr>
        <w:ind w:left="460" w:right="40"/>
        <w:spacing w:after="0" w:line="265" w:lineRule="auto"/>
        <w:rPr>
          <w:sz w:val="20"/>
          <w:szCs w:val="20"/>
          <w:color w:val="auto"/>
        </w:rPr>
      </w:pPr>
      <w:r>
        <w:rPr>
          <w:rFonts w:ascii="Arial" w:cs="Arial" w:eastAsia="Arial" w:hAnsi="Arial"/>
          <w:sz w:val="16"/>
          <w:szCs w:val="16"/>
          <w:color w:val="auto"/>
        </w:rPr>
        <w:t>Our amended and restated certificate of incorporation will provide that stockholders may only remove a director for cause by a vote of no less than a majority of the shares entitled to vote.</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Director vacancies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amended and restated certificate of incorporation will authorize only our board of directors to fill vacant directorships.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 cumulative voting</w:t>
      </w:r>
    </w:p>
    <w:p>
      <w:pPr>
        <w:spacing w:after="0" w:line="128" w:lineRule="exact"/>
        <w:rPr>
          <w:sz w:val="20"/>
          <w:szCs w:val="20"/>
          <w:color w:val="auto"/>
        </w:rPr>
      </w:pPr>
    </w:p>
    <w:p>
      <w:pPr>
        <w:ind w:left="460" w:right="120"/>
        <w:spacing w:after="0" w:line="265" w:lineRule="auto"/>
        <w:rPr>
          <w:sz w:val="20"/>
          <w:szCs w:val="20"/>
          <w:color w:val="auto"/>
        </w:rPr>
      </w:pPr>
      <w:r>
        <w:rPr>
          <w:rFonts w:ascii="Arial" w:cs="Arial" w:eastAsia="Arial" w:hAnsi="Arial"/>
          <w:sz w:val="16"/>
          <w:szCs w:val="16"/>
          <w:color w:val="auto"/>
        </w:rPr>
        <w:t>Our amended and restated certificate of incorporation will provide that stockholders do not have the right to cumulate votes in the election of directors.</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Special meetings of stockholders</w:t>
      </w:r>
    </w:p>
    <w:p>
      <w:pPr>
        <w:spacing w:after="0" w:line="128" w:lineRule="exact"/>
        <w:rPr>
          <w:sz w:val="20"/>
          <w:szCs w:val="20"/>
          <w:color w:val="auto"/>
        </w:rPr>
      </w:pPr>
    </w:p>
    <w:p>
      <w:pPr>
        <w:ind w:left="460" w:right="20"/>
        <w:spacing w:after="0" w:line="256" w:lineRule="auto"/>
        <w:rPr>
          <w:sz w:val="20"/>
          <w:szCs w:val="20"/>
          <w:color w:val="auto"/>
        </w:rPr>
      </w:pPr>
      <w:r>
        <w:rPr>
          <w:rFonts w:ascii="Arial" w:cs="Arial" w:eastAsia="Arial" w:hAnsi="Arial"/>
          <w:sz w:val="16"/>
          <w:szCs w:val="16"/>
          <w:color w:val="auto"/>
        </w:rPr>
        <w:t>Our amended and restated certificate of incorporation and amended and restated bylaws will provide that, except as otherwise required by law, special meetings of the stockholders may be called only by an officer at the request of a majority of our board of directors, by the Chair of our board of directors, by our President or by our Chief Executive Officer.</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Advance notice procedures for director nominations</w:t>
      </w:r>
    </w:p>
    <w:p>
      <w:pPr>
        <w:spacing w:after="0" w:line="128"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Our bylaws will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will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319"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198</w:t>
      </w:r>
    </w:p>
    <w:p>
      <w:pPr>
        <w:sectPr>
          <w:pgSz w:w="11900" w:h="16838" w:orient="portrait"/>
          <w:cols w:equalWidth="0" w:num="1">
            <w:col w:w="10760"/>
          </w:cols>
          <w:pgMar w:left="320" w:top="441" w:right="819"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Action by written consent</w:t>
      </w:r>
    </w:p>
    <w:p>
      <w:pPr>
        <w:spacing w:after="0" w:line="128" w:lineRule="exact"/>
        <w:rPr>
          <w:sz w:val="20"/>
          <w:szCs w:val="20"/>
          <w:color w:val="auto"/>
        </w:rPr>
      </w:pPr>
    </w:p>
    <w:p>
      <w:pPr>
        <w:ind w:left="460" w:right="480"/>
        <w:spacing w:after="0" w:line="265" w:lineRule="auto"/>
        <w:rPr>
          <w:sz w:val="20"/>
          <w:szCs w:val="20"/>
          <w:color w:val="auto"/>
        </w:rPr>
      </w:pPr>
      <w:r>
        <w:rPr>
          <w:rFonts w:ascii="Arial" w:cs="Arial" w:eastAsia="Arial" w:hAnsi="Arial"/>
          <w:sz w:val="16"/>
          <w:szCs w:val="16"/>
          <w:color w:val="auto"/>
        </w:rPr>
        <w:t>Our amended and restated certificate of incorporation and amended and restated bylaws will provide that any action to be taken by the stockholders must be effected at a duly called annual or special meeting of stockholders and may not be effected by written consent.</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Amending our certificate of incorporation and bylaws</w:t>
      </w:r>
    </w:p>
    <w:p>
      <w:pPr>
        <w:spacing w:after="0" w:line="128" w:lineRule="exact"/>
        <w:rPr>
          <w:sz w:val="20"/>
          <w:szCs w:val="20"/>
          <w:color w:val="auto"/>
        </w:rPr>
      </w:pPr>
    </w:p>
    <w:p>
      <w:pPr>
        <w:ind w:left="460" w:right="20"/>
        <w:spacing w:after="0" w:line="252" w:lineRule="auto"/>
        <w:rPr>
          <w:sz w:val="20"/>
          <w:szCs w:val="20"/>
          <w:color w:val="auto"/>
        </w:rPr>
      </w:pPr>
      <w:r>
        <w:rPr>
          <w:rFonts w:ascii="Arial" w:cs="Arial" w:eastAsia="Arial" w:hAnsi="Arial"/>
          <w:sz w:val="16"/>
          <w:szCs w:val="16"/>
          <w:color w:val="auto"/>
        </w:rPr>
        <w:t>Our amended and restated certificate of incorporation may be amended or altered in any manner provided by the Delaware General Corporation Law, or the DGCL. Our amended and restated bylaws may be adopted, amended, altered or repealed by stockholders only 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will provide that our bylaws may be amended, altered or repealed by the board of directors.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Authorized but unissued shares</w:t>
      </w:r>
    </w:p>
    <w:p>
      <w:pPr>
        <w:spacing w:after="0" w:line="128"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color w:val="auto"/>
        </w:rPr>
        <w:t>Our authorized but unissued shares of common stock and preferred stock will be available for future issuances without stockholder approval, except as required by the listing standards of Nasdaq,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Exclusive jurisdiction</w:t>
      </w:r>
    </w:p>
    <w:p>
      <w:pPr>
        <w:spacing w:after="0" w:line="128" w:lineRule="exact"/>
        <w:rPr>
          <w:sz w:val="20"/>
          <w:szCs w:val="20"/>
          <w:color w:val="auto"/>
        </w:rPr>
      </w:pPr>
    </w:p>
    <w:p>
      <w:pPr>
        <w:ind w:left="460" w:right="100"/>
        <w:spacing w:after="0" w:line="250" w:lineRule="auto"/>
        <w:rPr>
          <w:sz w:val="20"/>
          <w:szCs w:val="20"/>
          <w:color w:val="auto"/>
        </w:rPr>
      </w:pPr>
      <w:r>
        <w:rPr>
          <w:rFonts w:ascii="Arial" w:cs="Arial" w:eastAsia="Arial" w:hAnsi="Arial"/>
          <w:sz w:val="16"/>
          <w:szCs w:val="16"/>
          <w:color w:val="auto"/>
        </w:rPr>
        <w:t>Our amended and restated bylaws will provide that, unless we consent in writing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our amended and restated bylaws, or any action asserting a claim against us that is governed by the internal affairs doctrine. This Delaware forum provision does not apply to actions arising under the Securities Exchange Act of 1934 in which the federal courts have exclusive jurisdiction. Our amended and restated bylaws will provide further, unless we consent to the selection of an alternative forum, that the federal district courts of the United States of America shall be the exclusive forum for resolving any complaint asserting a cause of action arising under the Securities Act of 1933 against any person in connection with any offering of the Company’s securities, including but not limited to any auditor, underwriter, selling shareholder, expert, control person, or other defendant.</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Business combinations with interested stockholders</w:t>
      </w:r>
    </w:p>
    <w:p>
      <w:pPr>
        <w:spacing w:after="0" w:line="128"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w:t>
      </w:r>
    </w:p>
    <w:p>
      <w:pPr>
        <w:spacing w:after="0" w:line="319"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199</w:t>
      </w:r>
    </w:p>
    <w:p>
      <w:pPr>
        <w:sectPr>
          <w:pgSz w:w="11900" w:h="16838" w:orient="portrait"/>
          <w:cols w:equalWidth="0" w:num="1">
            <w:col w:w="10740"/>
          </w:cols>
          <w:pgMar w:left="320" w:top="440" w:right="839" w:bottom="1440" w:gutter="0" w:footer="0" w:header="0"/>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 xml:space="preserve">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outstanding voting stock of such corporation not owned by the interested stockholder.</w:t>
      </w:r>
    </w:p>
    <w:p>
      <w:pPr>
        <w:spacing w:after="0" w:line="88"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Our amended and restated certificate of incorporation and our amended and restated bylaws will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86"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Listing</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stock has been approved for listing on the Nasdaq Global Market under the symbol “RXST.”</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Transfer agent and registrar</w:t>
      </w:r>
    </w:p>
    <w:p>
      <w:pPr>
        <w:spacing w:after="0" w:line="128" w:lineRule="exact"/>
        <w:rPr>
          <w:sz w:val="20"/>
          <w:szCs w:val="20"/>
          <w:color w:val="auto"/>
        </w:rPr>
      </w:pPr>
    </w:p>
    <w:p>
      <w:pPr>
        <w:ind w:left="460" w:right="100"/>
        <w:spacing w:after="0" w:line="256" w:lineRule="auto"/>
        <w:rPr>
          <w:sz w:val="20"/>
          <w:szCs w:val="20"/>
          <w:color w:val="auto"/>
        </w:rPr>
      </w:pPr>
      <w:r>
        <w:rPr>
          <w:rFonts w:ascii="Arial" w:cs="Arial" w:eastAsia="Arial" w:hAnsi="Arial"/>
          <w:sz w:val="16"/>
          <w:szCs w:val="16"/>
          <w:color w:val="auto"/>
        </w:rPr>
        <w:t>The transfer agent and registrar for our common stock is American Stock Transfer &amp; Trust Company, LLC. The transfer agent and registrar’s address is 6201 15th Avenue, Brooklyn, New York 11219, and its telephone number is 718-921-8300. Our shares of common stock will be issued in uncertificated form only, subject to limited circumstances.</w:t>
      </w:r>
    </w:p>
    <w:p>
      <w:pPr>
        <w:spacing w:after="0" w:line="121"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200</w:t>
      </w:r>
    </w:p>
    <w:p>
      <w:pPr>
        <w:sectPr>
          <w:pgSz w:w="11900" w:h="16838" w:orient="portrait"/>
          <w:cols w:equalWidth="0" w:num="1">
            <w:col w:w="10760"/>
          </w:cols>
          <w:pgMar w:left="320" w:top="440" w:right="819" w:bottom="1440" w:gutter="0" w:footer="0" w:header="0"/>
        </w:sectPr>
      </w:pPr>
    </w:p>
    <w:bookmarkStart w:id="205" w:name="page206"/>
    <w:bookmarkEnd w:id="2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Shares eligible for future sale</w:t>
      </w:r>
    </w:p>
    <w:p>
      <w:pPr>
        <w:spacing w:after="0" w:line="149"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Prior to this offering, there has been no public market for our common stock, and although we expect that our common stock will be approved for listing on the Nasdaq Global Market, we cannot assure investors that there will be an active public market for our common stock following this offering. We cannot predict what effect, if any, sales of our shares in the public market or the availability of shares for sale will have on the market price of our common stock. Future sales of substantial amounts of common stock in the public market, including shares issued upon exercise of outstanding options, or the perception that such sales may occur, however, could adversely affect the market price of our common stock and also could adversely affect our future ability to raise capital through the sale of our common stock or other equity-related securities of ours at times and prices we believe appropriate.</w:t>
      </w:r>
    </w:p>
    <w:p>
      <w:pPr>
        <w:spacing w:after="0" w:line="91"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Upon completion of this offering, based on our shares outstanding as of March 31, 2021 and after giving effect to (i) the conversion of all of the outstanding shares of our convertible preferred stock at March 31, 2021 into 14,850,993 shares of common stock and (ii) the 225,945 shares of common stock issuable upon the cash exercise of warrants to purchase shares of Series H convertible preferred stock outstanding as of March 31, 2021, which will be converted into shares of common stock following such exercise and immediately prior to the completion of this offering, at a weighted-average exercise price of $12.40 per share, 26,520,933 shares of our common stock will be outstanding, or 27,623,433 shares of common stock if the underwriters exercise their option to purchase additional shares in full. All of the shares of common stock expected to be sold in this offering will be freely tradable without restriction or further registration under the Securities Act unless held by our “affiliates,” as that term is defined in 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94" w:lineRule="exact"/>
        <w:rPr>
          <w:sz w:val="20"/>
          <w:szCs w:val="20"/>
          <w:color w:val="auto"/>
        </w:rPr>
      </w:pPr>
    </w:p>
    <w:p>
      <w:pPr>
        <w:ind w:left="460" w:right="100"/>
        <w:spacing w:after="0" w:line="256" w:lineRule="auto"/>
        <w:rPr>
          <w:sz w:val="20"/>
          <w:szCs w:val="20"/>
          <w:color w:val="auto"/>
        </w:rPr>
      </w:pPr>
      <w:r>
        <w:rPr>
          <w:rFonts w:ascii="Arial" w:cs="Arial" w:eastAsia="Arial" w:hAnsi="Arial"/>
          <w:sz w:val="16"/>
          <w:szCs w:val="16"/>
          <w:color w:val="auto"/>
        </w:rPr>
        <w:t>As a result of the lock-up agreements and market stand-off provisions described below and the provisions of Rules 144 or 701 and no exercise of the underwriters’ option to purchase additional shares, the shares of our common stock that will be deemed “restricted securities” will be available for sale in the public market following the completion of this offering as follows:</w:t>
      </w:r>
    </w:p>
    <w:p>
      <w:pPr>
        <w:spacing w:after="0" w:line="96" w:lineRule="exact"/>
        <w:rPr>
          <w:sz w:val="20"/>
          <w:szCs w:val="20"/>
          <w:color w:val="auto"/>
        </w:rPr>
      </w:pPr>
    </w:p>
    <w:p>
      <w:pPr>
        <w:ind w:left="660" w:hanging="209"/>
        <w:spacing w:after="0"/>
        <w:tabs>
          <w:tab w:leader="none" w:pos="6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7,350,000 shares will be eligible for sale on the date of this prospectus; and</w:t>
      </w:r>
    </w:p>
    <w:p>
      <w:pPr>
        <w:spacing w:after="0" w:line="120" w:lineRule="exact"/>
        <w:rPr>
          <w:rFonts w:ascii="Arial" w:cs="Arial" w:eastAsia="Arial" w:hAnsi="Arial"/>
          <w:sz w:val="16"/>
          <w:szCs w:val="16"/>
          <w:color w:val="auto"/>
        </w:rPr>
      </w:pPr>
    </w:p>
    <w:p>
      <w:pPr>
        <w:ind w:left="660" w:right="380" w:hanging="209"/>
        <w:spacing w:after="0" w:line="265" w:lineRule="auto"/>
        <w:tabs>
          <w:tab w:leader="none" w:pos="6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18,944,988 shares will be eligible for sale upon expiration of the lock-up agreements and market stand-off provisions described below, beginning more than 180 days after the date of this prospectus.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Lock-up agreements and market stand-off agreements</w:t>
      </w:r>
    </w:p>
    <w:p>
      <w:pPr>
        <w:spacing w:after="0" w:line="133" w:lineRule="exact"/>
        <w:rPr>
          <w:sz w:val="20"/>
          <w:szCs w:val="20"/>
          <w:color w:val="auto"/>
        </w:rPr>
      </w:pPr>
    </w:p>
    <w:p>
      <w:pPr>
        <w:ind w:left="460" w:right="200"/>
        <w:spacing w:after="0" w:line="252" w:lineRule="auto"/>
        <w:rPr>
          <w:sz w:val="20"/>
          <w:szCs w:val="20"/>
          <w:color w:val="auto"/>
        </w:rPr>
      </w:pPr>
      <w:r>
        <w:rPr>
          <w:rFonts w:ascii="Arial" w:cs="Arial" w:eastAsia="Arial" w:hAnsi="Arial"/>
          <w:sz w:val="16"/>
          <w:szCs w:val="16"/>
          <w:color w:val="auto"/>
        </w:rPr>
        <w:t>Our officers, directors and the holders of substantially all of our capital stock, options and warrants have entered into market stand-off agreements with us and have entered into or will enter into lock-up agreements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consent of J.P. Morgan Securities LLC and BofA Securities, Inc. See the section titled “Underwriting” for additional information.</w:t>
      </w:r>
    </w:p>
    <w:p>
      <w:pPr>
        <w:spacing w:after="0" w:line="124"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201</w:t>
      </w:r>
    </w:p>
    <w:p>
      <w:pPr>
        <w:sectPr>
          <w:pgSz w:w="11900" w:h="16838" w:orient="portrait"/>
          <w:cols w:equalWidth="0" w:num="1">
            <w:col w:w="10780"/>
          </w:cols>
          <w:pgMar w:left="320" w:top="441" w:right="799" w:bottom="1440" w:gutter="0" w:footer="0" w:header="0"/>
        </w:sectPr>
      </w:pPr>
    </w:p>
    <w:bookmarkStart w:id="206" w:name="page207"/>
    <w:bookmarkEnd w:id="2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Rule 144</w:t>
      </w:r>
    </w:p>
    <w:p>
      <w:pPr>
        <w:spacing w:after="0" w:line="133"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Rule 144, as currently in effect, generally provides that, once we have been subject to the public company reporting requirements of Section 13 or Section 15(d) of the Exchange Act for at least 90 days, a stockholder who is not deemed to have been one of our affiliates at any time during the preceding 90 days and who has beneficially owned the shares of our capital stock proposed to be sold for at least six months is entitled to sell such shares in reliance upon Rule 144 without complying with the volume limitation, manner of sale or notice conditions of Rule 144 (subject to the lock-up agreement referred to above, if applicable). If such stockholder has beneficially owned the shares of our capital stock proposed to be sold for at least one year, then such person is entitled to sell such shares in reliance upon Rule 144 without complying with any of the conditions of Rule 144 (subject to the lock-up agreement referred to above, if applicable).</w:t>
      </w:r>
    </w:p>
    <w:p>
      <w:pPr>
        <w:spacing w:after="0" w:line="91" w:lineRule="exact"/>
        <w:rPr>
          <w:sz w:val="20"/>
          <w:szCs w:val="20"/>
          <w:color w:val="auto"/>
        </w:rPr>
      </w:pPr>
    </w:p>
    <w:p>
      <w:pPr>
        <w:ind w:left="460" w:right="20"/>
        <w:spacing w:after="0" w:line="253" w:lineRule="auto"/>
        <w:rPr>
          <w:sz w:val="20"/>
          <w:szCs w:val="20"/>
          <w:color w:val="auto"/>
        </w:rPr>
      </w:pPr>
      <w:r>
        <w:rPr>
          <w:rFonts w:ascii="Arial" w:cs="Arial" w:eastAsia="Arial" w:hAnsi="Arial"/>
          <w:sz w:val="16"/>
          <w:szCs w:val="16"/>
          <w:color w:val="auto"/>
        </w:rPr>
        <w:t>Rule 144 also provides that a stockholder who is deemed to have been one of our affiliates at any time during the preceding 90 days and who has beneficially owned the shares of our common stock proposed to be sold for at least six months is entitled to sell such shares in reliance upon Rule 144, upon expiration of any applicable lock-up agreements and within any three month period beginning 90 days after the date of this prospectus a number of shares that does not exceed the greater of the following:</w:t>
      </w:r>
    </w:p>
    <w:p>
      <w:pPr>
        <w:spacing w:after="0" w:line="99" w:lineRule="exact"/>
        <w:rPr>
          <w:sz w:val="20"/>
          <w:szCs w:val="20"/>
          <w:color w:val="auto"/>
        </w:rPr>
      </w:pPr>
    </w:p>
    <w:p>
      <w:pPr>
        <w:ind w:left="660" w:right="100" w:hanging="209"/>
        <w:spacing w:after="0" w:line="265" w:lineRule="auto"/>
        <w:tabs>
          <w:tab w:leader="none" w:pos="6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1% of the number of shares of our capital stock then outstanding, which will equal 262,949 shares immediately after the completion of this offering, assuming no exercise by the underwriters of their option to purchase additional shares; or</w:t>
      </w:r>
    </w:p>
    <w:p>
      <w:pPr>
        <w:spacing w:after="0" w:line="88" w:lineRule="exact"/>
        <w:rPr>
          <w:rFonts w:ascii="Arial" w:cs="Arial" w:eastAsia="Arial" w:hAnsi="Arial"/>
          <w:sz w:val="16"/>
          <w:szCs w:val="16"/>
          <w:color w:val="auto"/>
        </w:rPr>
      </w:pPr>
    </w:p>
    <w:p>
      <w:pPr>
        <w:ind w:left="660" w:right="160" w:hanging="209"/>
        <w:spacing w:after="0" w:line="265" w:lineRule="auto"/>
        <w:tabs>
          <w:tab w:leader="none" w:pos="6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average weekly trading volume of our common stock during the four calendar weeks preceding the filing of a notice on Form 144 with respect to such sale.</w:t>
      </w:r>
    </w:p>
    <w:p>
      <w:pPr>
        <w:spacing w:after="0" w:line="75" w:lineRule="exact"/>
        <w:rPr>
          <w:sz w:val="20"/>
          <w:szCs w:val="20"/>
          <w:color w:val="auto"/>
        </w:rPr>
      </w:pPr>
    </w:p>
    <w:p>
      <w:pPr>
        <w:ind w:left="460" w:right="180"/>
        <w:spacing w:after="0" w:line="252" w:lineRule="auto"/>
        <w:rPr>
          <w:sz w:val="20"/>
          <w:szCs w:val="20"/>
          <w:color w:val="auto"/>
        </w:rPr>
      </w:pPr>
      <w:r>
        <w:rPr>
          <w:rFonts w:ascii="Arial" w:cs="Arial" w:eastAsia="Arial" w:hAnsi="Arial"/>
          <w:sz w:val="16"/>
          <w:szCs w:val="16"/>
          <w:color w:val="auto"/>
        </w:rPr>
        <w:t>Sales of our capital stock made in reliance upon Rule 144 by a stockholder who is deemed to have been one of our affiliates at any time during the preceding 90 days are also subject to the current public information, manner of sale and notice conditions of Rule 144.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Rule 701</w:t>
      </w:r>
    </w:p>
    <w:p>
      <w:pPr>
        <w:spacing w:after="0" w:line="133" w:lineRule="exact"/>
        <w:rPr>
          <w:sz w:val="20"/>
          <w:szCs w:val="20"/>
          <w:color w:val="auto"/>
        </w:rPr>
      </w:pPr>
    </w:p>
    <w:p>
      <w:pPr>
        <w:ind w:left="460" w:right="80"/>
        <w:spacing w:after="0" w:line="249" w:lineRule="auto"/>
        <w:rPr>
          <w:sz w:val="20"/>
          <w:szCs w:val="20"/>
          <w:color w:val="auto"/>
        </w:rPr>
      </w:pPr>
      <w:r>
        <w:rPr>
          <w:rFonts w:ascii="Arial" w:cs="Arial" w:eastAsia="Arial" w:hAnsi="Arial"/>
          <w:sz w:val="16"/>
          <w:szCs w:val="16"/>
          <w:color w:val="auto"/>
        </w:rPr>
        <w:t>Rule 701 generally provides that, once we have been subject to the public company reporting requirements of Section 13 or Section 15(d) of the Exchange Act for at least 90 days, a stockholder who purchased shares of our common stock pursuant to a written compensatory benefit plan or contract and who is not deemed to have been one of our affiliates at any time during the preceding 90 days may sell such shares (to the extent such shares are not subject to a lock-up agreement)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 (subject to the lock-up agreement referred to above, if applicable). However, all stockholders who purchased shares of our common stock pursuant to a written compensatory benefit plan or contract are required to wait until 90 days after the date of this prospectus before selling such shares pursuant to Rule 701 (subject to the lock-up agreement referred to above, if applicable).</w:t>
      </w:r>
    </w:p>
    <w:p>
      <w:pPr>
        <w:spacing w:after="0" w:line="132"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202</w:t>
      </w:r>
    </w:p>
    <w:p>
      <w:pPr>
        <w:sectPr>
          <w:pgSz w:w="11900" w:h="16838" w:orient="portrait"/>
          <w:cols w:equalWidth="0" w:num="1">
            <w:col w:w="10780"/>
          </w:cols>
          <w:pgMar w:left="320" w:top="441" w:right="799" w:bottom="1440" w:gutter="0" w:footer="0" w:header="0"/>
        </w:sectPr>
      </w:pPr>
    </w:p>
    <w:bookmarkStart w:id="207" w:name="page208"/>
    <w:bookmarkEnd w:id="2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Registration rights</w:t>
      </w:r>
    </w:p>
    <w:p>
      <w:pPr>
        <w:spacing w:after="0" w:line="133"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color w:val="auto"/>
        </w:rPr>
        <w:t>After the completion of this offering, the holders of up to 15,076,938 shares of our common stock will, subject to the lock-up agreements referred to above, be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 Securities Act immediately upon the effectiveness of such registration, subject to the Rule 144 limitations applicable to affiliates. See the section titled “Description of Capital Stock—Registration Rights” for a description of these registration rights.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Registration statement</w:t>
      </w:r>
    </w:p>
    <w:p>
      <w:pPr>
        <w:spacing w:after="0" w:line="133" w:lineRule="exact"/>
        <w:rPr>
          <w:sz w:val="20"/>
          <w:szCs w:val="20"/>
          <w:color w:val="auto"/>
        </w:rPr>
      </w:pPr>
    </w:p>
    <w:p>
      <w:pPr>
        <w:ind w:left="460" w:right="20"/>
        <w:spacing w:after="0" w:line="251" w:lineRule="auto"/>
        <w:rPr>
          <w:sz w:val="20"/>
          <w:szCs w:val="20"/>
          <w:color w:val="auto"/>
        </w:rPr>
      </w:pPr>
      <w:r>
        <w:rPr>
          <w:rFonts w:ascii="Arial" w:cs="Arial" w:eastAsia="Arial" w:hAnsi="Arial"/>
          <w:sz w:val="16"/>
          <w:szCs w:val="16"/>
          <w:color w:val="auto"/>
        </w:rPr>
        <w:t>After the completion of this offering, we intend to file a registration statement on Form S-8 under the Securities Act to register all of the shares of our common stock subject to equity awards outstanding or reserved for issuance under our equity compensation plans. The shares of our common stock covered by such registration statement will be eligible for sale in the public market without restriction under the Securities Act immediately upon the effectiveness of such registration statement, subject to vesting restrictions, the conditions of Rule 144 applicable to affiliates, and any applicable market stand-off agreements and lock-up agreements. See the section titled “Executive Compensation— Employee Benefit and Stock Plans” for a description of our equity compensation plans.</w:t>
      </w:r>
    </w:p>
    <w:p>
      <w:pPr>
        <w:spacing w:after="0" w:line="126"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203</w:t>
      </w:r>
    </w:p>
    <w:p>
      <w:pPr>
        <w:sectPr>
          <w:pgSz w:w="11900" w:h="16838" w:orient="portrait"/>
          <w:cols w:equalWidth="0" w:num="1">
            <w:col w:w="10760"/>
          </w:cols>
          <w:pgMar w:left="320" w:top="441" w:right="819" w:bottom="1440" w:gutter="0" w:footer="0" w:header="0"/>
        </w:sectPr>
      </w:pPr>
    </w:p>
    <w:bookmarkStart w:id="208" w:name="page209"/>
    <w:bookmarkEnd w:id="2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right="80"/>
        <w:spacing w:after="0" w:line="287" w:lineRule="auto"/>
        <w:rPr>
          <w:sz w:val="20"/>
          <w:szCs w:val="20"/>
          <w:color w:val="auto"/>
        </w:rPr>
      </w:pPr>
      <w:r>
        <w:rPr>
          <w:rFonts w:ascii="Arial" w:cs="Arial" w:eastAsia="Arial" w:hAnsi="Arial"/>
          <w:sz w:val="30"/>
          <w:szCs w:val="30"/>
          <w:b w:val="1"/>
          <w:bCs w:val="1"/>
          <w:color w:val="auto"/>
        </w:rPr>
        <w:t>Material U.S. federal income tax considerations for non-U.S. holders of our common stock</w:t>
      </w:r>
    </w:p>
    <w:p>
      <w:pPr>
        <w:spacing w:after="0" w:line="24" w:lineRule="exact"/>
        <w:rPr>
          <w:sz w:val="20"/>
          <w:szCs w:val="20"/>
          <w:color w:val="auto"/>
        </w:rPr>
      </w:pPr>
    </w:p>
    <w:p>
      <w:pPr>
        <w:ind w:left="460" w:right="80"/>
        <w:spacing w:after="0" w:line="250" w:lineRule="auto"/>
        <w:rPr>
          <w:sz w:val="20"/>
          <w:szCs w:val="20"/>
          <w:color w:val="auto"/>
        </w:rPr>
      </w:pPr>
      <w:r>
        <w:rPr>
          <w:rFonts w:ascii="Arial" w:cs="Arial" w:eastAsia="Arial" w:hAnsi="Arial"/>
          <w:sz w:val="16"/>
          <w:szCs w:val="16"/>
          <w:color w:val="auto"/>
        </w:rPr>
        <w:t>The following is a summary of the material U.S. federal income tax considerations of the ownership and disposition of our common stock acquired in this offering by a “non-U.S. holder” (as defined below), but does not purport to be a complete analysis of all the potential tax considerations relating thereto. This summary is based upon the provisions of the Internal Revenue Code of 1986, as amended (the Code), Treasury Regulations promulgated thereunder, administrative rulings and judicial decisions, all as of the date hereof. These authorities may be changed, possibly retroactively, so as to result in U.S. federal income tax considerations different from those set forth below. We have not sought, and do not intend to seek, any ruling from the Internal Revenue Service (IRS), with respect to the statements made and the conclusions reached in the following summary, and there can be no assurance that the IRS or a court will agree with such statements and conclusions.</w:t>
      </w:r>
    </w:p>
    <w:p>
      <w:pPr>
        <w:spacing w:after="0" w:line="281" w:lineRule="exact"/>
        <w:rPr>
          <w:sz w:val="20"/>
          <w:szCs w:val="20"/>
          <w:color w:val="auto"/>
        </w:rPr>
      </w:pPr>
    </w:p>
    <w:p>
      <w:pPr>
        <w:ind w:left="460" w:right="140"/>
        <w:spacing w:after="0" w:line="256" w:lineRule="auto"/>
        <w:rPr>
          <w:sz w:val="20"/>
          <w:szCs w:val="20"/>
          <w:color w:val="auto"/>
        </w:rPr>
      </w:pPr>
      <w:r>
        <w:rPr>
          <w:rFonts w:ascii="Arial" w:cs="Arial" w:eastAsia="Arial" w:hAnsi="Arial"/>
          <w:sz w:val="16"/>
          <w:szCs w:val="16"/>
          <w:color w:val="auto"/>
        </w:rPr>
        <w:t>This summary also does not address the tax considerations arising under the laws of any non-U.S., state or local jurisdiction or under U.S. federal gift and estate tax rules, and does not address tax considerations applicable to an investor’s particular circumstances or to investors that may be subject to special tax rules, including, without limitation:</w:t>
      </w:r>
    </w:p>
    <w:p>
      <w:pPr>
        <w:spacing w:after="0" w:line="96" w:lineRule="exact"/>
        <w:rPr>
          <w:sz w:val="20"/>
          <w:szCs w:val="20"/>
          <w:color w:val="auto"/>
        </w:rPr>
      </w:pPr>
    </w:p>
    <w:p>
      <w:pPr>
        <w:ind w:left="660" w:hanging="209"/>
        <w:spacing w:after="0"/>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banks, insurance companies, regulated investment companies, real estate investment trusts or other financial institutions;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tax-exempt organizations or governmental organizations;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persons subject to the alternative minimum tax or the Medicare surtax on net investment income;</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pension plans and tax-qualified retirement plans;</w:t>
      </w:r>
    </w:p>
    <w:p>
      <w:pPr>
        <w:spacing w:after="0" w:line="120" w:lineRule="exact"/>
        <w:rPr>
          <w:rFonts w:ascii="Arial" w:cs="Arial" w:eastAsia="Arial" w:hAnsi="Arial"/>
          <w:sz w:val="16"/>
          <w:szCs w:val="16"/>
          <w:color w:val="auto"/>
        </w:rPr>
      </w:pPr>
    </w:p>
    <w:p>
      <w:pPr>
        <w:ind w:left="660" w:right="280" w:hanging="209"/>
        <w:spacing w:after="0" w:line="265" w:lineRule="auto"/>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brokers or dealers in securities;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traders in securities;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persons that own, or are deemed to own, more than 5% of our capital stock (except to the extent specifically set forth below);</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certain former citizens or long-term residents of the United States;</w:t>
      </w:r>
    </w:p>
    <w:p>
      <w:pPr>
        <w:spacing w:after="0" w:line="120" w:lineRule="exact"/>
        <w:rPr>
          <w:rFonts w:ascii="Arial" w:cs="Arial" w:eastAsia="Arial" w:hAnsi="Arial"/>
          <w:sz w:val="16"/>
          <w:szCs w:val="16"/>
          <w:color w:val="auto"/>
        </w:rPr>
      </w:pPr>
    </w:p>
    <w:p>
      <w:pPr>
        <w:ind w:left="660" w:right="640" w:hanging="209"/>
        <w:spacing w:after="0" w:line="265" w:lineRule="auto"/>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partnerships (or entities or arrangements classified as such for U.S. federal income tax purposes), other pass-through entities and investors therein;</w:t>
      </w:r>
    </w:p>
    <w:p>
      <w:pPr>
        <w:spacing w:after="0" w:line="88" w:lineRule="exact"/>
        <w:rPr>
          <w:rFonts w:ascii="Arial" w:cs="Arial" w:eastAsia="Arial" w:hAnsi="Arial"/>
          <w:sz w:val="16"/>
          <w:szCs w:val="16"/>
          <w:color w:val="auto"/>
        </w:rPr>
      </w:pPr>
    </w:p>
    <w:p>
      <w:pPr>
        <w:ind w:left="660" w:right="360" w:hanging="209"/>
        <w:spacing w:after="0" w:line="265" w:lineRule="auto"/>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persons who hold our common stock as a position in a hedging transaction, “straddle,” “conversion transaction” or other risk reduction transaction;</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persons who hold or receive our common stock pursuant to the exercise of any employee stock option;</w:t>
      </w:r>
    </w:p>
    <w:p>
      <w:pPr>
        <w:spacing w:after="0" w:line="120" w:lineRule="exact"/>
        <w:rPr>
          <w:rFonts w:ascii="Arial" w:cs="Arial" w:eastAsia="Arial" w:hAnsi="Arial"/>
          <w:sz w:val="16"/>
          <w:szCs w:val="16"/>
          <w:color w:val="auto"/>
        </w:rPr>
      </w:pPr>
    </w:p>
    <w:p>
      <w:pPr>
        <w:ind w:left="660" w:right="20" w:hanging="209"/>
        <w:spacing w:after="0" w:line="265" w:lineRule="auto"/>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persons who do not hold our common stock as a capital asset within the meaning of Section 1221 of the Code (generally, property held for investment); or</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persons deemed to sell our common stock under the constructive sale provisions of the Code.</w:t>
      </w:r>
    </w:p>
    <w:p>
      <w:pPr>
        <w:spacing w:after="0" w:line="108" w:lineRule="exact"/>
        <w:rPr>
          <w:sz w:val="20"/>
          <w:szCs w:val="20"/>
          <w:color w:val="auto"/>
        </w:rPr>
      </w:pPr>
    </w:p>
    <w:p>
      <w:pPr>
        <w:ind w:left="460"/>
        <w:spacing w:after="0" w:line="265" w:lineRule="auto"/>
        <w:rPr>
          <w:sz w:val="20"/>
          <w:szCs w:val="20"/>
          <w:color w:val="auto"/>
        </w:rPr>
      </w:pPr>
      <w:r>
        <w:rPr>
          <w:rFonts w:ascii="Arial" w:cs="Arial" w:eastAsia="Arial" w:hAnsi="Arial"/>
          <w:sz w:val="16"/>
          <w:szCs w:val="16"/>
          <w:color w:val="auto"/>
        </w:rPr>
        <w:t>In addition, if a partnership, entity or arrangement classified as a partnership or flow-through entity for U.S. federal income tax purposes holds our common stock, the tax treatment of a partner generally will depend on</w:t>
      </w:r>
    </w:p>
    <w:p>
      <w:pPr>
        <w:spacing w:after="0" w:line="113"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204</w:t>
      </w:r>
    </w:p>
    <w:p>
      <w:pPr>
        <w:sectPr>
          <w:pgSz w:w="11900" w:h="16838" w:orient="portrait"/>
          <w:cols w:equalWidth="0" w:num="1">
            <w:col w:w="10740"/>
          </w:cols>
          <w:pgMar w:left="320" w:top="441" w:right="839" w:bottom="1440" w:gutter="0" w:footer="0" w:header="0"/>
        </w:sectPr>
      </w:pPr>
    </w:p>
    <w:bookmarkStart w:id="209" w:name="page210"/>
    <w:bookmarkEnd w:id="2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540"/>
        <w:spacing w:after="0" w:line="256" w:lineRule="auto"/>
        <w:rPr>
          <w:sz w:val="20"/>
          <w:szCs w:val="20"/>
          <w:color w:val="auto"/>
        </w:rPr>
      </w:pPr>
      <w:r>
        <w:rPr>
          <w:rFonts w:ascii="Arial" w:cs="Arial" w:eastAsia="Arial" w:hAnsi="Arial"/>
          <w:sz w:val="16"/>
          <w:szCs w:val="16"/>
          <w:color w:val="auto"/>
        </w:rPr>
        <w:t>the status of the partner, upon the activities of the partnership or other entity and on certain determinations made at the partner level. A partner in a partnership or other such entity that will hold our common stock should consult his, her or its tax advisor regarding the tax considerations of the ownership and disposition of our common stock through a partnership or other such entity, as applicable.</w:t>
      </w:r>
    </w:p>
    <w:p>
      <w:pPr>
        <w:spacing w:after="0" w:line="63" w:lineRule="exact"/>
        <w:rPr>
          <w:sz w:val="20"/>
          <w:szCs w:val="20"/>
          <w:color w:val="auto"/>
        </w:rPr>
      </w:pPr>
    </w:p>
    <w:p>
      <w:pPr>
        <w:ind w:left="460" w:right="40"/>
        <w:spacing w:after="0" w:line="262" w:lineRule="auto"/>
        <w:rPr>
          <w:sz w:val="20"/>
          <w:szCs w:val="20"/>
          <w:color w:val="auto"/>
        </w:rPr>
      </w:pPr>
      <w:r>
        <w:rPr>
          <w:rFonts w:ascii="Arial" w:cs="Arial" w:eastAsia="Arial" w:hAnsi="Arial"/>
          <w:sz w:val="16"/>
          <w:szCs w:val="16"/>
          <w:b w:val="1"/>
          <w:bCs w:val="1"/>
          <w:color w:val="auto"/>
        </w:rPr>
        <w:t>You are urged to consult your tax advisor with respect to the application of the U.S. federal income tax laws to your particular situation, as well as any tax considerations of the purchase, ownership and disposition of our common stock arising under the U.S. federal gift or estate tax rules or under the laws of any state, local, non-U.S. or other taxing jurisdiction or under any applicable tax treaty.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Non-U.S. holder defined</w:t>
      </w:r>
    </w:p>
    <w:p>
      <w:pPr>
        <w:spacing w:after="0" w:line="133" w:lineRule="exact"/>
        <w:rPr>
          <w:sz w:val="20"/>
          <w:szCs w:val="20"/>
          <w:color w:val="auto"/>
        </w:rPr>
      </w:pPr>
    </w:p>
    <w:p>
      <w:pPr>
        <w:ind w:left="460" w:right="220"/>
        <w:spacing w:after="0" w:line="265" w:lineRule="auto"/>
        <w:rPr>
          <w:sz w:val="20"/>
          <w:szCs w:val="20"/>
          <w:color w:val="auto"/>
        </w:rPr>
      </w:pPr>
      <w:r>
        <w:rPr>
          <w:rFonts w:ascii="Arial" w:cs="Arial" w:eastAsia="Arial" w:hAnsi="Arial"/>
          <w:sz w:val="16"/>
          <w:szCs w:val="16"/>
          <w:color w:val="auto"/>
        </w:rPr>
        <w:t>For purposes of this discussion, you are a “non-U.S. holder” if you are a beneficial owner of our common stock that, for U.S. federal income tax purposes, is not a partnership (including any entity or arrangement treated as a partnership and the equity holders therein) or:</w:t>
      </w:r>
    </w:p>
    <w:p>
      <w:pPr>
        <w:spacing w:after="0" w:line="88" w:lineRule="exact"/>
        <w:rPr>
          <w:sz w:val="20"/>
          <w:szCs w:val="20"/>
          <w:color w:val="auto"/>
        </w:rPr>
      </w:pPr>
    </w:p>
    <w:p>
      <w:pPr>
        <w:ind w:left="660" w:hanging="209"/>
        <w:spacing w:after="0"/>
        <w:tabs>
          <w:tab w:leader="none" w:pos="6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w:t>
      </w:r>
    </w:p>
    <w:p>
      <w:pPr>
        <w:spacing w:after="0" w:line="120" w:lineRule="exact"/>
        <w:rPr>
          <w:rFonts w:ascii="Arial" w:cs="Arial" w:eastAsia="Arial" w:hAnsi="Arial"/>
          <w:sz w:val="16"/>
          <w:szCs w:val="16"/>
          <w:color w:val="auto"/>
        </w:rPr>
      </w:pPr>
    </w:p>
    <w:p>
      <w:pPr>
        <w:ind w:left="660" w:right="280" w:hanging="209"/>
        <w:spacing w:after="0" w:line="265" w:lineRule="auto"/>
        <w:tabs>
          <w:tab w:leader="none" w:pos="6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an estate whose income is subject to U.S. federal income tax regardless of its source; or</w:t>
      </w:r>
    </w:p>
    <w:p>
      <w:pPr>
        <w:spacing w:after="0" w:line="120" w:lineRule="exact"/>
        <w:rPr>
          <w:rFonts w:ascii="Arial" w:cs="Arial" w:eastAsia="Arial" w:hAnsi="Arial"/>
          <w:sz w:val="16"/>
          <w:szCs w:val="16"/>
          <w:color w:val="auto"/>
        </w:rPr>
      </w:pPr>
    </w:p>
    <w:p>
      <w:pPr>
        <w:ind w:left="660" w:right="180" w:hanging="209"/>
        <w:spacing w:after="0" w:line="256" w:lineRule="auto"/>
        <w:tabs>
          <w:tab w:leader="none" w:pos="6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Distributions</w:t>
      </w:r>
    </w:p>
    <w:p>
      <w:pPr>
        <w:spacing w:after="0" w:line="133" w:lineRule="exact"/>
        <w:rPr>
          <w:sz w:val="20"/>
          <w:szCs w:val="20"/>
          <w:color w:val="auto"/>
        </w:rPr>
      </w:pPr>
    </w:p>
    <w:p>
      <w:pPr>
        <w:ind w:left="460" w:right="60"/>
        <w:spacing w:after="0" w:line="251" w:lineRule="auto"/>
        <w:rPr>
          <w:sz w:val="20"/>
          <w:szCs w:val="20"/>
          <w:color w:val="auto"/>
        </w:rPr>
      </w:pPr>
      <w:r>
        <w:rPr>
          <w:rFonts w:ascii="Arial" w:cs="Arial" w:eastAsia="Arial" w:hAnsi="Arial"/>
          <w:sz w:val="16"/>
          <w:szCs w:val="16"/>
          <w:color w:val="auto"/>
        </w:rPr>
        <w:t>As described in the section titled “Dividend Policy,” we have not declared or paid any cash dividends on our capital stock since inception, and we do not anticipate paying any cash dividends following the completion of this offering.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as described below under “—Gain on Disposition of Common Stock.”</w:t>
      </w:r>
    </w:p>
    <w:p>
      <w:pPr>
        <w:spacing w:after="0" w:line="88"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Subject to the discussions below on effectively connected income and in the sections titled “—Backup Withholding and Information Reporting” and “—Foreign Account Tax Compliance Act (FATCA),”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with a properly executed IRS Form W-8BEN or IRS Form W-8BEN-E or other appropriate version of IRS Form W-8 certifying qualification for the reduced rate. Under applicable Treasury Regulations, we may withhold up to 30% of the gross amount of the entire distribution even if the amount constituting a dividend, as described above, is less than the gross amount. If you are eligible for a reduced rate of U.S. federal withholding tax pursuant to an income tax treaty, you may obtain a refund of any excess amounts withheld by timely filing an appropriate claim for refund with the IRS. You should consult your tax advisor regarding your entitlement to benefits under any applicable tax treaty. If you hold our common stock through a financial institution or other</w:t>
      </w:r>
    </w:p>
    <w:p>
      <w:pPr>
        <w:spacing w:after="0" w:line="31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205</w:t>
      </w:r>
    </w:p>
    <w:p>
      <w:pPr>
        <w:sectPr>
          <w:pgSz w:w="11900" w:h="16838" w:orient="portrait"/>
          <w:cols w:equalWidth="0" w:num="1">
            <w:col w:w="10800"/>
          </w:cols>
          <w:pgMar w:left="320" w:top="441" w:right="779" w:bottom="1440" w:gutter="0" w:footer="0" w:header="0"/>
        </w:sectPr>
      </w:pPr>
    </w:p>
    <w:bookmarkStart w:id="210" w:name="page211"/>
    <w:bookmarkEnd w:id="2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340"/>
        <w:spacing w:after="0" w:line="265" w:lineRule="auto"/>
        <w:rPr>
          <w:sz w:val="20"/>
          <w:szCs w:val="20"/>
          <w:color w:val="auto"/>
        </w:rPr>
      </w:pPr>
      <w:r>
        <w:rPr>
          <w:rFonts w:ascii="Arial" w:cs="Arial" w:eastAsia="Arial" w:hAnsi="Arial"/>
          <w:sz w:val="16"/>
          <w:szCs w:val="16"/>
          <w:color w:val="auto"/>
        </w:rPr>
        <w:t>agent acting on your behalf, you will be required to provide appropriate documentation to the agent, which then will be required to provide certification to us or our paying agent, either directly or through other intermediaries.</w:t>
      </w:r>
    </w:p>
    <w:p>
      <w:pPr>
        <w:spacing w:after="0" w:line="75" w:lineRule="exact"/>
        <w:rPr>
          <w:sz w:val="20"/>
          <w:szCs w:val="20"/>
          <w:color w:val="auto"/>
        </w:rPr>
      </w:pPr>
    </w:p>
    <w:p>
      <w:pPr>
        <w:ind w:left="460" w:right="60"/>
        <w:spacing w:after="0" w:line="249" w:lineRule="auto"/>
        <w:rPr>
          <w:sz w:val="20"/>
          <w:szCs w:val="20"/>
          <w:color w:val="auto"/>
        </w:rPr>
      </w:pPr>
      <w:r>
        <w:rPr>
          <w:rFonts w:ascii="Arial" w:cs="Arial" w:eastAsia="Arial" w:hAnsi="Arial"/>
          <w:sz w:val="16"/>
          <w:szCs w:val="16"/>
          <w:color w:val="auto"/>
        </w:rPr>
        <w:t>Dividends received by you that are treated as effectively connected with your conduct of a U.S. trade or business (and, if required by an applicable income tax treaty, are attributable to a permanent establishment or fixed base maintained by you in the United States) are generally exempt from the 30% U.S. federal withholding tax, subject to the discussion below in the sections titled “—Backup Withholding and Information Reporting” and “—Foreign Account Tax Compliance Act (FATCA).” In order to obtain this exemption, you must provide us with a properly executed IRS Form W-8ECI or other applicable IRS Form W-8 properly certifying such exemption. Such effectively connected dividends, although not subject to U.S. federal withholding tax, are taxed at the same federal income tax rates applicable to U.S. persons, net of certain deductions and credits, subject to an applicable income tax treaty providing otherwise.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any applicable tax treaties that may provide for different rules.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Gain on disposition of common stock</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discussion in the section titled “—Backup Withholding and Information Reporting,” you generally will not be required to pay U.S.</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federal income tax on any gain realized upon the sale or other disposition of our common stock unless:</w:t>
      </w:r>
    </w:p>
    <w:p>
      <w:pPr>
        <w:spacing w:after="0" w:line="120" w:lineRule="exact"/>
        <w:rPr>
          <w:sz w:val="20"/>
          <w:szCs w:val="20"/>
          <w:color w:val="auto"/>
        </w:rPr>
      </w:pPr>
    </w:p>
    <w:p>
      <w:pPr>
        <w:ind w:left="660" w:right="40" w:hanging="209"/>
        <w:spacing w:after="0" w:line="265" w:lineRule="auto"/>
        <w:tabs>
          <w:tab w:leader="none" w:pos="6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88" w:lineRule="exact"/>
        <w:rPr>
          <w:rFonts w:ascii="Arial" w:cs="Arial" w:eastAsia="Arial" w:hAnsi="Arial"/>
          <w:sz w:val="16"/>
          <w:szCs w:val="16"/>
          <w:color w:val="auto"/>
        </w:rPr>
      </w:pPr>
    </w:p>
    <w:p>
      <w:pPr>
        <w:ind w:left="660" w:right="220" w:hanging="209"/>
        <w:spacing w:after="0" w:line="265" w:lineRule="auto"/>
        <w:tabs>
          <w:tab w:leader="none" w:pos="6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you are an individual who is present in the United States for a period or periods aggregating 183 days or more during the taxable year in which the sale or disposition occurs and certain other conditions are met; or</w:t>
      </w:r>
    </w:p>
    <w:p>
      <w:pPr>
        <w:spacing w:after="0" w:line="88" w:lineRule="exact"/>
        <w:rPr>
          <w:rFonts w:ascii="Arial" w:cs="Arial" w:eastAsia="Arial" w:hAnsi="Arial"/>
          <w:sz w:val="16"/>
          <w:szCs w:val="16"/>
          <w:color w:val="auto"/>
        </w:rPr>
      </w:pPr>
    </w:p>
    <w:p>
      <w:pPr>
        <w:ind w:left="660" w:right="160" w:hanging="209"/>
        <w:spacing w:after="0" w:line="252" w:lineRule="auto"/>
        <w:tabs>
          <w:tab w:leader="none" w:pos="6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our common stock constitutes a United States real property interest (USRPI) by reason of our status as a “United States real property holding corporation” (USRPHC) for U.S. federal income tax purposes at any time within the shorter of the five-year period preceding your disposition of, or your holding period for, our common stock, unless our common stock is regularly traded on an established securities market and you hold no more than 5% of our outstanding common stock, directly, indirectly and constructively, at all times, during the shorter of the five-year period ending on the date of the taxable disposition or your holding period for our common stock.</w:t>
      </w:r>
    </w:p>
    <w:p>
      <w:pPr>
        <w:spacing w:after="0" w:line="86" w:lineRule="exact"/>
        <w:rPr>
          <w:sz w:val="20"/>
          <w:szCs w:val="20"/>
          <w:color w:val="auto"/>
        </w:rPr>
      </w:pPr>
    </w:p>
    <w:p>
      <w:pPr>
        <w:ind w:left="460" w:right="40"/>
        <w:spacing w:after="0" w:line="250" w:lineRule="auto"/>
        <w:rPr>
          <w:sz w:val="20"/>
          <w:szCs w:val="20"/>
          <w:color w:val="auto"/>
        </w:rPr>
      </w:pPr>
      <w:r>
        <w:rPr>
          <w:rFonts w:ascii="Arial" w:cs="Arial" w:eastAsia="Arial" w:hAnsi="Arial"/>
          <w:sz w:val="16"/>
          <w:szCs w:val="16"/>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business assets, there can be no assurance that we will not become a USRPHC in the future. If our common stock constitutes a USRPI and either our common stock is not regularly traded on an established securities market or you hold more than 5% of our outstanding common stock, directly, indirectly and constructively, during the applicable testing period, you will generally be taxed on any gain in the same manner as gain that is effectively connected with the conduct of a U.S. trade or business, except that the branch profits tax generally will not apply. If our common stock constitutes a USRPI and our common stock is not regularly traded on an established securities market, your proceeds on the disposition of shares will also generally be subject to withholding at a rate of 15%. You are encouraged to</w:t>
      </w:r>
    </w:p>
    <w:p>
      <w:pPr>
        <w:spacing w:after="0" w:line="126"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206</w:t>
      </w:r>
    </w:p>
    <w:p>
      <w:pPr>
        <w:sectPr>
          <w:pgSz w:w="11900" w:h="16838" w:orient="portrait"/>
          <w:cols w:equalWidth="0" w:num="1">
            <w:col w:w="10780"/>
          </w:cols>
          <w:pgMar w:left="320" w:top="440" w:right="799" w:bottom="1440" w:gutter="0" w:footer="0" w:header="0"/>
        </w:sectPr>
      </w:pPr>
    </w:p>
    <w:bookmarkStart w:id="211" w:name="page212"/>
    <w:bookmarkEnd w:id="2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consult your own tax advisors regarding the possible consequences to you if we are, or were to become, a USRPHC.</w:t>
      </w:r>
    </w:p>
    <w:p>
      <w:pPr>
        <w:spacing w:after="0" w:line="108" w:lineRule="exact"/>
        <w:rPr>
          <w:sz w:val="20"/>
          <w:szCs w:val="20"/>
          <w:color w:val="auto"/>
        </w:rPr>
      </w:pPr>
    </w:p>
    <w:p>
      <w:pPr>
        <w:ind w:left="460" w:right="100"/>
        <w:spacing w:after="0" w:line="250" w:lineRule="auto"/>
        <w:rPr>
          <w:sz w:val="20"/>
          <w:szCs w:val="20"/>
          <w:color w:val="auto"/>
        </w:rPr>
      </w:pPr>
      <w:r>
        <w:rPr>
          <w:rFonts w:ascii="Arial" w:cs="Arial" w:eastAsia="Arial" w:hAnsi="Arial"/>
          <w:sz w:val="16"/>
          <w:szCs w:val="16"/>
          <w:color w:val="auto"/>
        </w:rPr>
        <w:t>If you are a non-U.S. holder described in the first bullet point above, you will be required to pay tax on the gain derived from the sale (net of certain deductions and credits) or other disposition of our common stock under the same U.S. federal income tax rates applicable to U.S. persons, and a corporate non-U.S. holder described in the first bullet point above also may be subject to the branch profits tax at a 30% rate, or such lower rate as may be specified by an applicable income tax treaty. If you are an individual non-U.S. holder described in the second bullet point above, you will be subject to tax at a rate of 30% (or such lower rate specified by an applicable income tax treaty) on the gain derived from the sale or other disposition of our common stock, which gain may be offset by certain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Backup withholding and information reporting</w:t>
      </w:r>
    </w:p>
    <w:p>
      <w:pPr>
        <w:spacing w:after="0" w:line="133" w:lineRule="exact"/>
        <w:rPr>
          <w:sz w:val="20"/>
          <w:szCs w:val="20"/>
          <w:color w:val="auto"/>
        </w:rPr>
      </w:pPr>
    </w:p>
    <w:p>
      <w:pPr>
        <w:ind w:left="460" w:right="200"/>
        <w:spacing w:after="0" w:line="256" w:lineRule="auto"/>
        <w:rPr>
          <w:sz w:val="20"/>
          <w:szCs w:val="20"/>
          <w:color w:val="auto"/>
        </w:rPr>
      </w:pPr>
      <w:r>
        <w:rPr>
          <w:rFonts w:ascii="Arial" w:cs="Arial" w:eastAsia="Arial" w:hAnsi="Arial"/>
          <w:sz w:val="16"/>
          <w:szCs w:val="16"/>
          <w:color w:val="auto"/>
        </w:rPr>
        <w:t>Generally, we or the applicable agent must report annually to the IRS the amount of dividends paid to you and the amount of tax withheld, if any. Pursuant to applicable income tax treaties or other agreements, the IRS may make these reports available to tax authorities in your country of residence.</w:t>
      </w:r>
    </w:p>
    <w:p>
      <w:pPr>
        <w:spacing w:after="0" w:line="83"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color w:val="auto"/>
        </w:rPr>
        <w:t>Payments of dividends on or of proceeds from the disposition of our common stock made to you may also be subject to backup withholding at a current rate of 24% and information reporting unless you establish an exemption, for example, by properly certifying your non-U.S. status on a properly completed IRS Form W-8BEN or W-8BEN-E or another appropriate version of IRS Form W-8. Notwithstanding the foregoing, backup withholding and information reporting may apply if either we or our paying agent has actual knowledge, or reason to know, that you are a U.S. person.</w:t>
      </w:r>
    </w:p>
    <w:p>
      <w:pPr>
        <w:spacing w:after="0" w:line="86" w:lineRule="exact"/>
        <w:rPr>
          <w:sz w:val="20"/>
          <w:szCs w:val="20"/>
          <w:color w:val="auto"/>
        </w:rPr>
      </w:pPr>
    </w:p>
    <w:p>
      <w:pPr>
        <w:ind w:left="460" w:right="240"/>
        <w:spacing w:after="0" w:line="256" w:lineRule="auto"/>
        <w:rPr>
          <w:sz w:val="20"/>
          <w:szCs w:val="20"/>
          <w:color w:val="auto"/>
        </w:rPr>
      </w:pPr>
      <w:r>
        <w:rPr>
          <w:rFonts w:ascii="Arial" w:cs="Arial" w:eastAsia="Arial" w:hAnsi="Arial"/>
          <w:sz w:val="16"/>
          <w:szCs w:val="16"/>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Foreign account tax compliance act (FATCA)</w:t>
      </w:r>
    </w:p>
    <w:p>
      <w:pPr>
        <w:spacing w:after="0" w:line="133"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The Foreign Account Tax Compliance Act, Treasury Regulations issued thereunder and official IRS guidance, collectively “FATCA,” generally impose a U.S. federal withholding tax of 30% on dividends on and the gross proceeds from a sale or other disposition of our common stock paid to a “foreign financial institution” (as specially defined under these rules), unless otherwise provided by the Treasury Secretary or such institution enters into an agreement with the U.S. government to, among other things, withhold on certain payments and to collect and provide to the U.S. tax authorities certain information regarding certain U.S. account holders of such institution (which includes certain equity and debt holders of such institution, as well as certain account holders that are foreign entities with U.S. owners) or otherwise establishes an exemption. Subject to the following paragraph, FATCA also generally imposes a U.S. federal withholding tax of 30% on dividends on and the gross proceeds from a sale or other disposition of our common stock paid to a “non-financial foreign entity” (as specially defined under these rules) unless otherwise provided by the Treasury Secretary or such entity provides the withholding agent with a certification identifying the substantial direct and indirect U.S. owners of the entity, certifies that it does not have any substantial U.S. owners, or otherwise establishes an exemption. The withholding tax will apply regardless of whether the payment otherwise would be exempt from U.S. nonresident and backup withholding tax, including under the other exemptions described above. Under certain</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207</w:t>
      </w:r>
    </w:p>
    <w:p>
      <w:pPr>
        <w:sectPr>
          <w:pgSz w:w="11900" w:h="16838" w:orient="portrait"/>
          <w:cols w:equalWidth="0" w:num="1">
            <w:col w:w="10780"/>
          </w:cols>
          <w:pgMar w:left="320" w:top="441" w:right="799" w:bottom="1440" w:gutter="0" w:footer="0" w:header="0"/>
        </w:sectPr>
      </w:pPr>
    </w:p>
    <w:bookmarkStart w:id="212" w:name="page213"/>
    <w:bookmarkEnd w:id="2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100"/>
        <w:spacing w:after="0" w:line="255" w:lineRule="auto"/>
        <w:rPr>
          <w:sz w:val="20"/>
          <w:szCs w:val="20"/>
          <w:color w:val="auto"/>
        </w:rPr>
      </w:pPr>
      <w:r>
        <w:rPr>
          <w:rFonts w:ascii="Arial" w:cs="Arial" w:eastAsia="Arial" w:hAnsi="Arial"/>
          <w:sz w:val="16"/>
          <w:szCs w:val="16"/>
          <w:color w:val="auto"/>
        </w:rPr>
        <w:t>circumstances, a non-U.S. holder might be eligible for refunds or credits of such taxes. An intergovernmental agreement between the United States and an applicable foreign country may modify the requirements described in this section. Prospective investors should consult with their own tax advisors regarding the application of FATCA withholding to their investment in, and ownership and disposition of, our common stock.</w:t>
      </w:r>
    </w:p>
    <w:p>
      <w:pPr>
        <w:spacing w:after="0" w:line="276"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The Treasury Secretary has issued proposed Treasury Regulations, which, if finalized in their present form, would eliminate withholding under FATCA with respect to payment of gross proceeds from a sale or other disposition of our common stock. In its preamble to such proposed Treasury Regulations, the Treasury Secretary stated that taxpayers may generally rely on the proposed Treasury Regulations until final regulations are issued.</w:t>
      </w:r>
    </w:p>
    <w:p>
      <w:pPr>
        <w:spacing w:after="0" w:line="66" w:lineRule="exact"/>
        <w:rPr>
          <w:sz w:val="20"/>
          <w:szCs w:val="20"/>
          <w:color w:val="auto"/>
        </w:rPr>
      </w:pPr>
    </w:p>
    <w:p>
      <w:pPr>
        <w:ind w:left="460" w:right="20"/>
        <w:spacing w:after="0" w:line="262" w:lineRule="auto"/>
        <w:rPr>
          <w:sz w:val="20"/>
          <w:szCs w:val="20"/>
          <w:color w:val="auto"/>
        </w:rPr>
      </w:pPr>
      <w:r>
        <w:rPr>
          <w:rFonts w:ascii="Arial" w:cs="Arial" w:eastAsia="Arial" w:hAnsi="Arial"/>
          <w:sz w:val="16"/>
          <w:szCs w:val="16"/>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considerations of purchasing, holding and disposing of our common stock, including the consequences of any proposed change in applicable laws.</w:t>
      </w:r>
    </w:p>
    <w:p>
      <w:pPr>
        <w:spacing w:after="0" w:line="117"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208</w:t>
      </w:r>
    </w:p>
    <w:p>
      <w:pPr>
        <w:sectPr>
          <w:pgSz w:w="11900" w:h="16838" w:orient="portrait"/>
          <w:cols w:equalWidth="0" w:num="1">
            <w:col w:w="10760"/>
          </w:cols>
          <w:pgMar w:left="320" w:top="441" w:right="819" w:bottom="1440" w:gutter="0" w:footer="0" w:header="0"/>
        </w:sectPr>
      </w:pPr>
    </w:p>
    <w:bookmarkStart w:id="213" w:name="page214"/>
    <w:bookmarkEnd w:id="2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Underwriting</w:t>
      </w:r>
    </w:p>
    <w:p>
      <w:pPr>
        <w:spacing w:after="0" w:line="149" w:lineRule="exact"/>
        <w:rPr>
          <w:sz w:val="20"/>
          <w:szCs w:val="20"/>
          <w:color w:val="auto"/>
        </w:rPr>
      </w:pPr>
    </w:p>
    <w:p>
      <w:pPr>
        <w:ind w:left="460" w:right="40"/>
        <w:spacing w:after="0" w:line="251" w:lineRule="auto"/>
        <w:rPr>
          <w:sz w:val="20"/>
          <w:szCs w:val="20"/>
          <w:color w:val="auto"/>
        </w:rPr>
      </w:pPr>
      <w:r>
        <w:rPr>
          <w:rFonts w:ascii="Arial" w:cs="Arial" w:eastAsia="Arial" w:hAnsi="Arial"/>
          <w:sz w:val="16"/>
          <w:szCs w:val="16"/>
          <w:color w:val="auto"/>
        </w:rPr>
        <w:t>We are offering the shares of common stock described in this prospectus through a number of underwriters. J.P. Morgan Securities LLC and BofA Securities, Inc. are acting as joint book-running managers of the offering and as representatives of the underwriters. SVB Leerink LLC is also acting as a book-running manager of the offering. We have entered into an underwriting agreement with the underwriters. Subject to the terms and conditions of the underwriting agreement, we have agreed to sell to the underwriters, and each underwriter has severally agreed to purchase, at the initial public offering price less the underwriting discounts and commissions set forth on the cover page of this prospectus, the number of shares of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62230</wp:posOffset>
            </wp:positionV>
            <wp:extent cx="6569075" cy="158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4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Number of shares</w:t>
            </w:r>
          </w:p>
        </w:tc>
        <w:tc>
          <w:tcPr>
            <w:tcW w:w="40" w:type="dxa"/>
            <w:vAlign w:val="bottom"/>
            <w:tcBorders>
              <w:bottom w:val="single" w:sz="8" w:color="auto"/>
            </w:tcBorders>
          </w:tcPr>
          <w:p>
            <w:pPr>
              <w:spacing w:after="0"/>
              <w:rPr>
                <w:sz w:val="18"/>
                <w:szCs w:val="18"/>
                <w:color w:val="auto"/>
              </w:rPr>
            </w:pPr>
          </w:p>
        </w:tc>
      </w:tr>
      <w:tr>
        <w:trPr>
          <w:trHeight w:val="244"/>
        </w:trPr>
        <w:tc>
          <w:tcPr>
            <w:tcW w:w="5460" w:type="dxa"/>
            <w:vAlign w:val="bottom"/>
          </w:tcPr>
          <w:p>
            <w:pPr>
              <w:spacing w:after="0"/>
              <w:rPr>
                <w:sz w:val="20"/>
                <w:szCs w:val="20"/>
                <w:color w:val="auto"/>
              </w:rPr>
            </w:pPr>
            <w:r>
              <w:rPr>
                <w:rFonts w:ascii="Arial" w:cs="Arial" w:eastAsia="Arial" w:hAnsi="Arial"/>
                <w:sz w:val="16"/>
                <w:szCs w:val="16"/>
                <w:color w:val="auto"/>
              </w:rPr>
              <w:t>J.P. Morgan Securities LLC</w:t>
            </w:r>
          </w:p>
        </w:tc>
        <w:tc>
          <w:tcPr>
            <w:tcW w:w="4840" w:type="dxa"/>
            <w:vAlign w:val="bottom"/>
            <w:gridSpan w:val="2"/>
          </w:tcPr>
          <w:p>
            <w:pPr>
              <w:jc w:val="right"/>
              <w:spacing w:after="0"/>
              <w:rPr>
                <w:sz w:val="20"/>
                <w:szCs w:val="20"/>
                <w:color w:val="auto"/>
              </w:rPr>
            </w:pPr>
            <w:r>
              <w:rPr>
                <w:rFonts w:ascii="Arial" w:cs="Arial" w:eastAsia="Arial" w:hAnsi="Arial"/>
                <w:sz w:val="16"/>
                <w:szCs w:val="16"/>
                <w:color w:val="auto"/>
              </w:rPr>
              <w:t>2,756,250</w:t>
            </w:r>
          </w:p>
        </w:tc>
        <w:tc>
          <w:tcPr>
            <w:tcW w:w="40" w:type="dxa"/>
            <w:vAlign w:val="bottom"/>
          </w:tcPr>
          <w:p>
            <w:pPr>
              <w:spacing w:after="0"/>
              <w:rPr>
                <w:sz w:val="21"/>
                <w:szCs w:val="21"/>
                <w:color w:val="auto"/>
              </w:rPr>
            </w:pPr>
          </w:p>
        </w:tc>
      </w:tr>
      <w:tr>
        <w:trPr>
          <w:trHeight w:val="254"/>
        </w:trPr>
        <w:tc>
          <w:tcPr>
            <w:tcW w:w="5460" w:type="dxa"/>
            <w:vAlign w:val="bottom"/>
          </w:tcPr>
          <w:p>
            <w:pPr>
              <w:spacing w:after="0"/>
              <w:rPr>
                <w:sz w:val="20"/>
                <w:szCs w:val="20"/>
                <w:color w:val="auto"/>
              </w:rPr>
            </w:pPr>
            <w:r>
              <w:rPr>
                <w:rFonts w:ascii="Arial" w:cs="Arial" w:eastAsia="Arial" w:hAnsi="Arial"/>
                <w:sz w:val="16"/>
                <w:szCs w:val="16"/>
                <w:color w:val="auto"/>
              </w:rPr>
              <w:t>BofA Securities, Inc.</w:t>
            </w:r>
          </w:p>
        </w:tc>
        <w:tc>
          <w:tcPr>
            <w:tcW w:w="4840" w:type="dxa"/>
            <w:vAlign w:val="bottom"/>
            <w:gridSpan w:val="2"/>
          </w:tcPr>
          <w:p>
            <w:pPr>
              <w:jc w:val="right"/>
              <w:spacing w:after="0"/>
              <w:rPr>
                <w:sz w:val="20"/>
                <w:szCs w:val="20"/>
                <w:color w:val="auto"/>
              </w:rPr>
            </w:pPr>
            <w:r>
              <w:rPr>
                <w:rFonts w:ascii="Arial" w:cs="Arial" w:eastAsia="Arial" w:hAnsi="Arial"/>
                <w:sz w:val="16"/>
                <w:szCs w:val="16"/>
                <w:color w:val="auto"/>
              </w:rPr>
              <w:t>2,572,500</w:t>
            </w:r>
          </w:p>
        </w:tc>
        <w:tc>
          <w:tcPr>
            <w:tcW w:w="40" w:type="dxa"/>
            <w:vAlign w:val="bottom"/>
          </w:tcPr>
          <w:p>
            <w:pPr>
              <w:spacing w:after="0"/>
              <w:rPr>
                <w:sz w:val="22"/>
                <w:szCs w:val="22"/>
                <w:color w:val="auto"/>
              </w:rPr>
            </w:pPr>
          </w:p>
        </w:tc>
      </w:tr>
      <w:tr>
        <w:trPr>
          <w:trHeight w:val="254"/>
        </w:trPr>
        <w:tc>
          <w:tcPr>
            <w:tcW w:w="5460" w:type="dxa"/>
            <w:vAlign w:val="bottom"/>
          </w:tcPr>
          <w:p>
            <w:pPr>
              <w:spacing w:after="0"/>
              <w:rPr>
                <w:sz w:val="20"/>
                <w:szCs w:val="20"/>
                <w:color w:val="auto"/>
              </w:rPr>
            </w:pPr>
            <w:r>
              <w:rPr>
                <w:rFonts w:ascii="Arial" w:cs="Arial" w:eastAsia="Arial" w:hAnsi="Arial"/>
                <w:sz w:val="16"/>
                <w:szCs w:val="16"/>
                <w:color w:val="auto"/>
              </w:rPr>
              <w:t>SVB Leerink LLC</w:t>
            </w:r>
          </w:p>
        </w:tc>
        <w:tc>
          <w:tcPr>
            <w:tcW w:w="4840" w:type="dxa"/>
            <w:vAlign w:val="bottom"/>
            <w:gridSpan w:val="2"/>
          </w:tcPr>
          <w:p>
            <w:pPr>
              <w:jc w:val="right"/>
              <w:spacing w:after="0"/>
              <w:rPr>
                <w:sz w:val="20"/>
                <w:szCs w:val="20"/>
                <w:color w:val="auto"/>
              </w:rPr>
            </w:pPr>
            <w:r>
              <w:rPr>
                <w:rFonts w:ascii="Arial" w:cs="Arial" w:eastAsia="Arial" w:hAnsi="Arial"/>
                <w:sz w:val="16"/>
                <w:szCs w:val="16"/>
                <w:color w:val="auto"/>
              </w:rPr>
              <w:t>918,750</w:t>
            </w:r>
          </w:p>
        </w:tc>
        <w:tc>
          <w:tcPr>
            <w:tcW w:w="40" w:type="dxa"/>
            <w:vAlign w:val="bottom"/>
          </w:tcPr>
          <w:p>
            <w:pPr>
              <w:spacing w:after="0"/>
              <w:rPr>
                <w:sz w:val="22"/>
                <w:szCs w:val="22"/>
                <w:color w:val="auto"/>
              </w:rPr>
            </w:pPr>
          </w:p>
        </w:tc>
      </w:tr>
      <w:tr>
        <w:trPr>
          <w:trHeight w:val="254"/>
        </w:trPr>
        <w:tc>
          <w:tcPr>
            <w:tcW w:w="5460" w:type="dxa"/>
            <w:vAlign w:val="bottom"/>
          </w:tcPr>
          <w:p>
            <w:pPr>
              <w:spacing w:after="0"/>
              <w:rPr>
                <w:sz w:val="20"/>
                <w:szCs w:val="20"/>
                <w:color w:val="auto"/>
              </w:rPr>
            </w:pPr>
            <w:r>
              <w:rPr>
                <w:rFonts w:ascii="Arial" w:cs="Arial" w:eastAsia="Arial" w:hAnsi="Arial"/>
                <w:sz w:val="16"/>
                <w:szCs w:val="16"/>
                <w:color w:val="auto"/>
              </w:rPr>
              <w:t>Wells Fargo Securities, LLC</w:t>
            </w:r>
          </w:p>
        </w:tc>
        <w:tc>
          <w:tcPr>
            <w:tcW w:w="4840" w:type="dxa"/>
            <w:vAlign w:val="bottom"/>
            <w:gridSpan w:val="2"/>
          </w:tcPr>
          <w:p>
            <w:pPr>
              <w:jc w:val="right"/>
              <w:spacing w:after="0"/>
              <w:rPr>
                <w:sz w:val="20"/>
                <w:szCs w:val="20"/>
                <w:color w:val="auto"/>
              </w:rPr>
            </w:pPr>
            <w:r>
              <w:rPr>
                <w:rFonts w:ascii="Arial" w:cs="Arial" w:eastAsia="Arial" w:hAnsi="Arial"/>
                <w:sz w:val="16"/>
                <w:szCs w:val="16"/>
                <w:color w:val="auto"/>
              </w:rPr>
              <w:t>735,000</w:t>
            </w:r>
          </w:p>
        </w:tc>
        <w:tc>
          <w:tcPr>
            <w:tcW w:w="40" w:type="dxa"/>
            <w:vAlign w:val="bottom"/>
          </w:tcPr>
          <w:p>
            <w:pPr>
              <w:spacing w:after="0"/>
              <w:rPr>
                <w:sz w:val="22"/>
                <w:szCs w:val="22"/>
                <w:color w:val="auto"/>
              </w:rPr>
            </w:pPr>
          </w:p>
        </w:tc>
      </w:tr>
      <w:tr>
        <w:trPr>
          <w:trHeight w:val="244"/>
        </w:trPr>
        <w:tc>
          <w:tcPr>
            <w:tcW w:w="5460" w:type="dxa"/>
            <w:vAlign w:val="bottom"/>
          </w:tcPr>
          <w:p>
            <w:pPr>
              <w:spacing w:after="0"/>
              <w:rPr>
                <w:sz w:val="20"/>
                <w:szCs w:val="20"/>
                <w:color w:val="auto"/>
              </w:rPr>
            </w:pPr>
            <w:r>
              <w:rPr>
                <w:rFonts w:ascii="Arial" w:cs="Arial" w:eastAsia="Arial" w:hAnsi="Arial"/>
                <w:sz w:val="16"/>
                <w:szCs w:val="16"/>
                <w:color w:val="auto"/>
              </w:rPr>
              <w:t>BTIG, LLC</w:t>
            </w:r>
          </w:p>
        </w:tc>
        <w:tc>
          <w:tcPr>
            <w:tcW w:w="3420" w:type="dxa"/>
            <w:vAlign w:val="bottom"/>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367,500</w:t>
            </w:r>
          </w:p>
        </w:tc>
        <w:tc>
          <w:tcPr>
            <w:tcW w:w="40" w:type="dxa"/>
            <w:vAlign w:val="bottom"/>
          </w:tcPr>
          <w:p>
            <w:pPr>
              <w:spacing w:after="0"/>
              <w:rPr>
                <w:sz w:val="21"/>
                <w:szCs w:val="21"/>
                <w:color w:val="auto"/>
              </w:rPr>
            </w:pPr>
          </w:p>
        </w:tc>
      </w:tr>
      <w:tr>
        <w:trPr>
          <w:trHeight w:val="270"/>
        </w:trPr>
        <w:tc>
          <w:tcPr>
            <w:tcW w:w="5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4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7,350,000</w:t>
            </w:r>
          </w:p>
        </w:tc>
        <w:tc>
          <w:tcPr>
            <w:tcW w:w="40" w:type="dxa"/>
            <w:vAlign w:val="bottom"/>
          </w:tcPr>
          <w:p>
            <w:pPr>
              <w:spacing w:after="0"/>
              <w:rPr>
                <w:sz w:val="23"/>
                <w:szCs w:val="23"/>
                <w:color w:val="auto"/>
              </w:rPr>
            </w:pPr>
          </w:p>
        </w:tc>
      </w:tr>
    </w:tbl>
    <w:p>
      <w:pPr>
        <w:spacing w:after="0" w:line="104" w:lineRule="exact"/>
        <w:rPr>
          <w:sz w:val="20"/>
          <w:szCs w:val="20"/>
          <w:color w:val="auto"/>
        </w:rPr>
      </w:pPr>
    </w:p>
    <w:p>
      <w:pPr>
        <w:ind w:left="460" w:right="140"/>
        <w:spacing w:after="0" w:line="256" w:lineRule="auto"/>
        <w:rPr>
          <w:sz w:val="20"/>
          <w:szCs w:val="20"/>
          <w:color w:val="auto"/>
        </w:rPr>
      </w:pPr>
      <w:r>
        <w:rPr>
          <w:rFonts w:ascii="Arial" w:cs="Arial" w:eastAsia="Arial" w:hAnsi="Arial"/>
          <w:sz w:val="16"/>
          <w:szCs w:val="16"/>
          <w:color w:val="auto"/>
        </w:rPr>
        <w:t>The underwriters are committed to purchase all the shares of common stock offered by us if they purchase any shares. The underwriting agreement also provides that if an underwriter defaults, the purchase commitments of non-defaulting underwriters may also be increased, or the offering may be terminated.</w:t>
      </w:r>
    </w:p>
    <w:p>
      <w:pPr>
        <w:spacing w:after="0" w:line="83" w:lineRule="exact"/>
        <w:rPr>
          <w:sz w:val="20"/>
          <w:szCs w:val="20"/>
          <w:color w:val="auto"/>
        </w:rPr>
      </w:pPr>
    </w:p>
    <w:p>
      <w:pPr>
        <w:ind w:left="460" w:right="40"/>
        <w:spacing w:after="0" w:line="253" w:lineRule="auto"/>
        <w:rPr>
          <w:sz w:val="20"/>
          <w:szCs w:val="20"/>
          <w:color w:val="auto"/>
        </w:rPr>
      </w:pPr>
      <w:r>
        <w:rPr>
          <w:rFonts w:ascii="Arial" w:cs="Arial" w:eastAsia="Arial" w:hAnsi="Arial"/>
          <w:sz w:val="16"/>
          <w:szCs w:val="16"/>
          <w:color w:val="auto"/>
        </w:rPr>
        <w:t>The underwriters propose to offer the common stock directly to the public at the initial public offering price set forth on the cover page of this prospectus and to certain dealers at that price less a concession not in excess of $0.672 per share. After the initial offering of the shares to the public, if all of the common stock is not sold at the initial public offering price, the underwriters may change the offering price and the other selling terms. Sales of shares made outside of the United States may be made by affiliates of the underwriters.</w:t>
      </w:r>
    </w:p>
    <w:p>
      <w:pPr>
        <w:spacing w:after="0" w:line="86" w:lineRule="exact"/>
        <w:rPr>
          <w:sz w:val="20"/>
          <w:szCs w:val="20"/>
          <w:color w:val="auto"/>
        </w:rPr>
      </w:pPr>
    </w:p>
    <w:p>
      <w:pPr>
        <w:ind w:left="460" w:right="40"/>
        <w:spacing w:after="0" w:line="252" w:lineRule="auto"/>
        <w:rPr>
          <w:sz w:val="20"/>
          <w:szCs w:val="20"/>
          <w:color w:val="auto"/>
        </w:rPr>
      </w:pPr>
      <w:r>
        <w:rPr>
          <w:rFonts w:ascii="Arial" w:cs="Arial" w:eastAsia="Arial" w:hAnsi="Arial"/>
          <w:sz w:val="16"/>
          <w:szCs w:val="16"/>
          <w:color w:val="auto"/>
        </w:rPr>
        <w:t>The underwriters have an option to purchase up to 1,102,500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86" w:lineRule="exact"/>
        <w:rPr>
          <w:sz w:val="20"/>
          <w:szCs w:val="20"/>
          <w:color w:val="auto"/>
        </w:rPr>
      </w:pPr>
    </w:p>
    <w:p>
      <w:pPr>
        <w:ind w:left="460" w:right="100"/>
        <w:spacing w:after="0" w:line="253" w:lineRule="auto"/>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 of common stock. The underwriting fee is $1.12 per share. The following table shows the per share and total underwriting discounts and commissions to be paid to the underwriters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60960</wp:posOffset>
            </wp:positionV>
            <wp:extent cx="6569075" cy="158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760" w:type="dxa"/>
            <w:vAlign w:val="bottom"/>
          </w:tcPr>
          <w:p>
            <w:pPr>
              <w:jc w:val="right"/>
              <w:ind w:right="298"/>
              <w:spacing w:after="0"/>
              <w:rPr>
                <w:sz w:val="20"/>
                <w:szCs w:val="20"/>
                <w:color w:val="auto"/>
              </w:rPr>
            </w:pPr>
            <w:r>
              <w:rPr>
                <w:rFonts w:ascii="Arial" w:cs="Arial" w:eastAsia="Arial" w:hAnsi="Arial"/>
                <w:sz w:val="16"/>
                <w:szCs w:val="16"/>
                <w:b w:val="1"/>
                <w:bCs w:val="1"/>
                <w:color w:val="auto"/>
              </w:rPr>
              <w:t>Without</w:t>
            </w:r>
          </w:p>
        </w:tc>
        <w:tc>
          <w:tcPr>
            <w:tcW w:w="5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With full</w:t>
            </w:r>
          </w:p>
        </w:tc>
        <w:tc>
          <w:tcPr>
            <w:tcW w:w="40" w:type="dxa"/>
            <w:vAlign w:val="bottom"/>
          </w:tcPr>
          <w:p>
            <w:pPr>
              <w:spacing w:after="0"/>
              <w:rPr>
                <w:sz w:val="16"/>
                <w:szCs w:val="16"/>
                <w:color w:val="auto"/>
              </w:rPr>
            </w:pPr>
          </w:p>
        </w:tc>
      </w:tr>
      <w:tr>
        <w:trPr>
          <w:trHeight w:val="190"/>
        </w:trPr>
        <w:tc>
          <w:tcPr>
            <w:tcW w:w="2880" w:type="dxa"/>
            <w:vAlign w:val="bottom"/>
          </w:tcPr>
          <w:p>
            <w:pPr>
              <w:spacing w:after="0"/>
              <w:rPr>
                <w:sz w:val="16"/>
                <w:szCs w:val="16"/>
                <w:color w:val="auto"/>
              </w:rPr>
            </w:pPr>
          </w:p>
        </w:tc>
        <w:tc>
          <w:tcPr>
            <w:tcW w:w="5540" w:type="dxa"/>
            <w:vAlign w:val="bottom"/>
            <w:gridSpan w:val="2"/>
          </w:tcPr>
          <w:p>
            <w:pPr>
              <w:jc w:val="right"/>
              <w:ind w:right="298"/>
              <w:spacing w:after="0"/>
              <w:rPr>
                <w:sz w:val="20"/>
                <w:szCs w:val="20"/>
                <w:color w:val="auto"/>
              </w:rPr>
            </w:pPr>
            <w:r>
              <w:rPr>
                <w:rFonts w:ascii="Arial" w:cs="Arial" w:eastAsia="Arial" w:hAnsi="Arial"/>
                <w:sz w:val="16"/>
                <w:szCs w:val="16"/>
                <w:b w:val="1"/>
                <w:bCs w:val="1"/>
                <w:color w:val="auto"/>
              </w:rPr>
              <w:t>option to purchase</w:t>
            </w: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option to purchase</w:t>
            </w:r>
          </w:p>
        </w:tc>
        <w:tc>
          <w:tcPr>
            <w:tcW w:w="40" w:type="dxa"/>
            <w:vAlign w:val="bottom"/>
          </w:tcPr>
          <w:p>
            <w:pPr>
              <w:spacing w:after="0"/>
              <w:rPr>
                <w:sz w:val="16"/>
                <w:szCs w:val="16"/>
                <w:color w:val="auto"/>
              </w:rPr>
            </w:pPr>
          </w:p>
        </w:tc>
      </w:tr>
      <w:tr>
        <w:trPr>
          <w:trHeight w:val="190"/>
        </w:trPr>
        <w:tc>
          <w:tcPr>
            <w:tcW w:w="28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760" w:type="dxa"/>
            <w:vAlign w:val="bottom"/>
          </w:tcPr>
          <w:p>
            <w:pPr>
              <w:jc w:val="right"/>
              <w:ind w:right="298"/>
              <w:spacing w:after="0"/>
              <w:rPr>
                <w:sz w:val="20"/>
                <w:szCs w:val="20"/>
                <w:color w:val="auto"/>
              </w:rPr>
            </w:pPr>
            <w:r>
              <w:rPr>
                <w:rFonts w:ascii="Arial" w:cs="Arial" w:eastAsia="Arial" w:hAnsi="Arial"/>
                <w:sz w:val="16"/>
                <w:szCs w:val="16"/>
                <w:b w:val="1"/>
                <w:bCs w:val="1"/>
                <w:color w:val="auto"/>
              </w:rPr>
              <w:t>additional shares</w:t>
            </w:r>
          </w:p>
        </w:tc>
        <w:tc>
          <w:tcPr>
            <w:tcW w:w="5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additional shares</w:t>
            </w:r>
          </w:p>
        </w:tc>
        <w:tc>
          <w:tcPr>
            <w:tcW w:w="40" w:type="dxa"/>
            <w:vAlign w:val="bottom"/>
          </w:tcPr>
          <w:p>
            <w:pPr>
              <w:spacing w:after="0"/>
              <w:rPr>
                <w:sz w:val="16"/>
                <w:szCs w:val="16"/>
                <w:color w:val="auto"/>
              </w:rPr>
            </w:pPr>
          </w:p>
        </w:tc>
      </w:tr>
      <w:tr>
        <w:trPr>
          <w:trHeight w:val="219"/>
        </w:trPr>
        <w:tc>
          <w:tcPr>
            <w:tcW w:w="288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exercise</w:t>
            </w:r>
          </w:p>
        </w:tc>
        <w:tc>
          <w:tcPr>
            <w:tcW w:w="5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exercise</w:t>
            </w:r>
          </w:p>
        </w:tc>
        <w:tc>
          <w:tcPr>
            <w:tcW w:w="40" w:type="dxa"/>
            <w:vAlign w:val="bottom"/>
            <w:tcBorders>
              <w:bottom w:val="single" w:sz="8" w:color="auto"/>
            </w:tcBorders>
          </w:tcPr>
          <w:p>
            <w:pPr>
              <w:spacing w:after="0"/>
              <w:rPr>
                <w:sz w:val="19"/>
                <w:szCs w:val="19"/>
                <w:color w:val="auto"/>
              </w:rPr>
            </w:pPr>
          </w:p>
        </w:tc>
      </w:tr>
      <w:tr>
        <w:trPr>
          <w:trHeight w:val="187"/>
        </w:trPr>
        <w:tc>
          <w:tcPr>
            <w:tcW w:w="2880" w:type="dxa"/>
            <w:vAlign w:val="bottom"/>
          </w:tcPr>
          <w:p>
            <w:pPr>
              <w:spacing w:after="0"/>
              <w:rPr>
                <w:sz w:val="20"/>
                <w:szCs w:val="20"/>
                <w:color w:val="auto"/>
              </w:rPr>
            </w:pPr>
            <w:r>
              <w:rPr>
                <w:rFonts w:ascii="Arial" w:cs="Arial" w:eastAsia="Arial" w:hAnsi="Arial"/>
                <w:sz w:val="16"/>
                <w:szCs w:val="16"/>
                <w:color w:val="auto"/>
              </w:rPr>
              <w:t>Per Share</w:t>
            </w:r>
          </w:p>
        </w:tc>
        <w:tc>
          <w:tcPr>
            <w:tcW w:w="378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98"/>
              <w:spacing w:after="0"/>
              <w:rPr>
                <w:sz w:val="20"/>
                <w:szCs w:val="20"/>
                <w:color w:val="auto"/>
              </w:rPr>
            </w:pPr>
            <w:r>
              <w:rPr>
                <w:rFonts w:ascii="Arial" w:cs="Arial" w:eastAsia="Arial" w:hAnsi="Arial"/>
                <w:sz w:val="16"/>
                <w:szCs w:val="16"/>
                <w:color w:val="auto"/>
              </w:rPr>
              <w:t>1.12</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1.12</w:t>
            </w:r>
          </w:p>
        </w:tc>
        <w:tc>
          <w:tcPr>
            <w:tcW w:w="40" w:type="dxa"/>
            <w:vAlign w:val="bottom"/>
          </w:tcPr>
          <w:p>
            <w:pPr>
              <w:spacing w:after="0"/>
              <w:rPr>
                <w:sz w:val="16"/>
                <w:szCs w:val="16"/>
                <w:color w:val="auto"/>
              </w:rPr>
            </w:pPr>
          </w:p>
        </w:tc>
      </w:tr>
      <w:tr>
        <w:trPr>
          <w:trHeight w:val="199"/>
        </w:trPr>
        <w:tc>
          <w:tcPr>
            <w:tcW w:w="2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37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798"/>
              <w:spacing w:after="0"/>
              <w:rPr>
                <w:sz w:val="20"/>
                <w:szCs w:val="20"/>
                <w:color w:val="auto"/>
              </w:rPr>
            </w:pPr>
            <w:r>
              <w:rPr>
                <w:rFonts w:ascii="Arial" w:cs="Arial" w:eastAsia="Arial" w:hAnsi="Arial"/>
                <w:sz w:val="16"/>
                <w:szCs w:val="16"/>
                <w:color w:val="auto"/>
              </w:rPr>
              <w:t>$8,232,000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9,466,800</w:t>
            </w:r>
          </w:p>
        </w:tc>
        <w:tc>
          <w:tcPr>
            <w:tcW w:w="40" w:type="dxa"/>
            <w:vAlign w:val="bottom"/>
          </w:tcPr>
          <w:p>
            <w:pPr>
              <w:spacing w:after="0"/>
              <w:rPr>
                <w:sz w:val="17"/>
                <w:szCs w:val="17"/>
                <w:color w:val="auto"/>
              </w:rPr>
            </w:pPr>
          </w:p>
        </w:tc>
      </w:tr>
      <w:tr>
        <w:trPr>
          <w:trHeight w:val="334"/>
        </w:trPr>
        <w:tc>
          <w:tcPr>
            <w:tcW w:w="2880" w:type="dxa"/>
            <w:vAlign w:val="bottom"/>
          </w:tcPr>
          <w:p>
            <w:pPr>
              <w:spacing w:after="0"/>
              <w:rPr>
                <w:sz w:val="24"/>
                <w:szCs w:val="24"/>
                <w:color w:val="auto"/>
              </w:rPr>
            </w:pPr>
          </w:p>
        </w:tc>
        <w:tc>
          <w:tcPr>
            <w:tcW w:w="3780" w:type="dxa"/>
            <w:vAlign w:val="bottom"/>
          </w:tcPr>
          <w:p>
            <w:pPr>
              <w:jc w:val="right"/>
              <w:ind w:right="1278"/>
              <w:spacing w:after="0"/>
              <w:rPr>
                <w:sz w:val="20"/>
                <w:szCs w:val="20"/>
                <w:color w:val="auto"/>
              </w:rPr>
            </w:pPr>
            <w:r>
              <w:rPr>
                <w:rFonts w:ascii="Arial" w:cs="Arial" w:eastAsia="Arial" w:hAnsi="Arial"/>
                <w:sz w:val="16"/>
                <w:szCs w:val="16"/>
                <w:color w:val="auto"/>
              </w:rPr>
              <w:t>209</w:t>
            </w:r>
          </w:p>
        </w:tc>
        <w:tc>
          <w:tcPr>
            <w:tcW w:w="1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00"/>
          </w:cols>
          <w:pgMar w:left="320" w:top="441" w:right="779" w:bottom="1440" w:gutter="0" w:footer="0" w:header="0"/>
        </w:sectPr>
      </w:pPr>
    </w:p>
    <w:bookmarkStart w:id="214" w:name="page215"/>
    <w:bookmarkEnd w:id="2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40"/>
        <w:spacing w:after="0" w:line="256" w:lineRule="auto"/>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and legal and accounting expenses, but excluding the underwriting discounts and commissions, will be approximately $2,750,000. We have agreed to reimburse the underwriters for expenses up to $35,000 relating to the clearance of this offering with the Financial Industry Regulatory Authority.</w:t>
      </w:r>
    </w:p>
    <w:p>
      <w:pPr>
        <w:spacing w:after="0" w:line="83" w:lineRule="exact"/>
        <w:rPr>
          <w:sz w:val="20"/>
          <w:szCs w:val="20"/>
          <w:color w:val="auto"/>
        </w:rPr>
      </w:pPr>
    </w:p>
    <w:p>
      <w:pPr>
        <w:jc w:val="both"/>
        <w:ind w:left="460" w:right="20"/>
        <w:spacing w:after="0" w:line="253" w:lineRule="auto"/>
        <w:rPr>
          <w:sz w:val="20"/>
          <w:szCs w:val="20"/>
          <w:color w:val="auto"/>
        </w:rPr>
      </w:pPr>
      <w:r>
        <w:rPr>
          <w:rFonts w:ascii="Arial" w:cs="Arial" w:eastAsia="Arial" w:hAnsi="Arial"/>
          <w:sz w:val="16"/>
          <w:szCs w:val="16"/>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86"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of 1933, relating to, any shares of our common stock or securities convertible into or exercisable or exchangeable for any shares of our common stock, or publicly disclose the intention to make any offer, sale, pledge, loan,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the representatives for a period of 180 days after the date of this prospectus, other than the shares of our common stock to be sold hereunder and any shares of our common stock issued upon the exercise of options granted under our existing stock-based compensation plans.</w:t>
      </w:r>
    </w:p>
    <w:p>
      <w:pPr>
        <w:spacing w:after="0" w:line="94" w:lineRule="exact"/>
        <w:rPr>
          <w:sz w:val="20"/>
          <w:szCs w:val="20"/>
          <w:color w:val="auto"/>
        </w:rPr>
      </w:pPr>
    </w:p>
    <w:p>
      <w:pPr>
        <w:ind w:left="460" w:right="120"/>
        <w:spacing w:after="0" w:line="265" w:lineRule="auto"/>
        <w:rPr>
          <w:sz w:val="20"/>
          <w:szCs w:val="20"/>
          <w:color w:val="auto"/>
        </w:rPr>
      </w:pPr>
      <w:r>
        <w:rPr>
          <w:rFonts w:ascii="Arial" w:cs="Arial" w:eastAsia="Arial" w:hAnsi="Arial"/>
          <w:sz w:val="16"/>
          <w:szCs w:val="16"/>
          <w:color w:val="auto"/>
        </w:rPr>
        <w:t>The restrictions on our actions, as described above, do not apply to the shares of common stock to be sold in this offering and any shares of our common stock issued upon the exercise of options granted under our stock-based compensation plans.</w:t>
      </w:r>
    </w:p>
    <w:p>
      <w:pPr>
        <w:spacing w:after="0" w:line="75"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Our directors and executive officers, and substantially all of our stockholders, or the “lock-up parties”, have entered into lock-up agreements with the underwriters prior to the commencement of this offering pursuant to which each lock-up party, with limited exceptions, for a period of 180 days after the date of this prospectus, or the restricted period, may not (and may not cause any of their direct or indirect affiliates to), without the prior written consent of the representatives,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(ii) enter into any hedging, swap or other agreement or transaction that transfers, in whole or in part, any of the economic consequences of ownership of the lock-up securities, whether any such transaction described in clause (i) or (ii) above is to be settled by delivery of lock-up securities, in cash or otherwise, (iii) make any demand for, or exercise any right with respect to, the registration of any lock-up securities, or (iv)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w:t>
      </w:r>
    </w:p>
    <w:p>
      <w:pPr>
        <w:spacing w:after="0" w:line="318"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210</w:t>
      </w:r>
    </w:p>
    <w:p>
      <w:pPr>
        <w:sectPr>
          <w:pgSz w:w="11900" w:h="16838" w:orient="portrait"/>
          <w:cols w:equalWidth="0" w:num="1">
            <w:col w:w="10760"/>
          </w:cols>
          <w:pgMar w:left="320" w:top="441" w:right="819" w:bottom="1440" w:gutter="0" w:footer="0" w:header="0"/>
        </w:sectPr>
      </w:pPr>
    </w:p>
    <w:bookmarkStart w:id="215" w:name="page216"/>
    <w:bookmarkEnd w:id="2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00"/>
        <w:spacing w:after="0" w:line="265" w:lineRule="auto"/>
        <w:rPr>
          <w:sz w:val="20"/>
          <w:szCs w:val="20"/>
          <w:color w:val="auto"/>
        </w:rPr>
      </w:pPr>
      <w:r>
        <w:rPr>
          <w:rFonts w:ascii="Arial" w:cs="Arial" w:eastAsia="Arial" w:hAnsi="Arial"/>
          <w:sz w:val="16"/>
          <w:szCs w:val="16"/>
          <w:color w:val="auto"/>
        </w:rPr>
        <w:t>of ownership, in whole or in part, directly or indirectly, of any lock-up securities, whether any such transaction or arrangement (or instrument provided for thereunder) would be settled by delivery of lock-up securities, in cash or otherwise.</w:t>
      </w:r>
    </w:p>
    <w:p>
      <w:pPr>
        <w:spacing w:after="0" w:line="75" w:lineRule="exact"/>
        <w:rPr>
          <w:sz w:val="20"/>
          <w:szCs w:val="20"/>
          <w:color w:val="auto"/>
        </w:rPr>
      </w:pPr>
    </w:p>
    <w:p>
      <w:pPr>
        <w:ind w:left="460"/>
        <w:spacing w:after="0" w:line="265" w:lineRule="auto"/>
        <w:rPr>
          <w:sz w:val="20"/>
          <w:szCs w:val="20"/>
          <w:color w:val="auto"/>
        </w:rPr>
      </w:pPr>
      <w:r>
        <w:rPr>
          <w:rFonts w:ascii="Arial" w:cs="Arial" w:eastAsia="Arial" w:hAnsi="Arial"/>
          <w:sz w:val="16"/>
          <w:szCs w:val="16"/>
          <w:color w:val="auto"/>
        </w:rPr>
        <w:t>The restrictions described in the immediately preceding paragraph and contained in the lock-up agreements between the underwriters and the lock-up parties do not apply, subject in certain cases to various conditions, to certain transactions, including:</w:t>
      </w:r>
    </w:p>
    <w:p>
      <w:pPr>
        <w:spacing w:after="0" w:line="88" w:lineRule="exact"/>
        <w:rPr>
          <w:sz w:val="20"/>
          <w:szCs w:val="20"/>
          <w:color w:val="auto"/>
        </w:rPr>
      </w:pPr>
    </w:p>
    <w:p>
      <w:pPr>
        <w:ind w:left="1360" w:right="860" w:hanging="503"/>
        <w:spacing w:after="0" w:line="265" w:lineRule="auto"/>
        <w:tabs>
          <w:tab w:leader="none" w:pos="13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transfers as a bona fide gift or gifts, or for bona fide estate planning purposes, including a bona fide gift to a charitable organization, as such term is described in Section 501(c)(3) of the Internal Revenue Code of 1986, as amended;</w:t>
      </w:r>
    </w:p>
    <w:p>
      <w:pPr>
        <w:spacing w:after="0" w:line="88" w:lineRule="exact"/>
        <w:rPr>
          <w:rFonts w:ascii="Arial" w:cs="Arial" w:eastAsia="Arial" w:hAnsi="Arial"/>
          <w:sz w:val="16"/>
          <w:szCs w:val="16"/>
          <w:color w:val="auto"/>
        </w:rPr>
      </w:pPr>
    </w:p>
    <w:p>
      <w:pPr>
        <w:ind w:left="1360" w:hanging="503"/>
        <w:spacing w:after="0"/>
        <w:tabs>
          <w:tab w:leader="none" w:pos="13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transfers by will, other testamentary document, or intestacy;</w:t>
      </w:r>
    </w:p>
    <w:p>
      <w:pPr>
        <w:spacing w:after="0" w:line="120" w:lineRule="exact"/>
        <w:rPr>
          <w:rFonts w:ascii="Arial" w:cs="Arial" w:eastAsia="Arial" w:hAnsi="Arial"/>
          <w:sz w:val="16"/>
          <w:szCs w:val="16"/>
          <w:color w:val="auto"/>
        </w:rPr>
      </w:pPr>
    </w:p>
    <w:p>
      <w:pPr>
        <w:ind w:left="1360" w:right="220" w:hanging="503"/>
        <w:spacing w:after="0" w:line="253" w:lineRule="auto"/>
        <w:tabs>
          <w:tab w:leader="none" w:pos="13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transfers to any trust or other entity formed for the direct or indirect benefit of the under-signed or the immediate family of the lock-up party, or if the lock-up party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98" w:lineRule="exact"/>
        <w:rPr>
          <w:rFonts w:ascii="Arial" w:cs="Arial" w:eastAsia="Arial" w:hAnsi="Arial"/>
          <w:sz w:val="16"/>
          <w:szCs w:val="16"/>
          <w:color w:val="auto"/>
        </w:rPr>
      </w:pPr>
    </w:p>
    <w:p>
      <w:pPr>
        <w:ind w:left="1360" w:hanging="503"/>
        <w:spacing w:after="0"/>
        <w:tabs>
          <w:tab w:leader="none" w:pos="13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transfers to any immediate family member;</w:t>
      </w:r>
    </w:p>
    <w:p>
      <w:pPr>
        <w:spacing w:after="0" w:line="120" w:lineRule="exact"/>
        <w:rPr>
          <w:rFonts w:ascii="Arial" w:cs="Arial" w:eastAsia="Arial" w:hAnsi="Arial"/>
          <w:sz w:val="16"/>
          <w:szCs w:val="16"/>
          <w:color w:val="auto"/>
        </w:rPr>
      </w:pPr>
    </w:p>
    <w:p>
      <w:pPr>
        <w:jc w:val="both"/>
        <w:ind w:left="1360" w:right="420" w:hanging="503"/>
        <w:spacing w:after="0" w:line="256" w:lineRule="auto"/>
        <w:tabs>
          <w:tab w:leader="none" w:pos="13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transfers to any corporation, partnership, limited liability company or other entity of which the lock-up party or the immediate family of the lock-up party are directly or indirectly the legal and beneficial owner of all of the outstanding equity securities or similar interests;</w:t>
      </w:r>
    </w:p>
    <w:p>
      <w:pPr>
        <w:spacing w:after="0" w:line="95" w:lineRule="exact"/>
        <w:rPr>
          <w:rFonts w:ascii="Arial" w:cs="Arial" w:eastAsia="Arial" w:hAnsi="Arial"/>
          <w:sz w:val="16"/>
          <w:szCs w:val="16"/>
          <w:color w:val="auto"/>
        </w:rPr>
      </w:pPr>
    </w:p>
    <w:p>
      <w:pPr>
        <w:ind w:left="1360" w:right="80" w:hanging="503"/>
        <w:spacing w:after="0" w:line="265" w:lineRule="auto"/>
        <w:tabs>
          <w:tab w:leader="none" w:pos="13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transfers to a nominee or custodian of a person or entity to whom a disposition or transfer would be permissible under clauses (i) through (vi) above;</w:t>
      </w:r>
    </w:p>
    <w:p>
      <w:pPr>
        <w:spacing w:after="0" w:line="88" w:lineRule="exact"/>
        <w:rPr>
          <w:rFonts w:ascii="Arial" w:cs="Arial" w:eastAsia="Arial" w:hAnsi="Arial"/>
          <w:sz w:val="16"/>
          <w:szCs w:val="16"/>
          <w:color w:val="auto"/>
        </w:rPr>
      </w:pPr>
    </w:p>
    <w:p>
      <w:pPr>
        <w:ind w:left="1360" w:right="20" w:hanging="503"/>
        <w:spacing w:after="0" w:line="251" w:lineRule="auto"/>
        <w:tabs>
          <w:tab w:leader="none" w:pos="13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if the lock-up party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lock-up party, or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(B) as part of a distribution to members or shareholders of the undersigned;</w:t>
      </w:r>
    </w:p>
    <w:p>
      <w:pPr>
        <w:spacing w:after="0" w:line="100" w:lineRule="exact"/>
        <w:rPr>
          <w:rFonts w:ascii="Arial" w:cs="Arial" w:eastAsia="Arial" w:hAnsi="Arial"/>
          <w:sz w:val="16"/>
          <w:szCs w:val="16"/>
          <w:color w:val="auto"/>
        </w:rPr>
      </w:pPr>
    </w:p>
    <w:p>
      <w:pPr>
        <w:ind w:left="1360" w:right="460" w:hanging="503"/>
        <w:spacing w:after="0" w:line="265" w:lineRule="auto"/>
        <w:tabs>
          <w:tab w:leader="none" w:pos="13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transfers by operation of law, such as pursuant to a qualified domestic order, divorce settlement, divorce decree, separation agreement, or court order;</w:t>
      </w:r>
    </w:p>
    <w:p>
      <w:pPr>
        <w:spacing w:after="0" w:line="88" w:lineRule="exact"/>
        <w:rPr>
          <w:rFonts w:ascii="Arial" w:cs="Arial" w:eastAsia="Arial" w:hAnsi="Arial"/>
          <w:sz w:val="16"/>
          <w:szCs w:val="16"/>
          <w:color w:val="auto"/>
        </w:rPr>
      </w:pPr>
    </w:p>
    <w:p>
      <w:pPr>
        <w:ind w:left="1360" w:right="360" w:hanging="503"/>
        <w:spacing w:after="0" w:line="265" w:lineRule="auto"/>
        <w:tabs>
          <w:tab w:leader="none" w:pos="13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transfers to the Company from an employee or other service provider of the Company upon death, disability or termination of employment or other service relationship, in each case, of such employee or other service provider;</w:t>
      </w:r>
    </w:p>
    <w:p>
      <w:pPr>
        <w:spacing w:after="0" w:line="88" w:lineRule="exact"/>
        <w:rPr>
          <w:rFonts w:ascii="Arial" w:cs="Arial" w:eastAsia="Arial" w:hAnsi="Arial"/>
          <w:sz w:val="16"/>
          <w:szCs w:val="16"/>
          <w:color w:val="auto"/>
        </w:rPr>
      </w:pPr>
    </w:p>
    <w:p>
      <w:pPr>
        <w:ind w:left="1360" w:hanging="503"/>
        <w:spacing w:after="0"/>
        <w:tabs>
          <w:tab w:leader="none" w:pos="13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reserved;</w:t>
      </w:r>
    </w:p>
    <w:p>
      <w:pPr>
        <w:spacing w:after="0" w:line="120" w:lineRule="exact"/>
        <w:rPr>
          <w:rFonts w:ascii="Arial" w:cs="Arial" w:eastAsia="Arial" w:hAnsi="Arial"/>
          <w:sz w:val="16"/>
          <w:szCs w:val="16"/>
          <w:color w:val="auto"/>
        </w:rPr>
      </w:pPr>
    </w:p>
    <w:p>
      <w:pPr>
        <w:ind w:left="1360" w:right="180" w:hanging="503"/>
        <w:spacing w:after="0" w:line="253" w:lineRule="auto"/>
        <w:tabs>
          <w:tab w:leader="none" w:pos="13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transfers 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provided that any such shares of Common Stock received upon such</w:t>
      </w:r>
    </w:p>
    <w:p>
      <w:pPr>
        <w:spacing w:after="0" w:line="1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211</w:t>
      </w:r>
    </w:p>
    <w:p>
      <w:pPr>
        <w:sectPr>
          <w:pgSz w:w="11900" w:h="16838" w:orient="portrait"/>
          <w:cols w:equalWidth="0" w:num="1">
            <w:col w:w="10800"/>
          </w:cols>
          <w:pgMar w:left="320" w:top="441" w:right="779" w:bottom="1440" w:gutter="0" w:footer="0" w:header="0"/>
        </w:sectPr>
      </w:pPr>
    </w:p>
    <w:bookmarkStart w:id="216" w:name="page217"/>
    <w:bookmarkEnd w:id="2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1380" w:right="120"/>
        <w:spacing w:after="0" w:line="253" w:lineRule="auto"/>
        <w:rPr>
          <w:sz w:val="20"/>
          <w:szCs w:val="20"/>
          <w:color w:val="auto"/>
        </w:rPr>
      </w:pPr>
      <w:r>
        <w:rPr>
          <w:rFonts w:ascii="Arial" w:cs="Arial" w:eastAsia="Arial" w:hAnsi="Arial"/>
          <w:sz w:val="16"/>
          <w:szCs w:val="16"/>
          <w:color w:val="auto"/>
        </w:rPr>
        <w:t>exercise, vesting or settlement shall be subject to the terms of the lock-up agreements with the lock-up parties, and provided further that any such restricted stock units, options, warrants or rights are held by the lock-up party pursuant to an agreement or equity awards granted under a stock incentive plan or other equity award plan, each such agreement or plan which is described in this prospectus and the registration statement of which it is a part; or</w:t>
      </w:r>
    </w:p>
    <w:p>
      <w:pPr>
        <w:spacing w:after="0" w:line="83" w:lineRule="exact"/>
        <w:rPr>
          <w:sz w:val="20"/>
          <w:szCs w:val="20"/>
          <w:color w:val="auto"/>
        </w:rPr>
      </w:pPr>
    </w:p>
    <w:p>
      <w:pPr>
        <w:ind w:left="1360" w:right="20" w:hanging="503"/>
        <w:spacing w:after="0" w:line="253" w:lineRule="auto"/>
        <w:tabs>
          <w:tab w:leader="none" w:pos="13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transfers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lock-up party Lock-Up Securities shall remain subject to the provisions of the lock-up agreements with the lock-up parties.</w:t>
      </w:r>
    </w:p>
    <w:p>
      <w:pPr>
        <w:spacing w:after="0" w:line="87" w:lineRule="exact"/>
        <w:rPr>
          <w:sz w:val="20"/>
          <w:szCs w:val="20"/>
          <w:color w:val="auto"/>
        </w:rPr>
      </w:pPr>
    </w:p>
    <w:p>
      <w:pPr>
        <w:ind w:left="460" w:right="20"/>
        <w:spacing w:after="0" w:line="265" w:lineRule="auto"/>
        <w:rPr>
          <w:sz w:val="20"/>
          <w:szCs w:val="20"/>
          <w:color w:val="auto"/>
        </w:rPr>
      </w:pPr>
      <w:r>
        <w:rPr>
          <w:rFonts w:ascii="Arial" w:cs="Arial" w:eastAsia="Arial" w:hAnsi="Arial"/>
          <w:sz w:val="16"/>
          <w:szCs w:val="16"/>
          <w:color w:val="auto"/>
        </w:rPr>
        <w:t>The representatives, in their sole discretion, may release the common stock subject to the lock-up agreements described above in whole or in part at any time with or without notice.</w:t>
      </w:r>
    </w:p>
    <w:p>
      <w:pPr>
        <w:spacing w:after="0" w:line="75" w:lineRule="exact"/>
        <w:rPr>
          <w:sz w:val="20"/>
          <w:szCs w:val="20"/>
          <w:color w:val="auto"/>
        </w:rPr>
      </w:pPr>
    </w:p>
    <w:p>
      <w:pPr>
        <w:ind w:left="460" w:right="1320"/>
        <w:spacing w:after="0" w:line="380" w:lineRule="auto"/>
        <w:rPr>
          <w:sz w:val="20"/>
          <w:szCs w:val="20"/>
          <w:color w:val="auto"/>
        </w:rPr>
      </w:pPr>
      <w:r>
        <w:rPr>
          <w:rFonts w:ascii="Arial" w:cs="Arial" w:eastAsia="Arial" w:hAnsi="Arial"/>
          <w:sz w:val="16"/>
          <w:szCs w:val="16"/>
          <w:color w:val="auto"/>
        </w:rPr>
        <w:t>We have agreed to indemnify the underwriters against certain liabilities, including liabilities under the Securities Act of 1933. Our common stock has been approved for listing on the Nasdaq Global Market under the symbol “RXST.”</w:t>
      </w:r>
    </w:p>
    <w:p>
      <w:pPr>
        <w:spacing w:after="0" w:line="1"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283" w:lineRule="exact"/>
        <w:rPr>
          <w:sz w:val="20"/>
          <w:szCs w:val="20"/>
          <w:color w:val="auto"/>
        </w:rPr>
      </w:pPr>
    </w:p>
    <w:p>
      <w:pPr>
        <w:ind w:left="460" w:right="200"/>
        <w:spacing w:after="0" w:line="253" w:lineRule="auto"/>
        <w:rPr>
          <w:sz w:val="20"/>
          <w:szCs w:val="20"/>
          <w:color w:val="auto"/>
        </w:rPr>
      </w:pPr>
      <w:r>
        <w:rPr>
          <w:rFonts w:ascii="Arial" w:cs="Arial" w:eastAsia="Arial" w:hAnsi="Arial"/>
          <w:sz w:val="16"/>
          <w:szCs w:val="16"/>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276" w:lineRule="exact"/>
        <w:rPr>
          <w:sz w:val="20"/>
          <w:szCs w:val="20"/>
          <w:color w:val="auto"/>
        </w:rPr>
      </w:pPr>
    </w:p>
    <w:p>
      <w:pPr>
        <w:ind w:left="460" w:right="80"/>
        <w:spacing w:after="0" w:line="265" w:lineRule="auto"/>
        <w:rPr>
          <w:sz w:val="20"/>
          <w:szCs w:val="20"/>
          <w:color w:val="auto"/>
        </w:rPr>
      </w:pPr>
      <w:r>
        <w:rPr>
          <w:rFonts w:ascii="Arial" w:cs="Arial" w:eastAsia="Arial" w:hAnsi="Arial"/>
          <w:sz w:val="16"/>
          <w:szCs w:val="16"/>
          <w:color w:val="auto"/>
        </w:rPr>
        <w:t>These activities may have the effect of raising or maintaining the market price of the common stock or preventing or retarding a decline in the market price of the common stock, and, as a result, the price of the</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212</w:t>
      </w:r>
    </w:p>
    <w:p>
      <w:pPr>
        <w:sectPr>
          <w:pgSz w:w="11900" w:h="16838" w:orient="portrait"/>
          <w:cols w:equalWidth="0" w:num="1">
            <w:col w:w="10780"/>
          </w:cols>
          <w:pgMar w:left="320" w:top="441" w:right="799" w:bottom="1440" w:gutter="0" w:footer="0" w:header="0"/>
        </w:sectPr>
      </w:pPr>
    </w:p>
    <w:bookmarkStart w:id="217" w:name="page218"/>
    <w:bookmarkEnd w:id="2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0"/>
        <w:spacing w:after="0" w:line="256" w:lineRule="auto"/>
        <w:rPr>
          <w:sz w:val="20"/>
          <w:szCs w:val="20"/>
          <w:color w:val="auto"/>
        </w:rPr>
      </w:pPr>
      <w:r>
        <w:rPr>
          <w:rFonts w:ascii="Arial" w:cs="Arial" w:eastAsia="Arial" w:hAnsi="Arial"/>
          <w:sz w:val="16"/>
          <w:szCs w:val="16"/>
          <w:color w:val="auto"/>
        </w:rPr>
        <w:t>common stock may be higher than the price that otherwise might exist in the open market. If the underwriters commence these activities, they may discontinue them at any time. The underwriters may carry out these transactions on The Nasdaq Global Market, in the over-the-counter market or otherwise.</w:t>
      </w:r>
    </w:p>
    <w:p>
      <w:pPr>
        <w:spacing w:after="0" w:line="83" w:lineRule="exact"/>
        <w:rPr>
          <w:sz w:val="20"/>
          <w:szCs w:val="20"/>
          <w:color w:val="auto"/>
        </w:rPr>
      </w:pPr>
    </w:p>
    <w:p>
      <w:pPr>
        <w:ind w:left="460" w:right="200"/>
        <w:spacing w:after="0" w:line="256"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was determined by negotiations between us and the representatives of the underwriters. In determining the initial public offering price, we and the representatives of the underwriters considered a number of factors including:</w:t>
      </w:r>
    </w:p>
    <w:p>
      <w:pPr>
        <w:spacing w:after="0" w:line="96" w:lineRule="exact"/>
        <w:rPr>
          <w:sz w:val="20"/>
          <w:szCs w:val="20"/>
          <w:color w:val="auto"/>
        </w:rPr>
      </w:pPr>
    </w:p>
    <w:p>
      <w:pPr>
        <w:ind w:left="660" w:hanging="209"/>
        <w:spacing w:after="0"/>
        <w:tabs>
          <w:tab w:leader="none" w:pos="6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information set forth in this prospectus and otherwise available to the representatives;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our prospects and the history and prospects for the industry in which we compete;</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 assessment of our management;</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our prospects for future earnings;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general condition of the securities markets at the time of this offering;</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recent market prices of, and demand for, publicly traded common stock of generally comparable companies; and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other factors deemed relevant by the underwriters and us.</w:t>
      </w:r>
    </w:p>
    <w:p>
      <w:pPr>
        <w:spacing w:after="0" w:line="108" w:lineRule="exact"/>
        <w:rPr>
          <w:sz w:val="20"/>
          <w:szCs w:val="20"/>
          <w:color w:val="auto"/>
        </w:rPr>
      </w:pPr>
    </w:p>
    <w:p>
      <w:pPr>
        <w:ind w:left="460" w:right="180"/>
        <w:spacing w:after="0" w:line="265" w:lineRule="auto"/>
        <w:rPr>
          <w:sz w:val="20"/>
          <w:szCs w:val="20"/>
          <w:color w:val="auto"/>
        </w:rPr>
      </w:pPr>
      <w:r>
        <w:rPr>
          <w:rFonts w:ascii="Arial" w:cs="Arial" w:eastAsia="Arial" w:hAnsi="Arial"/>
          <w:sz w:val="16"/>
          <w:szCs w:val="16"/>
          <w:color w:val="auto"/>
        </w:rPr>
        <w:t>Neither we nor the underwriters can assure investors that an active trading market will develop for our common stock, or that the shares will trade in the public market at or above the initial public offering price.</w:t>
      </w:r>
    </w:p>
    <w:p>
      <w:pPr>
        <w:spacing w:after="0" w:line="75" w:lineRule="exact"/>
        <w:rPr>
          <w:sz w:val="20"/>
          <w:szCs w:val="20"/>
          <w:color w:val="auto"/>
        </w:rPr>
      </w:pPr>
    </w:p>
    <w:p>
      <w:pPr>
        <w:ind w:left="460" w:right="20"/>
        <w:spacing w:after="0" w:line="252" w:lineRule="auto"/>
        <w:rPr>
          <w:sz w:val="20"/>
          <w:szCs w:val="20"/>
          <w:color w:val="auto"/>
        </w:rPr>
      </w:pPr>
      <w:r>
        <w:rPr>
          <w:rFonts w:ascii="Arial" w:cs="Arial" w:eastAsia="Arial" w:hAnsi="Arial"/>
          <w:sz w:val="16"/>
          <w:szCs w:val="16"/>
          <w:color w:val="auto"/>
        </w:rPr>
        <w:t>Certain of the underwriters and their affiliates may provide from time to time in the future certain commercial banking, financial advisory, investment banking and other services for us and such affiliates in the ordinary course of their business, for which they may receive customary fees and commissions. For example, an affiliate of BofA Securities, Inc. is collateral agent under our Credit Agreement.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Selling restrictions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General</w:t>
      </w:r>
    </w:p>
    <w:p>
      <w:pPr>
        <w:spacing w:after="0" w:line="128"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Notice to prospective investors in the European Economic Area</w:t>
      </w:r>
    </w:p>
    <w:p>
      <w:pPr>
        <w:spacing w:after="0" w:line="128" w:lineRule="exact"/>
        <w:rPr>
          <w:sz w:val="20"/>
          <w:szCs w:val="20"/>
          <w:color w:val="auto"/>
        </w:rPr>
      </w:pPr>
    </w:p>
    <w:p>
      <w:pPr>
        <w:ind w:left="460" w:right="220"/>
        <w:spacing w:after="0" w:line="265" w:lineRule="auto"/>
        <w:rPr>
          <w:sz w:val="20"/>
          <w:szCs w:val="20"/>
          <w:color w:val="auto"/>
        </w:rPr>
      </w:pPr>
      <w:r>
        <w:rPr>
          <w:rFonts w:ascii="Arial" w:cs="Arial" w:eastAsia="Arial" w:hAnsi="Arial"/>
          <w:sz w:val="16"/>
          <w:szCs w:val="16"/>
          <w:color w:val="auto"/>
        </w:rPr>
        <w:t>In relation to each Member State of the European Economic Area, or, each a Member State, no shares have been offered or will be offered pursuant to the offering to the public in that Member State prior to the publication of a</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213</w:t>
      </w:r>
    </w:p>
    <w:p>
      <w:pPr>
        <w:sectPr>
          <w:pgSz w:w="11900" w:h="16838" w:orient="portrait"/>
          <w:cols w:equalWidth="0" w:num="1">
            <w:col w:w="10780"/>
          </w:cols>
          <w:pgMar w:left="320" w:top="441" w:right="799" w:bottom="1440" w:gutter="0" w:footer="0" w:header="0"/>
        </w:sectPr>
      </w:pPr>
    </w:p>
    <w:bookmarkStart w:id="218" w:name="page219"/>
    <w:bookmarkEnd w:id="2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55" w:lineRule="auto"/>
        <w:rPr>
          <w:sz w:val="20"/>
          <w:szCs w:val="20"/>
          <w:color w:val="auto"/>
        </w:rPr>
      </w:pPr>
      <w:r>
        <w:rPr>
          <w:rFonts w:ascii="Arial" w:cs="Arial" w:eastAsia="Arial" w:hAnsi="Arial"/>
          <w:sz w:val="16"/>
          <w:szCs w:val="16"/>
          <w:color w:val="auto"/>
        </w:rPr>
        <w:t>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288" w:lineRule="exact"/>
        <w:rPr>
          <w:sz w:val="20"/>
          <w:szCs w:val="20"/>
          <w:color w:val="auto"/>
        </w:rPr>
      </w:pPr>
    </w:p>
    <w:p>
      <w:pPr>
        <w:ind w:left="1360" w:hanging="503"/>
        <w:spacing w:after="0"/>
        <w:tabs>
          <w:tab w:leader="none" w:pos="13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under the Prospectus Regulation;</w:t>
      </w:r>
    </w:p>
    <w:p>
      <w:pPr>
        <w:spacing w:after="0" w:line="120" w:lineRule="exact"/>
        <w:rPr>
          <w:rFonts w:ascii="Arial" w:cs="Arial" w:eastAsia="Arial" w:hAnsi="Arial"/>
          <w:sz w:val="16"/>
          <w:szCs w:val="16"/>
          <w:color w:val="auto"/>
        </w:rPr>
      </w:pPr>
    </w:p>
    <w:p>
      <w:pPr>
        <w:ind w:left="1360" w:right="60" w:hanging="503"/>
        <w:spacing w:after="0" w:line="265" w:lineRule="auto"/>
        <w:tabs>
          <w:tab w:leader="none" w:pos="13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the Prospectus Regulation), subject to obtaining the prior consent of the underwriters; or</w:t>
      </w:r>
    </w:p>
    <w:p>
      <w:pPr>
        <w:spacing w:after="0" w:line="88" w:lineRule="exact"/>
        <w:rPr>
          <w:rFonts w:ascii="Arial" w:cs="Arial" w:eastAsia="Arial" w:hAnsi="Arial"/>
          <w:sz w:val="16"/>
          <w:szCs w:val="16"/>
          <w:color w:val="auto"/>
        </w:rPr>
      </w:pPr>
    </w:p>
    <w:p>
      <w:pPr>
        <w:ind w:left="1360" w:hanging="503"/>
        <w:spacing w:after="0"/>
        <w:tabs>
          <w:tab w:leader="none" w:pos="13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1(4) of the Prospectus Regulation,</w:t>
      </w:r>
    </w:p>
    <w:p>
      <w:pPr>
        <w:spacing w:after="0" w:line="108" w:lineRule="exact"/>
        <w:rPr>
          <w:sz w:val="20"/>
          <w:szCs w:val="20"/>
          <w:color w:val="auto"/>
        </w:rPr>
      </w:pPr>
    </w:p>
    <w:p>
      <w:pPr>
        <w:ind w:left="460"/>
        <w:spacing w:after="0" w:line="248" w:lineRule="auto"/>
        <w:rPr>
          <w:sz w:val="20"/>
          <w:szCs w:val="20"/>
          <w:color w:val="auto"/>
        </w:rPr>
      </w:pPr>
      <w:r>
        <w:rPr>
          <w:rFonts w:ascii="Arial" w:cs="Arial" w:eastAsia="Arial" w:hAnsi="Arial"/>
          <w:sz w:val="16"/>
          <w:szCs w:val="16"/>
          <w:color w:val="auto"/>
        </w:rPr>
        <w:t>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underwriters have been obtained to each such proposed offer or resale.</w:t>
      </w:r>
    </w:p>
    <w:p>
      <w:pPr>
        <w:ind w:left="460" w:right="60"/>
        <w:spacing w:after="0" w:line="256" w:lineRule="auto"/>
        <w:rPr>
          <w:sz w:val="20"/>
          <w:szCs w:val="20"/>
          <w:color w:val="auto"/>
        </w:rPr>
      </w:pPr>
      <w:r>
        <w:rPr>
          <w:rFonts w:ascii="Arial" w:cs="Arial" w:eastAsia="Arial" w:hAnsi="Arial"/>
          <w:sz w:val="16"/>
          <w:szCs w:val="16"/>
          <w:color w:val="auto"/>
        </w:rPr>
        <w:t>For the purposes of this provision, the expression an “offer to the public” in relation to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Notice to prospective investors in the United Kingdom</w:t>
      </w:r>
    </w:p>
    <w:p>
      <w:pPr>
        <w:spacing w:after="0" w:line="128" w:lineRule="exact"/>
        <w:rPr>
          <w:sz w:val="20"/>
          <w:szCs w:val="20"/>
          <w:color w:val="auto"/>
        </w:rPr>
      </w:pPr>
    </w:p>
    <w:p>
      <w:pPr>
        <w:ind w:left="460" w:right="180"/>
        <w:spacing w:after="0" w:line="250"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or,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91" w:lineRule="exact"/>
        <w:rPr>
          <w:sz w:val="20"/>
          <w:szCs w:val="20"/>
          <w:color w:val="auto"/>
        </w:rPr>
      </w:pPr>
    </w:p>
    <w:p>
      <w:pPr>
        <w:jc w:val="both"/>
        <w:ind w:left="460" w:right="60"/>
        <w:spacing w:after="0" w:line="248" w:lineRule="auto"/>
        <w:rPr>
          <w:sz w:val="20"/>
          <w:szCs w:val="20"/>
          <w:color w:val="auto"/>
        </w:rPr>
      </w:pPr>
      <w:r>
        <w:rPr>
          <w:rFonts w:ascii="Arial" w:cs="Arial" w:eastAsia="Arial" w:hAnsi="Arial"/>
          <w:sz w:val="16"/>
          <w:szCs w:val="16"/>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ind w:left="460"/>
        <w:spacing w:after="0"/>
        <w:rPr>
          <w:sz w:val="20"/>
          <w:szCs w:val="20"/>
          <w:color w:val="auto"/>
        </w:rPr>
      </w:pPr>
      <w:r>
        <w:rPr>
          <w:rFonts w:ascii="Arial" w:cs="Arial" w:eastAsia="Arial" w:hAnsi="Arial"/>
          <w:sz w:val="16"/>
          <w:szCs w:val="16"/>
          <w:b w:val="1"/>
          <w:bCs w:val="1"/>
          <w:i w:val="1"/>
          <w:iCs w:val="1"/>
          <w:color w:val="auto"/>
        </w:rPr>
        <w:t>Notice to prospective investors in Canada</w:t>
      </w:r>
    </w:p>
    <w:p>
      <w:pPr>
        <w:spacing w:after="0" w:line="108" w:lineRule="exact"/>
        <w:rPr>
          <w:sz w:val="20"/>
          <w:szCs w:val="20"/>
          <w:color w:val="auto"/>
        </w:rPr>
      </w:pPr>
    </w:p>
    <w:p>
      <w:pPr>
        <w:ind w:left="460" w:right="20"/>
        <w:spacing w:after="0" w:line="253"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214</w:t>
      </w:r>
    </w:p>
    <w:p>
      <w:pPr>
        <w:sectPr>
          <w:pgSz w:w="11900" w:h="16838" w:orient="portrait"/>
          <w:cols w:equalWidth="0" w:num="1">
            <w:col w:w="10780"/>
          </w:cols>
          <w:pgMar w:left="320" w:top="441" w:right="799" w:bottom="1440" w:gutter="0" w:footer="0" w:header="0"/>
        </w:sectPr>
      </w:pPr>
    </w:p>
    <w:bookmarkStart w:id="219" w:name="page220"/>
    <w:bookmarkEnd w:id="2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80"/>
        <w:spacing w:after="0" w:line="25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6" w:lineRule="exact"/>
        <w:rPr>
          <w:sz w:val="20"/>
          <w:szCs w:val="20"/>
          <w:color w:val="auto"/>
        </w:rPr>
      </w:pPr>
    </w:p>
    <w:p>
      <w:pPr>
        <w:ind w:left="460" w:right="180"/>
        <w:spacing w:after="0" w:line="265"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Notice to prospective investors in Switzerland</w:t>
      </w:r>
    </w:p>
    <w:p>
      <w:pPr>
        <w:spacing w:after="0" w:line="128" w:lineRule="exact"/>
        <w:rPr>
          <w:sz w:val="20"/>
          <w:szCs w:val="20"/>
          <w:color w:val="auto"/>
        </w:rPr>
      </w:pPr>
    </w:p>
    <w:p>
      <w:pPr>
        <w:ind w:left="460" w:right="80"/>
        <w:spacing w:after="0" w:line="251"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88"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Notice to prospective investors in the Dubai International Financial Centre, or DIFC</w:t>
      </w:r>
    </w:p>
    <w:p>
      <w:pPr>
        <w:spacing w:after="0" w:line="128"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or the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91" w:lineRule="exact"/>
        <w:rPr>
          <w:sz w:val="20"/>
          <w:szCs w:val="20"/>
          <w:color w:val="auto"/>
        </w:rPr>
      </w:pPr>
    </w:p>
    <w:p>
      <w:pPr>
        <w:jc w:val="both"/>
        <w:ind w:left="460" w:right="40"/>
        <w:spacing w:after="0" w:line="256" w:lineRule="auto"/>
        <w:rPr>
          <w:sz w:val="20"/>
          <w:szCs w:val="20"/>
          <w:color w:val="auto"/>
        </w:rPr>
      </w:pPr>
      <w:r>
        <w:rPr>
          <w:rFonts w:ascii="Arial" w:cs="Arial" w:eastAsia="Arial" w:hAnsi="Arial"/>
          <w:sz w:val="16"/>
          <w:szCs w:val="16"/>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Notice to prospective investors in the United Arab Emirates</w:t>
      </w:r>
    </w:p>
    <w:p>
      <w:pPr>
        <w:spacing w:after="0" w:line="128" w:lineRule="exact"/>
        <w:rPr>
          <w:sz w:val="20"/>
          <w:szCs w:val="20"/>
          <w:color w:val="auto"/>
        </w:rPr>
      </w:pPr>
    </w:p>
    <w:p>
      <w:pPr>
        <w:ind w:left="460" w:right="60"/>
        <w:spacing w:after="0" w:line="256" w:lineRule="auto"/>
        <w:rPr>
          <w:sz w:val="20"/>
          <w:szCs w:val="20"/>
          <w:color w:val="auto"/>
        </w:rPr>
      </w:pPr>
      <w:r>
        <w:rPr>
          <w:rFonts w:ascii="Arial" w:cs="Arial" w:eastAsia="Arial" w:hAnsi="Arial"/>
          <w:sz w:val="16"/>
          <w:szCs w:val="16"/>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w:t>
      </w:r>
    </w:p>
    <w:p>
      <w:pPr>
        <w:spacing w:after="0" w:line="121"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215</w:t>
      </w:r>
    </w:p>
    <w:p>
      <w:pPr>
        <w:sectPr>
          <w:pgSz w:w="11900" w:h="16838" w:orient="portrait"/>
          <w:cols w:equalWidth="0" w:num="1">
            <w:col w:w="10740"/>
          </w:cols>
          <w:pgMar w:left="320" w:top="440" w:right="839" w:bottom="1440" w:gutter="0" w:footer="0" w:header="0"/>
        </w:sectPr>
      </w:pPr>
    </w:p>
    <w:bookmarkStart w:id="220" w:name="page221"/>
    <w:bookmarkEnd w:id="2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380"/>
        <w:spacing w:after="0" w:line="256" w:lineRule="auto"/>
        <w:rPr>
          <w:sz w:val="20"/>
          <w:szCs w:val="20"/>
          <w:color w:val="auto"/>
        </w:rPr>
      </w:pPr>
      <w:r>
        <w:rPr>
          <w:rFonts w:ascii="Arial" w:cs="Arial" w:eastAsia="Arial" w:hAnsi="Arial"/>
          <w:sz w:val="16"/>
          <w:szCs w:val="16"/>
          <w:color w:val="auto"/>
        </w:rPr>
        <w:t>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Notice to prospective investors in Australia</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prospectus:</w:t>
      </w:r>
    </w:p>
    <w:p>
      <w:pPr>
        <w:spacing w:after="0" w:line="120" w:lineRule="exact"/>
        <w:rPr>
          <w:sz w:val="20"/>
          <w:szCs w:val="20"/>
          <w:color w:val="auto"/>
        </w:rPr>
      </w:pPr>
    </w:p>
    <w:p>
      <w:pPr>
        <w:ind w:left="660" w:hanging="209"/>
        <w:spacing w:after="0"/>
        <w:tabs>
          <w:tab w:leader="none" w:pos="6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does not constitute a disclosure document or a prospectus under Chapter 6D.2 of the Corporations Act 2001 (Cth), or the Corporations Act;</w:t>
      </w:r>
    </w:p>
    <w:p>
      <w:pPr>
        <w:spacing w:after="0" w:line="120" w:lineRule="exact"/>
        <w:rPr>
          <w:rFonts w:ascii="Arial" w:cs="Arial" w:eastAsia="Arial" w:hAnsi="Arial"/>
          <w:sz w:val="16"/>
          <w:szCs w:val="16"/>
          <w:color w:val="auto"/>
        </w:rPr>
      </w:pPr>
    </w:p>
    <w:p>
      <w:pPr>
        <w:ind w:left="660" w:right="60" w:hanging="209"/>
        <w:spacing w:after="0" w:line="256" w:lineRule="auto"/>
        <w:tabs>
          <w:tab w:leader="none" w:pos="6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p>
    <w:p>
      <w:pPr>
        <w:spacing w:after="0" w:line="95" w:lineRule="exact"/>
        <w:rPr>
          <w:rFonts w:ascii="Arial" w:cs="Arial" w:eastAsia="Arial" w:hAnsi="Arial"/>
          <w:sz w:val="16"/>
          <w:szCs w:val="16"/>
          <w:color w:val="auto"/>
        </w:rPr>
      </w:pPr>
    </w:p>
    <w:p>
      <w:pPr>
        <w:ind w:left="660" w:right="440" w:hanging="209"/>
        <w:spacing w:after="0" w:line="265" w:lineRule="auto"/>
        <w:tabs>
          <w:tab w:leader="none" w:pos="6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may only be provided in Australia to select investors who are able to demonstrate that they fall within one or more of the categories of investors, available under section 708 of the Corporations Act, Exempt Investors.</w:t>
      </w:r>
    </w:p>
    <w:p>
      <w:pPr>
        <w:spacing w:after="0" w:line="75" w:lineRule="exact"/>
        <w:rPr>
          <w:sz w:val="20"/>
          <w:szCs w:val="20"/>
          <w:color w:val="auto"/>
        </w:rPr>
      </w:pPr>
    </w:p>
    <w:p>
      <w:pPr>
        <w:ind w:left="460" w:right="80"/>
        <w:spacing w:after="0" w:line="252"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86" w:lineRule="exact"/>
        <w:rPr>
          <w:sz w:val="20"/>
          <w:szCs w:val="20"/>
          <w:color w:val="auto"/>
        </w:rPr>
      </w:pPr>
    </w:p>
    <w:p>
      <w:pPr>
        <w:ind w:left="460" w:right="60"/>
        <w:spacing w:after="0" w:line="251" w:lineRule="auto"/>
        <w:rPr>
          <w:sz w:val="20"/>
          <w:szCs w:val="20"/>
          <w:color w:val="auto"/>
        </w:rPr>
      </w:pPr>
      <w:r>
        <w:rPr>
          <w:rFonts w:ascii="Arial" w:cs="Arial" w:eastAsia="Arial" w:hAnsi="Arial"/>
          <w:sz w:val="16"/>
          <w:szCs w:val="16"/>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Notice to prospective investors in Japan</w:t>
      </w:r>
    </w:p>
    <w:p>
      <w:pPr>
        <w:spacing w:after="0" w:line="128" w:lineRule="exact"/>
        <w:rPr>
          <w:sz w:val="20"/>
          <w:szCs w:val="20"/>
          <w:color w:val="auto"/>
        </w:rPr>
      </w:pPr>
    </w:p>
    <w:p>
      <w:pPr>
        <w:ind w:left="460" w:right="40"/>
        <w:spacing w:after="0" w:line="251" w:lineRule="auto"/>
        <w:rPr>
          <w:sz w:val="20"/>
          <w:szCs w:val="20"/>
          <w:color w:val="auto"/>
        </w:rPr>
      </w:pPr>
      <w:r>
        <w:rPr>
          <w:rFonts w:ascii="Arial" w:cs="Arial" w:eastAsia="Arial" w:hAnsi="Arial"/>
          <w:sz w:val="16"/>
          <w:szCs w:val="16"/>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Notice to prospective investors in Hong Kong</w:t>
      </w:r>
    </w:p>
    <w:p>
      <w:pPr>
        <w:spacing w:after="0" w:line="128" w:lineRule="exact"/>
        <w:rPr>
          <w:sz w:val="20"/>
          <w:szCs w:val="20"/>
          <w:color w:val="auto"/>
        </w:rPr>
      </w:pPr>
    </w:p>
    <w:p>
      <w:pPr>
        <w:ind w:left="460" w:right="120"/>
        <w:spacing w:after="0" w:line="253"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the Laws of Hong Kong), or the SFO, of Hong Kong and any rules made thereunder; or (b) in other circumstances which do not result in the document being a “prospectus” as defined in the Companies (Winding Up and Miscellaneous Provisions) Ordinance (Cap. 32) of Hong Kong), or the CO, or which do not constitute an</w:t>
      </w:r>
    </w:p>
    <w:p>
      <w:pPr>
        <w:spacing w:after="0" w:line="1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216</w:t>
      </w:r>
    </w:p>
    <w:p>
      <w:pPr>
        <w:sectPr>
          <w:pgSz w:w="11900" w:h="16838" w:orient="portrait"/>
          <w:cols w:equalWidth="0" w:num="1">
            <w:col w:w="10800"/>
          </w:cols>
          <w:pgMar w:left="320" w:top="440" w:right="779" w:bottom="1440" w:gutter="0" w:footer="0" w:header="0"/>
        </w:sectPr>
      </w:pPr>
    </w:p>
    <w:bookmarkStart w:id="221" w:name="page222"/>
    <w:bookmarkEnd w:id="2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color w:val="auto"/>
        </w:rPr>
        <w:t>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Notice to prospective investors in Singapore</w:t>
      </w:r>
    </w:p>
    <w:p>
      <w:pPr>
        <w:spacing w:after="0" w:line="128" w:lineRule="exact"/>
        <w:rPr>
          <w:sz w:val="20"/>
          <w:szCs w:val="20"/>
          <w:color w:val="auto"/>
        </w:rPr>
      </w:pPr>
    </w:p>
    <w:p>
      <w:pPr>
        <w:ind w:left="460" w:right="40"/>
        <w:spacing w:after="0" w:line="252" w:lineRule="auto"/>
        <w:rPr>
          <w:sz w:val="20"/>
          <w:szCs w:val="20"/>
          <w:color w:val="auto"/>
        </w:rPr>
      </w:pPr>
      <w:r>
        <w:rPr>
          <w:rFonts w:ascii="Arial" w:cs="Arial" w:eastAsia="Arial" w:hAnsi="Arial"/>
          <w:sz w:val="16"/>
          <w:szCs w:val="16"/>
          <w:color w:val="auto"/>
        </w:rPr>
        <w:t>Singapore SFA Product Classification — In connection with Section 309B of the SFA and the CMP Regulations 2018, unless otherwise specified before an offer of shares, the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86" w:lineRule="exact"/>
        <w:rPr>
          <w:sz w:val="20"/>
          <w:szCs w:val="20"/>
          <w:color w:val="auto"/>
        </w:rPr>
      </w:pPr>
    </w:p>
    <w:p>
      <w:pPr>
        <w:ind w:left="460" w:right="20"/>
        <w:spacing w:after="0" w:line="251" w:lineRule="auto"/>
        <w:rPr>
          <w:sz w:val="20"/>
          <w:szCs w:val="20"/>
          <w:color w:val="auto"/>
        </w:rPr>
      </w:pPr>
      <w:r>
        <w:rPr>
          <w:rFonts w:ascii="Arial" w:cs="Arial" w:eastAsia="Arial" w:hAnsi="Arial"/>
          <w:sz w:val="16"/>
          <w:szCs w:val="16"/>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101" w:lineRule="exact"/>
        <w:rPr>
          <w:sz w:val="20"/>
          <w:szCs w:val="20"/>
          <w:color w:val="auto"/>
        </w:rPr>
      </w:pPr>
    </w:p>
    <w:p>
      <w:pPr>
        <w:ind w:left="860" w:right="580" w:hanging="409"/>
        <w:spacing w:after="0" w:line="265" w:lineRule="auto"/>
        <w:tabs>
          <w:tab w:leader="none" w:pos="8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to an institutional investor (as defined in Section 4A of the Securities and Futures Act (Chapter 289) of Singapore, as modified or amended from time to time, or the SFA) pursuant to Section 274 of the SFA;</w:t>
      </w:r>
    </w:p>
    <w:p>
      <w:pPr>
        <w:spacing w:after="0" w:line="88" w:lineRule="exact"/>
        <w:rPr>
          <w:rFonts w:ascii="Arial" w:cs="Arial" w:eastAsia="Arial" w:hAnsi="Arial"/>
          <w:sz w:val="16"/>
          <w:szCs w:val="16"/>
          <w:color w:val="auto"/>
        </w:rPr>
      </w:pPr>
    </w:p>
    <w:p>
      <w:pPr>
        <w:ind w:left="860" w:right="640" w:hanging="409"/>
        <w:spacing w:after="0" w:line="265" w:lineRule="auto"/>
        <w:tabs>
          <w:tab w:leader="none" w:pos="8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to a relevant person (as defined in Section 275(2) of the SFA) pursuant to Section 275(1) of the SFA and in accordance with the conditions specified in Section 275 of the SFA; or</w:t>
      </w:r>
    </w:p>
    <w:p>
      <w:pPr>
        <w:spacing w:after="0" w:line="88" w:lineRule="exact"/>
        <w:rPr>
          <w:rFonts w:ascii="Arial" w:cs="Arial" w:eastAsia="Arial" w:hAnsi="Arial"/>
          <w:sz w:val="16"/>
          <w:szCs w:val="16"/>
          <w:color w:val="auto"/>
        </w:rPr>
      </w:pPr>
    </w:p>
    <w:p>
      <w:pPr>
        <w:ind w:left="860" w:hanging="409"/>
        <w:spacing w:after="0"/>
        <w:tabs>
          <w:tab w:leader="none" w:pos="8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otherwise pursuant to, and in accordance with the conditions of, any other applicable provision of the SFA.</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 the shares are subscribed or purchased under Section 275 of the SFA by a relevant person which is:</w:t>
      </w:r>
    </w:p>
    <w:p>
      <w:pPr>
        <w:spacing w:after="0" w:line="120" w:lineRule="exact"/>
        <w:rPr>
          <w:sz w:val="20"/>
          <w:szCs w:val="20"/>
          <w:color w:val="auto"/>
        </w:rPr>
      </w:pPr>
    </w:p>
    <w:p>
      <w:pPr>
        <w:ind w:left="860" w:right="520" w:hanging="409"/>
        <w:spacing w:after="0" w:line="265" w:lineRule="auto"/>
        <w:tabs>
          <w:tab w:leader="none" w:pos="8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88" w:lineRule="exact"/>
        <w:rPr>
          <w:rFonts w:ascii="Arial" w:cs="Arial" w:eastAsia="Arial" w:hAnsi="Arial"/>
          <w:sz w:val="16"/>
          <w:szCs w:val="16"/>
          <w:color w:val="auto"/>
        </w:rPr>
      </w:pPr>
    </w:p>
    <w:p>
      <w:pPr>
        <w:ind w:left="860" w:right="20" w:hanging="409"/>
        <w:spacing w:after="0" w:line="253" w:lineRule="auto"/>
        <w:tabs>
          <w:tab w:leader="none" w:pos="8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98" w:lineRule="exact"/>
        <w:rPr>
          <w:rFonts w:ascii="Arial" w:cs="Arial" w:eastAsia="Arial" w:hAnsi="Arial"/>
          <w:sz w:val="16"/>
          <w:szCs w:val="16"/>
          <w:color w:val="auto"/>
        </w:rPr>
      </w:pPr>
    </w:p>
    <w:p>
      <w:pPr>
        <w:ind w:left="1360" w:right="140" w:hanging="503"/>
        <w:spacing w:after="0" w:line="265" w:lineRule="auto"/>
        <w:tabs>
          <w:tab w:leader="none" w:pos="136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or to any person arising from an offer referred to in Section 276(4)(i)(B) of the SFA;</w:t>
      </w:r>
    </w:p>
    <w:p>
      <w:pPr>
        <w:spacing w:after="0" w:line="88" w:lineRule="exact"/>
        <w:rPr>
          <w:rFonts w:ascii="Arial" w:cs="Arial" w:eastAsia="Arial" w:hAnsi="Arial"/>
          <w:sz w:val="16"/>
          <w:szCs w:val="16"/>
          <w:color w:val="auto"/>
        </w:rPr>
      </w:pPr>
    </w:p>
    <w:p>
      <w:pPr>
        <w:ind w:left="1360" w:hanging="503"/>
        <w:spacing w:after="0"/>
        <w:tabs>
          <w:tab w:leader="none" w:pos="136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where no consideration is or will be given for the transfer;</w:t>
      </w:r>
    </w:p>
    <w:p>
      <w:pPr>
        <w:spacing w:after="0" w:line="120" w:lineRule="exact"/>
        <w:rPr>
          <w:rFonts w:ascii="Arial" w:cs="Arial" w:eastAsia="Arial" w:hAnsi="Arial"/>
          <w:sz w:val="16"/>
          <w:szCs w:val="16"/>
          <w:color w:val="auto"/>
        </w:rPr>
      </w:pPr>
    </w:p>
    <w:p>
      <w:pPr>
        <w:ind w:left="1360" w:hanging="503"/>
        <w:spacing w:after="0"/>
        <w:tabs>
          <w:tab w:leader="none" w:pos="136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where the transfer is by operation of law;</w:t>
      </w:r>
    </w:p>
    <w:p>
      <w:pPr>
        <w:spacing w:after="0" w:line="120" w:lineRule="exact"/>
        <w:rPr>
          <w:rFonts w:ascii="Arial" w:cs="Arial" w:eastAsia="Arial" w:hAnsi="Arial"/>
          <w:sz w:val="16"/>
          <w:szCs w:val="16"/>
          <w:color w:val="auto"/>
        </w:rPr>
      </w:pPr>
    </w:p>
    <w:p>
      <w:pPr>
        <w:ind w:left="1360" w:hanging="503"/>
        <w:spacing w:after="0"/>
        <w:tabs>
          <w:tab w:leader="none" w:pos="136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as specified in Section 276(7) of the SFA; or</w:t>
      </w:r>
    </w:p>
    <w:p>
      <w:pPr>
        <w:spacing w:after="0" w:line="146"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217</w:t>
      </w:r>
    </w:p>
    <w:p>
      <w:pPr>
        <w:sectPr>
          <w:pgSz w:w="11900" w:h="16838" w:orient="portrait"/>
          <w:cols w:equalWidth="0" w:num="1">
            <w:col w:w="10780"/>
          </w:cols>
          <w:pgMar w:left="320" w:top="441" w:right="799" w:bottom="1440" w:gutter="0" w:footer="0" w:header="0"/>
        </w:sectPr>
      </w:pPr>
    </w:p>
    <w:bookmarkStart w:id="222" w:name="page223"/>
    <w:bookmarkEnd w:id="2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1360" w:right="60" w:hanging="503"/>
        <w:spacing w:after="0" w:line="265" w:lineRule="auto"/>
        <w:tabs>
          <w:tab w:leader="none" w:pos="13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as specified in Regulation 37A of the Securities and Futures (Offers of Investments) (Securities and Securities-based Derivatives Contracts) Regulations 2018.</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Notice to prospective investors in Bermuda</w:t>
      </w:r>
    </w:p>
    <w:p>
      <w:pPr>
        <w:spacing w:after="0" w:line="128" w:lineRule="exact"/>
        <w:rPr>
          <w:sz w:val="20"/>
          <w:szCs w:val="20"/>
          <w:color w:val="auto"/>
        </w:rPr>
      </w:pPr>
    </w:p>
    <w:p>
      <w:pPr>
        <w:jc w:val="both"/>
        <w:ind w:left="460" w:right="180"/>
        <w:spacing w:after="0" w:line="256" w:lineRule="auto"/>
        <w:rPr>
          <w:sz w:val="20"/>
          <w:szCs w:val="20"/>
          <w:color w:val="auto"/>
        </w:rPr>
      </w:pPr>
      <w:r>
        <w:rPr>
          <w:rFonts w:ascii="Arial" w:cs="Arial" w:eastAsia="Arial" w:hAnsi="Arial"/>
          <w:sz w:val="16"/>
          <w:szCs w:val="16"/>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Notice to prospective investors in Saudi Arabia</w:t>
      </w:r>
    </w:p>
    <w:p>
      <w:pPr>
        <w:spacing w:after="0" w:line="128" w:lineRule="exact"/>
        <w:rPr>
          <w:sz w:val="20"/>
          <w:szCs w:val="20"/>
          <w:color w:val="auto"/>
        </w:rPr>
      </w:pPr>
    </w:p>
    <w:p>
      <w:pPr>
        <w:ind w:left="460" w:right="40"/>
        <w:spacing w:after="0" w:line="250" w:lineRule="auto"/>
        <w:rPr>
          <w:sz w:val="20"/>
          <w:szCs w:val="20"/>
          <w:color w:val="auto"/>
        </w:rPr>
      </w:pPr>
      <w:r>
        <w:rPr>
          <w:rFonts w:ascii="Arial" w:cs="Arial" w:eastAsia="Arial" w:hAnsi="Arial"/>
          <w:sz w:val="16"/>
          <w:szCs w:val="16"/>
          <w:color w:val="auto"/>
        </w:rPr>
        <w:t>This document may not be distributed in the Kingdom of Saudi Arabia except to such persons as are permitted under the Offers of Securities Regulations as issued by the board of the Saudi Arabian Capital Market Authority, or the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Notice to prospective investors in the British Virgin Islands</w:t>
      </w:r>
    </w:p>
    <w:p>
      <w:pPr>
        <w:spacing w:after="0" w:line="128" w:lineRule="exact"/>
        <w:rPr>
          <w:sz w:val="20"/>
          <w:szCs w:val="20"/>
          <w:color w:val="auto"/>
        </w:rPr>
      </w:pPr>
    </w:p>
    <w:p>
      <w:pPr>
        <w:ind w:left="460" w:right="40"/>
        <w:spacing w:after="0" w:line="255" w:lineRule="auto"/>
        <w:rPr>
          <w:sz w:val="20"/>
          <w:szCs w:val="20"/>
          <w:color w:val="auto"/>
        </w:rPr>
      </w:pPr>
      <w:r>
        <w:rPr>
          <w:rFonts w:ascii="Arial" w:cs="Arial" w:eastAsia="Arial" w:hAnsi="Arial"/>
          <w:sz w:val="16"/>
          <w:szCs w:val="16"/>
          <w:color w:val="auto"/>
        </w:rPr>
        <w:t>The shares are not being, and may not be, offered to the public or to any person in the British Virgin Islands for purchase or subscription by or on behalf of us. The shares may be offered to companies incorporated under the BVI Business Companies Act, 2004 (British Virgin Islands), or BVI Companies, but only where the offer will be made to, and received by, the relevant BVI Company entirely outside of the British Virgin Islands.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Notice to prospective investors in China</w:t>
      </w:r>
    </w:p>
    <w:p>
      <w:pPr>
        <w:spacing w:after="0" w:line="26" w:lineRule="exact"/>
        <w:rPr>
          <w:sz w:val="20"/>
          <w:szCs w:val="20"/>
          <w:color w:val="auto"/>
        </w:rPr>
      </w:pPr>
    </w:p>
    <w:p>
      <w:pPr>
        <w:ind w:left="460" w:right="60"/>
        <w:spacing w:after="0" w:line="253" w:lineRule="auto"/>
        <w:rPr>
          <w:sz w:val="20"/>
          <w:szCs w:val="20"/>
          <w:color w:val="auto"/>
        </w:rPr>
      </w:pPr>
      <w:r>
        <w:rPr>
          <w:rFonts w:ascii="Arial" w:cs="Arial" w:eastAsia="Arial" w:hAnsi="Arial"/>
          <w:sz w:val="16"/>
          <w:szCs w:val="16"/>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Notice to prospective investors in Korea</w:t>
      </w:r>
    </w:p>
    <w:p>
      <w:pPr>
        <w:spacing w:after="0" w:line="128"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The shares have not been and will not be registered under the Financial Investments Services and Capital Markets Act of Korea, or the FSCMA, and the decrees and regulations thereunder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or the FETL, and the decrees and regulations thereunder. The shares have not been listed on any of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2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218</w:t>
      </w:r>
    </w:p>
    <w:p>
      <w:pPr>
        <w:sectPr>
          <w:pgSz w:w="11900" w:h="16838" w:orient="portrait"/>
          <w:cols w:equalWidth="0" w:num="1">
            <w:col w:w="10800"/>
          </w:cols>
          <w:pgMar w:left="320" w:top="441" w:right="779" w:bottom="1440" w:gutter="0" w:footer="0" w:header="0"/>
        </w:sectPr>
      </w:pPr>
    </w:p>
    <w:bookmarkStart w:id="223" w:name="page224"/>
    <w:bookmarkEnd w:id="2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Notice to prospective investors in Taiwan</w:t>
      </w:r>
    </w:p>
    <w:p>
      <w:pPr>
        <w:spacing w:after="0" w:line="128"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Notice to prospective investors in South Africa</w:t>
      </w:r>
    </w:p>
    <w:p>
      <w:pPr>
        <w:spacing w:after="0" w:line="128" w:lineRule="exact"/>
        <w:rPr>
          <w:sz w:val="20"/>
          <w:szCs w:val="20"/>
          <w:color w:val="auto"/>
        </w:rPr>
      </w:pPr>
    </w:p>
    <w:p>
      <w:pPr>
        <w:ind w:left="460" w:right="120"/>
        <w:spacing w:after="0" w:line="250" w:lineRule="auto"/>
        <w:rPr>
          <w:sz w:val="20"/>
          <w:szCs w:val="20"/>
          <w:color w:val="auto"/>
        </w:rPr>
      </w:pPr>
      <w:r>
        <w:rPr>
          <w:rFonts w:ascii="Arial" w:cs="Arial" w:eastAsia="Arial" w:hAnsi="Arial"/>
          <w:sz w:val="16"/>
          <w:szCs w:val="16"/>
          <w:color w:val="auto"/>
        </w:rPr>
        <w:t>Due to restrictions under the securities laws of South Africa, no “offer to the public” (as such term is defined in the South African Companies Act, No. 71 of 2008 (as amended or re-enacted), or the South African Companies Act, is being made in connection with the issue of the shares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96 (1) (a) the offer, transfer, sale, renunciation or delivery is to:</w:t>
      </w:r>
    </w:p>
    <w:p>
      <w:pPr>
        <w:spacing w:after="0" w:line="120" w:lineRule="exact"/>
        <w:rPr>
          <w:sz w:val="20"/>
          <w:szCs w:val="20"/>
          <w:color w:val="auto"/>
        </w:rPr>
      </w:pPr>
    </w:p>
    <w:p>
      <w:pPr>
        <w:ind w:left="2700" w:right="260" w:hanging="600"/>
        <w:spacing w:after="0" w:line="265" w:lineRule="auto"/>
        <w:tabs>
          <w:tab w:leader="none" w:pos="27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persons whose ordinary business, or part of whose ordinary business, is to deal in securities, as principal or agent;</w:t>
      </w:r>
    </w:p>
    <w:p>
      <w:pPr>
        <w:spacing w:after="0" w:line="88" w:lineRule="exact"/>
        <w:rPr>
          <w:rFonts w:ascii="Arial" w:cs="Arial" w:eastAsia="Arial" w:hAnsi="Arial"/>
          <w:sz w:val="16"/>
          <w:szCs w:val="16"/>
          <w:color w:val="auto"/>
        </w:rPr>
      </w:pPr>
    </w:p>
    <w:p>
      <w:pPr>
        <w:ind w:left="2700" w:hanging="600"/>
        <w:spacing w:after="0"/>
        <w:tabs>
          <w:tab w:leader="none" w:pos="27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South African Public Investment Corporation;</w:t>
      </w:r>
    </w:p>
    <w:p>
      <w:pPr>
        <w:spacing w:after="0" w:line="120" w:lineRule="exact"/>
        <w:rPr>
          <w:rFonts w:ascii="Arial" w:cs="Arial" w:eastAsia="Arial" w:hAnsi="Arial"/>
          <w:sz w:val="16"/>
          <w:szCs w:val="16"/>
          <w:color w:val="auto"/>
        </w:rPr>
      </w:pPr>
    </w:p>
    <w:p>
      <w:pPr>
        <w:ind w:left="2700" w:hanging="600"/>
        <w:spacing w:after="0"/>
        <w:tabs>
          <w:tab w:leader="none" w:pos="27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persons or entities regulated by the Reserve Bank of South Africa;</w:t>
      </w:r>
    </w:p>
    <w:p>
      <w:pPr>
        <w:spacing w:after="0" w:line="120" w:lineRule="exact"/>
        <w:rPr>
          <w:rFonts w:ascii="Arial" w:cs="Arial" w:eastAsia="Arial" w:hAnsi="Arial"/>
          <w:sz w:val="16"/>
          <w:szCs w:val="16"/>
          <w:color w:val="auto"/>
        </w:rPr>
      </w:pPr>
    </w:p>
    <w:p>
      <w:pPr>
        <w:ind w:left="2700" w:hanging="600"/>
        <w:spacing w:after="0"/>
        <w:tabs>
          <w:tab w:leader="none" w:pos="27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authorized financial service providers under South African law;</w:t>
      </w:r>
    </w:p>
    <w:p>
      <w:pPr>
        <w:spacing w:after="0" w:line="120" w:lineRule="exact"/>
        <w:rPr>
          <w:rFonts w:ascii="Arial" w:cs="Arial" w:eastAsia="Arial" w:hAnsi="Arial"/>
          <w:sz w:val="16"/>
          <w:szCs w:val="16"/>
          <w:color w:val="auto"/>
        </w:rPr>
      </w:pPr>
    </w:p>
    <w:p>
      <w:pPr>
        <w:ind w:left="2700" w:hanging="600"/>
        <w:spacing w:after="0"/>
        <w:tabs>
          <w:tab w:leader="none" w:pos="27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financial institutions recognized as such under South African law;</w:t>
      </w:r>
    </w:p>
    <w:p>
      <w:pPr>
        <w:spacing w:after="0" w:line="120" w:lineRule="exact"/>
        <w:rPr>
          <w:rFonts w:ascii="Arial" w:cs="Arial" w:eastAsia="Arial" w:hAnsi="Arial"/>
          <w:sz w:val="16"/>
          <w:szCs w:val="16"/>
          <w:color w:val="auto"/>
        </w:rPr>
      </w:pPr>
    </w:p>
    <w:p>
      <w:pPr>
        <w:ind w:left="2700" w:right="480" w:hanging="600"/>
        <w:spacing w:after="0" w:line="256" w:lineRule="auto"/>
        <w:tabs>
          <w:tab w:leader="none" w:pos="27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95" w:lineRule="exact"/>
        <w:rPr>
          <w:rFonts w:ascii="Arial" w:cs="Arial" w:eastAsia="Arial" w:hAnsi="Arial"/>
          <w:sz w:val="16"/>
          <w:szCs w:val="16"/>
          <w:color w:val="auto"/>
        </w:rPr>
      </w:pPr>
    </w:p>
    <w:p>
      <w:pPr>
        <w:ind w:left="2700" w:hanging="600"/>
        <w:spacing w:after="0"/>
        <w:tabs>
          <w:tab w:leader="none" w:pos="27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any combination of the person in (i) to (vi); or</w:t>
      </w:r>
    </w:p>
    <w:p>
      <w:pPr>
        <w:spacing w:after="0" w:line="120" w:lineRule="exact"/>
        <w:rPr>
          <w:sz w:val="20"/>
          <w:szCs w:val="20"/>
          <w:color w:val="auto"/>
        </w:rPr>
      </w:pPr>
    </w:p>
    <w:p>
      <w:pPr>
        <w:ind w:left="2120" w:right="320" w:hanging="1660"/>
        <w:spacing w:after="0" w:line="256" w:lineRule="auto"/>
        <w:tabs>
          <w:tab w:leader="none" w:pos="2100" w:val="left"/>
        </w:tabs>
        <w:rPr>
          <w:sz w:val="20"/>
          <w:szCs w:val="20"/>
          <w:color w:val="auto"/>
        </w:rPr>
      </w:pPr>
      <w:r>
        <w:rPr>
          <w:rFonts w:ascii="Arial" w:cs="Arial" w:eastAsia="Arial" w:hAnsi="Arial"/>
          <w:sz w:val="16"/>
          <w:szCs w:val="16"/>
          <w:color w:val="auto"/>
        </w:rPr>
        <w:t>Section 96 (1) (b)</w:t>
      </w:r>
      <w:r>
        <w:rPr>
          <w:sz w:val="20"/>
          <w:szCs w:val="20"/>
          <w:color w:val="auto"/>
        </w:rPr>
        <w:tab/>
      </w:r>
      <w:r>
        <w:rPr>
          <w:rFonts w:ascii="Arial" w:cs="Arial" w:eastAsia="Arial" w:hAnsi="Arial"/>
          <w:sz w:val="16"/>
          <w:szCs w:val="16"/>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83" w:lineRule="exact"/>
        <w:rPr>
          <w:sz w:val="20"/>
          <w:szCs w:val="20"/>
          <w:color w:val="auto"/>
        </w:rPr>
      </w:pPr>
    </w:p>
    <w:p>
      <w:pPr>
        <w:ind w:left="460" w:right="300"/>
        <w:spacing w:after="0" w:line="265" w:lineRule="auto"/>
        <w:rPr>
          <w:sz w:val="20"/>
          <w:szCs w:val="20"/>
          <w:color w:val="auto"/>
        </w:rPr>
      </w:pPr>
      <w:r>
        <w:rPr>
          <w:rFonts w:ascii="Arial" w:cs="Arial" w:eastAsia="Arial" w:hAnsi="Arial"/>
          <w:sz w:val="16"/>
          <w:szCs w:val="16"/>
          <w:color w:val="auto"/>
        </w:rPr>
        <w:t>Information made available in this prospectus should not be considered as “advice” as defined in the South African Financial Advisory and Intermediary Services Act, 2002.</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Notice to prospective investors in Israel</w:t>
      </w:r>
    </w:p>
    <w:p>
      <w:pPr>
        <w:spacing w:after="0" w:line="128" w:lineRule="exact"/>
        <w:rPr>
          <w:sz w:val="20"/>
          <w:szCs w:val="20"/>
          <w:color w:val="auto"/>
        </w:rPr>
      </w:pPr>
    </w:p>
    <w:p>
      <w:pPr>
        <w:ind w:left="460" w:right="160"/>
        <w:spacing w:after="0" w:line="256" w:lineRule="auto"/>
        <w:rPr>
          <w:sz w:val="20"/>
          <w:szCs w:val="20"/>
          <w:color w:val="auto"/>
        </w:rPr>
      </w:pPr>
      <w:r>
        <w:rPr>
          <w:rFonts w:ascii="Arial" w:cs="Arial" w:eastAsia="Arial" w:hAnsi="Arial"/>
          <w:sz w:val="16"/>
          <w:szCs w:val="16"/>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shares of common stock is directed only</w:t>
      </w:r>
    </w:p>
    <w:p>
      <w:pPr>
        <w:spacing w:after="0" w:line="121"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219</w:t>
      </w:r>
    </w:p>
    <w:p>
      <w:pPr>
        <w:sectPr>
          <w:pgSz w:w="11900" w:h="16838" w:orient="portrait"/>
          <w:cols w:equalWidth="0" w:num="1">
            <w:col w:w="10800"/>
          </w:cols>
          <w:pgMar w:left="320" w:top="441" w:right="779" w:bottom="1440" w:gutter="0" w:footer="0" w:header="0"/>
        </w:sectPr>
      </w:pPr>
    </w:p>
    <w:bookmarkStart w:id="224" w:name="page225"/>
    <w:bookmarkEnd w:id="2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29"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220</w:t>
      </w:r>
    </w:p>
    <w:p>
      <w:pPr>
        <w:sectPr>
          <w:pgSz w:w="11900" w:h="16838" w:orient="portrait"/>
          <w:cols w:equalWidth="0" w:num="1">
            <w:col w:w="10780"/>
          </w:cols>
          <w:pgMar w:left="320" w:top="441" w:right="799" w:bottom="1440" w:gutter="0" w:footer="0" w:header="0"/>
        </w:sectPr>
      </w:pPr>
    </w:p>
    <w:bookmarkStart w:id="225" w:name="page226"/>
    <w:bookmarkEnd w:id="2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Legal Matters</w:t>
      </w:r>
    </w:p>
    <w:p>
      <w:pPr>
        <w:spacing w:after="0" w:line="149" w:lineRule="exact"/>
        <w:rPr>
          <w:sz w:val="20"/>
          <w:szCs w:val="20"/>
          <w:color w:val="auto"/>
        </w:rPr>
      </w:pPr>
    </w:p>
    <w:p>
      <w:pPr>
        <w:ind w:left="460" w:right="40"/>
        <w:spacing w:after="0" w:line="253" w:lineRule="auto"/>
        <w:rPr>
          <w:sz w:val="20"/>
          <w:szCs w:val="20"/>
          <w:color w:val="auto"/>
        </w:rPr>
      </w:pPr>
      <w:r>
        <w:rPr>
          <w:rFonts w:ascii="Arial" w:cs="Arial" w:eastAsia="Arial" w:hAnsi="Arial"/>
          <w:sz w:val="16"/>
          <w:szCs w:val="16"/>
          <w:color w:val="auto"/>
        </w:rPr>
        <w:t>The validity of the issuance of our common stock offered in this prospectus will be passed upon for us by Wilson Sonsini Goodrich &amp; Rosati, Professional Corporation, San Diego, California. Davis Polk &amp; Wardwell LLP, Menlo Park, California, is acting as counsel for the underwriters. Certain members of, and investment partnerships comprised of members of, and persons associated with, Wilson Sonsini Goodrich &amp; Rosati, Professional Corporation, own an interest representing less than one percent of the shares of our common stock.</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Experts</w:t>
      </w:r>
    </w:p>
    <w:p>
      <w:pPr>
        <w:spacing w:after="0" w:line="149"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Ernst &amp; Young LLP, our independent registered public accounting firm, has audited our consolidated financial statements at December 31, 2020 and 2019, and for each of the two years in the period ended December 31, 2020, as set forth in their report. We’ve included our financial statements in the prospectus and elsewhere in the registration statement in reliance on Ernst &amp; Young LLP’s report, given on their authority as experts in accounting and auditing.</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Where you can find additional information</w:t>
      </w:r>
    </w:p>
    <w:p>
      <w:pPr>
        <w:spacing w:after="0" w:line="149"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the registration statement of which this prospectus forms a part, as well as the exhibits thereto. These documents, along with future reports, proxy statements and other information about us, are available at the SEC’s website, www.sec.gov.</w:t>
      </w:r>
    </w:p>
    <w:p>
      <w:pPr>
        <w:spacing w:after="0" w:line="278" w:lineRule="exact"/>
        <w:rPr>
          <w:sz w:val="20"/>
          <w:szCs w:val="20"/>
          <w:color w:val="auto"/>
        </w:rPr>
      </w:pPr>
    </w:p>
    <w:p>
      <w:pPr>
        <w:ind w:left="460" w:right="40"/>
        <w:spacing w:after="0" w:line="251" w:lineRule="auto"/>
        <w:rPr>
          <w:sz w:val="20"/>
          <w:szCs w:val="20"/>
          <w:color w:val="auto"/>
        </w:rPr>
      </w:pPr>
      <w:r>
        <w:rPr>
          <w:rFonts w:ascii="Arial" w:cs="Arial" w:eastAsia="Arial" w:hAnsi="Arial"/>
          <w:sz w:val="16"/>
          <w:szCs w:val="16"/>
          <w:color w:val="auto"/>
        </w:rPr>
        <w:t>As a result of this offering, we will become subject to the information and reporting requirements of the Securities Exchange Act of 1934, as amended, and, in accordance with this law, will file periodic reports, proxy statements and other information with the SEC. We also maintain a website at www.rxsight.com where these materials are available. Upon the completion of this offering, you may access these materials free of charge as soon as reasonably practicable after they are electronically filed with, or furnished to, the SEC. Information contained on, or that can be accessible through, our website is not a part of this prospectus and the inclusion of our website address in this prospectus is an inactive textual reference only.</w:t>
      </w:r>
    </w:p>
    <w:p>
      <w:pPr>
        <w:spacing w:after="0" w:line="12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221</w:t>
      </w:r>
    </w:p>
    <w:p>
      <w:pPr>
        <w:sectPr>
          <w:pgSz w:w="11900" w:h="16838" w:orient="portrait"/>
          <w:cols w:equalWidth="0" w:num="1">
            <w:col w:w="10780"/>
          </w:cols>
          <w:pgMar w:left="320" w:top="441" w:right="799" w:bottom="1440" w:gutter="0" w:footer="0" w:header="0"/>
        </w:sectPr>
      </w:pPr>
    </w:p>
    <w:bookmarkStart w:id="226" w:name="page227"/>
    <w:bookmarkEnd w:id="2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RxSight, Inc.</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Index to financial statements</w:t>
      </w:r>
    </w:p>
    <w:p>
      <w:pPr>
        <w:spacing w:after="0" w:line="104" w:lineRule="exact"/>
        <w:rPr>
          <w:sz w:val="20"/>
          <w:szCs w:val="20"/>
          <w:color w:val="auto"/>
        </w:rPr>
      </w:pPr>
    </w:p>
    <w:tbl>
      <w:tblPr>
        <w:tblLayout w:type="fixed"/>
        <w:tblInd w:w="460" w:type="dxa"/>
        <w:tblCellMar>
          <w:top w:w="0" w:type="dxa"/>
          <w:left w:w="0" w:type="dxa"/>
          <w:bottom w:w="0" w:type="dxa"/>
          <w:right w:w="0" w:type="dxa"/>
        </w:tblCellMar>
      </w:tblPr>
      <w:tr>
        <w:trPr>
          <w:trHeight w:val="169"/>
        </w:trPr>
        <w:tc>
          <w:tcPr>
            <w:tcW w:w="2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216"/>
        </w:trPr>
        <w:tc>
          <w:tcPr>
            <w:tcW w:w="9420" w:type="dxa"/>
            <w:vAlign w:val="bottom"/>
            <w:gridSpan w:val="7"/>
          </w:tcPr>
          <w:p>
            <w:pPr>
              <w:spacing w:after="0"/>
              <w:rPr>
                <w:rFonts w:ascii="Arial" w:cs="Arial" w:eastAsia="Arial" w:hAnsi="Arial"/>
                <w:sz w:val="16"/>
                <w:szCs w:val="16"/>
                <w:color w:val="0000EE"/>
              </w:rPr>
            </w:pPr>
            <w:hyperlink w:anchor="page228">
              <w:r>
                <w:rPr>
                  <w:rFonts w:ascii="Arial" w:cs="Arial" w:eastAsia="Arial" w:hAnsi="Arial"/>
                  <w:sz w:val="16"/>
                  <w:szCs w:val="16"/>
                  <w:color w:val="0000EE"/>
                </w:rPr>
                <w:t>Report of Independent Registered Public Accounting Firm</w:t>
              </w:r>
            </w:hyperlink>
          </w:p>
        </w:tc>
        <w:tc>
          <w:tcPr>
            <w:tcW w:w="860" w:type="dxa"/>
            <w:vAlign w:val="bottom"/>
          </w:tcPr>
          <w:p>
            <w:pPr>
              <w:jc w:val="right"/>
              <w:spacing w:after="0"/>
              <w:rPr>
                <w:sz w:val="20"/>
                <w:szCs w:val="20"/>
                <w:color w:val="auto"/>
              </w:rPr>
            </w:pPr>
            <w:r>
              <w:rPr>
                <w:rFonts w:ascii="Arial" w:cs="Arial" w:eastAsia="Arial" w:hAnsi="Arial"/>
                <w:sz w:val="16"/>
                <w:szCs w:val="16"/>
                <w:color w:val="auto"/>
              </w:rPr>
              <w:t>F-2</w:t>
            </w:r>
          </w:p>
        </w:tc>
      </w:tr>
      <w:tr>
        <w:trPr>
          <w:trHeight w:val="234"/>
        </w:trPr>
        <w:tc>
          <w:tcPr>
            <w:tcW w:w="4200" w:type="dxa"/>
            <w:vAlign w:val="bottom"/>
            <w:tcBorders>
              <w:top w:val="single" w:sz="8" w:color="0000EE"/>
            </w:tcBorders>
            <w:gridSpan w:val="4"/>
          </w:tcPr>
          <w:p>
            <w:pPr>
              <w:spacing w:after="0"/>
              <w:rPr>
                <w:rFonts w:ascii="Arial" w:cs="Arial" w:eastAsia="Arial" w:hAnsi="Arial"/>
                <w:sz w:val="16"/>
                <w:szCs w:val="16"/>
                <w:color w:val="0000EE"/>
              </w:rPr>
            </w:pPr>
            <w:hyperlink w:anchor="page229">
              <w:r>
                <w:rPr>
                  <w:rFonts w:ascii="Arial" w:cs="Arial" w:eastAsia="Arial" w:hAnsi="Arial"/>
                  <w:sz w:val="16"/>
                  <w:szCs w:val="16"/>
                  <w:color w:val="0000EE"/>
                </w:rPr>
                <w:t>Consolidated balance sheets</w:t>
              </w:r>
            </w:hyperlink>
          </w:p>
        </w:tc>
        <w:tc>
          <w:tcPr>
            <w:tcW w:w="5220" w:type="dxa"/>
            <w:vAlign w:val="bottom"/>
            <w:gridSpan w:val="3"/>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F-3</w:t>
            </w:r>
          </w:p>
        </w:tc>
      </w:tr>
      <w:tr>
        <w:trPr>
          <w:trHeight w:val="20"/>
        </w:trPr>
        <w:tc>
          <w:tcPr>
            <w:tcW w:w="21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4"/>
        </w:trPr>
        <w:tc>
          <w:tcPr>
            <w:tcW w:w="9420" w:type="dxa"/>
            <w:vAlign w:val="bottom"/>
            <w:gridSpan w:val="7"/>
          </w:tcPr>
          <w:p>
            <w:pPr>
              <w:spacing w:after="0"/>
              <w:rPr>
                <w:rFonts w:ascii="Arial" w:cs="Arial" w:eastAsia="Arial" w:hAnsi="Arial"/>
                <w:sz w:val="16"/>
                <w:szCs w:val="16"/>
                <w:color w:val="0000EE"/>
              </w:rPr>
            </w:pPr>
            <w:hyperlink w:anchor="page230">
              <w:r>
                <w:rPr>
                  <w:rFonts w:ascii="Arial" w:cs="Arial" w:eastAsia="Arial" w:hAnsi="Arial"/>
                  <w:sz w:val="16"/>
                  <w:szCs w:val="16"/>
                  <w:color w:val="0000EE"/>
                </w:rPr>
                <w:t>Consolidated statements of operations and comprehensive income</w:t>
              </w:r>
            </w:hyperlink>
          </w:p>
        </w:tc>
        <w:tc>
          <w:tcPr>
            <w:tcW w:w="860" w:type="dxa"/>
            <w:vAlign w:val="bottom"/>
          </w:tcPr>
          <w:p>
            <w:pPr>
              <w:jc w:val="right"/>
              <w:spacing w:after="0"/>
              <w:rPr>
                <w:sz w:val="20"/>
                <w:szCs w:val="20"/>
                <w:color w:val="auto"/>
              </w:rPr>
            </w:pPr>
            <w:r>
              <w:rPr>
                <w:rFonts w:ascii="Arial" w:cs="Arial" w:eastAsia="Arial" w:hAnsi="Arial"/>
                <w:sz w:val="16"/>
                <w:szCs w:val="16"/>
                <w:color w:val="auto"/>
              </w:rPr>
              <w:t>F-4</w:t>
            </w: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4"/>
        </w:trPr>
        <w:tc>
          <w:tcPr>
            <w:tcW w:w="8900" w:type="dxa"/>
            <w:vAlign w:val="bottom"/>
            <w:tcBorders>
              <w:bottom w:val="single" w:sz="8" w:color="0000EE"/>
            </w:tcBorders>
            <w:gridSpan w:val="6"/>
          </w:tcPr>
          <w:p>
            <w:pPr>
              <w:spacing w:after="0"/>
              <w:rPr>
                <w:rFonts w:ascii="Arial" w:cs="Arial" w:eastAsia="Arial" w:hAnsi="Arial"/>
                <w:sz w:val="16"/>
                <w:szCs w:val="16"/>
                <w:color w:val="0000EE"/>
              </w:rPr>
            </w:pPr>
            <w:hyperlink w:anchor="page231">
              <w:r>
                <w:rPr>
                  <w:rFonts w:ascii="Arial" w:cs="Arial" w:eastAsia="Arial" w:hAnsi="Arial"/>
                  <w:sz w:val="16"/>
                  <w:szCs w:val="16"/>
                  <w:color w:val="0000EE"/>
                </w:rPr>
                <w:t>Consolidated statements of redeemable common stock, stock options, convertible preferred stock and stockholders’ deficit</w:t>
              </w:r>
            </w:hyperlink>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F-5</w:t>
            </w:r>
          </w:p>
        </w:tc>
      </w:tr>
      <w:tr>
        <w:trPr>
          <w:trHeight w:val="234"/>
        </w:trPr>
        <w:tc>
          <w:tcPr>
            <w:tcW w:w="9420" w:type="dxa"/>
            <w:vAlign w:val="bottom"/>
            <w:gridSpan w:val="7"/>
          </w:tcPr>
          <w:p>
            <w:pPr>
              <w:spacing w:after="0"/>
              <w:rPr>
                <w:rFonts w:ascii="Arial" w:cs="Arial" w:eastAsia="Arial" w:hAnsi="Arial"/>
                <w:sz w:val="16"/>
                <w:szCs w:val="16"/>
                <w:color w:val="0000EE"/>
              </w:rPr>
            </w:pPr>
            <w:hyperlink w:anchor="page232">
              <w:r>
                <w:rPr>
                  <w:rFonts w:ascii="Arial" w:cs="Arial" w:eastAsia="Arial" w:hAnsi="Arial"/>
                  <w:sz w:val="16"/>
                  <w:szCs w:val="16"/>
                  <w:color w:val="0000EE"/>
                </w:rPr>
                <w:t>Consolidated statements of cash flows</w:t>
              </w:r>
            </w:hyperlink>
          </w:p>
        </w:tc>
        <w:tc>
          <w:tcPr>
            <w:tcW w:w="860" w:type="dxa"/>
            <w:vAlign w:val="bottom"/>
          </w:tcPr>
          <w:p>
            <w:pPr>
              <w:jc w:val="right"/>
              <w:spacing w:after="0"/>
              <w:rPr>
                <w:sz w:val="20"/>
                <w:szCs w:val="20"/>
                <w:color w:val="auto"/>
              </w:rPr>
            </w:pPr>
            <w:r>
              <w:rPr>
                <w:rFonts w:ascii="Arial" w:cs="Arial" w:eastAsia="Arial" w:hAnsi="Arial"/>
                <w:sz w:val="16"/>
                <w:szCs w:val="16"/>
                <w:color w:val="auto"/>
              </w:rPr>
              <w:t>F-6</w:t>
            </w: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4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4"/>
        </w:trPr>
        <w:tc>
          <w:tcPr>
            <w:tcW w:w="3080" w:type="dxa"/>
            <w:vAlign w:val="bottom"/>
            <w:tcBorders>
              <w:bottom w:val="single" w:sz="8" w:color="0000EE"/>
            </w:tcBorders>
            <w:gridSpan w:val="3"/>
          </w:tcPr>
          <w:p>
            <w:pPr>
              <w:spacing w:after="0"/>
              <w:rPr>
                <w:rFonts w:ascii="Arial" w:cs="Arial" w:eastAsia="Arial" w:hAnsi="Arial"/>
                <w:sz w:val="16"/>
                <w:szCs w:val="16"/>
                <w:color w:val="0000EE"/>
              </w:rPr>
            </w:pPr>
            <w:hyperlink w:anchor="page234">
              <w:r>
                <w:rPr>
                  <w:rFonts w:ascii="Arial" w:cs="Arial" w:eastAsia="Arial" w:hAnsi="Arial"/>
                  <w:sz w:val="16"/>
                  <w:szCs w:val="16"/>
                  <w:color w:val="0000EE"/>
                </w:rPr>
                <w:t>Notes to consolidated financial statements</w:t>
              </w:r>
            </w:hyperlink>
          </w:p>
        </w:tc>
        <w:tc>
          <w:tcPr>
            <w:tcW w:w="6340" w:type="dxa"/>
            <w:vAlign w:val="bottom"/>
            <w:gridSpan w:val="4"/>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F-8</w:t>
            </w:r>
          </w:p>
        </w:tc>
      </w:tr>
    </w:tbl>
    <w:p>
      <w:pPr>
        <w:spacing w:after="0" w:line="181"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RxSight, Inc.</w:t>
      </w:r>
    </w:p>
    <w:p>
      <w:pPr>
        <w:spacing w:after="0" w:line="48" w:lineRule="exact"/>
        <w:rPr>
          <w:sz w:val="20"/>
          <w:szCs w:val="20"/>
          <w:color w:val="auto"/>
        </w:rPr>
      </w:pPr>
    </w:p>
    <w:p>
      <w:pPr>
        <w:ind w:left="460" w:right="1040"/>
        <w:spacing w:after="0" w:line="261" w:lineRule="auto"/>
        <w:rPr>
          <w:sz w:val="20"/>
          <w:szCs w:val="20"/>
          <w:color w:val="auto"/>
        </w:rPr>
      </w:pPr>
      <w:r>
        <w:rPr>
          <w:rFonts w:ascii="Arial" w:cs="Arial" w:eastAsia="Arial" w:hAnsi="Arial"/>
          <w:sz w:val="30"/>
          <w:szCs w:val="30"/>
          <w:b w:val="1"/>
          <w:bCs w:val="1"/>
          <w:color w:val="auto"/>
        </w:rPr>
        <w:t>Unaudited interim condensed consolidated financial statements Index to financial statements</w:t>
      </w:r>
    </w:p>
    <w:p>
      <w:pPr>
        <w:spacing w:after="0" w:line="54" w:lineRule="exact"/>
        <w:rPr>
          <w:sz w:val="20"/>
          <w:szCs w:val="20"/>
          <w:color w:val="auto"/>
        </w:rPr>
      </w:pPr>
    </w:p>
    <w:tbl>
      <w:tblPr>
        <w:tblLayout w:type="fixed"/>
        <w:tblInd w:w="460" w:type="dxa"/>
        <w:tblCellMar>
          <w:top w:w="0" w:type="dxa"/>
          <w:left w:w="0" w:type="dxa"/>
          <w:bottom w:w="0" w:type="dxa"/>
          <w:right w:w="0" w:type="dxa"/>
        </w:tblCellMar>
      </w:tblPr>
      <w:tr>
        <w:trPr>
          <w:trHeight w:val="169"/>
        </w:trPr>
        <w:tc>
          <w:tcPr>
            <w:tcW w:w="2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216"/>
        </w:trPr>
        <w:tc>
          <w:tcPr>
            <w:tcW w:w="2960" w:type="dxa"/>
            <w:vAlign w:val="bottom"/>
            <w:tcBorders>
              <w:bottom w:val="single" w:sz="8" w:color="0000EE"/>
            </w:tcBorders>
          </w:tcPr>
          <w:p>
            <w:pPr>
              <w:spacing w:after="0"/>
              <w:rPr>
                <w:rFonts w:ascii="Arial" w:cs="Arial" w:eastAsia="Arial" w:hAnsi="Arial"/>
                <w:sz w:val="16"/>
                <w:szCs w:val="16"/>
                <w:color w:val="0000EE"/>
              </w:rPr>
            </w:pPr>
            <w:hyperlink w:anchor="page269">
              <w:r>
                <w:rPr>
                  <w:rFonts w:ascii="Arial" w:cs="Arial" w:eastAsia="Arial" w:hAnsi="Arial"/>
                  <w:sz w:val="16"/>
                  <w:szCs w:val="16"/>
                  <w:color w:val="0000EE"/>
                </w:rPr>
                <w:t>Condensed consolidated balance sheets</w:t>
              </w:r>
            </w:hyperlink>
          </w:p>
        </w:tc>
        <w:tc>
          <w:tcPr>
            <w:tcW w:w="6880" w:type="dxa"/>
            <w:vAlign w:val="bottom"/>
            <w:gridSpan w:val="5"/>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F-43</w:t>
            </w:r>
          </w:p>
        </w:tc>
      </w:tr>
      <w:tr>
        <w:trPr>
          <w:trHeight w:val="234"/>
        </w:trPr>
        <w:tc>
          <w:tcPr>
            <w:tcW w:w="5480" w:type="dxa"/>
            <w:vAlign w:val="bottom"/>
            <w:tcBorders>
              <w:bottom w:val="single" w:sz="8" w:color="0000EE"/>
            </w:tcBorders>
            <w:gridSpan w:val="4"/>
          </w:tcPr>
          <w:p>
            <w:pPr>
              <w:spacing w:after="0"/>
              <w:rPr>
                <w:rFonts w:ascii="Arial" w:cs="Arial" w:eastAsia="Arial" w:hAnsi="Arial"/>
                <w:sz w:val="16"/>
                <w:szCs w:val="16"/>
                <w:color w:val="0000EE"/>
              </w:rPr>
            </w:pPr>
            <w:hyperlink w:anchor="page270">
              <w:r>
                <w:rPr>
                  <w:rFonts w:ascii="Arial" w:cs="Arial" w:eastAsia="Arial" w:hAnsi="Arial"/>
                  <w:sz w:val="16"/>
                  <w:szCs w:val="16"/>
                  <w:color w:val="0000EE"/>
                </w:rPr>
                <w:t>Condensed consolidated statements of operations and comprehensive loss</w:t>
              </w:r>
            </w:hyperlink>
          </w:p>
        </w:tc>
        <w:tc>
          <w:tcPr>
            <w:tcW w:w="4360" w:type="dxa"/>
            <w:vAlign w:val="bottom"/>
            <w:gridSpan w:val="2"/>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F-44</w:t>
            </w:r>
          </w:p>
        </w:tc>
      </w:tr>
      <w:tr>
        <w:trPr>
          <w:trHeight w:val="234"/>
        </w:trPr>
        <w:tc>
          <w:tcPr>
            <w:tcW w:w="9760" w:type="dxa"/>
            <w:vAlign w:val="bottom"/>
            <w:tcBorders>
              <w:bottom w:val="single" w:sz="8" w:color="0000EE"/>
            </w:tcBorders>
            <w:gridSpan w:val="5"/>
          </w:tcPr>
          <w:p>
            <w:pPr>
              <w:spacing w:after="0"/>
              <w:rPr>
                <w:rFonts w:ascii="Arial" w:cs="Arial" w:eastAsia="Arial" w:hAnsi="Arial"/>
                <w:sz w:val="16"/>
                <w:szCs w:val="16"/>
                <w:color w:val="0000EE"/>
              </w:rPr>
            </w:pPr>
            <w:hyperlink w:anchor="page271">
              <w:r>
                <w:rPr>
                  <w:rFonts w:ascii="Arial" w:cs="Arial" w:eastAsia="Arial" w:hAnsi="Arial"/>
                  <w:sz w:val="16"/>
                  <w:szCs w:val="16"/>
                  <w:color w:val="0000EE"/>
                </w:rPr>
                <w:t>Condensed consolidated statements of redeemable common stock, stock options, convertible preferred stock and stockholders’ deficit</w:t>
              </w:r>
            </w:hyperlink>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F-45</w:t>
            </w:r>
          </w:p>
        </w:tc>
      </w:tr>
      <w:tr>
        <w:trPr>
          <w:trHeight w:val="234"/>
        </w:trPr>
        <w:tc>
          <w:tcPr>
            <w:tcW w:w="3660" w:type="dxa"/>
            <w:vAlign w:val="bottom"/>
            <w:tcBorders>
              <w:bottom w:val="single" w:sz="8" w:color="0000EE"/>
            </w:tcBorders>
            <w:gridSpan w:val="2"/>
          </w:tcPr>
          <w:p>
            <w:pPr>
              <w:spacing w:after="0"/>
              <w:rPr>
                <w:rFonts w:ascii="Arial" w:cs="Arial" w:eastAsia="Arial" w:hAnsi="Arial"/>
                <w:sz w:val="16"/>
                <w:szCs w:val="16"/>
                <w:color w:val="0000EE"/>
              </w:rPr>
            </w:pPr>
            <w:hyperlink w:anchor="page273">
              <w:r>
                <w:rPr>
                  <w:rFonts w:ascii="Arial" w:cs="Arial" w:eastAsia="Arial" w:hAnsi="Arial"/>
                  <w:sz w:val="16"/>
                  <w:szCs w:val="16"/>
                  <w:color w:val="0000EE"/>
                </w:rPr>
                <w:t>Condensed consolidated statements of cash flows</w:t>
              </w:r>
            </w:hyperlink>
          </w:p>
        </w:tc>
        <w:tc>
          <w:tcPr>
            <w:tcW w:w="6180" w:type="dxa"/>
            <w:vAlign w:val="bottom"/>
            <w:gridSpan w:val="4"/>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F-47</w:t>
            </w:r>
          </w:p>
        </w:tc>
      </w:tr>
      <w:tr>
        <w:trPr>
          <w:trHeight w:val="234"/>
        </w:trPr>
        <w:tc>
          <w:tcPr>
            <w:tcW w:w="9840" w:type="dxa"/>
            <w:vAlign w:val="bottom"/>
            <w:gridSpan w:val="6"/>
          </w:tcPr>
          <w:p>
            <w:pPr>
              <w:spacing w:after="0"/>
              <w:rPr>
                <w:rFonts w:ascii="Arial" w:cs="Arial" w:eastAsia="Arial" w:hAnsi="Arial"/>
                <w:sz w:val="16"/>
                <w:szCs w:val="16"/>
                <w:color w:val="0000EE"/>
              </w:rPr>
            </w:pPr>
            <w:hyperlink w:anchor="page274">
              <w:r>
                <w:rPr>
                  <w:rFonts w:ascii="Arial" w:cs="Arial" w:eastAsia="Arial" w:hAnsi="Arial"/>
                  <w:sz w:val="16"/>
                  <w:szCs w:val="16"/>
                  <w:color w:val="0000EE"/>
                </w:rPr>
                <w:t>Notes to condensed consolidated financial statements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F-48</w:t>
            </w:r>
          </w:p>
        </w:tc>
      </w:tr>
      <w:tr>
        <w:trPr>
          <w:trHeight w:val="345"/>
        </w:trPr>
        <w:tc>
          <w:tcPr>
            <w:tcW w:w="29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900" w:type="dxa"/>
            <w:vAlign w:val="bottom"/>
            <w:gridSpan w:val="3"/>
          </w:tcPr>
          <w:p>
            <w:pPr>
              <w:ind w:left="1100"/>
              <w:spacing w:after="0"/>
              <w:rPr>
                <w:sz w:val="20"/>
                <w:szCs w:val="20"/>
                <w:color w:val="auto"/>
              </w:rPr>
            </w:pPr>
            <w:r>
              <w:rPr>
                <w:rFonts w:ascii="Arial" w:cs="Arial" w:eastAsia="Arial" w:hAnsi="Arial"/>
                <w:sz w:val="16"/>
                <w:szCs w:val="16"/>
                <w:color w:val="auto"/>
              </w:rPr>
              <w:t>F-1</w:t>
            </w:r>
          </w:p>
        </w:tc>
        <w:tc>
          <w:tcPr>
            <w:tcW w:w="440" w:type="dxa"/>
            <w:vAlign w:val="bottom"/>
          </w:tcPr>
          <w:p>
            <w:pPr>
              <w:spacing w:after="0"/>
              <w:rPr>
                <w:sz w:val="24"/>
                <w:szCs w:val="24"/>
                <w:color w:val="auto"/>
              </w:rPr>
            </w:pPr>
          </w:p>
        </w:tc>
      </w:tr>
    </w:tbl>
    <w:p>
      <w:pPr>
        <w:sectPr>
          <w:pgSz w:w="11900" w:h="16838" w:orient="portrait"/>
          <w:cols w:equalWidth="0" w:num="1">
            <w:col w:w="10740"/>
          </w:cols>
          <w:pgMar w:left="320" w:top="440" w:right="839" w:bottom="1440" w:gutter="0" w:footer="0" w:header="0"/>
        </w:sectPr>
      </w:pPr>
    </w:p>
    <w:bookmarkStart w:id="227" w:name="page228"/>
    <w:bookmarkEnd w:id="2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Stockholders and the Board of Directors of RxSight, Inc.</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Opinion on the Financial Statements</w:t>
      </w:r>
    </w:p>
    <w:p>
      <w:pPr>
        <w:spacing w:after="0" w:line="133" w:lineRule="exact"/>
        <w:rPr>
          <w:sz w:val="20"/>
          <w:szCs w:val="20"/>
          <w:color w:val="auto"/>
        </w:rPr>
      </w:pPr>
    </w:p>
    <w:p>
      <w:pPr>
        <w:ind w:left="460" w:right="180"/>
        <w:spacing w:after="0" w:line="251" w:lineRule="auto"/>
        <w:rPr>
          <w:sz w:val="20"/>
          <w:szCs w:val="20"/>
          <w:color w:val="auto"/>
        </w:rPr>
      </w:pPr>
      <w:r>
        <w:rPr>
          <w:rFonts w:ascii="Arial" w:cs="Arial" w:eastAsia="Arial" w:hAnsi="Arial"/>
          <w:sz w:val="16"/>
          <w:szCs w:val="16"/>
          <w:color w:val="auto"/>
        </w:rPr>
        <w:t>We have audited the accompanying consolidated balance sheets of RxSight, Inc. (the Company) as of December 31, 2020 and 2019, the related consolidated statements of operations and comprehensive income, redeemable common stock, stock options and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the years then ended in conformity with U.S. generally accepted accounting principles.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Basis for Opinion</w:t>
      </w:r>
    </w:p>
    <w:p>
      <w:pPr>
        <w:spacing w:after="0" w:line="133" w:lineRule="exact"/>
        <w:rPr>
          <w:sz w:val="20"/>
          <w:szCs w:val="20"/>
          <w:color w:val="auto"/>
        </w:rPr>
      </w:pPr>
    </w:p>
    <w:p>
      <w:pPr>
        <w:ind w:left="460" w:right="460"/>
        <w:spacing w:after="0" w:line="253"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6"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6" w:lineRule="exact"/>
        <w:rPr>
          <w:sz w:val="20"/>
          <w:szCs w:val="20"/>
          <w:color w:val="auto"/>
        </w:rPr>
      </w:pPr>
    </w:p>
    <w:p>
      <w:pPr>
        <w:ind w:left="460" w:right="20"/>
        <w:spacing w:after="0" w:line="25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 Ernst &amp; Young LLP</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served as the Company’s auditor since 2015.</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Irvine, California</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May 14, 2021</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for the retroactive effect of the 1-for-10.33 reverse stock split as described in the fourth paragraph</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 Note 17, as to which the date is</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July 23, 2021</w:t>
      </w:r>
    </w:p>
    <w:p>
      <w:pPr>
        <w:spacing w:after="0" w:line="14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0780"/>
          </w:cols>
          <w:pgMar w:left="320" w:top="441" w:right="799" w:bottom="1440" w:gutter="0" w:footer="0" w:header="0"/>
        </w:sectPr>
      </w:pPr>
    </w:p>
    <w:bookmarkStart w:id="228" w:name="page229"/>
    <w:bookmarkEnd w:id="2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RxSight, Inc.</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76835</wp:posOffset>
            </wp:positionV>
            <wp:extent cx="6569075" cy="158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84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number of shares and per share amounts)</w:t>
            </w:r>
          </w:p>
        </w:tc>
        <w:tc>
          <w:tcPr>
            <w:tcW w:w="192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83"/>
        </w:trPr>
        <w:tc>
          <w:tcPr>
            <w:tcW w:w="8420" w:type="dxa"/>
            <w:vAlign w:val="bottom"/>
            <w:tcBorders>
              <w:bottom w:val="single" w:sz="8" w:color="auto"/>
            </w:tcBorders>
            <w:vMerge w:val="continue"/>
          </w:tcPr>
          <w:p>
            <w:pPr>
              <w:spacing w:after="0"/>
              <w:rPr>
                <w:sz w:val="15"/>
                <w:szCs w:val="15"/>
                <w:color w:val="auto"/>
              </w:rPr>
            </w:pPr>
          </w:p>
        </w:tc>
        <w:tc>
          <w:tcPr>
            <w:tcW w:w="1100" w:type="dxa"/>
            <w:vAlign w:val="bottom"/>
            <w:tcBorders>
              <w:top w:val="single" w:sz="8" w:color="auto"/>
              <w:bottom w:val="single" w:sz="8" w:color="auto"/>
            </w:tcBorders>
          </w:tcPr>
          <w:p>
            <w:pPr>
              <w:jc w:val="right"/>
              <w:ind w:right="258"/>
              <w:spacing w:after="0" w:line="183" w:lineRule="exact"/>
              <w:rPr>
                <w:sz w:val="20"/>
                <w:szCs w:val="20"/>
                <w:color w:val="auto"/>
              </w:rPr>
            </w:pPr>
            <w:r>
              <w:rPr>
                <w:rFonts w:ascii="Arial" w:cs="Arial" w:eastAsia="Arial" w:hAnsi="Arial"/>
                <w:sz w:val="16"/>
                <w:szCs w:val="16"/>
                <w:b w:val="1"/>
                <w:bCs w:val="1"/>
                <w:color w:val="auto"/>
              </w:rPr>
              <w:t>2020</w:t>
            </w: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-105410</wp:posOffset>
            </wp:positionV>
            <wp:extent cx="6569075" cy="1206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569075" cy="120650"/>
                    </a:xfrm>
                    <a:prstGeom prst="rect">
                      <a:avLst/>
                    </a:prstGeom>
                    <a:noFill/>
                  </pic:spPr>
                </pic:pic>
              </a:graphicData>
            </a:graphic>
          </wp:anchor>
        </w:drawing>
      </w:r>
    </w:p>
    <w:p>
      <w:pPr>
        <w:sectPr>
          <w:pgSz w:w="11900" w:h="16838" w:orient="portrait"/>
          <w:cols w:equalWidth="0" w:num="1">
            <w:col w:w="10800"/>
          </w:cols>
          <w:pgMar w:left="320" w:top="441" w:right="779" w:bottom="1440" w:gutter="0" w:footer="0" w:header="0"/>
        </w:sectPr>
      </w:pP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1905</wp:posOffset>
            </wp:positionV>
            <wp:extent cx="6569075" cy="1206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569075" cy="1206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color w:val="auto"/>
        </w:rPr>
        <w:t>Cash and cash equivalents</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1905</wp:posOffset>
            </wp:positionV>
            <wp:extent cx="6569075" cy="1206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569075" cy="1206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color w:val="auto"/>
        </w:rPr>
        <w:t>Accounts receivable</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Inventories, net of reserves of $316 and $224,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1905</wp:posOffset>
            </wp:positionV>
            <wp:extent cx="6569075" cy="1206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569075" cy="1206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color w:val="auto"/>
        </w:rPr>
        <w:t>Prepaid and other current assets</w:t>
      </w:r>
    </w:p>
    <w:p>
      <w:pPr>
        <w:spacing w:after="0" w:line="3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1905</wp:posOffset>
            </wp:positionV>
            <wp:extent cx="6569075" cy="1206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569075" cy="1206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color w:val="auto"/>
        </w:rPr>
        <w:t>Property and equipment, net</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Operating leases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1905</wp:posOffset>
            </wp:positionV>
            <wp:extent cx="6569075" cy="1206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569075" cy="1206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color w:val="auto"/>
        </w:rPr>
        <w:t>Restricted cash</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assets</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-106680</wp:posOffset>
            </wp:positionV>
            <wp:extent cx="6569075" cy="1206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569075" cy="120650"/>
                    </a:xfrm>
                    <a:prstGeom prst="rect">
                      <a:avLst/>
                    </a:prstGeom>
                    <a:noFill/>
                  </pic:spPr>
                </pic:pic>
              </a:graphicData>
            </a:graphic>
          </wp:anchor>
        </w:drawing>
      </w:r>
    </w:p>
    <w:p>
      <w:pPr>
        <w:spacing w:after="0" w:line="73" w:lineRule="exact"/>
        <w:rPr>
          <w:sz w:val="20"/>
          <w:szCs w:val="20"/>
          <w:color w:val="auto"/>
        </w:rPr>
      </w:pPr>
    </w:p>
    <w:p>
      <w:pPr>
        <w:ind w:left="660" w:right="400" w:hanging="202"/>
        <w:spacing w:after="0" w:line="291" w:lineRule="auto"/>
        <w:rPr>
          <w:sz w:val="20"/>
          <w:szCs w:val="20"/>
          <w:color w:val="auto"/>
        </w:rPr>
      </w:pPr>
      <w:r>
        <w:rPr>
          <w:rFonts w:ascii="Arial" w:cs="Arial" w:eastAsia="Arial" w:hAnsi="Arial"/>
          <w:sz w:val="16"/>
          <w:szCs w:val="16"/>
          <w:b w:val="1"/>
          <w:bCs w:val="1"/>
          <w:color w:val="auto"/>
        </w:rPr>
        <w:t>Liabilities, redeemable common stock, redeemable stock options, redeemable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9525</wp:posOffset>
            </wp:positionV>
            <wp:extent cx="6569075" cy="1206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569075" cy="12065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Current liabilities:</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1905</wp:posOffset>
            </wp:positionV>
            <wp:extent cx="6569075" cy="1206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569075" cy="1206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color w:val="auto"/>
        </w:rPr>
        <w:t>Accrued expenses and other current liabilities</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1905</wp:posOffset>
            </wp:positionV>
            <wp:extent cx="6569075" cy="1206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569075" cy="1206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color w:val="auto"/>
        </w:rPr>
        <w:t>Lease liabilities</w:t>
      </w:r>
    </w:p>
    <w:p>
      <w:pPr>
        <w:spacing w:after="0" w:line="3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1905</wp:posOffset>
            </wp:positionV>
            <wp:extent cx="6569075" cy="1206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569075" cy="1206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color w:val="auto"/>
        </w:rPr>
        <w:t>Long-term warrant liabilities</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Long-term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1905</wp:posOffset>
            </wp:positionV>
            <wp:extent cx="6569075" cy="1206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569075" cy="1206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color w:val="auto"/>
        </w:rPr>
        <w:t>Long-term accrued compensation</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Term loan,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18415</wp:posOffset>
            </wp:positionV>
            <wp:extent cx="6569075" cy="1206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569075" cy="120650"/>
                    </a:xfrm>
                    <a:prstGeom prst="rect">
                      <a:avLst/>
                    </a:prstGeom>
                    <a:noFill/>
                  </pic:spPr>
                </pic:pic>
              </a:graphicData>
            </a:graphic>
          </wp:anchor>
        </w:drawing>
      </w:r>
    </w:p>
    <w:p>
      <w:pPr>
        <w:spacing w:after="0" w:line="1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Total liabilities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Commitments and contingencies (</w:t>
      </w:r>
      <w:r>
        <w:rPr>
          <w:rFonts w:ascii="Arial" w:cs="Arial" w:eastAsia="Arial" w:hAnsi="Arial"/>
          <w:sz w:val="16"/>
          <w:szCs w:val="16"/>
          <w:i w:val="1"/>
          <w:iCs w:val="1"/>
          <w:color w:val="auto"/>
        </w:rPr>
        <w:t>Note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52705</wp:posOffset>
            </wp:positionV>
            <wp:extent cx="6569075" cy="1206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569075" cy="120650"/>
                    </a:xfrm>
                    <a:prstGeom prst="rect">
                      <a:avLst/>
                    </a:prstGeom>
                    <a:noFill/>
                  </pic:spPr>
                </pic:pic>
              </a:graphicData>
            </a:graphic>
          </wp:anchor>
        </w:drawing>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Redeemable common stock:</w:t>
      </w:r>
    </w:p>
    <w:p>
      <w:pPr>
        <w:spacing w:after="0" w:line="6" w:lineRule="exact"/>
        <w:rPr>
          <w:sz w:val="20"/>
          <w:szCs w:val="20"/>
          <w:color w:val="auto"/>
        </w:rPr>
      </w:pPr>
    </w:p>
    <w:p>
      <w:pPr>
        <w:ind w:left="860" w:hanging="202"/>
        <w:spacing w:after="0" w:line="248" w:lineRule="auto"/>
        <w:rPr>
          <w:sz w:val="20"/>
          <w:szCs w:val="20"/>
          <w:color w:val="auto"/>
        </w:rPr>
      </w:pPr>
      <w:r>
        <w:rPr>
          <w:rFonts w:ascii="Arial" w:cs="Arial" w:eastAsia="Arial" w:hAnsi="Arial"/>
          <w:sz w:val="16"/>
          <w:szCs w:val="16"/>
          <w:color w:val="auto"/>
        </w:rPr>
        <w:t>Common stock, $0.001 par value, 24,545,966 shares authorized, 3,813,450 and 3,563,884 shares issued and outstanding as of December 31,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-1270</wp:posOffset>
            </wp:positionV>
            <wp:extent cx="6569075" cy="1206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569075" cy="1206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color w:val="auto"/>
        </w:rPr>
        <w:t>Notes receivable for common stock issued</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Redeemable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42545</wp:posOffset>
            </wp:positionV>
            <wp:extent cx="6569075" cy="1206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569075" cy="120650"/>
                    </a:xfrm>
                    <a:prstGeom prst="rect">
                      <a:avLst/>
                    </a:prstGeom>
                    <a:noFill/>
                  </pic:spPr>
                </pic:pic>
              </a:graphicData>
            </a:graphic>
          </wp:anchor>
        </w:drawing>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Redeemable convertible preferred stock:</w:t>
      </w:r>
    </w:p>
    <w:p>
      <w:pPr>
        <w:spacing w:after="0" w:line="6" w:lineRule="exact"/>
        <w:rPr>
          <w:sz w:val="20"/>
          <w:szCs w:val="20"/>
          <w:color w:val="auto"/>
        </w:rPr>
      </w:pPr>
    </w:p>
    <w:p>
      <w:pPr>
        <w:ind w:left="860" w:right="120" w:hanging="202"/>
        <w:spacing w:after="0" w:line="265" w:lineRule="auto"/>
        <w:rPr>
          <w:sz w:val="20"/>
          <w:szCs w:val="20"/>
          <w:color w:val="auto"/>
        </w:rPr>
      </w:pPr>
      <w:r>
        <w:rPr>
          <w:rFonts w:ascii="Arial" w:cs="Arial" w:eastAsia="Arial" w:hAnsi="Arial"/>
          <w:sz w:val="16"/>
          <w:szCs w:val="16"/>
          <w:color w:val="auto"/>
        </w:rPr>
        <w:t>Preferred stock, $0.001 par value, 16,572,792 shares authorized, 14,376,272 and 14,374,455 shares issued and outstanding as of December 31,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21590</wp:posOffset>
            </wp:positionV>
            <wp:extent cx="6569075" cy="1206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569075" cy="120650"/>
                    </a:xfrm>
                    <a:prstGeom prst="rect">
                      <a:avLst/>
                    </a:prstGeom>
                    <a:noFill/>
                  </pic:spPr>
                </pic:pic>
              </a:graphicData>
            </a:graphic>
          </wp:anchor>
        </w:drawing>
      </w:r>
    </w:p>
    <w:p>
      <w:pPr>
        <w:spacing w:after="0" w:line="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Stockholders’ deficit:</w:t>
      </w:r>
    </w:p>
    <w:p>
      <w:pPr>
        <w:spacing w:after="0" w:line="6" w:lineRule="exact"/>
        <w:rPr>
          <w:sz w:val="20"/>
          <w:szCs w:val="20"/>
          <w:color w:val="auto"/>
        </w:rPr>
      </w:pPr>
    </w:p>
    <w:p>
      <w:pPr>
        <w:ind w:left="860" w:right="40" w:hanging="202"/>
        <w:spacing w:after="0" w:line="248" w:lineRule="auto"/>
        <w:rPr>
          <w:sz w:val="20"/>
          <w:szCs w:val="20"/>
          <w:color w:val="auto"/>
        </w:rPr>
      </w:pPr>
      <w:r>
        <w:rPr>
          <w:rFonts w:ascii="Arial" w:cs="Arial" w:eastAsia="Arial" w:hAnsi="Arial"/>
          <w:sz w:val="16"/>
          <w:szCs w:val="16"/>
          <w:color w:val="auto"/>
        </w:rPr>
        <w:t>Series G common stock, $0.001 par value, 1 share authorized and outstanding as of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-1270</wp:posOffset>
            </wp:positionV>
            <wp:extent cx="6569075" cy="2413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569075" cy="241300"/>
                    </a:xfrm>
                    <a:prstGeom prst="rect">
                      <a:avLst/>
                    </a:prstGeom>
                    <a:noFill/>
                  </pic:spPr>
                </pic:pic>
              </a:graphicData>
            </a:graphic>
          </wp:anchor>
        </w:drawing>
      </w:r>
    </w:p>
    <w:p>
      <w:pPr>
        <w:ind w:left="860" w:right="1060" w:hanging="202"/>
        <w:spacing w:after="0" w:line="248" w:lineRule="auto"/>
        <w:rPr>
          <w:sz w:val="20"/>
          <w:szCs w:val="20"/>
          <w:color w:val="auto"/>
        </w:rPr>
      </w:pPr>
      <w:r>
        <w:rPr>
          <w:rFonts w:ascii="Arial" w:cs="Arial" w:eastAsia="Arial" w:hAnsi="Arial"/>
          <w:sz w:val="16"/>
          <w:szCs w:val="16"/>
          <w:color w:val="auto"/>
        </w:rPr>
        <w:t>Series W common stock, $0.001 par value, 1 share authorized and no shares outstanding as of December 31, 2020 and 2019</w:t>
      </w:r>
    </w:p>
    <w:p>
      <w:pPr>
        <w:ind w:left="66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1905</wp:posOffset>
            </wp:positionV>
            <wp:extent cx="6569075" cy="1206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569075" cy="1206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color w:val="auto"/>
        </w:rPr>
        <w:t>Accumulated other comprehensive (loss) income</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18415</wp:posOffset>
            </wp:positionV>
            <wp:extent cx="6569075" cy="1206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569075" cy="120650"/>
                    </a:xfrm>
                    <a:prstGeom prst="rect">
                      <a:avLst/>
                    </a:prstGeom>
                    <a:noFill/>
                  </pic:spPr>
                </pic:pic>
              </a:graphicData>
            </a:graphic>
          </wp:anchor>
        </w:drawing>
      </w:r>
    </w:p>
    <w:p>
      <w:pPr>
        <w:spacing w:after="0" w:line="1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Total stockholders’ deficit</w:t>
      </w:r>
    </w:p>
    <w:p>
      <w:pPr>
        <w:spacing w:after="0" w:line="13" w:lineRule="exact"/>
        <w:rPr>
          <w:sz w:val="20"/>
          <w:szCs w:val="20"/>
          <w:color w:val="auto"/>
        </w:rPr>
      </w:pPr>
    </w:p>
    <w:p>
      <w:pPr>
        <w:ind w:left="1060" w:right="400" w:hanging="202"/>
        <w:spacing w:after="0" w:line="289" w:lineRule="auto"/>
        <w:rPr>
          <w:sz w:val="20"/>
          <w:szCs w:val="20"/>
          <w:color w:val="auto"/>
        </w:rPr>
      </w:pPr>
      <w:r>
        <w:rPr>
          <w:rFonts w:ascii="Arial" w:cs="Arial" w:eastAsia="Arial" w:hAnsi="Arial"/>
          <w:sz w:val="16"/>
          <w:szCs w:val="16"/>
          <w:b w:val="1"/>
          <w:bCs w:val="1"/>
          <w:color w:val="auto"/>
        </w:rPr>
        <w:t>Total liabilities, redeemable common stock, redeemable stock options, redeemable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-21590</wp:posOffset>
            </wp:positionV>
            <wp:extent cx="650494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5049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8"/>
              <w:spacing w:after="0"/>
              <w:rPr>
                <w:sz w:val="20"/>
                <w:szCs w:val="20"/>
                <w:color w:val="auto"/>
              </w:rPr>
            </w:pPr>
            <w:r>
              <w:rPr>
                <w:rFonts w:ascii="Arial" w:cs="Arial" w:eastAsia="Arial" w:hAnsi="Arial"/>
                <w:sz w:val="16"/>
                <w:szCs w:val="16"/>
                <w:color w:val="auto"/>
              </w:rPr>
              <w:t>13,994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7,958</w:t>
            </w:r>
          </w:p>
        </w:tc>
      </w:tr>
      <w:tr>
        <w:trPr>
          <w:trHeight w:val="190"/>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color w:val="auto"/>
              </w:rPr>
              <w:t>54,981</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72,710</w:t>
            </w:r>
          </w:p>
        </w:tc>
      </w:tr>
      <w:tr>
        <w:trPr>
          <w:trHeight w:val="190"/>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color w:val="auto"/>
              </w:rPr>
              <w:t>2,865</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789</w:t>
            </w:r>
          </w:p>
        </w:tc>
      </w:tr>
      <w:tr>
        <w:trPr>
          <w:trHeight w:val="190"/>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color w:val="auto"/>
              </w:rPr>
              <w:t>8,288</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7,219</w:t>
            </w:r>
          </w:p>
        </w:tc>
      </w:tr>
      <w:tr>
        <w:trPr>
          <w:trHeight w:val="187"/>
        </w:trPr>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1,372</w:t>
            </w: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w:t>
            </w:r>
          </w:p>
        </w:tc>
      </w:tr>
      <w:tr>
        <w:trPr>
          <w:trHeight w:val="199"/>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color w:val="auto"/>
              </w:rPr>
              <w:t>81,500</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90,199</w:t>
            </w:r>
          </w:p>
        </w:tc>
      </w:tr>
      <w:tr>
        <w:trPr>
          <w:trHeight w:val="190"/>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color w:val="auto"/>
              </w:rPr>
              <w:t>13,287</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14,858</w:t>
            </w:r>
          </w:p>
        </w:tc>
      </w:tr>
      <w:tr>
        <w:trPr>
          <w:trHeight w:val="190"/>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color w:val="auto"/>
              </w:rPr>
              <w:t>5,319</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4,392</w:t>
            </w:r>
          </w:p>
        </w:tc>
      </w:tr>
      <w:tr>
        <w:trPr>
          <w:trHeight w:val="190"/>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color w:val="auto"/>
              </w:rPr>
              <w:t>461</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872</w:t>
            </w:r>
          </w:p>
        </w:tc>
      </w:tr>
      <w:tr>
        <w:trPr>
          <w:trHeight w:val="187"/>
        </w:trPr>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110</w:t>
            </w: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r>
      <w:tr>
        <w:trPr>
          <w:trHeight w:val="196"/>
        </w:trPr>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100,677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110,432</w:t>
            </w:r>
          </w:p>
        </w:tc>
      </w:tr>
      <w:tr>
        <w:trPr>
          <w:trHeight w:val="896"/>
        </w:trPr>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8"/>
              <w:spacing w:after="0"/>
              <w:rPr>
                <w:sz w:val="20"/>
                <w:szCs w:val="20"/>
                <w:color w:val="auto"/>
              </w:rPr>
            </w:pPr>
            <w:r>
              <w:rPr>
                <w:rFonts w:ascii="Arial" w:cs="Arial" w:eastAsia="Arial" w:hAnsi="Arial"/>
                <w:sz w:val="16"/>
                <w:szCs w:val="16"/>
                <w:color w:val="auto"/>
              </w:rPr>
              <w:t>1,134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2,199</w:t>
            </w:r>
          </w:p>
        </w:tc>
      </w:tr>
      <w:tr>
        <w:trPr>
          <w:trHeight w:val="190"/>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color w:val="auto"/>
              </w:rPr>
              <w:t>4,174</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5,268</w:t>
            </w:r>
          </w:p>
        </w:tc>
      </w:tr>
      <w:tr>
        <w:trPr>
          <w:trHeight w:val="190"/>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color w:val="auto"/>
              </w:rPr>
              <w:t>5,018</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7"/>
        </w:trPr>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1,274</w:t>
            </w: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w:t>
            </w:r>
          </w:p>
        </w:tc>
      </w:tr>
      <w:tr>
        <w:trPr>
          <w:trHeight w:val="199"/>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color w:val="auto"/>
              </w:rPr>
              <w:t>11,600</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8,457</w:t>
            </w:r>
          </w:p>
        </w:tc>
      </w:tr>
      <w:tr>
        <w:trPr>
          <w:trHeight w:val="190"/>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color w:val="auto"/>
              </w:rPr>
              <w:t>3,828</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71,881</w:t>
            </w:r>
          </w:p>
        </w:tc>
      </w:tr>
      <w:tr>
        <w:trPr>
          <w:trHeight w:val="190"/>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color w:val="auto"/>
              </w:rPr>
              <w:t>5,079</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4,526</w:t>
            </w:r>
          </w:p>
        </w:tc>
      </w:tr>
    </w:tbl>
    <w:p>
      <w:pPr>
        <w:ind w:left="600"/>
        <w:spacing w:after="0"/>
        <w:rPr>
          <w:sz w:val="20"/>
          <w:szCs w:val="20"/>
          <w:color w:val="auto"/>
        </w:rPr>
      </w:pPr>
      <w:r>
        <w:rPr>
          <w:rFonts w:ascii="Arial" w:cs="Arial" w:eastAsia="Arial" w:hAnsi="Arial"/>
          <w:sz w:val="16"/>
          <w:szCs w:val="16"/>
          <w:color w:val="auto"/>
        </w:rPr>
        <w:t>—2,598</w:t>
      </w:r>
    </w:p>
    <w:p>
      <w:pPr>
        <w:spacing w:after="0" w:line="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24,399—</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44,90687,462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-133985</wp:posOffset>
            </wp:positionV>
            <wp:extent cx="115951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15951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1905</wp:posOffset>
            </wp:positionV>
            <wp:extent cx="115951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59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60"/>
        <w:spacing w:after="0"/>
        <w:tabs>
          <w:tab w:leader="none" w:pos="1320" w:val="left"/>
        </w:tabs>
        <w:rPr>
          <w:sz w:val="20"/>
          <w:szCs w:val="20"/>
          <w:color w:val="auto"/>
        </w:rPr>
      </w:pPr>
      <w:r>
        <w:rPr>
          <w:rFonts w:ascii="Arial" w:cs="Arial" w:eastAsia="Arial" w:hAnsi="Arial"/>
          <w:sz w:val="16"/>
          <w:szCs w:val="16"/>
          <w:color w:val="auto"/>
        </w:rPr>
        <w:t>80,780</w:t>
      </w:r>
      <w:r>
        <w:rPr>
          <w:sz w:val="20"/>
          <w:szCs w:val="20"/>
          <w:color w:val="auto"/>
        </w:rPr>
        <w:tab/>
      </w:r>
      <w:r>
        <w:rPr>
          <w:rFonts w:ascii="Arial" w:cs="Arial" w:eastAsia="Arial" w:hAnsi="Arial"/>
          <w:sz w:val="16"/>
          <w:szCs w:val="16"/>
          <w:color w:val="auto"/>
        </w:rPr>
        <w:t>56,422</w:t>
      </w:r>
    </w:p>
    <w:p>
      <w:pPr>
        <w:spacing w:after="0" w:line="6" w:lineRule="exact"/>
        <w:rPr>
          <w:sz w:val="20"/>
          <w:szCs w:val="20"/>
          <w:color w:val="auto"/>
        </w:rPr>
      </w:pPr>
    </w:p>
    <w:p>
      <w:pPr>
        <w:ind w:left="1500" w:hanging="1060"/>
        <w:spacing w:after="0"/>
        <w:tabs>
          <w:tab w:leader="none" w:pos="15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(855)</w:t>
      </w:r>
    </w:p>
    <w:p>
      <w:pPr>
        <w:spacing w:after="0" w:line="6"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6"/>
          <w:szCs w:val="16"/>
          <w:color w:val="auto"/>
        </w:rPr>
        <w:t>53,08559,631</w:t>
      </w:r>
    </w:p>
    <w:p>
      <w:pPr>
        <w:spacing w:after="0" w:line="200" w:lineRule="exact"/>
        <w:rPr>
          <w:sz w:val="20"/>
          <w:szCs w:val="20"/>
          <w:color w:val="auto"/>
        </w:rPr>
      </w:pPr>
    </w:p>
    <w:p>
      <w:pPr>
        <w:spacing w:after="0" w:line="250" w:lineRule="exact"/>
        <w:rPr>
          <w:sz w:val="20"/>
          <w:szCs w:val="20"/>
          <w:color w:val="auto"/>
        </w:rPr>
      </w:pPr>
    </w:p>
    <w:p>
      <w:pPr>
        <w:ind w:left="180"/>
        <w:spacing w:after="0"/>
        <w:tabs>
          <w:tab w:leader="none" w:pos="1220" w:val="left"/>
        </w:tabs>
        <w:rPr>
          <w:sz w:val="20"/>
          <w:szCs w:val="20"/>
          <w:color w:val="auto"/>
        </w:rPr>
      </w:pPr>
      <w:r>
        <w:rPr>
          <w:rFonts w:ascii="Arial" w:cs="Arial" w:eastAsia="Arial" w:hAnsi="Arial"/>
          <w:sz w:val="16"/>
          <w:szCs w:val="16"/>
          <w:color w:val="auto"/>
        </w:rPr>
        <w:t>353,300</w:t>
      </w:r>
      <w:r>
        <w:rPr>
          <w:sz w:val="20"/>
          <w:szCs w:val="20"/>
          <w:color w:val="auto"/>
        </w:rPr>
        <w:tab/>
      </w:r>
      <w:r>
        <w:rPr>
          <w:rFonts w:ascii="Arial" w:cs="Arial" w:eastAsia="Arial" w:hAnsi="Arial"/>
          <w:sz w:val="16"/>
          <w:szCs w:val="16"/>
          <w:color w:val="auto"/>
        </w:rPr>
        <w:t>327,581</w:t>
      </w:r>
    </w:p>
    <w:p>
      <w:pPr>
        <w:spacing w:after="0" w:line="200" w:lineRule="exact"/>
        <w:rPr>
          <w:sz w:val="20"/>
          <w:szCs w:val="20"/>
          <w:color w:val="auto"/>
        </w:rPr>
      </w:pPr>
    </w:p>
    <w:p>
      <w:pPr>
        <w:spacing w:after="0" w:line="250" w:lineRule="exact"/>
        <w:rPr>
          <w:sz w:val="20"/>
          <w:szCs w:val="20"/>
          <w:color w:val="auto"/>
        </w:rPr>
      </w:pPr>
    </w:p>
    <w:p>
      <w:pPr>
        <w:ind w:left="600"/>
        <w:spacing w:after="0"/>
        <w:tabs>
          <w:tab w:leader="none" w:pos="1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196" w:lineRule="exact"/>
        <w:rPr>
          <w:sz w:val="20"/>
          <w:szCs w:val="20"/>
          <w:color w:val="auto"/>
        </w:rPr>
      </w:pPr>
    </w:p>
    <w:p>
      <w:pPr>
        <w:ind w:left="600"/>
        <w:spacing w:after="0"/>
        <w:tabs>
          <w:tab w:leader="none" w:pos="1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6" w:lineRule="exact"/>
        <w:rPr>
          <w:sz w:val="20"/>
          <w:szCs w:val="20"/>
          <w:color w:val="auto"/>
        </w:rPr>
      </w:pPr>
    </w:p>
    <w:p>
      <w:pPr>
        <w:ind w:left="600"/>
        <w:spacing w:after="0"/>
        <w:tabs>
          <w:tab w:leader="none" w:pos="1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6" w:lineRule="exact"/>
        <w:rPr>
          <w:sz w:val="20"/>
          <w:szCs w:val="20"/>
          <w:color w:val="auto"/>
        </w:rPr>
      </w:pPr>
    </w:p>
    <w:p>
      <w:pPr>
        <w:ind w:left="1660" w:hanging="1036"/>
        <w:spacing w:after="0"/>
        <w:tabs>
          <w:tab w:leader="none" w:pos="16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46</w:t>
      </w:r>
    </w:p>
    <w:p>
      <w:pPr>
        <w:spacing w:after="0" w:line="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6"/>
          <w:szCs w:val="16"/>
          <w:color w:val="auto"/>
        </w:rPr>
        <w:t>(430,588)(419,855)</w:t>
      </w:r>
    </w:p>
    <w:p>
      <w:pPr>
        <w:spacing w:after="0" w:line="31"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6"/>
          <w:szCs w:val="16"/>
          <w:color w:val="auto"/>
        </w:rPr>
        <w:t>(430,591)(419,809)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-133985</wp:posOffset>
            </wp:positionV>
            <wp:extent cx="115951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15951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1905</wp:posOffset>
            </wp:positionV>
            <wp:extent cx="115951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159510" cy="8255"/>
                    </a:xfrm>
                    <a:prstGeom prst="rect">
                      <a:avLst/>
                    </a:prstGeom>
                    <a:noFill/>
                  </pic:spPr>
                </pic:pic>
              </a:graphicData>
            </a:graphic>
          </wp:anchor>
        </w:drawing>
      </w:r>
    </w:p>
    <w:p>
      <w:pPr>
        <w:spacing w:after="0" w:line="202"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color w:val="auto"/>
        </w:rPr>
        <w:t>$ 100,677</w:t>
      </w:r>
      <w:r>
        <w:rPr>
          <w:sz w:val="20"/>
          <w:szCs w:val="20"/>
          <w:color w:val="auto"/>
        </w:rPr>
        <w:tab/>
      </w:r>
      <w:r>
        <w:rPr>
          <w:rFonts w:ascii="Arial" w:cs="Arial" w:eastAsia="Arial" w:hAnsi="Arial"/>
          <w:sz w:val="16"/>
          <w:szCs w:val="16"/>
          <w:color w:val="auto"/>
        </w:rPr>
        <w:t>$ 110,432</w:t>
      </w:r>
    </w:p>
    <w:p>
      <w:pPr>
        <w:spacing w:after="0" w:line="117" w:lineRule="exact"/>
        <w:rPr>
          <w:sz w:val="20"/>
          <w:szCs w:val="20"/>
          <w:color w:val="auto"/>
        </w:rPr>
      </w:pPr>
    </w:p>
    <w:p>
      <w:pPr>
        <w:sectPr>
          <w:pgSz w:w="11900" w:h="16838" w:orient="portrait"/>
          <w:cols w:equalWidth="0" w:num="2">
            <w:col w:w="8660" w:space="200"/>
            <w:col w:w="1940"/>
          </w:cols>
          <w:pgMar w:left="320" w:top="441" w:right="779" w:bottom="1440" w:gutter="0" w:footer="0" w:header="0"/>
          <w:type w:val="continuous"/>
        </w:sectPr>
      </w:pPr>
    </w:p>
    <w:p>
      <w:pPr>
        <w:ind w:left="460"/>
        <w:spacing w:after="0"/>
        <w:rPr>
          <w:sz w:val="20"/>
          <w:szCs w:val="20"/>
          <w:color w:val="auto"/>
        </w:rPr>
      </w:pPr>
      <w:r>
        <w:rPr>
          <w:rFonts w:ascii="Arial" w:cs="Arial" w:eastAsia="Arial" w:hAnsi="Arial"/>
          <w:sz w:val="13"/>
          <w:szCs w:val="13"/>
          <w:i w:val="1"/>
          <w:iCs w:val="1"/>
          <w:color w:val="auto"/>
        </w:rPr>
        <w:t>See accompanying notes.</w:t>
      </w:r>
    </w:p>
    <w:p>
      <w:pPr>
        <w:spacing w:after="0" w:line="145" w:lineRule="exact"/>
        <w:rPr>
          <w:sz w:val="20"/>
          <w:szCs w:val="20"/>
          <w:color w:val="auto"/>
        </w:rPr>
      </w:pPr>
    </w:p>
    <w:p>
      <w:pPr>
        <w:jc w:val="center"/>
        <w:ind w:right="-439"/>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0800"/>
          </w:cols>
          <w:pgMar w:left="320" w:top="441" w:right="779" w:bottom="1440" w:gutter="0" w:footer="0" w:header="0"/>
          <w:type w:val="continuous"/>
        </w:sectPr>
      </w:pPr>
    </w:p>
    <w:bookmarkStart w:id="229" w:name="page230"/>
    <w:bookmarkEnd w:id="2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RxSight, Inc.</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76835</wp:posOffset>
            </wp:positionV>
            <wp:extent cx="6569075" cy="158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724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per share amounts)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83"/>
        </w:trPr>
        <w:tc>
          <w:tcPr>
            <w:tcW w:w="724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238"/>
              <w:spacing w:after="0" w:line="183" w:lineRule="exact"/>
              <w:rPr>
                <w:sz w:val="20"/>
                <w:szCs w:val="20"/>
                <w:color w:val="auto"/>
              </w:rPr>
            </w:pPr>
            <w:r>
              <w:rPr>
                <w:rFonts w:ascii="Arial" w:cs="Arial" w:eastAsia="Arial" w:hAnsi="Arial"/>
                <w:sz w:val="16"/>
                <w:szCs w:val="16"/>
                <w:b w:val="1"/>
                <w:bCs w:val="1"/>
                <w:color w:val="auto"/>
              </w:rPr>
              <w:t>2020</w:t>
            </w:r>
          </w:p>
        </w:tc>
        <w:tc>
          <w:tcPr>
            <w:tcW w:w="3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Sales</w:t>
            </w:r>
          </w:p>
        </w:tc>
        <w:tc>
          <w:tcPr>
            <w:tcW w:w="68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38"/>
              <w:spacing w:after="0" w:line="183" w:lineRule="exact"/>
              <w:rPr>
                <w:sz w:val="20"/>
                <w:szCs w:val="20"/>
                <w:color w:val="auto"/>
              </w:rPr>
            </w:pPr>
            <w:r>
              <w:rPr>
                <w:rFonts w:ascii="Arial" w:cs="Arial" w:eastAsia="Arial" w:hAnsi="Arial"/>
                <w:sz w:val="16"/>
                <w:szCs w:val="16"/>
                <w:color w:val="auto"/>
              </w:rPr>
              <w:t>14,678</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2,241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240" w:type="dxa"/>
            <w:vAlign w:val="bottom"/>
          </w:tcPr>
          <w:p>
            <w:pPr>
              <w:spacing w:after="0"/>
              <w:rPr>
                <w:sz w:val="20"/>
                <w:szCs w:val="20"/>
                <w:color w:val="auto"/>
              </w:rPr>
            </w:pPr>
            <w:r>
              <w:rPr>
                <w:rFonts w:ascii="Arial" w:cs="Arial" w:eastAsia="Arial" w:hAnsi="Arial"/>
                <w:sz w:val="16"/>
                <w:szCs w:val="16"/>
                <w:color w:val="auto"/>
              </w:rPr>
              <w:t>Cost of sales</w:t>
            </w:r>
          </w:p>
        </w:tc>
        <w:tc>
          <w:tcPr>
            <w:tcW w:w="5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12,973</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Gross profit (loss)</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1,705</w:t>
            </w:r>
          </w:p>
        </w:tc>
        <w:tc>
          <w:tcPr>
            <w:tcW w:w="3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(1,819)</w:t>
            </w:r>
          </w:p>
        </w:tc>
        <w:tc>
          <w:tcPr>
            <w:tcW w:w="0" w:type="dxa"/>
            <w:vAlign w:val="bottom"/>
          </w:tcPr>
          <w:p>
            <w:pPr>
              <w:spacing w:after="0"/>
              <w:rPr>
                <w:sz w:val="1"/>
                <w:szCs w:val="1"/>
                <w:color w:val="auto"/>
              </w:rPr>
            </w:pPr>
          </w:p>
        </w:tc>
      </w:tr>
      <w:tr>
        <w:trPr>
          <w:trHeight w:val="259"/>
        </w:trPr>
        <w:tc>
          <w:tcPr>
            <w:tcW w:w="7240" w:type="dxa"/>
            <w:vAlign w:val="bottom"/>
          </w:tcPr>
          <w:p>
            <w:pPr>
              <w:spacing w:after="0"/>
              <w:rPr>
                <w:sz w:val="20"/>
                <w:szCs w:val="20"/>
                <w:color w:val="auto"/>
              </w:rPr>
            </w:pPr>
            <w:r>
              <w:rPr>
                <w:rFonts w:ascii="Arial" w:cs="Arial" w:eastAsia="Arial" w:hAnsi="Arial"/>
                <w:sz w:val="16"/>
                <w:szCs w:val="16"/>
                <w:color w:val="auto"/>
              </w:rPr>
              <w:t>Operating expenses:</w:t>
            </w:r>
          </w:p>
        </w:tc>
        <w:tc>
          <w:tcPr>
            <w:tcW w:w="5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7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Selling, general and administrative</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15,176</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24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238"/>
              <w:spacing w:after="0"/>
              <w:rPr>
                <w:sz w:val="20"/>
                <w:szCs w:val="20"/>
                <w:color w:val="auto"/>
              </w:rPr>
            </w:pPr>
            <w:r>
              <w:rPr>
                <w:rFonts w:ascii="Arial" w:cs="Arial" w:eastAsia="Arial" w:hAnsi="Arial"/>
                <w:sz w:val="16"/>
                <w:szCs w:val="16"/>
                <w:color w:val="auto"/>
              </w:rPr>
              <w:t>21,934</w:t>
            </w: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29,569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(gain) on sale of equipment</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7</w:t>
            </w:r>
          </w:p>
        </w:tc>
        <w:tc>
          <w:tcPr>
            <w:tcW w:w="3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01"/>
        </w:trPr>
        <w:tc>
          <w:tcPr>
            <w:tcW w:w="7240" w:type="dxa"/>
            <w:vAlign w:val="bottom"/>
          </w:tcPr>
          <w:p>
            <w:pPr>
              <w:ind w:left="400"/>
              <w:spacing w:after="0"/>
              <w:rPr>
                <w:sz w:val="20"/>
                <w:szCs w:val="20"/>
                <w:color w:val="auto"/>
              </w:rPr>
            </w:pPr>
            <w:r>
              <w:rPr>
                <w:rFonts w:ascii="Arial" w:cs="Arial" w:eastAsia="Arial" w:hAnsi="Arial"/>
                <w:sz w:val="16"/>
                <w:szCs w:val="16"/>
                <w:color w:val="auto"/>
              </w:rPr>
              <w:t>Total operating expenses</w:t>
            </w:r>
          </w:p>
        </w:tc>
        <w:tc>
          <w:tcPr>
            <w:tcW w:w="5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6"/>
                <w:szCs w:val="16"/>
                <w:color w:val="auto"/>
              </w:rPr>
              <w:t>37,117</w:t>
            </w: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44,251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2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Loss from operations</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(35,412)</w:t>
            </w:r>
          </w:p>
        </w:tc>
        <w:tc>
          <w:tcPr>
            <w:tcW w:w="3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(46,070)</w:t>
            </w:r>
          </w:p>
        </w:tc>
        <w:tc>
          <w:tcPr>
            <w:tcW w:w="0" w:type="dxa"/>
            <w:vAlign w:val="bottom"/>
          </w:tcPr>
          <w:p>
            <w:pPr>
              <w:spacing w:after="0"/>
              <w:rPr>
                <w:sz w:val="1"/>
                <w:szCs w:val="1"/>
                <w:color w:val="auto"/>
              </w:rPr>
            </w:pPr>
          </w:p>
        </w:tc>
      </w:tr>
      <w:tr>
        <w:trPr>
          <w:trHeight w:val="254"/>
        </w:trPr>
        <w:tc>
          <w:tcPr>
            <w:tcW w:w="724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7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 in fair value of warrants</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63,011</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169,230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240" w:type="dxa"/>
            <w:vAlign w:val="bottom"/>
          </w:tcPr>
          <w:p>
            <w:pPr>
              <w:ind w:left="200"/>
              <w:spacing w:after="0"/>
              <w:rPr>
                <w:sz w:val="20"/>
                <w:szCs w:val="20"/>
                <w:color w:val="auto"/>
              </w:rPr>
            </w:pPr>
            <w:r>
              <w:rPr>
                <w:rFonts w:ascii="Arial" w:cs="Arial" w:eastAsia="Arial" w:hAnsi="Arial"/>
                <w:sz w:val="16"/>
                <w:szCs w:val="16"/>
                <w:color w:val="auto"/>
              </w:rPr>
              <w:t>Expiration of warrants</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238"/>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(510)</w:t>
            </w:r>
          </w:p>
        </w:tc>
        <w:tc>
          <w:tcPr>
            <w:tcW w:w="3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6"/>
        </w:trPr>
        <w:tc>
          <w:tcPr>
            <w:tcW w:w="7240" w:type="dxa"/>
            <w:vAlign w:val="bottom"/>
          </w:tcPr>
          <w:p>
            <w:pPr>
              <w:ind w:left="200"/>
              <w:spacing w:after="0"/>
              <w:rPr>
                <w:sz w:val="20"/>
                <w:szCs w:val="20"/>
                <w:color w:val="auto"/>
              </w:rPr>
            </w:pPr>
            <w:r>
              <w:rPr>
                <w:rFonts w:ascii="Arial" w:cs="Arial" w:eastAsia="Arial" w:hAnsi="Arial"/>
                <w:sz w:val="16"/>
                <w:szCs w:val="16"/>
                <w:color w:val="auto"/>
              </w:rPr>
              <w:t>Interest and other income</w:t>
            </w:r>
          </w:p>
        </w:tc>
        <w:tc>
          <w:tcPr>
            <w:tcW w:w="5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543</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2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Income before income taxes</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27,632</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126,244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40" w:type="dxa"/>
            <w:vAlign w:val="bottom"/>
          </w:tcPr>
          <w:p>
            <w:pPr>
              <w:spacing w:after="0"/>
              <w:rPr>
                <w:sz w:val="20"/>
                <w:szCs w:val="20"/>
                <w:color w:val="auto"/>
              </w:rPr>
            </w:pPr>
            <w:r>
              <w:rPr>
                <w:rFonts w:ascii="Arial" w:cs="Arial" w:eastAsia="Arial" w:hAnsi="Arial"/>
                <w:sz w:val="16"/>
                <w:szCs w:val="16"/>
                <w:color w:val="auto"/>
              </w:rPr>
              <w:t>Income tax expense</w:t>
            </w:r>
          </w:p>
        </w:tc>
        <w:tc>
          <w:tcPr>
            <w:tcW w:w="5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57</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2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Net income</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27,575</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126,220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240" w:type="dxa"/>
            <w:vAlign w:val="bottom"/>
          </w:tcPr>
          <w:p>
            <w:pPr>
              <w:spacing w:after="0"/>
              <w:rPr>
                <w:sz w:val="20"/>
                <w:szCs w:val="20"/>
                <w:color w:val="auto"/>
              </w:rPr>
            </w:pPr>
            <w:r>
              <w:rPr>
                <w:rFonts w:ascii="Arial" w:cs="Arial" w:eastAsia="Arial" w:hAnsi="Arial"/>
                <w:sz w:val="16"/>
                <w:szCs w:val="16"/>
                <w:color w:val="auto"/>
              </w:rPr>
              <w:t>Accretion to redemption value of redeemable preferred stock and redeemable stock options</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178"/>
              <w:spacing w:after="0"/>
              <w:rPr>
                <w:sz w:val="20"/>
                <w:szCs w:val="20"/>
                <w:color w:val="auto"/>
              </w:rPr>
            </w:pPr>
            <w:r>
              <w:rPr>
                <w:rFonts w:ascii="Arial" w:cs="Arial" w:eastAsia="Arial" w:hAnsi="Arial"/>
                <w:sz w:val="16"/>
                <w:szCs w:val="16"/>
                <w:color w:val="auto"/>
              </w:rPr>
              <w:t>(24,209)</w:t>
            </w:r>
          </w:p>
        </w:tc>
        <w:tc>
          <w:tcPr>
            <w:tcW w:w="38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(82,121)</w:t>
            </w:r>
          </w:p>
        </w:tc>
        <w:tc>
          <w:tcPr>
            <w:tcW w:w="0" w:type="dxa"/>
            <w:vAlign w:val="bottom"/>
          </w:tcPr>
          <w:p>
            <w:pPr>
              <w:spacing w:after="0"/>
              <w:rPr>
                <w:sz w:val="1"/>
                <w:szCs w:val="1"/>
                <w:color w:val="auto"/>
              </w:rPr>
            </w:pPr>
          </w:p>
        </w:tc>
      </w:tr>
      <w:tr>
        <w:trPr>
          <w:trHeight w:val="190"/>
        </w:trPr>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Earnings allocated to redeemable preferred stock</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(17,972)</w:t>
            </w:r>
          </w:p>
        </w:tc>
        <w:tc>
          <w:tcPr>
            <w:tcW w:w="0" w:type="dxa"/>
            <w:vAlign w:val="bottom"/>
          </w:tcPr>
          <w:p>
            <w:pPr>
              <w:spacing w:after="0"/>
              <w:rPr>
                <w:sz w:val="1"/>
                <w:szCs w:val="1"/>
                <w:color w:val="auto"/>
              </w:rPr>
            </w:pPr>
          </w:p>
        </w:tc>
      </w:tr>
      <w:tr>
        <w:trPr>
          <w:trHeight w:val="205"/>
        </w:trPr>
        <w:tc>
          <w:tcPr>
            <w:tcW w:w="7240" w:type="dxa"/>
            <w:vAlign w:val="bottom"/>
          </w:tcPr>
          <w:p>
            <w:pPr>
              <w:ind w:left="400"/>
              <w:spacing w:after="0"/>
              <w:rPr>
                <w:sz w:val="20"/>
                <w:szCs w:val="20"/>
                <w:color w:val="auto"/>
              </w:rPr>
            </w:pPr>
            <w:r>
              <w:rPr>
                <w:rFonts w:ascii="Arial" w:cs="Arial" w:eastAsia="Arial" w:hAnsi="Arial"/>
                <w:sz w:val="16"/>
                <w:szCs w:val="16"/>
                <w:color w:val="auto"/>
              </w:rPr>
              <w:t>Net (loss) income attributable to common stockholders</w:t>
            </w:r>
          </w:p>
        </w:tc>
        <w:tc>
          <w:tcPr>
            <w:tcW w:w="5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238"/>
              <w:spacing w:after="0"/>
              <w:rPr>
                <w:sz w:val="20"/>
                <w:szCs w:val="20"/>
                <w:color w:val="auto"/>
              </w:rPr>
            </w:pPr>
            <w:r>
              <w:rPr>
                <w:rFonts w:ascii="Arial" w:cs="Arial" w:eastAsia="Arial" w:hAnsi="Arial"/>
                <w:sz w:val="16"/>
                <w:szCs w:val="16"/>
                <w:color w:val="auto"/>
              </w:rPr>
              <w:t>3,366</w:t>
            </w:r>
          </w:p>
        </w:tc>
        <w:tc>
          <w:tcPr>
            <w:tcW w:w="3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7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240" w:type="dxa"/>
            <w:vAlign w:val="bottom"/>
          </w:tcPr>
          <w:p>
            <w:pPr>
              <w:ind w:left="200"/>
              <w:spacing w:after="0"/>
              <w:rPr>
                <w:sz w:val="20"/>
                <w:szCs w:val="20"/>
                <w:color w:val="auto"/>
              </w:rPr>
            </w:pPr>
            <w:r>
              <w:rPr>
                <w:rFonts w:ascii="Arial" w:cs="Arial" w:eastAsia="Arial" w:hAnsi="Arial"/>
                <w:sz w:val="16"/>
                <w:szCs w:val="16"/>
                <w:color w:val="auto"/>
              </w:rPr>
              <w:t>Unrealized (loss) gain on short-term investments</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178"/>
              <w:spacing w:after="0"/>
              <w:rPr>
                <w:sz w:val="20"/>
                <w:szCs w:val="20"/>
                <w:color w:val="auto"/>
              </w:rPr>
            </w:pPr>
            <w:r>
              <w:rPr>
                <w:rFonts w:ascii="Arial" w:cs="Arial" w:eastAsia="Arial" w:hAnsi="Arial"/>
                <w:sz w:val="16"/>
                <w:szCs w:val="16"/>
                <w:color w:val="auto"/>
              </w:rPr>
              <w:t>(49)</w:t>
            </w: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 currency translation gain</w:t>
            </w:r>
          </w:p>
        </w:tc>
        <w:tc>
          <w:tcPr>
            <w:tcW w:w="5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40" w:type="dxa"/>
            <w:vAlign w:val="bottom"/>
          </w:tcPr>
          <w:p>
            <w:pPr>
              <w:spacing w:after="0"/>
              <w:rPr>
                <w:sz w:val="20"/>
                <w:szCs w:val="20"/>
                <w:color w:val="auto"/>
              </w:rPr>
            </w:pPr>
            <w:r>
              <w:rPr>
                <w:rFonts w:ascii="Arial" w:cs="Arial" w:eastAsia="Arial" w:hAnsi="Arial"/>
                <w:sz w:val="16"/>
                <w:szCs w:val="16"/>
                <w:color w:val="auto"/>
              </w:rPr>
              <w:t>Total other comprehensive (loss) income</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178"/>
              <w:spacing w:after="0"/>
              <w:rPr>
                <w:sz w:val="20"/>
                <w:szCs w:val="20"/>
                <w:color w:val="auto"/>
              </w:rPr>
            </w:pPr>
            <w:r>
              <w:rPr>
                <w:rFonts w:ascii="Arial" w:cs="Arial" w:eastAsia="Arial" w:hAnsi="Arial"/>
                <w:sz w:val="16"/>
                <w:szCs w:val="16"/>
                <w:color w:val="auto"/>
              </w:rPr>
              <w:t>(49)</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27,526</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126,293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7240" w:type="dxa"/>
            <w:vAlign w:val="bottom"/>
          </w:tcPr>
          <w:p>
            <w:pPr>
              <w:spacing w:after="0"/>
              <w:rPr>
                <w:sz w:val="20"/>
                <w:szCs w:val="20"/>
                <w:color w:val="auto"/>
              </w:rPr>
            </w:pPr>
            <w:r>
              <w:rPr>
                <w:rFonts w:ascii="Arial" w:cs="Arial" w:eastAsia="Arial" w:hAnsi="Arial"/>
                <w:sz w:val="16"/>
                <w:szCs w:val="16"/>
                <w:color w:val="auto"/>
              </w:rPr>
              <w:t>Net income (loss) per share:</w:t>
            </w:r>
          </w:p>
        </w:tc>
        <w:tc>
          <w:tcPr>
            <w:tcW w:w="5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7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Attributable to redeemable common stock, basic</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0.91</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240" w:type="dxa"/>
            <w:vAlign w:val="bottom"/>
          </w:tcPr>
          <w:p>
            <w:pPr>
              <w:ind w:left="200"/>
              <w:spacing w:after="0"/>
              <w:rPr>
                <w:sz w:val="20"/>
                <w:szCs w:val="20"/>
                <w:color w:val="auto"/>
              </w:rPr>
            </w:pPr>
            <w:r>
              <w:rPr>
                <w:rFonts w:ascii="Arial" w:cs="Arial" w:eastAsia="Arial" w:hAnsi="Arial"/>
                <w:sz w:val="16"/>
                <w:szCs w:val="16"/>
                <w:color w:val="auto"/>
              </w:rPr>
              <w:t>Attributable to redeemable common stock, diluted</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38"/>
              <w:spacing w:after="0"/>
              <w:rPr>
                <w:sz w:val="20"/>
                <w:szCs w:val="20"/>
                <w:color w:val="auto"/>
              </w:rPr>
            </w:pPr>
            <w:r>
              <w:rPr>
                <w:rFonts w:ascii="Arial" w:cs="Arial" w:eastAsia="Arial" w:hAnsi="Arial"/>
                <w:sz w:val="16"/>
                <w:szCs w:val="16"/>
                <w:color w:val="auto"/>
              </w:rPr>
              <w:t>0.15</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Attributable to Series G common stock, basic</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(0.39)</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240" w:type="dxa"/>
            <w:vAlign w:val="bottom"/>
          </w:tcPr>
          <w:p>
            <w:pPr>
              <w:ind w:left="200"/>
              <w:spacing w:after="0"/>
              <w:rPr>
                <w:sz w:val="20"/>
                <w:szCs w:val="20"/>
                <w:color w:val="auto"/>
              </w:rPr>
            </w:pPr>
            <w:r>
              <w:rPr>
                <w:rFonts w:ascii="Arial" w:cs="Arial" w:eastAsia="Arial" w:hAnsi="Arial"/>
                <w:sz w:val="16"/>
                <w:szCs w:val="16"/>
                <w:color w:val="auto"/>
              </w:rPr>
              <w:t>Attributable to Series G common stock, diluted</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8"/>
              <w:spacing w:after="0"/>
              <w:rPr>
                <w:sz w:val="20"/>
                <w:szCs w:val="20"/>
                <w:color w:val="auto"/>
              </w:rPr>
            </w:pPr>
            <w:r>
              <w:rPr>
                <w:rFonts w:ascii="Arial" w:cs="Arial" w:eastAsia="Arial" w:hAnsi="Arial"/>
                <w:sz w:val="16"/>
                <w:szCs w:val="16"/>
                <w:color w:val="auto"/>
              </w:rPr>
              <w:t>(0.62)</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7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shares used in computing net income (loss) per share:</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240" w:type="dxa"/>
            <w:vAlign w:val="bottom"/>
          </w:tcPr>
          <w:p>
            <w:pPr>
              <w:ind w:left="200"/>
              <w:spacing w:after="0"/>
              <w:rPr>
                <w:sz w:val="20"/>
                <w:szCs w:val="20"/>
                <w:color w:val="auto"/>
              </w:rPr>
            </w:pPr>
            <w:r>
              <w:rPr>
                <w:rFonts w:ascii="Arial" w:cs="Arial" w:eastAsia="Arial" w:hAnsi="Arial"/>
                <w:sz w:val="16"/>
                <w:szCs w:val="16"/>
                <w:color w:val="auto"/>
              </w:rPr>
              <w:t>Attributable to redeemable common stock, basic</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238"/>
              <w:spacing w:after="0"/>
              <w:rPr>
                <w:sz w:val="20"/>
                <w:szCs w:val="20"/>
                <w:color w:val="auto"/>
              </w:rPr>
            </w:pPr>
            <w:r>
              <w:rPr>
                <w:rFonts w:ascii="Arial" w:cs="Arial" w:eastAsia="Arial" w:hAnsi="Arial"/>
                <w:sz w:val="16"/>
                <w:szCs w:val="16"/>
                <w:color w:val="auto"/>
              </w:rPr>
              <w:t>3,707,207</w:t>
            </w: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3,429,975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Attributable to redeemable common stock, diluted</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5,532,305</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20,580,003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24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Attributable to Series G common stock, basic and diluted</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See accompanying notes.</w:t>
      </w:r>
    </w:p>
    <w:p>
      <w:pPr>
        <w:spacing w:after="0" w:line="145"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0800"/>
          </w:cols>
          <w:pgMar w:left="320" w:top="441" w:right="779" w:bottom="1440" w:gutter="0" w:footer="0" w:header="0"/>
        </w:sectPr>
      </w:pPr>
    </w:p>
    <w:bookmarkStart w:id="230" w:name="page231"/>
    <w:bookmarkEnd w:id="2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4" w:lineRule="exact"/>
        <w:rPr>
          <w:sz w:val="20"/>
          <w:szCs w:val="20"/>
          <w:color w:val="auto"/>
        </w:rPr>
      </w:pPr>
    </w:p>
    <w:p>
      <w:pPr>
        <w:ind w:left="460"/>
        <w:spacing w:after="0"/>
        <w:rPr>
          <w:sz w:val="20"/>
          <w:szCs w:val="20"/>
          <w:color w:val="auto"/>
        </w:rPr>
      </w:pPr>
      <w:r>
        <w:rPr>
          <w:rFonts w:ascii="Arial" w:cs="Arial" w:eastAsia="Arial" w:hAnsi="Arial"/>
          <w:sz w:val="27"/>
          <w:szCs w:val="27"/>
          <w:b w:val="1"/>
          <w:bCs w:val="1"/>
          <w:color w:val="auto"/>
        </w:rPr>
        <w:t>RxSight, Inc.</w:t>
      </w:r>
    </w:p>
    <w:p>
      <w:pPr>
        <w:spacing w:after="0" w:line="40" w:lineRule="exact"/>
        <w:rPr>
          <w:sz w:val="20"/>
          <w:szCs w:val="20"/>
          <w:color w:val="auto"/>
        </w:rPr>
      </w:pPr>
    </w:p>
    <w:p>
      <w:pPr>
        <w:ind w:left="460" w:right="1780"/>
        <w:spacing w:after="0" w:line="256" w:lineRule="auto"/>
        <w:rPr>
          <w:sz w:val="20"/>
          <w:szCs w:val="20"/>
          <w:color w:val="auto"/>
        </w:rPr>
      </w:pPr>
      <w:r>
        <w:rPr>
          <w:rFonts w:ascii="Arial" w:cs="Arial" w:eastAsia="Arial" w:hAnsi="Arial"/>
          <w:sz w:val="27"/>
          <w:szCs w:val="27"/>
          <w:b w:val="1"/>
          <w:bCs w:val="1"/>
          <w:color w:val="auto"/>
        </w:rPr>
        <w:t>Consolidated statements of redeemable common stock, stock options, convertible preferred stock and stockholders’ deficit</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Redeemable</w:t>
            </w:r>
          </w:p>
        </w:tc>
        <w:tc>
          <w:tcPr>
            <w:tcW w:w="160" w:type="dxa"/>
            <w:vAlign w:val="bottom"/>
            <w:tcBorders>
              <w:top w:val="single" w:sz="8" w:color="auto"/>
              <w:right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rPr>
              <w:t>Redeemable</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rPr>
              <w:t>convertible</w:t>
            </w: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gridSpan w:val="3"/>
          </w:tcPr>
          <w:p>
            <w:pPr>
              <w:jc w:val="right"/>
              <w:spacing w:after="0" w:line="139" w:lineRule="exact"/>
              <w:rPr>
                <w:sz w:val="20"/>
                <w:szCs w:val="20"/>
                <w:color w:val="auto"/>
              </w:rPr>
            </w:pPr>
            <w:r>
              <w:rPr>
                <w:rFonts w:ascii="Arial" w:cs="Arial" w:eastAsia="Arial" w:hAnsi="Arial"/>
                <w:sz w:val="13"/>
                <w:szCs w:val="13"/>
                <w:b w:val="1"/>
                <w:bCs w:val="1"/>
                <w:color w:val="auto"/>
                <w:w w:val="98"/>
              </w:rPr>
              <w:t>Series G</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gridSpan w:val="3"/>
          </w:tcPr>
          <w:p>
            <w:pPr>
              <w:jc w:val="right"/>
              <w:spacing w:after="0" w:line="139" w:lineRule="exact"/>
              <w:rPr>
                <w:sz w:val="20"/>
                <w:szCs w:val="20"/>
                <w:color w:val="auto"/>
              </w:rPr>
            </w:pPr>
            <w:r>
              <w:rPr>
                <w:rFonts w:ascii="Arial" w:cs="Arial" w:eastAsia="Arial" w:hAnsi="Arial"/>
                <w:sz w:val="13"/>
                <w:szCs w:val="13"/>
                <w:b w:val="1"/>
                <w:bCs w:val="1"/>
                <w:color w:val="auto"/>
                <w:w w:val="94"/>
              </w:rPr>
              <w:t>Series W</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Borders>
              <w:bottom w:val="single" w:sz="8" w:color="auto"/>
            </w:tcBorders>
            <w:gridSpan w:val="2"/>
          </w:tcPr>
          <w:p>
            <w:pPr>
              <w:jc w:val="right"/>
              <w:spacing w:after="0" w:line="139" w:lineRule="exact"/>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2"/>
                <w:szCs w:val="12"/>
                <w:color w:val="auto"/>
              </w:rPr>
            </w:pPr>
          </w:p>
        </w:tc>
        <w:tc>
          <w:tcPr>
            <w:tcW w:w="620" w:type="dxa"/>
            <w:vAlign w:val="bottom"/>
          </w:tcPr>
          <w:p>
            <w:pPr>
              <w:jc w:val="right"/>
              <w:ind w:right="20"/>
              <w:spacing w:after="0" w:line="139" w:lineRule="exact"/>
              <w:rPr>
                <w:sz w:val="20"/>
                <w:szCs w:val="20"/>
                <w:color w:val="auto"/>
              </w:rPr>
            </w:pPr>
            <w:r>
              <w:rPr>
                <w:rFonts w:ascii="Arial" w:cs="Arial" w:eastAsia="Arial" w:hAnsi="Arial"/>
                <w:sz w:val="13"/>
                <w:szCs w:val="13"/>
                <w:b w:val="1"/>
                <w:bCs w:val="1"/>
                <w:color w:val="auto"/>
              </w:rPr>
              <w:t>Notes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Borders>
              <w:bottom w:val="single" w:sz="8" w:color="auto"/>
            </w:tcBorders>
            <w:gridSpan w:val="2"/>
          </w:tcPr>
          <w:p>
            <w:pPr>
              <w:jc w:val="right"/>
              <w:spacing w:after="0" w:line="139" w:lineRule="exact"/>
              <w:rPr>
                <w:sz w:val="20"/>
                <w:szCs w:val="20"/>
                <w:color w:val="auto"/>
              </w:rPr>
            </w:pPr>
            <w:r>
              <w:rPr>
                <w:rFonts w:ascii="Arial" w:cs="Arial" w:eastAsia="Arial" w:hAnsi="Arial"/>
                <w:sz w:val="13"/>
                <w:szCs w:val="13"/>
                <w:b w:val="1"/>
                <w:bCs w:val="1"/>
                <w:color w:val="auto"/>
              </w:rPr>
              <w:t>preferred stock</w:t>
            </w: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bottom w:val="single" w:sz="8" w:color="auto"/>
            </w:tcBorders>
            <w:gridSpan w:val="4"/>
          </w:tcPr>
          <w:p>
            <w:pPr>
              <w:jc w:val="right"/>
              <w:spacing w:after="0" w:line="139" w:lineRule="exact"/>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2"/>
                <w:szCs w:val="12"/>
                <w:color w:val="auto"/>
              </w:rPr>
            </w:pPr>
          </w:p>
        </w:tc>
        <w:tc>
          <w:tcPr>
            <w:tcW w:w="1000" w:type="dxa"/>
            <w:vAlign w:val="bottom"/>
            <w:tcBorders>
              <w:bottom w:val="single" w:sz="8" w:color="auto"/>
            </w:tcBorders>
            <w:gridSpan w:val="4"/>
          </w:tcPr>
          <w:p>
            <w:pPr>
              <w:jc w:val="right"/>
              <w:spacing w:after="0" w:line="139" w:lineRule="exact"/>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90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rPr>
              <w:t>(In</w:t>
            </w: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gridSpan w:val="2"/>
          </w:tcPr>
          <w:p>
            <w:pPr>
              <w:ind w:left="80"/>
              <w:spacing w:after="0" w:line="110" w:lineRule="exact"/>
              <w:rPr>
                <w:sz w:val="20"/>
                <w:szCs w:val="20"/>
                <w:color w:val="auto"/>
              </w:rPr>
            </w:pPr>
            <w:r>
              <w:rPr>
                <w:rFonts w:ascii="Arial" w:cs="Arial" w:eastAsia="Arial" w:hAnsi="Arial"/>
                <w:sz w:val="12"/>
                <w:szCs w:val="12"/>
                <w:b w:val="1"/>
                <w:bCs w:val="1"/>
                <w:color w:val="auto"/>
              </w:rPr>
              <w:t>receivable</w:t>
            </w: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thousands,</w:t>
            </w: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20"/>
              <w:spacing w:after="0" w:line="139" w:lineRule="exact"/>
              <w:rPr>
                <w:sz w:val="20"/>
                <w:szCs w:val="20"/>
                <w:color w:val="auto"/>
              </w:rPr>
            </w:pPr>
            <w:r>
              <w:rPr>
                <w:rFonts w:ascii="Arial" w:cs="Arial" w:eastAsia="Arial" w:hAnsi="Arial"/>
                <w:sz w:val="13"/>
                <w:szCs w:val="13"/>
                <w:b w:val="1"/>
                <w:bCs w:val="1"/>
                <w:color w:val="auto"/>
              </w:rPr>
              <w:t>for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39" w:lineRule="exact"/>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1"/>
        </w:trPr>
        <w:tc>
          <w:tcPr>
            <w:tcW w:w="90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rPr>
              <w:t>except</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ind w:right="20"/>
              <w:spacing w:after="0" w:line="131" w:lineRule="exact"/>
              <w:rPr>
                <w:sz w:val="20"/>
                <w:szCs w:val="20"/>
                <w:color w:val="auto"/>
              </w:rPr>
            </w:pPr>
            <w:r>
              <w:rPr>
                <w:rFonts w:ascii="Arial" w:cs="Arial" w:eastAsia="Arial" w:hAnsi="Arial"/>
                <w:sz w:val="13"/>
                <w:szCs w:val="13"/>
                <w:b w:val="1"/>
                <w:bCs w:val="1"/>
                <w:color w:val="auto"/>
                <w:w w:val="95"/>
              </w:rPr>
              <w:t>common</w:t>
            </w:r>
          </w:p>
        </w:tc>
        <w:tc>
          <w:tcPr>
            <w:tcW w:w="900" w:type="dxa"/>
            <w:vAlign w:val="bottom"/>
            <w:gridSpan w:val="2"/>
          </w:tcPr>
          <w:p>
            <w:pPr>
              <w:ind w:left="40"/>
              <w:spacing w:after="0" w:line="131" w:lineRule="exact"/>
              <w:rPr>
                <w:sz w:val="20"/>
                <w:szCs w:val="20"/>
                <w:color w:val="auto"/>
              </w:rPr>
            </w:pPr>
            <w:r>
              <w:rPr>
                <w:rFonts w:ascii="Arial" w:cs="Arial" w:eastAsia="Arial" w:hAnsi="Arial"/>
                <w:sz w:val="13"/>
                <w:szCs w:val="13"/>
                <w:b w:val="1"/>
                <w:bCs w:val="1"/>
                <w:color w:val="auto"/>
              </w:rPr>
              <w:t>Redeemable</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4"/>
          </w:tcPr>
          <w:p>
            <w:pPr>
              <w:ind w:left="60"/>
              <w:spacing w:after="0" w:line="131" w:lineRule="exact"/>
              <w:rPr>
                <w:sz w:val="20"/>
                <w:szCs w:val="20"/>
                <w:color w:val="auto"/>
              </w:rPr>
            </w:pPr>
            <w:r>
              <w:rPr>
                <w:rFonts w:ascii="Arial" w:cs="Arial" w:eastAsia="Arial" w:hAnsi="Arial"/>
                <w:sz w:val="13"/>
                <w:szCs w:val="13"/>
                <w:b w:val="1"/>
                <w:bCs w:val="1"/>
                <w:color w:val="auto"/>
              </w:rPr>
              <w:t>Additional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80"/>
              <w:spacing w:after="0" w:line="131" w:lineRule="exact"/>
              <w:rPr>
                <w:sz w:val="20"/>
                <w:szCs w:val="20"/>
                <w:color w:val="auto"/>
              </w:rPr>
            </w:pPr>
            <w:r>
              <w:rPr>
                <w:rFonts w:ascii="Arial" w:cs="Arial" w:eastAsia="Arial" w:hAnsi="Arial"/>
                <w:sz w:val="13"/>
                <w:szCs w:val="13"/>
                <w:b w:val="1"/>
                <w:bCs w:val="1"/>
                <w:color w:val="auto"/>
              </w:rPr>
              <w:t>other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number of</w:t>
            </w: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20"/>
              <w:spacing w:after="0" w:line="139" w:lineRule="exact"/>
              <w:rPr>
                <w:sz w:val="20"/>
                <w:szCs w:val="20"/>
                <w:color w:val="auto"/>
              </w:rPr>
            </w:pPr>
            <w:r>
              <w:rPr>
                <w:rFonts w:ascii="Arial" w:cs="Arial" w:eastAsia="Arial" w:hAnsi="Arial"/>
                <w:sz w:val="13"/>
                <w:szCs w:val="13"/>
                <w:b w:val="1"/>
                <w:bCs w:val="1"/>
                <w:color w:val="auto"/>
              </w:rPr>
              <w:t>stock</w:t>
            </w:r>
          </w:p>
        </w:tc>
        <w:tc>
          <w:tcPr>
            <w:tcW w:w="200" w:type="dxa"/>
            <w:vAlign w:val="bottom"/>
          </w:tcPr>
          <w:p>
            <w:pPr>
              <w:spacing w:after="0"/>
              <w:rPr>
                <w:sz w:val="12"/>
                <w:szCs w:val="12"/>
                <w:color w:val="auto"/>
              </w:rPr>
            </w:pPr>
          </w:p>
        </w:tc>
        <w:tc>
          <w:tcPr>
            <w:tcW w:w="700" w:type="dxa"/>
            <w:vAlign w:val="bottom"/>
          </w:tcPr>
          <w:p>
            <w:pPr>
              <w:jc w:val="right"/>
              <w:ind w:right="60"/>
              <w:spacing w:after="0" w:line="139" w:lineRule="exact"/>
              <w:rPr>
                <w:sz w:val="20"/>
                <w:szCs w:val="20"/>
                <w:color w:val="auto"/>
              </w:rPr>
            </w:pPr>
            <w:r>
              <w:rPr>
                <w:rFonts w:ascii="Arial" w:cs="Arial" w:eastAsia="Arial" w:hAnsi="Arial"/>
                <w:sz w:val="13"/>
                <w:szCs w:val="13"/>
                <w:b w:val="1"/>
                <w:bCs w:val="1"/>
                <w:color w:val="auto"/>
              </w:rPr>
              <w:t>stock</w:t>
            </w: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80" w:type="dxa"/>
            <w:vAlign w:val="bottom"/>
            <w:gridSpan w:val="14"/>
          </w:tcPr>
          <w:p>
            <w:pPr>
              <w:jc w:val="right"/>
              <w:ind w:right="80"/>
              <w:spacing w:after="0" w:line="139" w:lineRule="exact"/>
              <w:rPr>
                <w:sz w:val="20"/>
                <w:szCs w:val="20"/>
                <w:color w:val="auto"/>
              </w:rPr>
            </w:pPr>
            <w:r>
              <w:rPr>
                <w:rFonts w:ascii="Arial" w:cs="Arial" w:eastAsia="Arial" w:hAnsi="Arial"/>
                <w:sz w:val="13"/>
                <w:szCs w:val="13"/>
                <w:b w:val="1"/>
                <w:bCs w:val="1"/>
                <w:color w:val="auto"/>
              </w:rPr>
              <w:t>paid-in  comprehensive  Accumulated  stockholders’</w:t>
            </w:r>
          </w:p>
        </w:tc>
        <w:tc>
          <w:tcPr>
            <w:tcW w:w="0" w:type="dxa"/>
            <w:vAlign w:val="bottom"/>
          </w:tcPr>
          <w:p>
            <w:pPr>
              <w:spacing w:after="0"/>
              <w:rPr>
                <w:sz w:val="1"/>
                <w:szCs w:val="1"/>
                <w:color w:val="auto"/>
              </w:rPr>
            </w:pPr>
          </w:p>
        </w:tc>
      </w:tr>
      <w:tr>
        <w:trPr>
          <w:trHeight w:val="165"/>
        </w:trPr>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shares)</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4"/>
                <w:szCs w:val="14"/>
                <w:color w:val="auto"/>
              </w:rPr>
            </w:pPr>
          </w:p>
        </w:tc>
        <w:tc>
          <w:tcPr>
            <w:tcW w:w="620" w:type="dxa"/>
            <w:vAlign w:val="bottom"/>
          </w:tcPr>
          <w:p>
            <w:pPr>
              <w:jc w:val="right"/>
              <w:ind w:right="20"/>
              <w:spacing w:after="0"/>
              <w:rPr>
                <w:sz w:val="20"/>
                <w:szCs w:val="20"/>
                <w:color w:val="auto"/>
              </w:rPr>
            </w:pPr>
            <w:r>
              <w:rPr>
                <w:rFonts w:ascii="Arial" w:cs="Arial" w:eastAsia="Arial" w:hAnsi="Arial"/>
                <w:sz w:val="13"/>
                <w:szCs w:val="13"/>
                <w:b w:val="1"/>
                <w:bCs w:val="1"/>
                <w:color w:val="auto"/>
              </w:rPr>
              <w:t>issued</w:t>
            </w:r>
          </w:p>
        </w:tc>
        <w:tc>
          <w:tcPr>
            <w:tcW w:w="200" w:type="dxa"/>
            <w:vAlign w:val="bottom"/>
          </w:tcPr>
          <w:p>
            <w:pPr>
              <w:spacing w:after="0"/>
              <w:rPr>
                <w:sz w:val="14"/>
                <w:szCs w:val="14"/>
                <w:color w:val="auto"/>
              </w:rPr>
            </w:pPr>
          </w:p>
        </w:tc>
        <w:tc>
          <w:tcPr>
            <w:tcW w:w="700" w:type="dxa"/>
            <w:vAlign w:val="bottom"/>
          </w:tcPr>
          <w:p>
            <w:pPr>
              <w:jc w:val="right"/>
              <w:ind w:right="60"/>
              <w:spacing w:after="0"/>
              <w:rPr>
                <w:sz w:val="20"/>
                <w:szCs w:val="20"/>
                <w:color w:val="auto"/>
              </w:rPr>
            </w:pPr>
            <w:r>
              <w:rPr>
                <w:rFonts w:ascii="Arial" w:cs="Arial" w:eastAsia="Arial" w:hAnsi="Arial"/>
                <w:sz w:val="13"/>
                <w:szCs w:val="13"/>
                <w:b w:val="1"/>
                <w:bCs w:val="1"/>
                <w:color w:val="auto"/>
              </w:rPr>
              <w:t>options</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92"/>
              </w:rPr>
              <w:t>Shares</w:t>
            </w:r>
          </w:p>
        </w:tc>
        <w:tc>
          <w:tcPr>
            <w:tcW w:w="540" w:type="dxa"/>
            <w:vAlign w:val="bottom"/>
            <w:gridSpan w:val="3"/>
          </w:tcPr>
          <w:p>
            <w:pPr>
              <w:jc w:val="right"/>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92"/>
              </w:rPr>
              <w:t>Shares</w:t>
            </w:r>
          </w:p>
        </w:tc>
        <w:tc>
          <w:tcPr>
            <w:tcW w:w="560" w:type="dxa"/>
            <w:vAlign w:val="bottom"/>
            <w:gridSpan w:val="3"/>
          </w:tcPr>
          <w:p>
            <w:pPr>
              <w:jc w:val="right"/>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capital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7"/>
              </w:rPr>
              <w:t>(loss) income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deficit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2"/>
                <w:szCs w:val="12"/>
                <w:color w:val="auto"/>
              </w:rPr>
              <w:t>Balance at</w:t>
            </w:r>
          </w:p>
        </w:tc>
        <w:tc>
          <w:tcPr>
            <w:tcW w:w="6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right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shd w:val="clear" w:color="auto" w:fill="CCEEFF"/>
          </w:tcPr>
          <w:p>
            <w:pPr>
              <w:ind w:left="80"/>
              <w:spacing w:after="0" w:line="127" w:lineRule="exact"/>
              <w:rPr>
                <w:sz w:val="20"/>
                <w:szCs w:val="20"/>
                <w:color w:val="auto"/>
              </w:rPr>
            </w:pPr>
            <w:r>
              <w:rPr>
                <w:rFonts w:ascii="Arial" w:cs="Arial" w:eastAsia="Arial" w:hAnsi="Arial"/>
                <w:sz w:val="12"/>
                <w:szCs w:val="12"/>
                <w:color w:val="auto"/>
              </w:rPr>
              <w:t>December 31,</w:t>
            </w: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shd w:val="clear" w:color="auto" w:fill="CCEEFF"/>
          </w:tcPr>
          <w:p>
            <w:pPr>
              <w:ind w:left="80"/>
              <w:spacing w:after="0" w:line="133" w:lineRule="exact"/>
              <w:rPr>
                <w:sz w:val="20"/>
                <w:szCs w:val="20"/>
                <w:color w:val="auto"/>
              </w:rPr>
            </w:pPr>
            <w:r>
              <w:rPr>
                <w:rFonts w:ascii="Arial" w:cs="Arial" w:eastAsia="Arial" w:hAnsi="Arial"/>
                <w:sz w:val="12"/>
                <w:szCs w:val="12"/>
                <w:color w:val="auto"/>
              </w:rPr>
              <w:t>2018</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3,344,750</w:t>
            </w: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$ 25,105</w:t>
            </w:r>
          </w:p>
        </w:tc>
        <w:tc>
          <w:tcPr>
            <w:tcW w:w="160" w:type="dxa"/>
            <w:vAlign w:val="bottom"/>
            <w:shd w:val="clear" w:color="auto" w:fill="CCEEFF"/>
          </w:tcPr>
          <w:p>
            <w:pPr>
              <w:ind w:left="80"/>
              <w:spacing w:after="0" w:line="133" w:lineRule="exact"/>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(779)</w:t>
            </w:r>
          </w:p>
        </w:tc>
        <w:tc>
          <w:tcPr>
            <w:tcW w:w="200" w:type="dxa"/>
            <w:vAlign w:val="bottom"/>
            <w:shd w:val="clear" w:color="auto" w:fill="CCEEFF"/>
          </w:tcPr>
          <w:p>
            <w:pPr>
              <w:ind w:left="40"/>
              <w:spacing w:after="0" w:line="133"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51,034</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9"/>
              </w:rPr>
              <w:t>14,318,012</w:t>
            </w: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$ 257,279</w:t>
            </w:r>
          </w:p>
        </w:tc>
        <w:tc>
          <w:tcPr>
            <w:tcW w:w="160" w:type="dxa"/>
            <w:vAlign w:val="bottom"/>
            <w:tcBorders>
              <w:right w:val="single" w:sz="8" w:color="auto"/>
            </w:tcBorders>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w:t>
            </w:r>
          </w:p>
        </w:tc>
        <w:tc>
          <w:tcPr>
            <w:tcW w:w="2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w:t>
            </w:r>
          </w:p>
        </w:tc>
        <w:tc>
          <w:tcPr>
            <w:tcW w:w="2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14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(27)</w:t>
            </w:r>
          </w:p>
        </w:tc>
        <w:tc>
          <w:tcPr>
            <w:tcW w:w="22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(442,989)</w:t>
            </w:r>
          </w:p>
        </w:tc>
        <w:tc>
          <w:tcPr>
            <w:tcW w:w="2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(443,016)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80" w:type="dxa"/>
            <w:vAlign w:val="bottom"/>
          </w:tcPr>
          <w:p>
            <w:pPr>
              <w:spacing w:after="0" w:line="121" w:lineRule="exact"/>
              <w:rPr>
                <w:sz w:val="20"/>
                <w:szCs w:val="20"/>
                <w:color w:val="auto"/>
              </w:rPr>
            </w:pPr>
            <w:r>
              <w:rPr>
                <w:rFonts w:ascii="Arial" w:cs="Arial" w:eastAsia="Arial" w:hAnsi="Arial"/>
                <w:sz w:val="12"/>
                <w:szCs w:val="12"/>
                <w:color w:val="auto"/>
              </w:rPr>
              <w:t>Adjustment to</w:t>
            </w: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tcPr>
          <w:p>
            <w:pPr>
              <w:ind w:left="80"/>
              <w:spacing w:after="0" w:line="127" w:lineRule="exact"/>
              <w:rPr>
                <w:sz w:val="20"/>
                <w:szCs w:val="20"/>
                <w:color w:val="auto"/>
              </w:rPr>
            </w:pPr>
            <w:r>
              <w:rPr>
                <w:rFonts w:ascii="Arial" w:cs="Arial" w:eastAsia="Arial" w:hAnsi="Arial"/>
                <w:sz w:val="12"/>
                <w:szCs w:val="12"/>
                <w:color w:val="auto"/>
              </w:rPr>
              <w:t>accumulated</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tcPr>
          <w:p>
            <w:pPr>
              <w:ind w:left="80"/>
              <w:spacing w:after="0" w:line="127" w:lineRule="exact"/>
              <w:rPr>
                <w:sz w:val="20"/>
                <w:szCs w:val="20"/>
                <w:color w:val="auto"/>
              </w:rPr>
            </w:pPr>
            <w:r>
              <w:rPr>
                <w:rFonts w:ascii="Arial" w:cs="Arial" w:eastAsia="Arial" w:hAnsi="Arial"/>
                <w:sz w:val="12"/>
                <w:szCs w:val="12"/>
                <w:color w:val="auto"/>
              </w:rPr>
              <w:t>deficit from</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tcPr>
          <w:p>
            <w:pPr>
              <w:ind w:left="80"/>
              <w:spacing w:after="0" w:line="127" w:lineRule="exact"/>
              <w:rPr>
                <w:sz w:val="20"/>
                <w:szCs w:val="20"/>
                <w:color w:val="auto"/>
              </w:rPr>
            </w:pPr>
            <w:r>
              <w:rPr>
                <w:rFonts w:ascii="Arial" w:cs="Arial" w:eastAsia="Arial" w:hAnsi="Arial"/>
                <w:sz w:val="12"/>
                <w:szCs w:val="12"/>
                <w:color w:val="auto"/>
              </w:rPr>
              <w:t>adoption of</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color w:val="auto"/>
              </w:rPr>
              <w:t>ASC 842</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2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70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37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37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Exercise of</w:t>
            </w:r>
          </w:p>
        </w:tc>
        <w:tc>
          <w:tcPr>
            <w:tcW w:w="6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shd w:val="clear" w:color="auto" w:fill="CCEEFF"/>
          </w:tcPr>
          <w:p>
            <w:pPr>
              <w:ind w:left="80"/>
              <w:spacing w:after="0" w:line="133" w:lineRule="exact"/>
              <w:rPr>
                <w:sz w:val="20"/>
                <w:szCs w:val="20"/>
                <w:color w:val="auto"/>
              </w:rPr>
            </w:pPr>
            <w:r>
              <w:rPr>
                <w:rFonts w:ascii="Arial" w:cs="Arial" w:eastAsia="Arial" w:hAnsi="Arial"/>
                <w:sz w:val="12"/>
                <w:szCs w:val="12"/>
                <w:color w:val="auto"/>
              </w:rPr>
              <w:t>stock options</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219,134</w:t>
            </w: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5,717</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(4,826)</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80" w:type="dxa"/>
            <w:vAlign w:val="bottom"/>
          </w:tcPr>
          <w:p>
            <w:pPr>
              <w:spacing w:after="0" w:line="121" w:lineRule="exact"/>
              <w:rPr>
                <w:sz w:val="20"/>
                <w:szCs w:val="20"/>
                <w:color w:val="auto"/>
              </w:rPr>
            </w:pPr>
            <w:r>
              <w:rPr>
                <w:rFonts w:ascii="Arial" w:cs="Arial" w:eastAsia="Arial" w:hAnsi="Arial"/>
                <w:sz w:val="12"/>
                <w:szCs w:val="12"/>
                <w:color w:val="auto"/>
              </w:rPr>
              <w:t>Exercise of</w:t>
            </w: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color w:val="auto"/>
              </w:rPr>
              <w:t>warrants</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2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70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56,443</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1,604</w:t>
            </w: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Stock-based</w:t>
            </w:r>
          </w:p>
        </w:tc>
        <w:tc>
          <w:tcPr>
            <w:tcW w:w="6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shd w:val="clear" w:color="auto" w:fill="CCEEFF"/>
          </w:tcPr>
          <w:p>
            <w:pPr>
              <w:ind w:left="80"/>
              <w:spacing w:after="0" w:line="127" w:lineRule="exact"/>
              <w:rPr>
                <w:sz w:val="20"/>
                <w:szCs w:val="20"/>
                <w:color w:val="auto"/>
              </w:rPr>
            </w:pPr>
            <w:r>
              <w:rPr>
                <w:rFonts w:ascii="Arial" w:cs="Arial" w:eastAsia="Arial" w:hAnsi="Arial"/>
                <w:sz w:val="12"/>
                <w:szCs w:val="12"/>
                <w:color w:val="auto"/>
              </w:rPr>
              <w:t>compensation</w:t>
            </w: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shd w:val="clear" w:color="auto" w:fill="CCEEFF"/>
          </w:tcPr>
          <w:p>
            <w:pPr>
              <w:ind w:left="80"/>
              <w:spacing w:after="0" w:line="133" w:lineRule="exact"/>
              <w:rPr>
                <w:sz w:val="20"/>
                <w:szCs w:val="20"/>
                <w:color w:val="auto"/>
              </w:rPr>
            </w:pPr>
            <w:r>
              <w:rPr>
                <w:rFonts w:ascii="Arial" w:cs="Arial" w:eastAsia="Arial" w:hAnsi="Arial"/>
                <w:sz w:val="12"/>
                <w:szCs w:val="12"/>
                <w:color w:val="auto"/>
              </w:rPr>
              <w:t>expense</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4,598</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4,598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80" w:type="dxa"/>
            <w:vAlign w:val="bottom"/>
          </w:tcPr>
          <w:p>
            <w:pPr>
              <w:spacing w:after="0" w:line="121" w:lineRule="exact"/>
              <w:rPr>
                <w:sz w:val="20"/>
                <w:szCs w:val="20"/>
                <w:color w:val="auto"/>
              </w:rPr>
            </w:pPr>
            <w:r>
              <w:rPr>
                <w:rFonts w:ascii="Arial" w:cs="Arial" w:eastAsia="Arial" w:hAnsi="Arial"/>
                <w:sz w:val="12"/>
                <w:szCs w:val="12"/>
                <w:color w:val="auto"/>
              </w:rPr>
              <w:t>Accretion to</w:t>
            </w: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tcPr>
          <w:p>
            <w:pPr>
              <w:ind w:left="80"/>
              <w:spacing w:after="0" w:line="127" w:lineRule="exact"/>
              <w:rPr>
                <w:sz w:val="20"/>
                <w:szCs w:val="20"/>
                <w:color w:val="auto"/>
              </w:rPr>
            </w:pPr>
            <w:r>
              <w:rPr>
                <w:rFonts w:ascii="Arial" w:cs="Arial" w:eastAsia="Arial" w:hAnsi="Arial"/>
                <w:sz w:val="12"/>
                <w:szCs w:val="12"/>
                <w:color w:val="auto"/>
              </w:rPr>
              <w:t>redemption</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tcPr>
          <w:p>
            <w:pPr>
              <w:ind w:left="80"/>
              <w:spacing w:after="0" w:line="127" w:lineRule="exact"/>
              <w:rPr>
                <w:sz w:val="20"/>
                <w:szCs w:val="20"/>
                <w:color w:val="auto"/>
              </w:rPr>
            </w:pPr>
            <w:r>
              <w:rPr>
                <w:rFonts w:ascii="Arial" w:cs="Arial" w:eastAsia="Arial" w:hAnsi="Arial"/>
                <w:sz w:val="12"/>
                <w:szCs w:val="12"/>
                <w:color w:val="auto"/>
              </w:rPr>
              <w:t>value of</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tcPr>
          <w:p>
            <w:pPr>
              <w:ind w:left="80"/>
              <w:spacing w:after="0" w:line="127" w:lineRule="exact"/>
              <w:rPr>
                <w:sz w:val="20"/>
                <w:szCs w:val="20"/>
                <w:color w:val="auto"/>
              </w:rPr>
            </w:pPr>
            <w:r>
              <w:rPr>
                <w:rFonts w:ascii="Arial" w:cs="Arial" w:eastAsia="Arial" w:hAnsi="Arial"/>
                <w:sz w:val="12"/>
                <w:szCs w:val="12"/>
                <w:color w:val="auto"/>
              </w:rPr>
              <w:t>redeemable</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color w:val="auto"/>
              </w:rPr>
              <w:t>stock options</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2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700" w:type="dxa"/>
            <w:vAlign w:val="bottom"/>
          </w:tcPr>
          <w:p>
            <w:pPr>
              <w:jc w:val="right"/>
              <w:ind w:right="60"/>
              <w:spacing w:after="0" w:line="133" w:lineRule="exact"/>
              <w:rPr>
                <w:sz w:val="20"/>
                <w:szCs w:val="20"/>
                <w:color w:val="auto"/>
              </w:rPr>
            </w:pPr>
            <w:r>
              <w:rPr>
                <w:rFonts w:ascii="Arial" w:cs="Arial" w:eastAsia="Arial" w:hAnsi="Arial"/>
                <w:sz w:val="12"/>
                <w:szCs w:val="12"/>
                <w:color w:val="auto"/>
              </w:rPr>
              <w:t>13,423</w:t>
            </w: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rPr>
              <w:t>(4,598)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rPr>
              <w:t>(8,825)</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rPr>
              <w:t>(13,423)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Accretion to</w:t>
            </w:r>
          </w:p>
        </w:tc>
        <w:tc>
          <w:tcPr>
            <w:tcW w:w="6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shd w:val="clear" w:color="auto" w:fill="CCEEFF"/>
          </w:tcPr>
          <w:p>
            <w:pPr>
              <w:ind w:left="80"/>
              <w:spacing w:after="0" w:line="127" w:lineRule="exact"/>
              <w:rPr>
                <w:sz w:val="20"/>
                <w:szCs w:val="20"/>
                <w:color w:val="auto"/>
              </w:rPr>
            </w:pPr>
            <w:r>
              <w:rPr>
                <w:rFonts w:ascii="Arial" w:cs="Arial" w:eastAsia="Arial" w:hAnsi="Arial"/>
                <w:sz w:val="12"/>
                <w:szCs w:val="12"/>
                <w:color w:val="auto"/>
              </w:rPr>
              <w:t>redemption</w:t>
            </w: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shd w:val="clear" w:color="auto" w:fill="CCEEFF"/>
          </w:tcPr>
          <w:p>
            <w:pPr>
              <w:ind w:left="80"/>
              <w:spacing w:after="0" w:line="127" w:lineRule="exact"/>
              <w:rPr>
                <w:sz w:val="20"/>
                <w:szCs w:val="20"/>
                <w:color w:val="auto"/>
              </w:rPr>
            </w:pPr>
            <w:r>
              <w:rPr>
                <w:rFonts w:ascii="Arial" w:cs="Arial" w:eastAsia="Arial" w:hAnsi="Arial"/>
                <w:sz w:val="12"/>
                <w:szCs w:val="12"/>
                <w:color w:val="auto"/>
              </w:rPr>
              <w:t>value of</w:t>
            </w: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shd w:val="clear" w:color="auto" w:fill="CCEEFF"/>
          </w:tcPr>
          <w:p>
            <w:pPr>
              <w:ind w:left="80"/>
              <w:spacing w:after="0" w:line="127" w:lineRule="exact"/>
              <w:rPr>
                <w:sz w:val="20"/>
                <w:szCs w:val="20"/>
                <w:color w:val="auto"/>
              </w:rPr>
            </w:pPr>
            <w:r>
              <w:rPr>
                <w:rFonts w:ascii="Arial" w:cs="Arial" w:eastAsia="Arial" w:hAnsi="Arial"/>
                <w:sz w:val="12"/>
                <w:szCs w:val="12"/>
                <w:color w:val="auto"/>
              </w:rPr>
              <w:t>redeemable</w:t>
            </w: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shd w:val="clear" w:color="auto" w:fill="CCEEFF"/>
          </w:tcPr>
          <w:p>
            <w:pPr>
              <w:ind w:left="80"/>
              <w:spacing w:after="0" w:line="133" w:lineRule="exact"/>
              <w:rPr>
                <w:sz w:val="20"/>
                <w:szCs w:val="20"/>
                <w:color w:val="auto"/>
              </w:rPr>
            </w:pPr>
            <w:r>
              <w:rPr>
                <w:rFonts w:ascii="Arial" w:cs="Arial" w:eastAsia="Arial" w:hAnsi="Arial"/>
                <w:sz w:val="12"/>
                <w:szCs w:val="12"/>
                <w:color w:val="auto"/>
              </w:rPr>
              <w:t>stock</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25,600</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68,698</w:t>
            </w:r>
          </w:p>
        </w:tc>
        <w:tc>
          <w:tcPr>
            <w:tcW w:w="1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(94,298)</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(94,298)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80" w:type="dxa"/>
            <w:vAlign w:val="bottom"/>
          </w:tcPr>
          <w:p>
            <w:pPr>
              <w:spacing w:after="0" w:line="121" w:lineRule="exact"/>
              <w:rPr>
                <w:sz w:val="20"/>
                <w:szCs w:val="20"/>
                <w:color w:val="auto"/>
              </w:rPr>
            </w:pPr>
            <w:r>
              <w:rPr>
                <w:rFonts w:ascii="Arial" w:cs="Arial" w:eastAsia="Arial" w:hAnsi="Arial"/>
                <w:sz w:val="12"/>
                <w:szCs w:val="12"/>
                <w:color w:val="auto"/>
              </w:rPr>
              <w:t>Unrealized gain</w:t>
            </w: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tcPr>
          <w:p>
            <w:pPr>
              <w:ind w:left="80"/>
              <w:spacing w:after="0" w:line="127" w:lineRule="exact"/>
              <w:rPr>
                <w:sz w:val="20"/>
                <w:szCs w:val="20"/>
                <w:color w:val="auto"/>
              </w:rPr>
            </w:pPr>
            <w:r>
              <w:rPr>
                <w:rFonts w:ascii="Arial" w:cs="Arial" w:eastAsia="Arial" w:hAnsi="Arial"/>
                <w:sz w:val="12"/>
                <w:szCs w:val="12"/>
                <w:color w:val="auto"/>
              </w:rPr>
              <w:t>on short-term</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tcPr>
          <w:p>
            <w:pPr>
              <w:ind w:left="80"/>
              <w:spacing w:after="0" w:line="127" w:lineRule="exact"/>
              <w:rPr>
                <w:sz w:val="20"/>
                <w:szCs w:val="20"/>
                <w:color w:val="auto"/>
              </w:rPr>
            </w:pPr>
            <w:r>
              <w:rPr>
                <w:rFonts w:ascii="Arial" w:cs="Arial" w:eastAsia="Arial" w:hAnsi="Arial"/>
                <w:sz w:val="12"/>
                <w:szCs w:val="12"/>
                <w:color w:val="auto"/>
              </w:rPr>
              <w:t>investments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tcPr>
          <w:p>
            <w:pPr>
              <w:ind w:left="80"/>
              <w:spacing w:after="0" w:line="127" w:lineRule="exact"/>
              <w:rPr>
                <w:sz w:val="20"/>
                <w:szCs w:val="20"/>
                <w:color w:val="auto"/>
              </w:rPr>
            </w:pPr>
            <w:r>
              <w:rPr>
                <w:rFonts w:ascii="Arial" w:cs="Arial" w:eastAsia="Arial" w:hAnsi="Arial"/>
                <w:sz w:val="12"/>
                <w:szCs w:val="12"/>
                <w:color w:val="auto"/>
              </w:rPr>
              <w:t>and cash</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tcPr>
          <w:p>
            <w:pPr>
              <w:ind w:left="80"/>
              <w:spacing w:after="0" w:line="127" w:lineRule="exact"/>
              <w:rPr>
                <w:sz w:val="20"/>
                <w:szCs w:val="20"/>
                <w:color w:val="auto"/>
              </w:rPr>
            </w:pPr>
            <w:r>
              <w:rPr>
                <w:rFonts w:ascii="Arial" w:cs="Arial" w:eastAsia="Arial" w:hAnsi="Arial"/>
                <w:sz w:val="12"/>
                <w:szCs w:val="12"/>
                <w:color w:val="auto"/>
              </w:rPr>
              <w:t>equivalents,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color w:val="auto"/>
              </w:rPr>
              <w:t>net of tax</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2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70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68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68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Foreign</w:t>
            </w:r>
          </w:p>
        </w:tc>
        <w:tc>
          <w:tcPr>
            <w:tcW w:w="6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shd w:val="clear" w:color="auto" w:fill="CCEEFF"/>
          </w:tcPr>
          <w:p>
            <w:pPr>
              <w:ind w:left="80"/>
              <w:spacing w:after="0" w:line="127" w:lineRule="exact"/>
              <w:rPr>
                <w:sz w:val="20"/>
                <w:szCs w:val="20"/>
                <w:color w:val="auto"/>
              </w:rPr>
            </w:pPr>
            <w:r>
              <w:rPr>
                <w:rFonts w:ascii="Arial" w:cs="Arial" w:eastAsia="Arial" w:hAnsi="Arial"/>
                <w:sz w:val="12"/>
                <w:szCs w:val="12"/>
                <w:color w:val="auto"/>
              </w:rPr>
              <w:t>currency</w:t>
            </w: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shd w:val="clear" w:color="auto" w:fill="CCEEFF"/>
          </w:tcPr>
          <w:p>
            <w:pPr>
              <w:ind w:left="80"/>
              <w:spacing w:after="0" w:line="127" w:lineRule="exact"/>
              <w:rPr>
                <w:sz w:val="20"/>
                <w:szCs w:val="20"/>
                <w:color w:val="auto"/>
              </w:rPr>
            </w:pPr>
            <w:r>
              <w:rPr>
                <w:rFonts w:ascii="Arial" w:cs="Arial" w:eastAsia="Arial" w:hAnsi="Arial"/>
                <w:sz w:val="12"/>
                <w:szCs w:val="12"/>
                <w:color w:val="auto"/>
              </w:rPr>
              <w:t>translation</w:t>
            </w: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shd w:val="clear" w:color="auto" w:fill="CCEEFF"/>
          </w:tcPr>
          <w:p>
            <w:pPr>
              <w:ind w:left="80"/>
              <w:spacing w:after="0" w:line="133" w:lineRule="exact"/>
              <w:rPr>
                <w:sz w:val="20"/>
                <w:szCs w:val="20"/>
                <w:color w:val="auto"/>
              </w:rPr>
            </w:pPr>
            <w:r>
              <w:rPr>
                <w:rFonts w:ascii="Arial" w:cs="Arial" w:eastAsia="Arial" w:hAnsi="Arial"/>
                <w:sz w:val="12"/>
                <w:szCs w:val="12"/>
                <w:color w:val="auto"/>
              </w:rPr>
              <w:t>adjustment</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80" w:type="dxa"/>
            <w:vAlign w:val="bottom"/>
          </w:tcPr>
          <w:p>
            <w:pPr>
              <w:spacing w:after="0" w:line="121" w:lineRule="exact"/>
              <w:rPr>
                <w:sz w:val="20"/>
                <w:szCs w:val="20"/>
                <w:color w:val="auto"/>
              </w:rPr>
            </w:pPr>
            <w:r>
              <w:rPr>
                <w:rFonts w:ascii="Arial" w:cs="Arial" w:eastAsia="Arial" w:hAnsi="Arial"/>
                <w:sz w:val="12"/>
                <w:szCs w:val="12"/>
                <w:color w:val="auto"/>
                <w:w w:val="98"/>
              </w:rPr>
              <w:t>Change in notes</w:t>
            </w: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tcPr>
          <w:p>
            <w:pPr>
              <w:ind w:left="80"/>
              <w:spacing w:after="0" w:line="127" w:lineRule="exact"/>
              <w:rPr>
                <w:sz w:val="20"/>
                <w:szCs w:val="20"/>
                <w:color w:val="auto"/>
              </w:rPr>
            </w:pPr>
            <w:r>
              <w:rPr>
                <w:rFonts w:ascii="Arial" w:cs="Arial" w:eastAsia="Arial" w:hAnsi="Arial"/>
                <w:sz w:val="12"/>
                <w:szCs w:val="12"/>
                <w:color w:val="auto"/>
              </w:rPr>
              <w:t>receivable for</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tcPr>
          <w:p>
            <w:pPr>
              <w:ind w:left="80"/>
              <w:spacing w:after="0" w:line="127" w:lineRule="exact"/>
              <w:rPr>
                <w:sz w:val="20"/>
                <w:szCs w:val="20"/>
                <w:color w:val="auto"/>
              </w:rPr>
            </w:pPr>
            <w:r>
              <w:rPr>
                <w:rFonts w:ascii="Arial" w:cs="Arial" w:eastAsia="Arial" w:hAnsi="Arial"/>
                <w:sz w:val="12"/>
                <w:szCs w:val="12"/>
                <w:color w:val="auto"/>
              </w:rPr>
              <w:t>common</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color w:val="auto"/>
              </w:rPr>
              <w:t>stock issued</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(76)</w:t>
            </w:r>
          </w:p>
        </w:tc>
        <w:tc>
          <w:tcPr>
            <w:tcW w:w="200" w:type="dxa"/>
            <w:vAlign w:val="bottom"/>
          </w:tcPr>
          <w:p>
            <w:pPr>
              <w:spacing w:after="0"/>
              <w:rPr>
                <w:sz w:val="11"/>
                <w:szCs w:val="11"/>
                <w:color w:val="auto"/>
              </w:rPr>
            </w:pPr>
          </w:p>
        </w:tc>
        <w:tc>
          <w:tcPr>
            <w:tcW w:w="70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Net income</w:t>
            </w:r>
          </w:p>
        </w:tc>
        <w:tc>
          <w:tcPr>
            <w:tcW w:w="60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60"/>
              <w:spacing w:after="0" w:line="127" w:lineRule="exact"/>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6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gridSpan w:val="2"/>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w:t>
            </w:r>
          </w:p>
        </w:tc>
        <w:tc>
          <w:tcPr>
            <w:tcW w:w="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gridSpan w:val="2"/>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w:t>
            </w:r>
          </w:p>
        </w:tc>
        <w:tc>
          <w:tcPr>
            <w:tcW w:w="4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126,220</w:t>
            </w:r>
          </w:p>
        </w:tc>
        <w:tc>
          <w:tcPr>
            <w:tcW w:w="6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color w:val="auto"/>
              </w:rPr>
              <w:t>126,220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900" w:type="dxa"/>
            <w:vAlign w:val="bottom"/>
            <w:gridSpan w:val="2"/>
          </w:tcPr>
          <w:p>
            <w:pPr>
              <w:spacing w:after="0" w:line="127" w:lineRule="exact"/>
              <w:rPr>
                <w:sz w:val="20"/>
                <w:szCs w:val="20"/>
                <w:color w:val="auto"/>
              </w:rPr>
            </w:pPr>
            <w:r>
              <w:rPr>
                <w:rFonts w:ascii="Arial" w:cs="Arial" w:eastAsia="Arial" w:hAnsi="Arial"/>
                <w:sz w:val="12"/>
                <w:szCs w:val="12"/>
                <w:color w:val="auto"/>
              </w:rPr>
              <w:t>Balance at</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tcPr>
          <w:p>
            <w:pPr>
              <w:ind w:left="80"/>
              <w:spacing w:after="0" w:line="127" w:lineRule="exact"/>
              <w:rPr>
                <w:sz w:val="20"/>
                <w:szCs w:val="20"/>
                <w:color w:val="auto"/>
              </w:rPr>
            </w:pPr>
            <w:r>
              <w:rPr>
                <w:rFonts w:ascii="Arial" w:cs="Arial" w:eastAsia="Arial" w:hAnsi="Arial"/>
                <w:sz w:val="12"/>
                <w:szCs w:val="12"/>
                <w:color w:val="auto"/>
              </w:rPr>
              <w:t>December 31,</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90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2019</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3,563,884</w:t>
            </w: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$ 56,422</w:t>
            </w:r>
          </w:p>
        </w:tc>
        <w:tc>
          <w:tcPr>
            <w:tcW w:w="160" w:type="dxa"/>
            <w:vAlign w:val="bottom"/>
          </w:tcPr>
          <w:p>
            <w:pPr>
              <w:ind w:left="80"/>
              <w:spacing w:after="0" w:line="133" w:lineRule="exact"/>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(855)</w:t>
            </w:r>
          </w:p>
        </w:tc>
        <w:tc>
          <w:tcPr>
            <w:tcW w:w="200" w:type="dxa"/>
            <w:vAlign w:val="bottom"/>
          </w:tcPr>
          <w:p>
            <w:pPr>
              <w:ind w:left="40"/>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60"/>
              <w:spacing w:after="0" w:line="133" w:lineRule="exact"/>
              <w:rPr>
                <w:sz w:val="20"/>
                <w:szCs w:val="20"/>
                <w:color w:val="auto"/>
              </w:rPr>
            </w:pPr>
            <w:r>
              <w:rPr>
                <w:rFonts w:ascii="Arial" w:cs="Arial" w:eastAsia="Arial" w:hAnsi="Arial"/>
                <w:sz w:val="12"/>
                <w:szCs w:val="12"/>
                <w:color w:val="auto"/>
              </w:rPr>
              <w:t>59,631</w:t>
            </w: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w w:val="99"/>
              </w:rPr>
              <w:t>14,374,455</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$ 327,581</w:t>
            </w:r>
          </w:p>
        </w:tc>
        <w:tc>
          <w:tcPr>
            <w:tcW w:w="160" w:type="dxa"/>
            <w:vAlign w:val="bottom"/>
            <w:tcBorders>
              <w:right w:val="single" w:sz="8" w:color="auto"/>
            </w:tcBorders>
          </w:tcPr>
          <w:p>
            <w:pPr>
              <w:spacing w:after="0"/>
              <w:rPr>
                <w:sz w:val="11"/>
                <w:szCs w:val="11"/>
                <w:color w:val="auto"/>
              </w:rPr>
            </w:pPr>
          </w:p>
        </w:tc>
        <w:tc>
          <w:tcPr>
            <w:tcW w:w="4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w:t>
            </w:r>
          </w:p>
        </w:tc>
        <w:tc>
          <w:tcPr>
            <w:tcW w:w="28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2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w:t>
            </w:r>
          </w:p>
        </w:tc>
        <w:tc>
          <w:tcPr>
            <w:tcW w:w="28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2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200" w:type="dxa"/>
            <w:vAlign w:val="bottom"/>
            <w:gridSpan w:val="2"/>
          </w:tcPr>
          <w:p>
            <w:pPr>
              <w:ind w:left="60"/>
              <w:spacing w:after="0" w:line="133" w:lineRule="exact"/>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14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46</w:t>
            </w:r>
          </w:p>
        </w:tc>
        <w:tc>
          <w:tcPr>
            <w:tcW w:w="80" w:type="dxa"/>
            <w:vAlign w:val="bottom"/>
          </w:tcPr>
          <w:p>
            <w:pPr>
              <w:spacing w:after="0"/>
              <w:rPr>
                <w:sz w:val="11"/>
                <w:szCs w:val="11"/>
                <w:color w:val="auto"/>
              </w:rPr>
            </w:pPr>
          </w:p>
        </w:tc>
        <w:tc>
          <w:tcPr>
            <w:tcW w:w="22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rPr>
              <w:t>(419,855)</w:t>
            </w:r>
          </w:p>
        </w:tc>
        <w:tc>
          <w:tcPr>
            <w:tcW w:w="2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rPr>
              <w:t>(419,809)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Exercise of</w:t>
            </w:r>
          </w:p>
        </w:tc>
        <w:tc>
          <w:tcPr>
            <w:tcW w:w="6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shd w:val="clear" w:color="auto" w:fill="CCEEFF"/>
          </w:tcPr>
          <w:p>
            <w:pPr>
              <w:ind w:left="80"/>
              <w:spacing w:after="0" w:line="133" w:lineRule="exact"/>
              <w:rPr>
                <w:sz w:val="20"/>
                <w:szCs w:val="20"/>
                <w:color w:val="auto"/>
              </w:rPr>
            </w:pPr>
            <w:r>
              <w:rPr>
                <w:rFonts w:ascii="Arial" w:cs="Arial" w:eastAsia="Arial" w:hAnsi="Arial"/>
                <w:sz w:val="12"/>
                <w:szCs w:val="12"/>
                <w:color w:val="auto"/>
              </w:rPr>
              <w:t>stock options</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249,566</w:t>
            </w: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6,075</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(5,083)</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80" w:type="dxa"/>
            <w:vAlign w:val="bottom"/>
          </w:tcPr>
          <w:p>
            <w:pPr>
              <w:spacing w:after="0" w:line="121" w:lineRule="exact"/>
              <w:rPr>
                <w:sz w:val="20"/>
                <w:szCs w:val="20"/>
                <w:color w:val="auto"/>
              </w:rPr>
            </w:pPr>
            <w:r>
              <w:rPr>
                <w:rFonts w:ascii="Arial" w:cs="Arial" w:eastAsia="Arial" w:hAnsi="Arial"/>
                <w:sz w:val="12"/>
                <w:szCs w:val="12"/>
                <w:color w:val="auto"/>
              </w:rPr>
              <w:t>Exercise of</w:t>
            </w: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color w:val="auto"/>
              </w:rPr>
              <w:t>warrants</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2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70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1,817</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47</w:t>
            </w: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Stock-based</w:t>
            </w:r>
          </w:p>
        </w:tc>
        <w:tc>
          <w:tcPr>
            <w:tcW w:w="6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shd w:val="clear" w:color="auto" w:fill="CCEEFF"/>
          </w:tcPr>
          <w:p>
            <w:pPr>
              <w:ind w:left="80"/>
              <w:spacing w:after="0" w:line="127" w:lineRule="exact"/>
              <w:rPr>
                <w:sz w:val="20"/>
                <w:szCs w:val="20"/>
                <w:color w:val="auto"/>
              </w:rPr>
            </w:pPr>
            <w:r>
              <w:rPr>
                <w:rFonts w:ascii="Arial" w:cs="Arial" w:eastAsia="Arial" w:hAnsi="Arial"/>
                <w:sz w:val="12"/>
                <w:szCs w:val="12"/>
                <w:color w:val="auto"/>
              </w:rPr>
              <w:t>compensation</w:t>
            </w: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shd w:val="clear" w:color="auto" w:fill="CCEEFF"/>
          </w:tcPr>
          <w:p>
            <w:pPr>
              <w:ind w:left="80"/>
              <w:spacing w:after="0" w:line="133" w:lineRule="exact"/>
              <w:rPr>
                <w:sz w:val="20"/>
                <w:szCs w:val="20"/>
                <w:color w:val="auto"/>
              </w:rPr>
            </w:pPr>
            <w:r>
              <w:rPr>
                <w:rFonts w:ascii="Arial" w:cs="Arial" w:eastAsia="Arial" w:hAnsi="Arial"/>
                <w:sz w:val="12"/>
                <w:szCs w:val="12"/>
                <w:color w:val="auto"/>
              </w:rPr>
              <w:t>expense</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4,185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4,185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80" w:type="dxa"/>
            <w:vAlign w:val="bottom"/>
          </w:tcPr>
          <w:p>
            <w:pPr>
              <w:spacing w:after="0" w:line="121" w:lineRule="exact"/>
              <w:rPr>
                <w:sz w:val="20"/>
                <w:szCs w:val="20"/>
                <w:color w:val="auto"/>
              </w:rPr>
            </w:pPr>
            <w:r>
              <w:rPr>
                <w:rFonts w:ascii="Arial" w:cs="Arial" w:eastAsia="Arial" w:hAnsi="Arial"/>
                <w:sz w:val="12"/>
                <w:szCs w:val="12"/>
                <w:color w:val="auto"/>
              </w:rPr>
              <w:t>Accretion to</w:t>
            </w: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tcPr>
          <w:p>
            <w:pPr>
              <w:ind w:left="80"/>
              <w:spacing w:after="0" w:line="127" w:lineRule="exact"/>
              <w:rPr>
                <w:sz w:val="20"/>
                <w:szCs w:val="20"/>
                <w:color w:val="auto"/>
              </w:rPr>
            </w:pPr>
            <w:r>
              <w:rPr>
                <w:rFonts w:ascii="Arial" w:cs="Arial" w:eastAsia="Arial" w:hAnsi="Arial"/>
                <w:sz w:val="12"/>
                <w:szCs w:val="12"/>
                <w:color w:val="auto"/>
              </w:rPr>
              <w:t>redemption</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tcPr>
          <w:p>
            <w:pPr>
              <w:ind w:left="80"/>
              <w:spacing w:after="0" w:line="127" w:lineRule="exact"/>
              <w:rPr>
                <w:sz w:val="20"/>
                <w:szCs w:val="20"/>
                <w:color w:val="auto"/>
              </w:rPr>
            </w:pPr>
            <w:r>
              <w:rPr>
                <w:rFonts w:ascii="Arial" w:cs="Arial" w:eastAsia="Arial" w:hAnsi="Arial"/>
                <w:sz w:val="12"/>
                <w:szCs w:val="12"/>
                <w:color w:val="auto"/>
              </w:rPr>
              <w:t>value of</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tcPr>
          <w:p>
            <w:pPr>
              <w:ind w:left="80"/>
              <w:spacing w:after="0" w:line="127" w:lineRule="exact"/>
              <w:rPr>
                <w:sz w:val="20"/>
                <w:szCs w:val="20"/>
                <w:color w:val="auto"/>
              </w:rPr>
            </w:pPr>
            <w:r>
              <w:rPr>
                <w:rFonts w:ascii="Arial" w:cs="Arial" w:eastAsia="Arial" w:hAnsi="Arial"/>
                <w:sz w:val="12"/>
                <w:szCs w:val="12"/>
                <w:color w:val="auto"/>
              </w:rPr>
              <w:t>redeemable</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color w:val="auto"/>
              </w:rPr>
              <w:t>stock options</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2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700" w:type="dxa"/>
            <w:vAlign w:val="bottom"/>
          </w:tcPr>
          <w:p>
            <w:pPr>
              <w:jc w:val="right"/>
              <w:ind w:right="20"/>
              <w:spacing w:after="0" w:line="133" w:lineRule="exact"/>
              <w:rPr>
                <w:sz w:val="20"/>
                <w:szCs w:val="20"/>
                <w:color w:val="auto"/>
              </w:rPr>
            </w:pPr>
            <w:r>
              <w:rPr>
                <w:rFonts w:ascii="Arial" w:cs="Arial" w:eastAsia="Arial" w:hAnsi="Arial"/>
                <w:sz w:val="12"/>
                <w:szCs w:val="12"/>
                <w:color w:val="auto"/>
              </w:rPr>
              <w:t>(1,463)</w:t>
            </w: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1,461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1,461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Accretion to</w:t>
            </w:r>
          </w:p>
        </w:tc>
        <w:tc>
          <w:tcPr>
            <w:tcW w:w="6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shd w:val="clear" w:color="auto" w:fill="CCEEFF"/>
          </w:tcPr>
          <w:p>
            <w:pPr>
              <w:ind w:left="80"/>
              <w:spacing w:after="0" w:line="127" w:lineRule="exact"/>
              <w:rPr>
                <w:sz w:val="20"/>
                <w:szCs w:val="20"/>
                <w:color w:val="auto"/>
              </w:rPr>
            </w:pPr>
            <w:r>
              <w:rPr>
                <w:rFonts w:ascii="Arial" w:cs="Arial" w:eastAsia="Arial" w:hAnsi="Arial"/>
                <w:sz w:val="12"/>
                <w:szCs w:val="12"/>
                <w:color w:val="auto"/>
              </w:rPr>
              <w:t>redemption</w:t>
            </w: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shd w:val="clear" w:color="auto" w:fill="CCEEFF"/>
          </w:tcPr>
          <w:p>
            <w:pPr>
              <w:ind w:left="80"/>
              <w:spacing w:after="0" w:line="127" w:lineRule="exact"/>
              <w:rPr>
                <w:sz w:val="20"/>
                <w:szCs w:val="20"/>
                <w:color w:val="auto"/>
              </w:rPr>
            </w:pPr>
            <w:r>
              <w:rPr>
                <w:rFonts w:ascii="Arial" w:cs="Arial" w:eastAsia="Arial" w:hAnsi="Arial"/>
                <w:sz w:val="12"/>
                <w:szCs w:val="12"/>
                <w:color w:val="auto"/>
              </w:rPr>
              <w:t>value of</w:t>
            </w: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shd w:val="clear" w:color="auto" w:fill="CCEEFF"/>
          </w:tcPr>
          <w:p>
            <w:pPr>
              <w:ind w:left="80"/>
              <w:spacing w:after="0" w:line="127" w:lineRule="exact"/>
              <w:rPr>
                <w:sz w:val="20"/>
                <w:szCs w:val="20"/>
                <w:color w:val="auto"/>
              </w:rPr>
            </w:pPr>
            <w:r>
              <w:rPr>
                <w:rFonts w:ascii="Arial" w:cs="Arial" w:eastAsia="Arial" w:hAnsi="Arial"/>
                <w:sz w:val="12"/>
                <w:szCs w:val="12"/>
                <w:color w:val="auto"/>
              </w:rPr>
              <w:t>redeemable</w:t>
            </w: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shd w:val="clear" w:color="auto" w:fill="CCEEFF"/>
          </w:tcPr>
          <w:p>
            <w:pPr>
              <w:ind w:left="80"/>
              <w:spacing w:after="0" w:line="133" w:lineRule="exact"/>
              <w:rPr>
                <w:sz w:val="20"/>
                <w:szCs w:val="20"/>
                <w:color w:val="auto"/>
              </w:rPr>
            </w:pPr>
            <w:r>
              <w:rPr>
                <w:rFonts w:ascii="Arial" w:cs="Arial" w:eastAsia="Arial" w:hAnsi="Arial"/>
                <w:sz w:val="12"/>
                <w:szCs w:val="12"/>
                <w:color w:val="auto"/>
              </w:rPr>
              <w:t>stock</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18,283</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25,672</w:t>
            </w:r>
          </w:p>
        </w:tc>
        <w:tc>
          <w:tcPr>
            <w:tcW w:w="1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(4,185)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(39,769)</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(43,954)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80" w:type="dxa"/>
            <w:vAlign w:val="bottom"/>
          </w:tcPr>
          <w:p>
            <w:pPr>
              <w:spacing w:after="0" w:line="121" w:lineRule="exact"/>
              <w:rPr>
                <w:sz w:val="20"/>
                <w:szCs w:val="20"/>
                <w:color w:val="auto"/>
              </w:rPr>
            </w:pPr>
            <w:r>
              <w:rPr>
                <w:rFonts w:ascii="Arial" w:cs="Arial" w:eastAsia="Arial" w:hAnsi="Arial"/>
                <w:sz w:val="12"/>
                <w:szCs w:val="12"/>
                <w:color w:val="auto"/>
              </w:rPr>
              <w:t>Unrealized loss</w:t>
            </w: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tcPr>
          <w:p>
            <w:pPr>
              <w:ind w:left="80"/>
              <w:spacing w:after="0" w:line="127" w:lineRule="exact"/>
              <w:rPr>
                <w:sz w:val="20"/>
                <w:szCs w:val="20"/>
                <w:color w:val="auto"/>
              </w:rPr>
            </w:pPr>
            <w:r>
              <w:rPr>
                <w:rFonts w:ascii="Arial" w:cs="Arial" w:eastAsia="Arial" w:hAnsi="Arial"/>
                <w:sz w:val="12"/>
                <w:szCs w:val="12"/>
                <w:color w:val="auto"/>
              </w:rPr>
              <w:t>on short-term</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tcPr>
          <w:p>
            <w:pPr>
              <w:ind w:left="80"/>
              <w:spacing w:after="0" w:line="127" w:lineRule="exact"/>
              <w:rPr>
                <w:sz w:val="20"/>
                <w:szCs w:val="20"/>
                <w:color w:val="auto"/>
              </w:rPr>
            </w:pPr>
            <w:r>
              <w:rPr>
                <w:rFonts w:ascii="Arial" w:cs="Arial" w:eastAsia="Arial" w:hAnsi="Arial"/>
                <w:sz w:val="12"/>
                <w:szCs w:val="12"/>
                <w:color w:val="auto"/>
              </w:rPr>
              <w:t>investments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tcPr>
          <w:p>
            <w:pPr>
              <w:ind w:left="80"/>
              <w:spacing w:after="0" w:line="127" w:lineRule="exact"/>
              <w:rPr>
                <w:sz w:val="20"/>
                <w:szCs w:val="20"/>
                <w:color w:val="auto"/>
              </w:rPr>
            </w:pPr>
            <w:r>
              <w:rPr>
                <w:rFonts w:ascii="Arial" w:cs="Arial" w:eastAsia="Arial" w:hAnsi="Arial"/>
                <w:sz w:val="12"/>
                <w:szCs w:val="12"/>
                <w:color w:val="auto"/>
              </w:rPr>
              <w:t>and cash</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tcPr>
          <w:p>
            <w:pPr>
              <w:ind w:left="80"/>
              <w:spacing w:after="0" w:line="127" w:lineRule="exact"/>
              <w:rPr>
                <w:sz w:val="20"/>
                <w:szCs w:val="20"/>
                <w:color w:val="auto"/>
              </w:rPr>
            </w:pPr>
            <w:r>
              <w:rPr>
                <w:rFonts w:ascii="Arial" w:cs="Arial" w:eastAsia="Arial" w:hAnsi="Arial"/>
                <w:sz w:val="12"/>
                <w:szCs w:val="12"/>
                <w:color w:val="auto"/>
              </w:rPr>
              <w:t>equivalents,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color w:val="auto"/>
              </w:rPr>
              <w:t>net of tax</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2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70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rPr>
              <w:t>(49)</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w w:val="98"/>
              </w:rPr>
              <w:t>Change in notes</w:t>
            </w:r>
          </w:p>
        </w:tc>
        <w:tc>
          <w:tcPr>
            <w:tcW w:w="6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shd w:val="clear" w:color="auto" w:fill="CCEEFF"/>
          </w:tcPr>
          <w:p>
            <w:pPr>
              <w:ind w:left="80"/>
              <w:spacing w:after="0" w:line="127" w:lineRule="exact"/>
              <w:rPr>
                <w:sz w:val="20"/>
                <w:szCs w:val="20"/>
                <w:color w:val="auto"/>
              </w:rPr>
            </w:pPr>
            <w:r>
              <w:rPr>
                <w:rFonts w:ascii="Arial" w:cs="Arial" w:eastAsia="Arial" w:hAnsi="Arial"/>
                <w:sz w:val="12"/>
                <w:szCs w:val="12"/>
                <w:color w:val="auto"/>
              </w:rPr>
              <w:t>receivable for</w:t>
            </w: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shd w:val="clear" w:color="auto" w:fill="CCEEFF"/>
          </w:tcPr>
          <w:p>
            <w:pPr>
              <w:ind w:left="80"/>
              <w:spacing w:after="0" w:line="127" w:lineRule="exact"/>
              <w:rPr>
                <w:sz w:val="20"/>
                <w:szCs w:val="20"/>
                <w:color w:val="auto"/>
              </w:rPr>
            </w:pPr>
            <w:r>
              <w:rPr>
                <w:rFonts w:ascii="Arial" w:cs="Arial" w:eastAsia="Arial" w:hAnsi="Arial"/>
                <w:sz w:val="12"/>
                <w:szCs w:val="12"/>
                <w:color w:val="auto"/>
              </w:rPr>
              <w:t>common</w:t>
            </w: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shd w:val="clear" w:color="auto" w:fill="CCEEFF"/>
          </w:tcPr>
          <w:p>
            <w:pPr>
              <w:ind w:left="80"/>
              <w:spacing w:after="0" w:line="133" w:lineRule="exact"/>
              <w:rPr>
                <w:sz w:val="20"/>
                <w:szCs w:val="20"/>
                <w:color w:val="auto"/>
              </w:rPr>
            </w:pPr>
            <w:r>
              <w:rPr>
                <w:rFonts w:ascii="Arial" w:cs="Arial" w:eastAsia="Arial" w:hAnsi="Arial"/>
                <w:sz w:val="12"/>
                <w:szCs w:val="12"/>
                <w:color w:val="auto"/>
              </w:rPr>
              <w:t>stock issued</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52</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tcPr>
          <w:p>
            <w:pPr>
              <w:spacing w:after="0" w:line="127" w:lineRule="exact"/>
              <w:rPr>
                <w:sz w:val="20"/>
                <w:szCs w:val="20"/>
                <w:color w:val="auto"/>
              </w:rPr>
            </w:pPr>
            <w:r>
              <w:rPr>
                <w:rFonts w:ascii="Arial" w:cs="Arial" w:eastAsia="Arial" w:hAnsi="Arial"/>
                <w:sz w:val="12"/>
                <w:szCs w:val="12"/>
                <w:color w:val="auto"/>
              </w:rPr>
              <w:t>Net income</w:t>
            </w:r>
          </w:p>
        </w:tc>
        <w:tc>
          <w:tcPr>
            <w:tcW w:w="60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20" w:type="dxa"/>
            <w:vAlign w:val="bottom"/>
          </w:tcPr>
          <w:p>
            <w:pPr>
              <w:jc w:val="right"/>
              <w:ind w:right="20"/>
              <w:spacing w:after="0" w:line="127"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700" w:type="dxa"/>
            <w:vAlign w:val="bottom"/>
          </w:tcPr>
          <w:p>
            <w:pPr>
              <w:jc w:val="right"/>
              <w:ind w:right="60"/>
              <w:spacing w:after="0" w:line="127"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4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line="127" w:lineRule="exact"/>
              <w:rPr>
                <w:sz w:val="20"/>
                <w:szCs w:val="20"/>
                <w:color w:val="auto"/>
              </w:rPr>
            </w:pPr>
            <w:r>
              <w:rPr>
                <w:rFonts w:ascii="Arial" w:cs="Arial" w:eastAsia="Arial" w:hAnsi="Arial"/>
                <w:sz w:val="12"/>
                <w:szCs w:val="12"/>
                <w:color w:val="auto"/>
              </w:rPr>
              <w:t>27,575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right"/>
              <w:spacing w:after="0" w:line="127" w:lineRule="exact"/>
              <w:rPr>
                <w:sz w:val="20"/>
                <w:szCs w:val="20"/>
                <w:color w:val="auto"/>
              </w:rPr>
            </w:pPr>
            <w:r>
              <w:rPr>
                <w:rFonts w:ascii="Arial" w:cs="Arial" w:eastAsia="Arial" w:hAnsi="Arial"/>
                <w:sz w:val="12"/>
                <w:szCs w:val="12"/>
                <w:color w:val="auto"/>
              </w:rPr>
              <w:t>27,575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Balance at</w:t>
            </w:r>
          </w:p>
        </w:tc>
        <w:tc>
          <w:tcPr>
            <w:tcW w:w="6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shd w:val="clear" w:color="auto" w:fill="CCEEFF"/>
          </w:tcPr>
          <w:p>
            <w:pPr>
              <w:ind w:left="80"/>
              <w:spacing w:after="0" w:line="127" w:lineRule="exact"/>
              <w:rPr>
                <w:sz w:val="20"/>
                <w:szCs w:val="20"/>
                <w:color w:val="auto"/>
              </w:rPr>
            </w:pPr>
            <w:r>
              <w:rPr>
                <w:rFonts w:ascii="Arial" w:cs="Arial" w:eastAsia="Arial" w:hAnsi="Arial"/>
                <w:sz w:val="12"/>
                <w:szCs w:val="12"/>
                <w:color w:val="auto"/>
              </w:rPr>
              <w:t>December 31,</w:t>
            </w: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shd w:val="clear" w:color="auto" w:fill="CCEEFF"/>
          </w:tcPr>
          <w:p>
            <w:pPr>
              <w:ind w:left="80"/>
              <w:spacing w:after="0" w:line="133" w:lineRule="exact"/>
              <w:rPr>
                <w:sz w:val="20"/>
                <w:szCs w:val="20"/>
                <w:color w:val="auto"/>
              </w:rPr>
            </w:pPr>
            <w:r>
              <w:rPr>
                <w:rFonts w:ascii="Arial" w:cs="Arial" w:eastAsia="Arial" w:hAnsi="Arial"/>
                <w:sz w:val="12"/>
                <w:szCs w:val="12"/>
                <w:color w:val="auto"/>
              </w:rPr>
              <w:t>2020</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3,813,450</w:t>
            </w: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$ 80,780</w:t>
            </w:r>
          </w:p>
        </w:tc>
        <w:tc>
          <w:tcPr>
            <w:tcW w:w="160" w:type="dxa"/>
            <w:vAlign w:val="bottom"/>
            <w:shd w:val="clear" w:color="auto" w:fill="CCEEFF"/>
          </w:tcPr>
          <w:p>
            <w:pPr>
              <w:ind w:left="80"/>
              <w:spacing w:after="0" w:line="133" w:lineRule="exact"/>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(803)</w:t>
            </w:r>
          </w:p>
        </w:tc>
        <w:tc>
          <w:tcPr>
            <w:tcW w:w="200" w:type="dxa"/>
            <w:vAlign w:val="bottom"/>
            <w:shd w:val="clear" w:color="auto" w:fill="CCEEFF"/>
          </w:tcPr>
          <w:p>
            <w:pPr>
              <w:ind w:left="40"/>
              <w:spacing w:after="0" w:line="133"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53,085</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9"/>
              </w:rPr>
              <w:t>14,376,272</w:t>
            </w: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$ 353,300</w:t>
            </w:r>
          </w:p>
        </w:tc>
        <w:tc>
          <w:tcPr>
            <w:tcW w:w="160" w:type="dxa"/>
            <w:vAlign w:val="bottom"/>
            <w:tcBorders>
              <w:right w:val="single" w:sz="8" w:color="auto"/>
            </w:tcBorders>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w:t>
            </w:r>
          </w:p>
        </w:tc>
        <w:tc>
          <w:tcPr>
            <w:tcW w:w="2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w:t>
            </w:r>
          </w:p>
        </w:tc>
        <w:tc>
          <w:tcPr>
            <w:tcW w:w="2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14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(3)</w:t>
            </w:r>
          </w:p>
        </w:tc>
        <w:tc>
          <w:tcPr>
            <w:tcW w:w="22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(430,588)</w:t>
            </w:r>
          </w:p>
        </w:tc>
        <w:tc>
          <w:tcPr>
            <w:tcW w:w="2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(430,591)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-2784475</wp:posOffset>
            </wp:positionV>
            <wp:extent cx="8255" cy="158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1587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-273050</wp:posOffset>
            </wp:positionV>
            <wp:extent cx="8255" cy="158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See accompanying notes.</w:t>
      </w:r>
    </w:p>
    <w:p>
      <w:pPr>
        <w:spacing w:after="0" w:line="14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320"/>
          </w:cols>
          <w:pgMar w:left="320" w:top="441" w:right="259" w:bottom="1440" w:gutter="0" w:footer="0" w:header="0"/>
        </w:sectPr>
      </w:pPr>
    </w:p>
    <w:bookmarkStart w:id="231" w:name="page232"/>
    <w:bookmarkEnd w:id="2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RxSight, Inc.</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76835</wp:posOffset>
            </wp:positionV>
            <wp:extent cx="6569075" cy="158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7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83"/>
        </w:trPr>
        <w:tc>
          <w:tcPr>
            <w:tcW w:w="702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58"/>
              <w:spacing w:after="0" w:line="183" w:lineRule="exact"/>
              <w:rPr>
                <w:sz w:val="20"/>
                <w:szCs w:val="20"/>
                <w:color w:val="auto"/>
              </w:rPr>
            </w:pPr>
            <w:r>
              <w:rPr>
                <w:rFonts w:ascii="Arial" w:cs="Arial" w:eastAsia="Arial" w:hAnsi="Arial"/>
                <w:sz w:val="16"/>
                <w:szCs w:val="16"/>
                <w:b w:val="1"/>
                <w:bCs w:val="1"/>
                <w:color w:val="auto"/>
              </w:rPr>
              <w:t>2020</w:t>
            </w:r>
          </w:p>
        </w:tc>
        <w:tc>
          <w:tcPr>
            <w:tcW w:w="3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700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02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8"/>
              <w:spacing w:after="0"/>
              <w:rPr>
                <w:sz w:val="20"/>
                <w:szCs w:val="20"/>
                <w:color w:val="auto"/>
              </w:rPr>
            </w:pPr>
            <w:r>
              <w:rPr>
                <w:rFonts w:ascii="Arial" w:cs="Arial" w:eastAsia="Arial" w:hAnsi="Arial"/>
                <w:sz w:val="16"/>
                <w:szCs w:val="16"/>
                <w:color w:val="auto"/>
              </w:rPr>
              <w:t>27,575</w:t>
            </w:r>
          </w:p>
        </w:tc>
        <w:tc>
          <w:tcPr>
            <w:tcW w:w="38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126,220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7020" w:type="dxa"/>
            <w:vAlign w:val="bottom"/>
            <w:gridSpan w:val="2"/>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Arial" w:cs="Arial" w:eastAsia="Arial" w:hAnsi="Arial"/>
                <w:sz w:val="16"/>
                <w:szCs w:val="16"/>
                <w:color w:val="auto"/>
              </w:rPr>
              <w:t>3,853</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right-of-use lease assets</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159</w:t>
            </w: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0" w:type="dxa"/>
            <w:vAlign w:val="bottom"/>
          </w:tcPr>
          <w:p>
            <w:pPr>
              <w:ind w:left="180"/>
              <w:spacing w:after="0"/>
              <w:rPr>
                <w:sz w:val="20"/>
                <w:szCs w:val="20"/>
                <w:color w:val="auto"/>
              </w:rPr>
            </w:pPr>
            <w:r>
              <w:rPr>
                <w:rFonts w:ascii="Arial" w:cs="Arial" w:eastAsia="Arial" w:hAnsi="Arial"/>
                <w:sz w:val="16"/>
                <w:szCs w:val="16"/>
                <w:color w:val="auto"/>
              </w:rPr>
              <w:t>Amortization of debt issuance costs and premium</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Arial" w:cs="Arial" w:eastAsia="Arial" w:hAnsi="Arial"/>
                <w:sz w:val="16"/>
                <w:szCs w:val="16"/>
                <w:color w:val="auto"/>
              </w:rPr>
              <w:t>85</w:t>
            </w:r>
          </w:p>
        </w:tc>
        <w:tc>
          <w:tcPr>
            <w:tcW w:w="3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fair value of warrants</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(63,011)</w:t>
            </w:r>
          </w:p>
        </w:tc>
        <w:tc>
          <w:tcPr>
            <w:tcW w:w="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(169,230)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0" w:type="dxa"/>
            <w:vAlign w:val="bottom"/>
          </w:tcPr>
          <w:p>
            <w:pPr>
              <w:ind w:left="180"/>
              <w:spacing w:after="0"/>
              <w:rPr>
                <w:sz w:val="20"/>
                <w:szCs w:val="20"/>
                <w:color w:val="auto"/>
              </w:rPr>
            </w:pPr>
            <w:r>
              <w:rPr>
                <w:rFonts w:ascii="Arial" w:cs="Arial" w:eastAsia="Arial" w:hAnsi="Arial"/>
                <w:sz w:val="16"/>
                <w:szCs w:val="16"/>
                <w:color w:val="auto"/>
              </w:rPr>
              <w:t>Expiration of warrants</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discount on short-term investments</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(446)</w:t>
            </w:r>
          </w:p>
        </w:tc>
        <w:tc>
          <w:tcPr>
            <w:tcW w:w="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(1,963)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Arial" w:cs="Arial" w:eastAsia="Arial" w:hAnsi="Arial"/>
                <w:sz w:val="16"/>
                <w:szCs w:val="16"/>
                <w:color w:val="auto"/>
              </w:rPr>
              <w:t>4,185</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(gain) on sale of equipment</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7</w:t>
            </w:r>
          </w:p>
        </w:tc>
        <w:tc>
          <w:tcPr>
            <w:tcW w:w="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0" w:type="dxa"/>
            <w:vAlign w:val="bottom"/>
          </w:tcPr>
          <w:p>
            <w:pPr>
              <w:ind w:left="180"/>
              <w:spacing w:after="0"/>
              <w:rPr>
                <w:sz w:val="20"/>
                <w:szCs w:val="20"/>
                <w:color w:val="auto"/>
              </w:rPr>
            </w:pPr>
            <w:r>
              <w:rPr>
                <w:rFonts w:ascii="Arial" w:cs="Arial" w:eastAsia="Arial" w:hAnsi="Arial"/>
                <w:sz w:val="16"/>
                <w:szCs w:val="16"/>
                <w:color w:val="auto"/>
              </w:rPr>
              <w:t>Provision for excess and obsolete inventory</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Arial" w:cs="Arial" w:eastAsia="Arial" w:hAnsi="Arial"/>
                <w:sz w:val="16"/>
                <w:szCs w:val="16"/>
                <w:color w:val="auto"/>
              </w:rPr>
              <w:t>238</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operating assets and liabilities:</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98"/>
              <w:spacing w:after="0"/>
              <w:rPr>
                <w:sz w:val="20"/>
                <w:szCs w:val="20"/>
                <w:color w:val="auto"/>
              </w:rPr>
            </w:pPr>
            <w:r>
              <w:rPr>
                <w:rFonts w:ascii="Arial" w:cs="Arial" w:eastAsia="Arial" w:hAnsi="Arial"/>
                <w:sz w:val="16"/>
                <w:szCs w:val="16"/>
                <w:color w:val="auto"/>
              </w:rPr>
              <w:t>(2,076)</w:t>
            </w:r>
          </w:p>
        </w:tc>
        <w:tc>
          <w:tcPr>
            <w:tcW w:w="3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Inventories, net</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(1,307)</w:t>
            </w:r>
          </w:p>
        </w:tc>
        <w:tc>
          <w:tcPr>
            <w:tcW w:w="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(5,471)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0" w:type="dxa"/>
            <w:vAlign w:val="bottom"/>
          </w:tcPr>
          <w:p>
            <w:pPr>
              <w:ind w:left="380"/>
              <w:spacing w:after="0"/>
              <w:rPr>
                <w:sz w:val="20"/>
                <w:szCs w:val="20"/>
                <w:color w:val="auto"/>
              </w:rPr>
            </w:pPr>
            <w:r>
              <w:rPr>
                <w:rFonts w:ascii="Arial" w:cs="Arial" w:eastAsia="Arial" w:hAnsi="Arial"/>
                <w:sz w:val="16"/>
                <w:szCs w:val="16"/>
                <w:color w:val="auto"/>
              </w:rPr>
              <w:t>Prepaid and other assets</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Arial" w:cs="Arial" w:eastAsia="Arial" w:hAnsi="Arial"/>
                <w:sz w:val="16"/>
                <w:szCs w:val="16"/>
                <w:color w:val="auto"/>
              </w:rPr>
              <w:t>180</w:t>
            </w:r>
          </w:p>
        </w:tc>
        <w:tc>
          <w:tcPr>
            <w:tcW w:w="3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(954)</w:t>
            </w: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tcPr>
          <w:p>
            <w:pPr>
              <w:ind w:left="380"/>
              <w:spacing w:after="0"/>
              <w:rPr>
                <w:sz w:val="20"/>
                <w:szCs w:val="20"/>
                <w:color w:val="auto"/>
              </w:rPr>
            </w:pPr>
            <w:r>
              <w:rPr>
                <w:rFonts w:ascii="Arial" w:cs="Arial" w:eastAsia="Arial" w:hAnsi="Arial"/>
                <w:sz w:val="16"/>
                <w:szCs w:val="16"/>
                <w:color w:val="auto"/>
              </w:rPr>
              <w:t>Accrued expenses and other liabilities</w:t>
            </w:r>
          </w:p>
        </w:tc>
        <w:tc>
          <w:tcPr>
            <w:tcW w:w="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(3,691)</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Net cash used in operating activities</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(35,203)</w:t>
            </w:r>
          </w:p>
        </w:tc>
        <w:tc>
          <w:tcPr>
            <w:tcW w:w="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(40,619)</w:t>
            </w:r>
          </w:p>
        </w:tc>
        <w:tc>
          <w:tcPr>
            <w:tcW w:w="0" w:type="dxa"/>
            <w:vAlign w:val="bottom"/>
          </w:tcPr>
          <w:p>
            <w:pPr>
              <w:spacing w:after="0"/>
              <w:rPr>
                <w:sz w:val="1"/>
                <w:szCs w:val="1"/>
                <w:color w:val="auto"/>
              </w:rPr>
            </w:pPr>
          </w:p>
        </w:tc>
      </w:tr>
      <w:tr>
        <w:trPr>
          <w:trHeight w:val="259"/>
        </w:trPr>
        <w:tc>
          <w:tcPr>
            <w:tcW w:w="7020" w:type="dxa"/>
            <w:vAlign w:val="bottom"/>
            <w:gridSpan w:val="2"/>
          </w:tcPr>
          <w:p>
            <w:pPr>
              <w:spacing w:after="0"/>
              <w:rPr>
                <w:sz w:val="20"/>
                <w:szCs w:val="20"/>
                <w:color w:val="auto"/>
              </w:rPr>
            </w:pPr>
            <w:r>
              <w:rPr>
                <w:rFonts w:ascii="Arial" w:cs="Arial" w:eastAsia="Arial" w:hAnsi="Arial"/>
                <w:sz w:val="16"/>
                <w:szCs w:val="16"/>
                <w:b w:val="1"/>
                <w:bCs w:val="1"/>
                <w:color w:val="auto"/>
              </w:rPr>
              <w:t>Investing Activities:</w:t>
            </w:r>
          </w:p>
        </w:tc>
        <w:tc>
          <w:tcPr>
            <w:tcW w:w="9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and equipment</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(2,539)</w:t>
            </w:r>
          </w:p>
        </w:tc>
        <w:tc>
          <w:tcPr>
            <w:tcW w:w="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(4,086)</w:t>
            </w:r>
          </w:p>
        </w:tc>
        <w:tc>
          <w:tcPr>
            <w:tcW w:w="0" w:type="dxa"/>
            <w:vAlign w:val="bottom"/>
          </w:tcPr>
          <w:p>
            <w:pPr>
              <w:spacing w:after="0"/>
              <w:rPr>
                <w:sz w:val="1"/>
                <w:szCs w:val="1"/>
                <w:color w:val="auto"/>
              </w:rPr>
            </w:pPr>
          </w:p>
        </w:tc>
      </w:tr>
      <w:tr>
        <w:trPr>
          <w:trHeight w:val="190"/>
        </w:trPr>
        <w:tc>
          <w:tcPr>
            <w:tcW w:w="7020" w:type="dxa"/>
            <w:vAlign w:val="bottom"/>
            <w:gridSpan w:val="2"/>
          </w:tcPr>
          <w:p>
            <w:pPr>
              <w:spacing w:after="0"/>
              <w:rPr>
                <w:sz w:val="20"/>
                <w:szCs w:val="20"/>
                <w:color w:val="auto"/>
              </w:rPr>
            </w:pPr>
            <w:r>
              <w:rPr>
                <w:rFonts w:ascii="Arial" w:cs="Arial" w:eastAsia="Arial" w:hAnsi="Arial"/>
                <w:sz w:val="16"/>
                <w:szCs w:val="16"/>
                <w:color w:val="auto"/>
              </w:rPr>
              <w:t>Proceeds from sale of equipment</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Arial" w:cs="Arial" w:eastAsia="Arial" w:hAnsi="Arial"/>
                <w:sz w:val="16"/>
                <w:szCs w:val="16"/>
                <w:color w:val="auto"/>
              </w:rPr>
              <w:t>3</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Maturity of short-term investments</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116,000</w:t>
            </w: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20" w:type="dxa"/>
            <w:vAlign w:val="bottom"/>
            <w:gridSpan w:val="2"/>
          </w:tcPr>
          <w:p>
            <w:pPr>
              <w:spacing w:after="0"/>
              <w:rPr>
                <w:sz w:val="20"/>
                <w:szCs w:val="20"/>
                <w:color w:val="auto"/>
              </w:rPr>
            </w:pPr>
            <w:r>
              <w:rPr>
                <w:rFonts w:ascii="Arial" w:cs="Arial" w:eastAsia="Arial" w:hAnsi="Arial"/>
                <w:sz w:val="16"/>
                <w:szCs w:val="16"/>
                <w:color w:val="auto"/>
              </w:rPr>
              <w:t>Purchase of short-term investments</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98"/>
              <w:spacing w:after="0"/>
              <w:rPr>
                <w:sz w:val="20"/>
                <w:szCs w:val="20"/>
                <w:color w:val="auto"/>
              </w:rPr>
            </w:pPr>
            <w:r>
              <w:rPr>
                <w:rFonts w:ascii="Arial" w:cs="Arial" w:eastAsia="Arial" w:hAnsi="Arial"/>
                <w:sz w:val="16"/>
                <w:szCs w:val="16"/>
                <w:color w:val="auto"/>
              </w:rPr>
              <w:t>(97,873)</w:t>
            </w:r>
          </w:p>
        </w:tc>
        <w:tc>
          <w:tcPr>
            <w:tcW w:w="3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(132,387)</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0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Net cash provided by (used in) investing activities</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15,591</w:t>
            </w:r>
          </w:p>
        </w:tc>
        <w:tc>
          <w:tcPr>
            <w:tcW w:w="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(5,870)</w:t>
            </w:r>
          </w:p>
        </w:tc>
        <w:tc>
          <w:tcPr>
            <w:tcW w:w="0" w:type="dxa"/>
            <w:vAlign w:val="bottom"/>
          </w:tcPr>
          <w:p>
            <w:pPr>
              <w:spacing w:after="0"/>
              <w:rPr>
                <w:sz w:val="1"/>
                <w:szCs w:val="1"/>
                <w:color w:val="auto"/>
              </w:rPr>
            </w:pPr>
          </w:p>
        </w:tc>
      </w:tr>
      <w:tr>
        <w:trPr>
          <w:trHeight w:val="259"/>
        </w:trPr>
        <w:tc>
          <w:tcPr>
            <w:tcW w:w="7020" w:type="dxa"/>
            <w:vAlign w:val="bottom"/>
            <w:gridSpan w:val="2"/>
          </w:tcPr>
          <w:p>
            <w:pPr>
              <w:spacing w:after="0"/>
              <w:rPr>
                <w:sz w:val="20"/>
                <w:szCs w:val="20"/>
                <w:color w:val="auto"/>
              </w:rPr>
            </w:pPr>
            <w:r>
              <w:rPr>
                <w:rFonts w:ascii="Arial" w:cs="Arial" w:eastAsia="Arial" w:hAnsi="Arial"/>
                <w:sz w:val="16"/>
                <w:szCs w:val="16"/>
                <w:b w:val="1"/>
                <w:bCs w:val="1"/>
                <w:color w:val="auto"/>
              </w:rPr>
              <w:t>Financing Activities:</w:t>
            </w:r>
          </w:p>
        </w:tc>
        <w:tc>
          <w:tcPr>
            <w:tcW w:w="9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term loan</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25,000</w:t>
            </w:r>
          </w:p>
        </w:tc>
        <w:tc>
          <w:tcPr>
            <w:tcW w:w="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7020" w:type="dxa"/>
            <w:vAlign w:val="bottom"/>
            <w:gridSpan w:val="2"/>
          </w:tcPr>
          <w:p>
            <w:pPr>
              <w:spacing w:after="0"/>
              <w:rPr>
                <w:sz w:val="20"/>
                <w:szCs w:val="20"/>
                <w:color w:val="auto"/>
              </w:rPr>
            </w:pPr>
            <w:r>
              <w:rPr>
                <w:rFonts w:ascii="Arial" w:cs="Arial" w:eastAsia="Arial" w:hAnsi="Arial"/>
                <w:sz w:val="16"/>
                <w:szCs w:val="16"/>
                <w:color w:val="auto"/>
              </w:rPr>
              <w:t>Payments of debt issuance costs</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98"/>
              <w:spacing w:after="0"/>
              <w:rPr>
                <w:sz w:val="20"/>
                <w:szCs w:val="20"/>
                <w:color w:val="auto"/>
              </w:rPr>
            </w:pPr>
            <w:r>
              <w:rPr>
                <w:rFonts w:ascii="Arial" w:cs="Arial" w:eastAsia="Arial" w:hAnsi="Arial"/>
                <w:sz w:val="16"/>
                <w:szCs w:val="16"/>
                <w:color w:val="auto"/>
              </w:rPr>
              <w:t>(687)</w:t>
            </w:r>
          </w:p>
        </w:tc>
        <w:tc>
          <w:tcPr>
            <w:tcW w:w="3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exercise of warrants</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23</w:t>
            </w: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20" w:type="dxa"/>
            <w:vAlign w:val="bottom"/>
            <w:gridSpan w:val="2"/>
          </w:tcPr>
          <w:p>
            <w:pPr>
              <w:spacing w:after="0"/>
              <w:rPr>
                <w:sz w:val="20"/>
                <w:szCs w:val="20"/>
                <w:color w:val="auto"/>
              </w:rPr>
            </w:pPr>
            <w:r>
              <w:rPr>
                <w:rFonts w:ascii="Arial" w:cs="Arial" w:eastAsia="Arial" w:hAnsi="Arial"/>
                <w:sz w:val="16"/>
                <w:szCs w:val="16"/>
                <w:color w:val="auto"/>
              </w:rPr>
              <w:t>Principal payments on finance lease liabilities</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98"/>
              <w:spacing w:after="0"/>
              <w:rPr>
                <w:sz w:val="20"/>
                <w:szCs w:val="20"/>
                <w:color w:val="auto"/>
              </w:rPr>
            </w:pPr>
            <w:r>
              <w:rPr>
                <w:rFonts w:ascii="Arial" w:cs="Arial" w:eastAsia="Arial" w:hAnsi="Arial"/>
                <w:sz w:val="16"/>
                <w:szCs w:val="16"/>
                <w:color w:val="auto"/>
              </w:rPr>
              <w:t>(142)</w:t>
            </w:r>
          </w:p>
        </w:tc>
        <w:tc>
          <w:tcPr>
            <w:tcW w:w="3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Notes receivable for common stock issued</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51</w:t>
            </w:r>
          </w:p>
        </w:tc>
        <w:tc>
          <w:tcPr>
            <w:tcW w:w="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96"/>
        </w:trPr>
        <w:tc>
          <w:tcPr>
            <w:tcW w:w="7020" w:type="dxa"/>
            <w:vAlign w:val="bottom"/>
            <w:gridSpan w:val="2"/>
          </w:tcPr>
          <w:p>
            <w:pPr>
              <w:spacing w:after="0"/>
              <w:rPr>
                <w:sz w:val="20"/>
                <w:szCs w:val="20"/>
                <w:color w:val="auto"/>
              </w:rPr>
            </w:pPr>
            <w:r>
              <w:rPr>
                <w:rFonts w:ascii="Arial" w:cs="Arial" w:eastAsia="Arial" w:hAnsi="Arial"/>
                <w:sz w:val="16"/>
                <w:szCs w:val="16"/>
                <w:color w:val="auto"/>
              </w:rPr>
              <w:t>Proceeds from exercise of stock options</w:t>
            </w:r>
          </w:p>
        </w:tc>
        <w:tc>
          <w:tcPr>
            <w:tcW w:w="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992</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Net cash provided by financing activities</w:t>
            </w:r>
          </w:p>
        </w:tc>
        <w:tc>
          <w:tcPr>
            <w:tcW w:w="9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rPr>
              <w:t>25,237</w:t>
            </w:r>
          </w:p>
        </w:tc>
        <w:tc>
          <w:tcPr>
            <w:tcW w:w="3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20" w:type="dxa"/>
            <w:vAlign w:val="bottom"/>
            <w:gridSpan w:val="2"/>
          </w:tcPr>
          <w:p>
            <w:pPr>
              <w:spacing w:after="0"/>
              <w:rPr>
                <w:sz w:val="20"/>
                <w:szCs w:val="20"/>
                <w:color w:val="auto"/>
              </w:rPr>
            </w:pPr>
            <w:r>
              <w:rPr>
                <w:rFonts w:ascii="Arial" w:cs="Arial" w:eastAsia="Arial" w:hAnsi="Arial"/>
                <w:sz w:val="16"/>
                <w:szCs w:val="16"/>
                <w:b w:val="1"/>
                <w:bCs w:val="1"/>
                <w:color w:val="auto"/>
              </w:rPr>
              <w:t>Effect of foreign exchange rate on cash, cash equivalents and restricted cash</w:t>
            </w:r>
          </w:p>
        </w:tc>
        <w:tc>
          <w:tcPr>
            <w:tcW w:w="9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5,625</w:t>
            </w:r>
          </w:p>
        </w:tc>
        <w:tc>
          <w:tcPr>
            <w:tcW w:w="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(45,154)</w:t>
            </w:r>
          </w:p>
        </w:tc>
        <w:tc>
          <w:tcPr>
            <w:tcW w:w="0" w:type="dxa"/>
            <w:vAlign w:val="bottom"/>
          </w:tcPr>
          <w:p>
            <w:pPr>
              <w:spacing w:after="0"/>
              <w:rPr>
                <w:sz w:val="1"/>
                <w:szCs w:val="1"/>
                <w:color w:val="auto"/>
              </w:rPr>
            </w:pPr>
          </w:p>
        </w:tc>
      </w:tr>
      <w:tr>
        <w:trPr>
          <w:trHeight w:val="254"/>
        </w:trPr>
        <w:tc>
          <w:tcPr>
            <w:tcW w:w="7020" w:type="dxa"/>
            <w:vAlign w:val="bottom"/>
            <w:gridSpan w:val="2"/>
          </w:tcPr>
          <w:p>
            <w:pPr>
              <w:spacing w:after="0"/>
              <w:rPr>
                <w:sz w:val="20"/>
                <w:szCs w:val="20"/>
                <w:color w:val="auto"/>
              </w:rPr>
            </w:pPr>
            <w:r>
              <w:rPr>
                <w:rFonts w:ascii="Arial" w:cs="Arial" w:eastAsia="Arial" w:hAnsi="Arial"/>
                <w:sz w:val="16"/>
                <w:szCs w:val="16"/>
                <w:b w:val="1"/>
                <w:bCs w:val="1"/>
                <w:color w:val="auto"/>
              </w:rPr>
              <w:t>Cash, cash equivalents and restricted cash—beginning of year</w:t>
            </w:r>
          </w:p>
        </w:tc>
        <w:tc>
          <w:tcPr>
            <w:tcW w:w="9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8,830</w:t>
            </w: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53,984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5"/>
                <w:szCs w:val="5"/>
                <w:color w:val="auto"/>
              </w:rPr>
            </w:pPr>
          </w:p>
        </w:tc>
        <w:tc>
          <w:tcPr>
            <w:tcW w:w="70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cash equivalents and restricted cash—end of year</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ind w:right="158"/>
              <w:spacing w:after="0"/>
              <w:rPr>
                <w:sz w:val="20"/>
                <w:szCs w:val="20"/>
                <w:color w:val="auto"/>
              </w:rPr>
            </w:pPr>
            <w:r>
              <w:rPr>
                <w:rFonts w:ascii="Arial" w:cs="Arial" w:eastAsia="Arial" w:hAnsi="Arial"/>
                <w:sz w:val="16"/>
                <w:szCs w:val="16"/>
                <w:b w:val="1"/>
                <w:bCs w:val="1"/>
                <w:color w:val="auto"/>
              </w:rPr>
              <w:t>14,455</w:t>
            </w:r>
          </w:p>
        </w:tc>
        <w:tc>
          <w:tcPr>
            <w:tcW w:w="380" w:type="dxa"/>
            <w:vAlign w:val="bottom"/>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8,830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0" w:type="dxa"/>
            <w:vAlign w:val="bottom"/>
          </w:tcPr>
          <w:p>
            <w:pPr>
              <w:spacing w:after="0"/>
              <w:rPr>
                <w:sz w:val="24"/>
                <w:szCs w:val="24"/>
                <w:color w:val="auto"/>
              </w:rPr>
            </w:pPr>
          </w:p>
        </w:tc>
        <w:tc>
          <w:tcPr>
            <w:tcW w:w="7000" w:type="dxa"/>
            <w:vAlign w:val="bottom"/>
          </w:tcPr>
          <w:p>
            <w:pPr>
              <w:ind w:left="5020"/>
              <w:spacing w:after="0"/>
              <w:rPr>
                <w:sz w:val="20"/>
                <w:szCs w:val="20"/>
                <w:color w:val="auto"/>
              </w:rPr>
            </w:pPr>
            <w:r>
              <w:rPr>
                <w:rFonts w:ascii="Arial" w:cs="Arial" w:eastAsia="Arial" w:hAnsi="Arial"/>
                <w:sz w:val="16"/>
                <w:szCs w:val="16"/>
                <w:color w:val="auto"/>
              </w:rPr>
              <w:t>F-6</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41" w:right="779" w:bottom="1440" w:gutter="0" w:footer="0" w:header="0"/>
        </w:sectPr>
      </w:pPr>
    </w:p>
    <w:bookmarkStart w:id="232" w:name="page233"/>
    <w:bookmarkEnd w:id="2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191770</wp:posOffset>
            </wp:positionV>
            <wp:extent cx="6569075" cy="158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32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78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4"/>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83"/>
        </w:trPr>
        <w:tc>
          <w:tcPr>
            <w:tcW w:w="78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98"/>
              <w:spacing w:after="0" w:line="183" w:lineRule="exact"/>
              <w:rPr>
                <w:sz w:val="20"/>
                <w:szCs w:val="20"/>
                <w:color w:val="auto"/>
              </w:rPr>
            </w:pPr>
            <w:r>
              <w:rPr>
                <w:rFonts w:ascii="Arial" w:cs="Arial" w:eastAsia="Arial" w:hAnsi="Arial"/>
                <w:sz w:val="16"/>
                <w:szCs w:val="16"/>
                <w:b w:val="1"/>
                <w:bCs w:val="1"/>
                <w:color w:val="auto"/>
              </w:rPr>
              <w:t>2020</w:t>
            </w:r>
          </w:p>
        </w:tc>
        <w:tc>
          <w:tcPr>
            <w:tcW w:w="4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78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00" w:type="dxa"/>
            <w:vAlign w:val="bottom"/>
          </w:tcPr>
          <w:p>
            <w:pPr>
              <w:ind w:left="18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Operating cash flows from operating leases</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987</w:t>
            </w:r>
          </w:p>
        </w:tc>
        <w:tc>
          <w:tcPr>
            <w:tcW w:w="4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00" w:type="dxa"/>
            <w:vAlign w:val="bottom"/>
          </w:tcPr>
          <w:p>
            <w:pPr>
              <w:ind w:left="180"/>
              <w:spacing w:after="0"/>
              <w:rPr>
                <w:sz w:val="20"/>
                <w:szCs w:val="20"/>
                <w:color w:val="auto"/>
              </w:rPr>
            </w:pPr>
            <w:r>
              <w:rPr>
                <w:rFonts w:ascii="Arial" w:cs="Arial" w:eastAsia="Arial" w:hAnsi="Arial"/>
                <w:sz w:val="16"/>
                <w:szCs w:val="16"/>
                <w:color w:val="auto"/>
              </w:rPr>
              <w:t>Cash paid for income taxes</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8"/>
              <w:spacing w:after="0"/>
              <w:rPr>
                <w:sz w:val="20"/>
                <w:szCs w:val="20"/>
                <w:color w:val="auto"/>
              </w:rPr>
            </w:pPr>
            <w:r>
              <w:rPr>
                <w:rFonts w:ascii="Arial" w:cs="Arial" w:eastAsia="Arial" w:hAnsi="Arial"/>
                <w:sz w:val="16"/>
                <w:szCs w:val="16"/>
                <w:color w:val="auto"/>
              </w:rPr>
              <w:t>61</w:t>
            </w:r>
          </w:p>
        </w:tc>
        <w:tc>
          <w:tcPr>
            <w:tcW w:w="44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paid for interest on financing leases</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14</w:t>
            </w:r>
          </w:p>
        </w:tc>
        <w:tc>
          <w:tcPr>
            <w:tcW w:w="4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tcPr>
          <w:p>
            <w:pPr>
              <w:ind w:left="180"/>
              <w:spacing w:after="0"/>
              <w:rPr>
                <w:sz w:val="20"/>
                <w:szCs w:val="20"/>
                <w:color w:val="auto"/>
              </w:rPr>
            </w:pPr>
            <w:r>
              <w:rPr>
                <w:rFonts w:ascii="Arial" w:cs="Arial" w:eastAsia="Arial" w:hAnsi="Arial"/>
                <w:sz w:val="16"/>
                <w:szCs w:val="16"/>
                <w:color w:val="auto"/>
              </w:rPr>
              <w:t>Cash paid for interest on term loan</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8"/>
              <w:spacing w:after="0"/>
              <w:rPr>
                <w:sz w:val="20"/>
                <w:szCs w:val="20"/>
                <w:color w:val="auto"/>
              </w:rPr>
            </w:pPr>
            <w:r>
              <w:rPr>
                <w:rFonts w:ascii="Arial" w:cs="Arial" w:eastAsia="Arial" w:hAnsi="Arial"/>
                <w:sz w:val="16"/>
                <w:szCs w:val="16"/>
                <w:color w:val="auto"/>
              </w:rPr>
              <w:t>411</w:t>
            </w:r>
          </w:p>
        </w:tc>
        <w:tc>
          <w:tcPr>
            <w:tcW w:w="44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7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00" w:type="dxa"/>
            <w:vAlign w:val="bottom"/>
          </w:tcPr>
          <w:p>
            <w:pPr>
              <w:ind w:left="180"/>
              <w:spacing w:after="0"/>
              <w:rPr>
                <w:sz w:val="20"/>
                <w:szCs w:val="20"/>
                <w:color w:val="auto"/>
              </w:rPr>
            </w:pPr>
            <w:r>
              <w:rPr>
                <w:rFonts w:ascii="Arial" w:cs="Arial" w:eastAsia="Arial" w:hAnsi="Arial"/>
                <w:sz w:val="16"/>
                <w:szCs w:val="16"/>
                <w:color w:val="auto"/>
              </w:rPr>
              <w:t>Right-of-use assets obtained in exchange for lease obligations: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Operating lease</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1,953</w:t>
            </w:r>
          </w:p>
        </w:tc>
        <w:tc>
          <w:tcPr>
            <w:tcW w:w="4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00" w:type="dxa"/>
            <w:vAlign w:val="bottom"/>
          </w:tcPr>
          <w:p>
            <w:pPr>
              <w:ind w:left="380"/>
              <w:spacing w:after="0"/>
              <w:rPr>
                <w:sz w:val="20"/>
                <w:szCs w:val="20"/>
                <w:color w:val="auto"/>
              </w:rPr>
            </w:pPr>
            <w:r>
              <w:rPr>
                <w:rFonts w:ascii="Arial" w:cs="Arial" w:eastAsia="Arial" w:hAnsi="Arial"/>
                <w:sz w:val="16"/>
                <w:szCs w:val="16"/>
                <w:color w:val="auto"/>
              </w:rPr>
              <w:t>Finance lease</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8"/>
              <w:spacing w:after="0"/>
              <w:rPr>
                <w:sz w:val="20"/>
                <w:szCs w:val="20"/>
                <w:color w:val="auto"/>
              </w:rPr>
            </w:pPr>
            <w:r>
              <w:rPr>
                <w:rFonts w:ascii="Arial" w:cs="Arial" w:eastAsia="Arial" w:hAnsi="Arial"/>
                <w:sz w:val="16"/>
                <w:szCs w:val="16"/>
                <w:color w:val="auto"/>
              </w:rPr>
              <w:t>48</w:t>
            </w:r>
          </w:p>
        </w:tc>
        <w:tc>
          <w:tcPr>
            <w:tcW w:w="44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Lease obligations recorded for right-of-use assets:</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00" w:type="dxa"/>
            <w:vAlign w:val="bottom"/>
          </w:tcPr>
          <w:p>
            <w:pPr>
              <w:ind w:left="380"/>
              <w:spacing w:after="0"/>
              <w:rPr>
                <w:sz w:val="20"/>
                <w:szCs w:val="20"/>
                <w:color w:val="auto"/>
              </w:rPr>
            </w:pPr>
            <w:r>
              <w:rPr>
                <w:rFonts w:ascii="Arial" w:cs="Arial" w:eastAsia="Arial" w:hAnsi="Arial"/>
                <w:sz w:val="16"/>
                <w:szCs w:val="16"/>
                <w:color w:val="auto"/>
              </w:rPr>
              <w:t>Operating lease</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8"/>
              <w:spacing w:after="0"/>
              <w:rPr>
                <w:sz w:val="20"/>
                <w:szCs w:val="20"/>
                <w:color w:val="auto"/>
              </w:rPr>
            </w:pPr>
            <w:r>
              <w:rPr>
                <w:rFonts w:ascii="Arial" w:cs="Arial" w:eastAsia="Arial" w:hAnsi="Arial"/>
                <w:sz w:val="16"/>
                <w:szCs w:val="16"/>
                <w:color w:val="auto"/>
              </w:rPr>
              <w:t>1,953</w:t>
            </w:r>
          </w:p>
        </w:tc>
        <w:tc>
          <w:tcPr>
            <w:tcW w:w="44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6,012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Finance lease</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48</w:t>
            </w:r>
          </w:p>
        </w:tc>
        <w:tc>
          <w:tcPr>
            <w:tcW w:w="4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800" w:type="dxa"/>
            <w:vAlign w:val="bottom"/>
          </w:tcPr>
          <w:p>
            <w:pPr>
              <w:ind w:left="180"/>
              <w:spacing w:after="0"/>
              <w:rPr>
                <w:sz w:val="20"/>
                <w:szCs w:val="20"/>
                <w:color w:val="auto"/>
              </w:rPr>
            </w:pPr>
            <w:r>
              <w:rPr>
                <w:rFonts w:ascii="Arial" w:cs="Arial" w:eastAsia="Arial" w:hAnsi="Arial"/>
                <w:sz w:val="16"/>
                <w:szCs w:val="16"/>
                <w:color w:val="auto"/>
              </w:rPr>
              <w:t>Acquisition of property and equipment included in accounts payable and accrued expenses and other</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800" w:type="dxa"/>
            <w:vAlign w:val="bottom"/>
          </w:tcPr>
          <w:p>
            <w:pPr>
              <w:ind w:left="380"/>
              <w:spacing w:after="0"/>
              <w:rPr>
                <w:sz w:val="20"/>
                <w:szCs w:val="20"/>
                <w:color w:val="auto"/>
              </w:rPr>
            </w:pPr>
            <w:r>
              <w:rPr>
                <w:rFonts w:ascii="Arial" w:cs="Arial" w:eastAsia="Arial" w:hAnsi="Arial"/>
                <w:sz w:val="16"/>
                <w:szCs w:val="16"/>
                <w:color w:val="auto"/>
              </w:rPr>
              <w:t>current liabilities</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8"/>
              <w:spacing w:after="0"/>
              <w:rPr>
                <w:sz w:val="20"/>
                <w:szCs w:val="20"/>
                <w:color w:val="auto"/>
              </w:rPr>
            </w:pPr>
            <w:r>
              <w:rPr>
                <w:rFonts w:ascii="Arial" w:cs="Arial" w:eastAsia="Arial" w:hAnsi="Arial"/>
                <w:sz w:val="16"/>
                <w:szCs w:val="16"/>
                <w:color w:val="auto"/>
              </w:rPr>
              <w:t>40</w:t>
            </w:r>
          </w:p>
        </w:tc>
        <w:tc>
          <w:tcPr>
            <w:tcW w:w="44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232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Reclassification of warrant liabilities upon exercise of warrant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24</w:t>
            </w:r>
          </w:p>
        </w:tc>
        <w:tc>
          <w:tcPr>
            <w:tcW w:w="4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00" w:type="dxa"/>
            <w:vAlign w:val="bottom"/>
          </w:tcPr>
          <w:p>
            <w:pPr>
              <w:ind w:left="180"/>
              <w:spacing w:after="0"/>
              <w:rPr>
                <w:sz w:val="20"/>
                <w:szCs w:val="20"/>
                <w:color w:val="auto"/>
              </w:rPr>
            </w:pPr>
            <w:r>
              <w:rPr>
                <w:rFonts w:ascii="Arial" w:cs="Arial" w:eastAsia="Arial" w:hAnsi="Arial"/>
                <w:sz w:val="16"/>
                <w:szCs w:val="16"/>
                <w:color w:val="auto"/>
              </w:rPr>
              <w:t>Accretion to redemption value of redeemable stock and stock options</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8"/>
              <w:spacing w:after="0"/>
              <w:rPr>
                <w:sz w:val="20"/>
                <w:szCs w:val="20"/>
                <w:color w:val="auto"/>
              </w:rPr>
            </w:pPr>
            <w:r>
              <w:rPr>
                <w:rFonts w:ascii="Arial" w:cs="Arial" w:eastAsia="Arial" w:hAnsi="Arial"/>
                <w:sz w:val="16"/>
                <w:szCs w:val="16"/>
                <w:color w:val="auto"/>
              </w:rPr>
              <w:t>38,308</w:t>
            </w:r>
          </w:p>
        </w:tc>
        <w:tc>
          <w:tcPr>
            <w:tcW w:w="44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103,123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Payment-in-kind interest income added to principal of notes receivable</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54</w:t>
            </w:r>
          </w:p>
        </w:tc>
        <w:tc>
          <w:tcPr>
            <w:tcW w:w="4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See accompanying notes.</w:t>
      </w:r>
    </w:p>
    <w:p>
      <w:pPr>
        <w:spacing w:after="0" w:line="145"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0800"/>
          </w:cols>
          <w:pgMar w:left="320" w:top="440" w:right="779" w:bottom="1440" w:gutter="0" w:footer="0" w:header="0"/>
        </w:sectPr>
      </w:pPr>
    </w:p>
    <w:bookmarkStart w:id="233" w:name="page234"/>
    <w:bookmarkEnd w:id="2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RxSight, Inc.</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Notes to consolidated financial statements</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1—Organization and basis of presentation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company</w:t>
      </w:r>
    </w:p>
    <w:p>
      <w:pPr>
        <w:spacing w:after="0" w:line="128"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RxSight</w:t>
      </w:r>
      <w:r>
        <w:rPr>
          <w:rFonts w:ascii="Arial" w:cs="Arial" w:eastAsia="Arial" w:hAnsi="Arial"/>
          <w:sz w:val="10"/>
          <w:szCs w:val="10"/>
          <w:color w:val="auto"/>
        </w:rPr>
        <w:t>™</w:t>
      </w:r>
      <w:r>
        <w:rPr>
          <w:rFonts w:ascii="Arial" w:cs="Arial" w:eastAsia="Arial" w:hAnsi="Arial"/>
          <w:sz w:val="16"/>
          <w:szCs w:val="16"/>
          <w:color w:val="auto"/>
        </w:rPr>
        <w:t>, Inc. (the “Company”) is a California corporation headquartered in Aliso Viejo, California and has two wholly owned subsidiaries. One subsidiary is located in Amsterdam, Netherlands, with registered branches in the United Kingdom and Ireland (closed in 2020). The Netherlands entity also has a wholly owned subsidiary in Germany. A second subsidiary, closed in 2020, was located in Tijuana, Mexico. The Company is engaged in the research and development, manufacture and sale of light adjustable intraocular lenses used in cataract surgery along with capital equipment used with the lenses. The Company’s products, which include the light adjustable lens (“LAL”</w:t>
      </w:r>
      <w:r>
        <w:rPr>
          <w:rFonts w:ascii="Arial" w:cs="Arial" w:eastAsia="Arial" w:hAnsi="Arial"/>
          <w:sz w:val="10"/>
          <w:szCs w:val="10"/>
          <w:color w:val="auto"/>
        </w:rPr>
        <w:t>®</w:t>
      </w:r>
      <w:r>
        <w:rPr>
          <w:rFonts w:ascii="Arial" w:cs="Arial" w:eastAsia="Arial" w:hAnsi="Arial"/>
          <w:sz w:val="16"/>
          <w:szCs w:val="16"/>
          <w:color w:val="auto"/>
        </w:rPr>
        <w:t xml:space="preserve"> or “RxLAL”</w:t>
      </w:r>
      <w:r>
        <w:rPr>
          <w:rFonts w:ascii="Arial" w:cs="Arial" w:eastAsia="Arial" w:hAnsi="Arial"/>
          <w:sz w:val="10"/>
          <w:szCs w:val="10"/>
          <w:color w:val="auto"/>
        </w:rPr>
        <w:t>®</w:t>
      </w:r>
      <w:r>
        <w:rPr>
          <w:rFonts w:ascii="Arial" w:cs="Arial" w:eastAsia="Arial" w:hAnsi="Arial"/>
          <w:sz w:val="16"/>
          <w:szCs w:val="16"/>
          <w:color w:val="auto"/>
        </w:rPr>
        <w:t>) and a specially designed machine for delivering light to the eye, the Light Delivery Device (“LDD”), are approved by the United States (“U.S.”) Food and Drug Administration (FDA) for sale in the U.S. and have regulatory approval in the U.S and Europe. The Company began marketing its products in the U.S. during the second quarter of 2019 and in Europe during the third quarter of 2019. The RxLAL is a premium intraocular lens (“IOL”) which is partially reimbursable under Medicare. The Company competes with other IOLs in the premium market in the U.S. and Europe.</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Basis of presentation and principles of consolidation</w:t>
      </w:r>
    </w:p>
    <w:p>
      <w:pPr>
        <w:spacing w:after="0" w:line="128" w:lineRule="exact"/>
        <w:rPr>
          <w:sz w:val="20"/>
          <w:szCs w:val="20"/>
          <w:color w:val="auto"/>
        </w:rPr>
      </w:pPr>
    </w:p>
    <w:p>
      <w:pPr>
        <w:ind w:left="460" w:right="60"/>
        <w:spacing w:after="0" w:line="253"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of America (“GAAP”) and include the accounts of RxSight, Inc. and its wholly-owned subsidiaries, RxSight, B.V., located in the Netherlands, RxSight GmbH, located in Germany, and RxSight S de R.L. de C.V., located in Mexico. All significant inter-company balances and transactions have been eliminated in consolidation.</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Liquidity and financial position</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2020, the Company has cash, cash equivalents and short-term investments of $69.0 million.</w:t>
      </w:r>
    </w:p>
    <w:p>
      <w:pPr>
        <w:spacing w:after="0" w:line="108" w:lineRule="exact"/>
        <w:rPr>
          <w:sz w:val="20"/>
          <w:szCs w:val="20"/>
          <w:color w:val="auto"/>
        </w:rPr>
      </w:pPr>
    </w:p>
    <w:p>
      <w:pPr>
        <w:ind w:left="460" w:right="40"/>
        <w:spacing w:after="0" w:line="250" w:lineRule="auto"/>
        <w:rPr>
          <w:sz w:val="20"/>
          <w:szCs w:val="20"/>
          <w:color w:val="auto"/>
        </w:rPr>
      </w:pPr>
      <w:r>
        <w:rPr>
          <w:rFonts w:ascii="Arial" w:cs="Arial" w:eastAsia="Arial" w:hAnsi="Arial"/>
          <w:sz w:val="16"/>
          <w:szCs w:val="16"/>
          <w:color w:val="auto"/>
        </w:rPr>
        <w:t>The Company began generating revenue from its principal operations in 2019. The Company has a limited operating history, and the revenue and income potential of the Company’s business and market are unproven. The Company has experienced recurring net losses and negative cash flows from operating activities since its inception. For the years ended December 31, 2020 and 2019, the Company incurred losses from operations of $35.4 million and $46.1 million, respectively. Due to the Company’s continuing research and development activities, the Company expects to continue to incur net operating losses into the foreseeable future. Successful transition to attaining profitable operations is dependent upon gaining market acceptance of the Company’s products and achieving a level of revenues adequate to support the Company’s cost structure.</w:t>
      </w:r>
    </w:p>
    <w:p>
      <w:pPr>
        <w:spacing w:after="0" w:line="91" w:lineRule="exact"/>
        <w:rPr>
          <w:sz w:val="20"/>
          <w:szCs w:val="20"/>
          <w:color w:val="auto"/>
        </w:rPr>
      </w:pPr>
    </w:p>
    <w:p>
      <w:pPr>
        <w:ind w:left="460" w:right="60"/>
        <w:spacing w:after="0" w:line="250" w:lineRule="auto"/>
        <w:rPr>
          <w:sz w:val="20"/>
          <w:szCs w:val="20"/>
          <w:color w:val="auto"/>
        </w:rPr>
      </w:pPr>
      <w:r>
        <w:rPr>
          <w:rFonts w:ascii="Arial" w:cs="Arial" w:eastAsia="Arial" w:hAnsi="Arial"/>
          <w:sz w:val="16"/>
          <w:szCs w:val="16"/>
          <w:color w:val="auto"/>
        </w:rPr>
        <w:t>The Company plans to continue to fund its losses from operations using its cash, cash equivalents and short-term investments as of December 31, 2020 and meet its capital funding needs through equity or debt financings, other third-party funding, collaborations, strategic alliances and licensing arrangements or a combination of these. If the Company raises additional funds by issuing equity securities, its stockholders may experience dilution. Any future debt financing into which the Company enters may impose additional covenants that restrict operations, including limitations on its ability to incur liens or additional debt, pay dividends, repurchase common stock, make certain investments or engage in certain merger, consolidation or asset sale transactions. Any debt financing or additional equity raise may contain terms that are not favorable to the Company or its stockholders. If the Company is required to enter into collaborations and other arrangements to address its liquidity needs, it may have to give up certain rights that limit its ability to develop and commercialize product candidates or may have other terms that are not favorable to the Company or its</w:t>
      </w:r>
    </w:p>
    <w:p>
      <w:pPr>
        <w:spacing w:after="0" w:line="126"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0780"/>
          </w:cols>
          <w:pgMar w:left="320" w:top="441" w:right="799" w:bottom="1440" w:gutter="0" w:footer="0" w:header="0"/>
        </w:sectPr>
      </w:pPr>
    </w:p>
    <w:bookmarkStart w:id="234" w:name="page235"/>
    <w:bookmarkEnd w:id="2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80"/>
        <w:spacing w:after="0" w:line="253" w:lineRule="auto"/>
        <w:rPr>
          <w:sz w:val="20"/>
          <w:szCs w:val="20"/>
          <w:color w:val="auto"/>
        </w:rPr>
      </w:pPr>
      <w:r>
        <w:rPr>
          <w:rFonts w:ascii="Arial" w:cs="Arial" w:eastAsia="Arial" w:hAnsi="Arial"/>
          <w:sz w:val="16"/>
          <w:szCs w:val="16"/>
          <w:color w:val="auto"/>
        </w:rPr>
        <w:t>stockholders, which could materially and adversely affect its business and financial prospects. There can be no assurance that the Company will be able to obtain additional financing on acceptable terms, or at all. If the Company is not able to secure adequate additional funding, the Company may be forced to make reductions in spending, extend payment terms with suppliers, liquidate assets where possible and/or suspend or curtail planned programs. Any of these actions could materially harm the Company’s business, results of operations and future prospects.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COVID-19</w:t>
      </w:r>
    </w:p>
    <w:p>
      <w:pPr>
        <w:spacing w:after="0" w:line="128" w:lineRule="exact"/>
        <w:rPr>
          <w:sz w:val="20"/>
          <w:szCs w:val="20"/>
          <w:color w:val="auto"/>
        </w:rPr>
      </w:pPr>
    </w:p>
    <w:p>
      <w:pPr>
        <w:ind w:left="460" w:right="80"/>
        <w:spacing w:after="0" w:line="250" w:lineRule="auto"/>
        <w:rPr>
          <w:sz w:val="20"/>
          <w:szCs w:val="20"/>
          <w:color w:val="auto"/>
        </w:rPr>
      </w:pPr>
      <w:r>
        <w:rPr>
          <w:rFonts w:ascii="Arial" w:cs="Arial" w:eastAsia="Arial" w:hAnsi="Arial"/>
          <w:sz w:val="16"/>
          <w:szCs w:val="16"/>
          <w:color w:val="auto"/>
        </w:rPr>
        <w:t>The Company has been actively monitoring the novel coronavirus, or COVID-19, situation and its impact. In response to the pandemic, numerous state and local jurisdictions imposed “shelter-in-place” orders, quarantines and other restrictions. Starting in March 2020 in the United States, governmental authorities recommended, and in certain cases required, that elective, specialty and other procedures and appointments be suspended or canceled. Similarly, in March 2020, the governor of California, where the Company’s headquarters is located, issued “stay at home” orders limiting non-essential activities, travel and business operations. Such orders or restrictions resulted in reduced operations at the Company’s headquarters, slowdowns and delays, travel restrictions and cancellation of events. These orders and restrictions significantly decreased the number of procedures performed using the Company’s products during March and April 2020.</w:t>
      </w:r>
    </w:p>
    <w:p>
      <w:pPr>
        <w:spacing w:after="0" w:line="91"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In response to the impact of COVID-19, the Company implemented a variety of measures to help manage through the impact and position it to resume operations quickly and efficiently once these restrictions were lifted. These measures included: remote work as needed, suspension of non-essential travel, restrictions on in-person work-related meetings, the wearing of personal protective equipment, social distancing, increased facility cleaning and air purification in all of the Company’s buildings and daily health monitoring of all Company employees to prevent or contain COVID-19 exposure. In addition, the Company took steps to preserve liquidity, reduce expenses and monitor operations to mitigate the impact on its current and future financial condition. The impact of COVID-19 continues to change and cannot be predicted. As a result, the Company expects the pandemic could continue to negatively impact its business, financial condition and results of operations.</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Operating segments</w:t>
      </w:r>
    </w:p>
    <w:p>
      <w:pPr>
        <w:spacing w:after="0" w:line="128" w:lineRule="exact"/>
        <w:rPr>
          <w:sz w:val="20"/>
          <w:szCs w:val="20"/>
          <w:color w:val="auto"/>
        </w:rPr>
      </w:pPr>
    </w:p>
    <w:p>
      <w:pPr>
        <w:ind w:left="460" w:right="40"/>
        <w:spacing w:after="0" w:line="253" w:lineRule="auto"/>
        <w:rPr>
          <w:sz w:val="20"/>
          <w:szCs w:val="20"/>
          <w:color w:val="auto"/>
        </w:rPr>
      </w:pPr>
      <w:r>
        <w:rPr>
          <w:rFonts w:ascii="Arial" w:cs="Arial" w:eastAsia="Arial" w:hAnsi="Arial"/>
          <w:sz w:val="16"/>
          <w:szCs w:val="16"/>
          <w:color w:val="auto"/>
        </w:rPr>
        <w:t>Operating segments are defined as components for which discrete financial information is available for evaluation by the chief operating decision maker to make resource allocation decisions and conduct performance assessments. The Company determined that it operates and manages its business (including its non-US subsidiaries) in one reportable segment: the research and development, manufacture and sale of light adjustable lenses and related capital equipment.</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Emerging growth company status</w:t>
      </w:r>
    </w:p>
    <w:p>
      <w:pPr>
        <w:spacing w:after="0" w:line="128" w:lineRule="exact"/>
        <w:rPr>
          <w:sz w:val="20"/>
          <w:szCs w:val="20"/>
          <w:color w:val="auto"/>
        </w:rPr>
      </w:pPr>
    </w:p>
    <w:p>
      <w:pPr>
        <w:ind w:left="460" w:right="120"/>
        <w:spacing w:after="0" w:line="252"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and, as a result, will adopt new or revised accounting standards on the relevant effective dates on which adoption of such standards is required for other public companies that are not emerging growth companies.</w:t>
      </w:r>
    </w:p>
    <w:p>
      <w:pPr>
        <w:spacing w:after="0" w:line="124"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0760"/>
          </w:cols>
          <w:pgMar w:left="320" w:top="441" w:right="819" w:bottom="1440" w:gutter="0" w:footer="0" w:header="0"/>
        </w:sectPr>
      </w:pPr>
    </w:p>
    <w:bookmarkStart w:id="235" w:name="page236"/>
    <w:bookmarkEnd w:id="2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2—Summary of accounting policies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28" w:lineRule="exact"/>
        <w:rPr>
          <w:sz w:val="20"/>
          <w:szCs w:val="20"/>
          <w:color w:val="auto"/>
        </w:rPr>
      </w:pPr>
    </w:p>
    <w:p>
      <w:pPr>
        <w:ind w:left="460" w:right="100"/>
        <w:spacing w:after="0" w:line="249"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informed estimates, judgments and assumptions that affect the reported amounts in the consolidated financial statements and disclosures in the accompanying notes as of the date of the accompanying consolidated financial statements. Management considers many factors in selecting appropriate financial accounting policies and in developing the estimates and assumptions that are used in the preparation of these consolidated financial statements. Management must apply significant judgment in this process. In addition, other factors may affect estimates, including the expected business and operational changes, the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On an on-going basis, management evaluates the most critical estimates and assumptions, including those related to revenue recognition; valuation of the Company’s common stock, warrants and other equity awards; estimated timing of redemption of equity instruments, the realization of income tax assets and estimates of tax liabilities, and obsolete and slow-moving inventory. Actual results may differ materially from the estimates used in the preparation of the accompanying consolidated financial statements under different assumptions or conditions.</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Cash equivalents</w:t>
      </w:r>
    </w:p>
    <w:p>
      <w:pPr>
        <w:spacing w:after="0" w:line="128" w:lineRule="exact"/>
        <w:rPr>
          <w:sz w:val="20"/>
          <w:szCs w:val="20"/>
          <w:color w:val="auto"/>
        </w:rPr>
      </w:pPr>
    </w:p>
    <w:p>
      <w:pPr>
        <w:jc w:val="both"/>
        <w:ind w:left="460" w:right="580"/>
        <w:spacing w:after="0" w:line="265" w:lineRule="auto"/>
        <w:rPr>
          <w:sz w:val="20"/>
          <w:szCs w:val="20"/>
          <w:color w:val="auto"/>
        </w:rPr>
      </w:pPr>
      <w:r>
        <w:rPr>
          <w:rFonts w:ascii="Arial" w:cs="Arial" w:eastAsia="Arial" w:hAnsi="Arial"/>
          <w:sz w:val="16"/>
          <w:szCs w:val="16"/>
          <w:color w:val="auto"/>
        </w:rPr>
        <w:t>Cash equivalents consist of investments in money market accounts. The Company considers all highly liquid investments with original maturities of three months or less at the date of purchase that can be liquidated without prior notice or penalty to be cash equivalents.</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Short-term investments</w:t>
      </w:r>
    </w:p>
    <w:p>
      <w:pPr>
        <w:spacing w:after="0" w:line="128"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Short-term investments are classified based on the maturity date of the related securities. Based on the nature of the assets, the Company’s short-term investments, which are government securities, are classified as available-for-sale and are recorded at their estimated fair value as determined by prices for identical or similar securities at the balance sheet date. The Company’s short-term investments consist of Level 1 and Level 2 financial instruments in the fair value hierarchy. Unrealized gains and losses are recorded as a component of other comprehensive income (loss) within stockholders’ deficit on the consolidated balance sheets. Realized gains and losses are included as other income (expense) in the accompanying consolidated statements of operations and comprehensive income. The cost basis for realized gains and losses on available-for-sale securities is determined on a specific identification basis. Management determines the appropriate classification of its investments at the time of purchase and reevaluates such determination at each balance sheet date. The Company periodically reviews its investments for unrealized losses other than credit losses and whenever events or changes in circumstances indicate that the carrying value of an asset may not be recoverable. In determining whether the carrying value is recoverable, management considers the following factors:</w:t>
      </w:r>
    </w:p>
    <w:p>
      <w:pPr>
        <w:spacing w:after="0" w:line="297" w:lineRule="exact"/>
        <w:rPr>
          <w:sz w:val="20"/>
          <w:szCs w:val="20"/>
          <w:color w:val="auto"/>
        </w:rPr>
      </w:pPr>
    </w:p>
    <w:p>
      <w:pPr>
        <w:ind w:left="660" w:hanging="209"/>
        <w:spacing w:after="0"/>
        <w:tabs>
          <w:tab w:leader="none" w:pos="6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whether the investment has been in a continuous realized loss position for over 12 months;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duration to maturity of investments;</w:t>
      </w:r>
    </w:p>
    <w:p>
      <w:pPr>
        <w:spacing w:after="0" w:line="120" w:lineRule="exact"/>
        <w:rPr>
          <w:rFonts w:ascii="Arial" w:cs="Arial" w:eastAsia="Arial" w:hAnsi="Arial"/>
          <w:sz w:val="16"/>
          <w:szCs w:val="16"/>
          <w:color w:val="auto"/>
        </w:rPr>
      </w:pPr>
    </w:p>
    <w:p>
      <w:pPr>
        <w:ind w:left="660" w:right="400" w:hanging="209"/>
        <w:spacing w:after="0" w:line="265" w:lineRule="auto"/>
        <w:tabs>
          <w:tab w:leader="none" w:pos="6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intention and ability to hold the investment to maturity and if it is not more likely than not that we will be required to sell the investment before recovery of the amortized cost bases;</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credit rating, financial condition and near-term prospects of the issuer and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type of investments made.</w:t>
      </w:r>
    </w:p>
    <w:p>
      <w:pPr>
        <w:spacing w:after="0" w:line="146"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0760"/>
          </w:cols>
          <w:pgMar w:left="320" w:top="440" w:right="819" w:bottom="1440" w:gutter="0" w:footer="0" w:header="0"/>
        </w:sectPr>
      </w:pPr>
    </w:p>
    <w:bookmarkStart w:id="236" w:name="page237"/>
    <w:bookmarkEnd w:id="2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left="460" w:right="80"/>
        <w:spacing w:after="0" w:line="253" w:lineRule="auto"/>
        <w:rPr>
          <w:sz w:val="20"/>
          <w:szCs w:val="20"/>
          <w:color w:val="auto"/>
        </w:rPr>
      </w:pPr>
      <w:r>
        <w:rPr>
          <w:rFonts w:ascii="Arial" w:cs="Arial" w:eastAsia="Arial" w:hAnsi="Arial"/>
          <w:sz w:val="16"/>
          <w:szCs w:val="16"/>
          <w:color w:val="auto"/>
        </w:rPr>
        <w:t>The Company had $2,000 of unrealized losses and $46,000 of unrealized gains related to short-term investments as of December 31, 2020 and 2019, respectively. To date, the Company has not identified any unrealized losses other than credit losses for its short-term investments as determined by prices for identical or similar securities at the balance sheet date. The Company’s short-term investments consist of Level 1 and Level 2 financial instruments in the fair value hierarchy.</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Restricted cash</w:t>
      </w:r>
    </w:p>
    <w:p>
      <w:pPr>
        <w:spacing w:after="0" w:line="128" w:lineRule="exact"/>
        <w:rPr>
          <w:sz w:val="20"/>
          <w:szCs w:val="20"/>
          <w:color w:val="auto"/>
        </w:rPr>
      </w:pPr>
    </w:p>
    <w:p>
      <w:pPr>
        <w:ind w:left="460" w:right="80"/>
        <w:spacing w:after="0" w:line="256" w:lineRule="auto"/>
        <w:rPr>
          <w:sz w:val="20"/>
          <w:szCs w:val="20"/>
          <w:color w:val="auto"/>
        </w:rPr>
      </w:pPr>
      <w:r>
        <w:rPr>
          <w:rFonts w:ascii="Arial" w:cs="Arial" w:eastAsia="Arial" w:hAnsi="Arial"/>
          <w:sz w:val="16"/>
          <w:szCs w:val="16"/>
          <w:color w:val="auto"/>
        </w:rPr>
        <w:t>Restricted cash consists of cash held as collateral for a letter of credit as security for future facility lease payments and corporate credit cards at the Company’s bank. Restricted cash decreased $411,000 during the year ended December 31, 2020 to $461,000 as required for these operating activities.</w:t>
      </w:r>
    </w:p>
    <w:p>
      <w:pPr>
        <w:spacing w:after="0" w:line="83" w:lineRule="exact"/>
        <w:rPr>
          <w:sz w:val="20"/>
          <w:szCs w:val="20"/>
          <w:color w:val="auto"/>
        </w:rPr>
      </w:pPr>
    </w:p>
    <w:p>
      <w:pPr>
        <w:ind w:left="460" w:right="20"/>
        <w:spacing w:after="0" w:line="265" w:lineRule="auto"/>
        <w:rPr>
          <w:sz w:val="20"/>
          <w:szCs w:val="20"/>
          <w:color w:val="auto"/>
        </w:rPr>
      </w:pPr>
      <w:r>
        <w:rPr>
          <w:rFonts w:ascii="Arial" w:cs="Arial" w:eastAsia="Arial" w:hAnsi="Arial"/>
          <w:sz w:val="16"/>
          <w:szCs w:val="16"/>
          <w:color w:val="auto"/>
        </w:rPr>
        <w:t>The following table provides a reconciliation of cash and cash equivalents and restricted cash reported within the consolidated balance sheets to the amount reported in the consolidated statement of cash flows for the years ended December 31, 2020 and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53975</wp:posOffset>
            </wp:positionV>
            <wp:extent cx="6569075" cy="158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7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ind w:left="240"/>
              <w:spacing w:after="0"/>
              <w:rPr>
                <w:sz w:val="20"/>
                <w:szCs w:val="20"/>
                <w:color w:val="auto"/>
              </w:rPr>
            </w:pPr>
            <w:r>
              <w:rPr>
                <w:rFonts w:ascii="Arial" w:cs="Arial" w:eastAsia="Arial" w:hAnsi="Arial"/>
                <w:sz w:val="16"/>
                <w:szCs w:val="16"/>
                <w:b w:val="1"/>
                <w:bCs w:val="1"/>
                <w:color w:val="auto"/>
              </w:rPr>
              <w:t>Year ended December 31,</w:t>
            </w:r>
          </w:p>
        </w:tc>
      </w:tr>
      <w:tr>
        <w:trPr>
          <w:trHeight w:val="208"/>
        </w:trPr>
        <w:tc>
          <w:tcPr>
            <w:tcW w:w="7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18"/>
                <w:szCs w:val="18"/>
                <w:color w:val="auto"/>
              </w:rPr>
            </w:pPr>
          </w:p>
        </w:tc>
      </w:tr>
      <w:tr>
        <w:trPr>
          <w:trHeight w:val="183"/>
        </w:trPr>
        <w:tc>
          <w:tcPr>
            <w:tcW w:w="71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Cash and cash equivalents</w:t>
            </w:r>
          </w:p>
        </w:tc>
        <w:tc>
          <w:tcPr>
            <w:tcW w:w="94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98"/>
              <w:spacing w:after="0" w:line="183" w:lineRule="exact"/>
              <w:rPr>
                <w:sz w:val="20"/>
                <w:szCs w:val="20"/>
                <w:color w:val="auto"/>
              </w:rPr>
            </w:pPr>
            <w:r>
              <w:rPr>
                <w:rFonts w:ascii="Arial" w:cs="Arial" w:eastAsia="Arial" w:hAnsi="Arial"/>
                <w:sz w:val="16"/>
                <w:szCs w:val="16"/>
                <w:color w:val="auto"/>
              </w:rPr>
              <w:t>13,994</w:t>
            </w:r>
          </w:p>
        </w:tc>
        <w:tc>
          <w:tcPr>
            <w:tcW w:w="620" w:type="dxa"/>
            <w:vAlign w:val="bottom"/>
            <w:shd w:val="clear" w:color="auto" w:fill="CCEEFF"/>
          </w:tcPr>
          <w:p>
            <w:pPr>
              <w:jc w:val="right"/>
              <w:ind w:right="78"/>
              <w:spacing w:after="0" w:line="183" w:lineRule="exact"/>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7,958</w:t>
            </w:r>
          </w:p>
        </w:tc>
        <w:tc>
          <w:tcPr>
            <w:tcW w:w="40" w:type="dxa"/>
            <w:vAlign w:val="bottom"/>
            <w:shd w:val="clear" w:color="auto" w:fill="CCEEFF"/>
          </w:tcPr>
          <w:p>
            <w:pPr>
              <w:spacing w:after="0"/>
              <w:rPr>
                <w:sz w:val="15"/>
                <w:szCs w:val="15"/>
                <w:color w:val="auto"/>
              </w:rPr>
            </w:pPr>
          </w:p>
        </w:tc>
      </w:tr>
      <w:tr>
        <w:trPr>
          <w:trHeight w:val="196"/>
        </w:trPr>
        <w:tc>
          <w:tcPr>
            <w:tcW w:w="7100" w:type="dxa"/>
            <w:vAlign w:val="bottom"/>
          </w:tcPr>
          <w:p>
            <w:pPr>
              <w:spacing w:after="0"/>
              <w:rPr>
                <w:sz w:val="20"/>
                <w:szCs w:val="20"/>
                <w:color w:val="auto"/>
              </w:rPr>
            </w:pPr>
            <w:r>
              <w:rPr>
                <w:rFonts w:ascii="Arial" w:cs="Arial" w:eastAsia="Arial" w:hAnsi="Arial"/>
                <w:sz w:val="16"/>
                <w:szCs w:val="16"/>
                <w:color w:val="auto"/>
              </w:rPr>
              <w:t>Restricted cash</w:t>
            </w:r>
          </w:p>
        </w:tc>
        <w:tc>
          <w:tcPr>
            <w:tcW w:w="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461</w:t>
            </w:r>
          </w:p>
        </w:tc>
        <w:tc>
          <w:tcPr>
            <w:tcW w:w="6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w:t>
            </w:r>
          </w:p>
        </w:tc>
        <w:tc>
          <w:tcPr>
            <w:tcW w:w="40" w:type="dxa"/>
            <w:vAlign w:val="bottom"/>
          </w:tcPr>
          <w:p>
            <w:pPr>
              <w:spacing w:after="0"/>
              <w:rPr>
                <w:sz w:val="17"/>
                <w:szCs w:val="17"/>
                <w:color w:val="auto"/>
              </w:rPr>
            </w:pPr>
          </w:p>
        </w:tc>
      </w:tr>
      <w:tr>
        <w:trPr>
          <w:trHeight w:val="190"/>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in the consolidated statements of cash flows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rPr>
              <w:t>14,455</w:t>
            </w:r>
          </w:p>
        </w:tc>
        <w:tc>
          <w:tcPr>
            <w:tcW w:w="6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8,830</w:t>
            </w:r>
          </w:p>
        </w:tc>
        <w:tc>
          <w:tcPr>
            <w:tcW w:w="40" w:type="dxa"/>
            <w:vAlign w:val="bottom"/>
            <w:shd w:val="clear" w:color="auto" w:fill="CCEEFF"/>
          </w:tcPr>
          <w:p>
            <w:pPr>
              <w:spacing w:after="0"/>
              <w:rPr>
                <w:sz w:val="16"/>
                <w:szCs w:val="16"/>
                <w:color w:val="auto"/>
              </w:rPr>
            </w:pPr>
          </w:p>
        </w:tc>
      </w:tr>
      <w:tr>
        <w:trPr>
          <w:trHeight w:val="20"/>
        </w:trPr>
        <w:tc>
          <w:tcPr>
            <w:tcW w:w="7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Concentration of credit risk and other risks and uncertainties</w:t>
      </w:r>
    </w:p>
    <w:p>
      <w:pPr>
        <w:spacing w:after="0" w:line="128" w:lineRule="exact"/>
        <w:rPr>
          <w:sz w:val="20"/>
          <w:szCs w:val="20"/>
          <w:color w:val="auto"/>
        </w:rPr>
      </w:pPr>
    </w:p>
    <w:p>
      <w:pPr>
        <w:ind w:left="460" w:right="40"/>
        <w:spacing w:after="0" w:line="251" w:lineRule="auto"/>
        <w:rPr>
          <w:sz w:val="20"/>
          <w:szCs w:val="20"/>
          <w:color w:val="auto"/>
        </w:rPr>
      </w:pPr>
      <w:r>
        <w:rPr>
          <w:rFonts w:ascii="Arial" w:cs="Arial" w:eastAsia="Arial" w:hAnsi="Arial"/>
          <w:sz w:val="16"/>
          <w:szCs w:val="16"/>
          <w:color w:val="auto"/>
        </w:rPr>
        <w:t>Financial instruments which potentially subject the Company to concentration of credit risk consist primarily of cash, cash equivalents, short-term investments and accounts receivable. The Company’s policy is to invest cash in institutional money market funds and marketable securities of the U.S. government to limit the amount of credit exposure. The Company currently maintains a portfolio of cash equivalents and short-term investments in short-term money market funds and U.S. treasury bills. Additionally, the Company has established guidelines regarding diversification of its investments and their maturities, which are designed to maintain principal and maximize liquidity. The Company has not experienced material losses on cash equivalents and short-term investments.</w:t>
      </w:r>
    </w:p>
    <w:p>
      <w:pPr>
        <w:spacing w:after="0" w:line="88" w:lineRule="exact"/>
        <w:rPr>
          <w:sz w:val="20"/>
          <w:szCs w:val="20"/>
          <w:color w:val="auto"/>
        </w:rPr>
      </w:pPr>
    </w:p>
    <w:p>
      <w:pPr>
        <w:ind w:left="460" w:right="60"/>
        <w:spacing w:after="0" w:line="253" w:lineRule="auto"/>
        <w:rPr>
          <w:sz w:val="20"/>
          <w:szCs w:val="20"/>
          <w:color w:val="auto"/>
        </w:rPr>
      </w:pPr>
      <w:r>
        <w:rPr>
          <w:rFonts w:ascii="Arial" w:cs="Arial" w:eastAsia="Arial" w:hAnsi="Arial"/>
          <w:sz w:val="16"/>
          <w:szCs w:val="16"/>
          <w:color w:val="auto"/>
        </w:rPr>
        <w:t>The Company’s products require approval from the FDA and foreign regulatory agencies before commercial sales can commence. There can be no assurance that the Company’s products will receive any of these required approvals. The denial or delay of such approvals may have a material adverse impact on the Company’s business and may impact business in the future. In addition, after the approval by the FDA, there is still an ongoing risk of adverse events that did not appear during the device approval process.</w:t>
      </w:r>
    </w:p>
    <w:p>
      <w:pPr>
        <w:spacing w:after="0" w:line="86" w:lineRule="exact"/>
        <w:rPr>
          <w:sz w:val="20"/>
          <w:szCs w:val="20"/>
          <w:color w:val="auto"/>
        </w:rPr>
      </w:pPr>
    </w:p>
    <w:p>
      <w:pPr>
        <w:ind w:left="460" w:right="40"/>
        <w:spacing w:after="0" w:line="253" w:lineRule="auto"/>
        <w:rPr>
          <w:sz w:val="20"/>
          <w:szCs w:val="20"/>
          <w:color w:val="auto"/>
        </w:rPr>
      </w:pPr>
      <w:r>
        <w:rPr>
          <w:rFonts w:ascii="Arial" w:cs="Arial" w:eastAsia="Arial" w:hAnsi="Arial"/>
          <w:sz w:val="16"/>
          <w:szCs w:val="16"/>
          <w:color w:val="auto"/>
        </w:rPr>
        <w:t>The Company is subject to risks common to companies in the medical device industry, including, but not limited to, new technological innovations, clinical development risk, establishment of appropriate commercial partnerships, protection of proprietary technology, compliance with government and environmental regulations, uncertainty of market acceptance of our products, product liability and the need to obtain additional financing.</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Accounts receivable</w:t>
      </w:r>
    </w:p>
    <w:p>
      <w:pPr>
        <w:spacing w:after="0" w:line="128" w:lineRule="exact"/>
        <w:rPr>
          <w:sz w:val="20"/>
          <w:szCs w:val="20"/>
          <w:color w:val="auto"/>
        </w:rPr>
      </w:pPr>
    </w:p>
    <w:p>
      <w:pPr>
        <w:ind w:left="460" w:right="240"/>
        <w:spacing w:after="0" w:line="256" w:lineRule="auto"/>
        <w:rPr>
          <w:sz w:val="20"/>
          <w:szCs w:val="20"/>
          <w:color w:val="auto"/>
        </w:rPr>
      </w:pPr>
      <w:r>
        <w:rPr>
          <w:rFonts w:ascii="Arial" w:cs="Arial" w:eastAsia="Arial" w:hAnsi="Arial"/>
          <w:sz w:val="16"/>
          <w:szCs w:val="16"/>
          <w:color w:val="auto"/>
        </w:rPr>
        <w:t>Accounts receivable pertain to contracts with customers who are granted credit by the Company in the ordinary course of business and are recorded at net realizable value. Accounts receivable are generally due 30 days after invoicing. The Company reserves for bad debts by establishing an allowance for doubtful accounts. The</w:t>
      </w:r>
    </w:p>
    <w:p>
      <w:pPr>
        <w:spacing w:after="0" w:line="121"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0800"/>
          </w:cols>
          <w:pgMar w:left="320" w:top="441" w:right="779" w:bottom="1440" w:gutter="0" w:footer="0" w:header="0"/>
        </w:sectPr>
      </w:pPr>
    </w:p>
    <w:bookmarkStart w:id="237" w:name="page238"/>
    <w:bookmarkEnd w:id="2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80"/>
        <w:spacing w:after="0" w:line="250" w:lineRule="auto"/>
        <w:rPr>
          <w:sz w:val="20"/>
          <w:szCs w:val="20"/>
          <w:color w:val="auto"/>
        </w:rPr>
      </w:pPr>
      <w:r>
        <w:rPr>
          <w:rFonts w:ascii="Arial" w:cs="Arial" w:eastAsia="Arial" w:hAnsi="Arial"/>
          <w:sz w:val="16"/>
          <w:szCs w:val="16"/>
          <w:color w:val="auto"/>
        </w:rPr>
        <w:t>allowance is developed using an aging of receivables where receivables are segregated into various categories based upon due date, and a historical loss percentage is applied to each category that is adjusted for current receivable composition, specific risk, prevailing economic condition and supportable forecasted economic conditions. Once a receivable is deemed uncollectible after collection efforts have been exhausted, it is written off against the allowance for doubtful accounts. The Company closely monitors the credit quality of its customers and has yet to experience a credit loss. The Company does not generally require collateral or other security on receivables. As of December 31, 2020, the Company had one customer who individually accounted for approximately 35% of gross accounts receivable, and as of December 31, 2019, the Company had four customers who individually accounted for approximately 22%, 22%, 21% and 19% of gross accounts receivable. After evaluation of the collectability of accounts receivable, the Company did not record an allowance for doubtful accounts as of December 31, 2020 and 2019.</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Inventories</w:t>
      </w:r>
    </w:p>
    <w:p>
      <w:pPr>
        <w:spacing w:after="0" w:line="128"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Inventories consist of raw materials, work-in-process and finished goods. Raw materials are comprised of chemicals and parts used in the production of the Company lenses, injectors, and LDDs. Finished goods are comprised of lenses, injectors, accessories and LDDs. Inventories are valued at the lower of cost or net realizable value. Cost is computed using standard cost, which approximates actual cost on a first-in, first-out basis. The carrying value of inventories is reviewed for potential impairment whenever indicators suggest that the cost of inventories exceeds the carrying value and management adjusts the inventories to its net realizable value. The cost of finished goods and work-in-process is comprised of raw materials, direct labor, other direct costs and related production overhead to the extent that these costs do not exceed the net realizable value of the goods produced. For the first six months of the year ended December 31, 2019, the Company was developing its production processes for the LDD and completing its qualification and validation of the manufacturing processes. Inventories built during this time was produced to complete the validation and finalize the development and manufacturability of the LDD for commercial production. As such, certain direct and indirect costs related to production during this time in excess of net realizable value were not capitalized as inventories and were included in research and development costs in the accompanying consolidated statement of operations and comprehensive income for the year ended December 31, 2019. The amount charged to research and development for the year ended 2019 was $1.2 million. The Company periodically reviews inventories for potential impairment and adjusts inventories for estimated losses from obsolescence, material expirations or unmarketable inventories and writes down the cost of inventories to net realizable value at the time such determinations are made.</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Long-lived assets</w:t>
      </w:r>
    </w:p>
    <w:p>
      <w:pPr>
        <w:spacing w:after="0" w:line="128" w:lineRule="exact"/>
        <w:rPr>
          <w:sz w:val="20"/>
          <w:szCs w:val="20"/>
          <w:color w:val="auto"/>
        </w:rPr>
      </w:pPr>
    </w:p>
    <w:p>
      <w:pPr>
        <w:ind w:left="460" w:right="140"/>
        <w:spacing w:after="0" w:line="253" w:lineRule="auto"/>
        <w:rPr>
          <w:sz w:val="20"/>
          <w:szCs w:val="20"/>
          <w:color w:val="auto"/>
        </w:rPr>
      </w:pPr>
      <w:r>
        <w:rPr>
          <w:rFonts w:ascii="Arial" w:cs="Arial" w:eastAsia="Arial" w:hAnsi="Arial"/>
          <w:sz w:val="16"/>
          <w:szCs w:val="16"/>
          <w:color w:val="auto"/>
        </w:rPr>
        <w:t>Property and equipment and leasehold improvements are recorded at cost, net of accumulated depreciation and amortization. Property and equipment are depreciated over the estimated useful lives of the related assets, generally three to five years, using a straight-line method. Leasehold improvements are amortized on the straight-line method over the shorter of the lease term or their estimated economic lives. Repairs and maintenance costs are charged directly to operations as incurred, while renewals and betterments are capitalized.</w:t>
      </w:r>
    </w:p>
    <w:p>
      <w:pPr>
        <w:spacing w:after="0" w:line="86" w:lineRule="exact"/>
        <w:rPr>
          <w:sz w:val="20"/>
          <w:szCs w:val="20"/>
          <w:color w:val="auto"/>
        </w:rPr>
      </w:pPr>
    </w:p>
    <w:p>
      <w:pPr>
        <w:ind w:left="460" w:right="40"/>
        <w:spacing w:after="0" w:line="251" w:lineRule="auto"/>
        <w:rPr>
          <w:sz w:val="20"/>
          <w:szCs w:val="20"/>
          <w:color w:val="auto"/>
        </w:rPr>
      </w:pPr>
      <w:r>
        <w:rPr>
          <w:rFonts w:ascii="Arial" w:cs="Arial" w:eastAsia="Arial" w:hAnsi="Arial"/>
          <w:sz w:val="16"/>
          <w:szCs w:val="16"/>
          <w:color w:val="auto"/>
        </w:rPr>
        <w:t>All long-lived assets are reviewed for impairment whenever circumstances such as events or changes in the business indicate that an asset or asset group’s carrying value may not be recoverable based on undiscounted future operating cash flows to be derived from their use. Factors that are considered important that could trigger an impairment review include a current period operating or cash flow loss or a history of operating or cash flow losses and a projection or forecast that demonstrates continuing losses or insufficient income associated with the use of a long-lived asset or asset group. Other factors include a significant change in the manner of the use of the asset or a significant negative industry or economic trend. This evaluation is</w:t>
      </w:r>
    </w:p>
    <w:p>
      <w:pPr>
        <w:spacing w:after="0" w:line="126"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0740"/>
          </w:cols>
          <w:pgMar w:left="320" w:top="441" w:right="839" w:bottom="1440" w:gutter="0" w:footer="0" w:header="0"/>
        </w:sectPr>
      </w:pPr>
    </w:p>
    <w:bookmarkStart w:id="238" w:name="page239"/>
    <w:bookmarkEnd w:id="2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60"/>
        <w:spacing w:after="0" w:line="252" w:lineRule="auto"/>
        <w:rPr>
          <w:sz w:val="20"/>
          <w:szCs w:val="20"/>
          <w:color w:val="auto"/>
        </w:rPr>
      </w:pPr>
      <w:r>
        <w:rPr>
          <w:rFonts w:ascii="Arial" w:cs="Arial" w:eastAsia="Arial" w:hAnsi="Arial"/>
          <w:sz w:val="16"/>
          <w:szCs w:val="16"/>
          <w:color w:val="auto"/>
        </w:rPr>
        <w:t>performed based on estimated undiscounted future cash flows from operating activities compared with the carrying value of the related assets. If the undiscounted future cash flows are less than the carrying value, an impairment loss is recognized, measured by the difference between the carrying value and the estimated fair value of the assets. Fair value is determined primarily using the discounted cash flows expected to be generated from the use of assets. Significant management judgment is required in the forecast of future operating results that are used in the preparation of expected cash flows.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Leases</w:t>
      </w:r>
    </w:p>
    <w:p>
      <w:pPr>
        <w:spacing w:after="0" w:line="128"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Lease right-of-use assets represent the Company’s right to use an underlying asset for the lease term, and lease liabilities represent the Company’s obligation to make lease payments arising from the lease. Operating lease right-of-use assets and liabilities are recognized when the Company takes possession of the leased property (the “Commencement Date”) based on the present value of lease payments over the lease term. The Company estimates the incremental borrowing rate based upon the cost of its own debt financing, current market interest rates and quoted offerings or the rate implicit in the lease. Operating lease right-of-use assets also include any lease payments made at or before lease commencement and exclude any lease incentives received. The lease terms used to calculate the right-of-use asset and related lease liability include options to extend or terminate the lease when it is reasonably certain that the Company will exercise that option.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accompanying consolidated balance sheets. Landlord improvement allowances and other such lease incentives are recorded as property and equipment and as reduction of the right-of-use leased assets and are amortized on a straight-line basis as a reduction to operating lease costs. Leases with an initial term of 12 months or less are expensed as incurred and are not recorded as right-of-use assets on the consolidated balance sheets (see Note 15 – Leases).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128"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The Company uses fair value measurements to record fair value adjustments to certain assets and liabilities and to determine fair value disclosures. The Company’s financial instruments consist principally of cash, cash equivalents, short-term investments, accounts receivable, accounts payable, operating lease liabilities, warrant liabilities and a term loan. Fair value is measured as the price that would be received from the sale of an asset or paid to transfer a liability in the principal or most advantageous market for the asset or liability in an orderly transaction between market participants on the measurement date. Valuation techniques that are consistent with the market, income or cost approach are used to measure fair value. The fair value hierarchy prioritizes the inputs to valuation techniques used to measure fair value into three levels:</w:t>
      </w:r>
    </w:p>
    <w:p>
      <w:pPr>
        <w:spacing w:after="0" w:line="278" w:lineRule="exact"/>
        <w:rPr>
          <w:sz w:val="20"/>
          <w:szCs w:val="20"/>
          <w:color w:val="auto"/>
        </w:rPr>
      </w:pPr>
    </w:p>
    <w:p>
      <w:pPr>
        <w:ind w:left="860" w:right="560"/>
        <w:spacing w:after="0" w:line="265" w:lineRule="auto"/>
        <w:rPr>
          <w:sz w:val="20"/>
          <w:szCs w:val="20"/>
          <w:color w:val="auto"/>
        </w:rPr>
      </w:pPr>
      <w:r>
        <w:rPr>
          <w:rFonts w:ascii="Arial" w:cs="Arial" w:eastAsia="Arial" w:hAnsi="Arial"/>
          <w:sz w:val="16"/>
          <w:szCs w:val="16"/>
          <w:color w:val="auto"/>
        </w:rPr>
        <w:t>Level 1—Observable inputs such as unadjusted quoted prices in active markets that are accessible at the measurement date for identical unrestricted assets or liabilities.</w:t>
      </w:r>
    </w:p>
    <w:p>
      <w:pPr>
        <w:spacing w:after="0" w:line="75" w:lineRule="exact"/>
        <w:rPr>
          <w:sz w:val="20"/>
          <w:szCs w:val="20"/>
          <w:color w:val="auto"/>
        </w:rPr>
      </w:pPr>
    </w:p>
    <w:p>
      <w:pPr>
        <w:ind w:left="860" w:right="60"/>
        <w:spacing w:after="0" w:line="252" w:lineRule="auto"/>
        <w:rPr>
          <w:sz w:val="20"/>
          <w:szCs w:val="20"/>
          <w:color w:val="auto"/>
        </w:rPr>
      </w:pPr>
      <w:r>
        <w:rPr>
          <w:rFonts w:ascii="Arial" w:cs="Arial" w:eastAsia="Arial" w:hAnsi="Arial"/>
          <w:sz w:val="16"/>
          <w:szCs w:val="16"/>
          <w:color w:val="auto"/>
        </w:rPr>
        <w:t>Level 2—Inputs (other than quoted prices included in Level 1) that are either directly or indirectly observable for the asset or liability, for substantially the full term of the asset or liability,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w:t>
      </w:r>
    </w:p>
    <w:p>
      <w:pPr>
        <w:spacing w:after="0" w:line="86" w:lineRule="exact"/>
        <w:rPr>
          <w:sz w:val="20"/>
          <w:szCs w:val="20"/>
          <w:color w:val="auto"/>
        </w:rPr>
      </w:pPr>
    </w:p>
    <w:p>
      <w:pPr>
        <w:ind w:left="860" w:right="600"/>
        <w:spacing w:after="0" w:line="265" w:lineRule="auto"/>
        <w:rPr>
          <w:sz w:val="20"/>
          <w:szCs w:val="20"/>
          <w:color w:val="auto"/>
        </w:rPr>
      </w:pPr>
      <w:r>
        <w:rPr>
          <w:rFonts w:ascii="Arial" w:cs="Arial" w:eastAsia="Arial" w:hAnsi="Arial"/>
          <w:sz w:val="16"/>
          <w:szCs w:val="16"/>
          <w:color w:val="auto"/>
        </w:rPr>
        <w:t>Level 3—One or more significant inputs that are unobservable and supported by little or no market activity and reflect the use of significant management judgment and assumptions. Level 3 assets and liabilities</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0760"/>
          </w:cols>
          <w:pgMar w:left="320" w:top="441" w:right="819" w:bottom="1440" w:gutter="0" w:footer="0" w:header="0"/>
        </w:sectPr>
      </w:pPr>
    </w:p>
    <w:bookmarkStart w:id="239" w:name="page240"/>
    <w:bookmarkEnd w:id="2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860" w:right="120"/>
        <w:spacing w:after="0" w:line="256" w:lineRule="auto"/>
        <w:rPr>
          <w:sz w:val="20"/>
          <w:szCs w:val="20"/>
          <w:color w:val="auto"/>
        </w:rPr>
      </w:pPr>
      <w:r>
        <w:rPr>
          <w:rFonts w:ascii="Arial" w:cs="Arial" w:eastAsia="Arial" w:hAnsi="Arial"/>
          <w:sz w:val="16"/>
          <w:szCs w:val="16"/>
          <w:color w:val="auto"/>
        </w:rPr>
        <w:t>include those whose fair value measurements are determined using pricing models, discounted cash flow methodologies or similar valuation techniques and significant management judgment or estimation. These include the Black-Scholes option-pricing model which uses inputs such as expected volatility, risk-free interest rate and expected term to determine fair market valuation.</w:t>
      </w:r>
    </w:p>
    <w:p>
      <w:pPr>
        <w:spacing w:after="0" w:line="83" w:lineRule="exact"/>
        <w:rPr>
          <w:sz w:val="20"/>
          <w:szCs w:val="20"/>
          <w:color w:val="auto"/>
        </w:rPr>
      </w:pPr>
    </w:p>
    <w:p>
      <w:pPr>
        <w:ind w:left="460" w:right="60"/>
        <w:spacing w:after="0" w:line="253" w:lineRule="auto"/>
        <w:rPr>
          <w:sz w:val="20"/>
          <w:szCs w:val="20"/>
          <w:color w:val="auto"/>
        </w:rPr>
      </w:pPr>
      <w:r>
        <w:rPr>
          <w:rFonts w:ascii="Arial" w:cs="Arial" w:eastAsia="Arial" w:hAnsi="Arial"/>
          <w:sz w:val="16"/>
          <w:szCs w:val="16"/>
          <w:color w:val="auto"/>
        </w:rPr>
        <w:t>Assets and liabilities are classified based on the lowest level of input that is significant to the fair value measurements. The Company reviews the fair value hierarchy classification at each reporting date.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w:t>
      </w:r>
    </w:p>
    <w:p>
      <w:pPr>
        <w:spacing w:after="0" w:line="86" w:lineRule="exact"/>
        <w:rPr>
          <w:sz w:val="20"/>
          <w:szCs w:val="20"/>
          <w:color w:val="auto"/>
        </w:rPr>
      </w:pPr>
    </w:p>
    <w:p>
      <w:pPr>
        <w:ind w:left="460" w:right="20"/>
        <w:spacing w:after="0" w:line="252" w:lineRule="auto"/>
        <w:rPr>
          <w:sz w:val="20"/>
          <w:szCs w:val="20"/>
          <w:color w:val="auto"/>
        </w:rPr>
      </w:pPr>
      <w:r>
        <w:rPr>
          <w:rFonts w:ascii="Arial" w:cs="Arial" w:eastAsia="Arial" w:hAnsi="Arial"/>
          <w:sz w:val="16"/>
          <w:szCs w:val="16"/>
          <w:color w:val="auto"/>
        </w:rPr>
        <w:t>Cash, cash equivalents, accounts receivable and accounts payable are carried at their estimated fair value because of the short-term nature of these assets and liabilities. The Company’s short-term investments in government securities are carried at fair value, determined based on publicly available quoted market prices for identical securities at the measurement date. The Company believes the fair values of its operating lease liabilities and term loan at December 31, 2020 and 2019 approximated their carrying values, based on the borrowing rates that were available for loans with similar terms as of that date.</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Warrants to purchase stock</w:t>
      </w:r>
    </w:p>
    <w:p>
      <w:pPr>
        <w:spacing w:after="0" w:line="128"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The Company recognizes the freestanding warrants to purchase shares of redeemable convertible preferred stock as liabilities at fair value as these warrant instruments are embedded in contracts that may be cash settled. The redeemable convertible preferred stock warrants were issued for no cash consideration as detachable freestanding instruments but can be converted to redeemable convertible preferred stock at the holder’s option based on the exercise price of the warrant. However, the deemed liquidation provisions of the redeemable convertible preferred stock are considered contingent redemption provisions that are not solely within the control of the Company. Therefore, the redeemable convertible preferred stock is classified in temporary equity on the accompanying consolidated balance sheets, and the warrants to purchase the redeemable convertible preferred stock are classified as liabilities. The Company recognized a freestanding warrant to purchase a share of Series W common stock as a liability at fair value because this instrument is not indexed to the Company’s own stock as the settlement calculation incorporates variables other than those used to determine the fair value of a fixed-for-fixed forward or option on equity shares. The common stock warrant was issued for cash consideration as a freestanding instrument and can be converted to one share of common stock, Series W, at the holder’s option based on the exercise price of the warrant.</w:t>
      </w:r>
    </w:p>
    <w:p>
      <w:pPr>
        <w:spacing w:after="0" w:line="94" w:lineRule="exact"/>
        <w:rPr>
          <w:sz w:val="20"/>
          <w:szCs w:val="20"/>
          <w:color w:val="auto"/>
        </w:rPr>
      </w:pPr>
    </w:p>
    <w:p>
      <w:pPr>
        <w:ind w:left="460" w:right="60"/>
        <w:spacing w:after="0" w:line="249" w:lineRule="auto"/>
        <w:rPr>
          <w:sz w:val="20"/>
          <w:szCs w:val="20"/>
          <w:color w:val="auto"/>
        </w:rPr>
      </w:pPr>
      <w:r>
        <w:rPr>
          <w:rFonts w:ascii="Arial" w:cs="Arial" w:eastAsia="Arial" w:hAnsi="Arial"/>
          <w:sz w:val="16"/>
          <w:szCs w:val="16"/>
          <w:color w:val="auto"/>
        </w:rPr>
        <w:t>The warrants were recorded on the accompanying consolidated balance sheets at their fair value on the date of issuance and are subject to re-measurement to fair value at each balance sheet date. Changes in fair value are recognized as a component of other income (expense), net in the accompanying consolidated statements of operations and comprehensive income. Upon issuance of the Series W common stock warrant, the Company engaged valuation specialists to assist with determining its fair value using a Monte Carlo simulation approach. In addition, the Company engaged the valuation specialists to derive an estimated fair value of the preferred stock warrants using a probability weighted expected return model/option pricing model (“PWERM/OPM”) hybrid valuation model. The Company will continue to adjust the warrant liabilities for changes in fair value until the earlier of the exercise or expiration of the warrants, the completion of a deemed liquidation event, including the Special Redemption (see Note 9), the conversion of convertible preferred stock into common stock or until the holders of the convertible preferred stock can no longer trigger a deemed liquidation event. Pursuant to the terms of the preferred stock warrants, upon the conversion of the class of preferred stock underlying the warrant, the warrants automatically become exercisable for shares of the Company’s common stock based upon the conversion ratio of the underlying class of preferred stock. The exercise of the common stock warrant or consummation of a qualified initial public offering will result in the automatic conversion of all</w:t>
      </w:r>
    </w:p>
    <w:p>
      <w:pPr>
        <w:spacing w:after="0" w:line="131"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0780"/>
          </w:cols>
          <w:pgMar w:left="320" w:top="441" w:right="799" w:bottom="1440" w:gutter="0" w:footer="0" w:header="0"/>
        </w:sectPr>
      </w:pPr>
    </w:p>
    <w:bookmarkStart w:id="240" w:name="page241"/>
    <w:bookmarkEnd w:id="2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680"/>
        <w:spacing w:after="0" w:line="265" w:lineRule="auto"/>
        <w:rPr>
          <w:sz w:val="20"/>
          <w:szCs w:val="20"/>
          <w:color w:val="auto"/>
        </w:rPr>
      </w:pPr>
      <w:r>
        <w:rPr>
          <w:rFonts w:ascii="Arial" w:cs="Arial" w:eastAsia="Arial" w:hAnsi="Arial"/>
          <w:sz w:val="16"/>
          <w:szCs w:val="16"/>
          <w:color w:val="auto"/>
        </w:rPr>
        <w:t>classes of the Company’s preferred stock into common stock. Upon such conversion of the underlying classes of preferred stock, the warrants will be classified as a component of equity and will no longer be subject to remeasurement.</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28"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The Company accounts for stock options on the date of grant to employees, directors and consultants based on the estimated fair value of the award, which requires the recognition of compensation expense for all equity-based payments, including stock options. The fair value of the awards is estimated using the Black-Scholes option-pricing model and recognized in expense in the consolidated statement of operations and comprehensive income over requisite service period, which is generally four years. The Company amortizes the stock-based compensation for equity awards with service conditions on a straight-line basis over the vesting period of the awards. Certain executives and consultants have been granted stock options that contain performance conditions. Compensation cost for stock options with performance conditions is recognized based upon the probability of that performance condition being met. Forfeitures of unvested stock option awards are recognized as reductions of expense as they occur.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Black-Scholes option-pricing model requires the use of assumptions about a number of variables, such as the fair value of the</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Company’s common stock, the risk-free interest rate, dividend yield, expected term and expected volatility:</w:t>
      </w:r>
    </w:p>
    <w:p>
      <w:pPr>
        <w:spacing w:after="0" w:line="120" w:lineRule="exact"/>
        <w:rPr>
          <w:sz w:val="20"/>
          <w:szCs w:val="20"/>
          <w:color w:val="auto"/>
        </w:rPr>
      </w:pPr>
    </w:p>
    <w:p>
      <w:pPr>
        <w:ind w:left="660" w:right="40" w:hanging="209"/>
        <w:spacing w:after="0" w:line="250" w:lineRule="auto"/>
        <w:tabs>
          <w:tab w:leader="none" w:pos="6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Given the absence of a public trading market, the fair value of the Company’s common stock is determined by the Company’s Board of Directors (the “Board”) at the time of each option grant by considering a number of objective and subjective factors. These factors include the valuation of a select group of public peer group companies within the medical device industry that focus on technological advances and development that the Board believes is comparable to the Company’s operations; operating and financial performance; the lack of liquidity of the common stock and trends in the broader economy and medical device industry also impact the determination of the fair value of the common stock. In addition, the Company regularly engages a third-party valuation specialist to assist with estimates related to the valuation of the Company’s common stock;</w:t>
      </w:r>
    </w:p>
    <w:p>
      <w:pPr>
        <w:spacing w:after="0" w:line="103" w:lineRule="exact"/>
        <w:rPr>
          <w:rFonts w:ascii="Arial" w:cs="Arial" w:eastAsia="Arial" w:hAnsi="Arial"/>
          <w:sz w:val="16"/>
          <w:szCs w:val="16"/>
          <w:color w:val="auto"/>
        </w:rPr>
      </w:pPr>
    </w:p>
    <w:p>
      <w:pPr>
        <w:ind w:left="660" w:right="300" w:hanging="209"/>
        <w:spacing w:after="0" w:line="265" w:lineRule="auto"/>
        <w:tabs>
          <w:tab w:leader="none" w:pos="6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risk-free interest rate used is based on the published U.S. Department of Treasury interest rates in effect at the time of stock option grant for zero coupon U.S. Treasury notes with maturities approximating each grant’s expected term;</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dividend yield is zero as the Company has not paid dividends and does not anticipate paying a cash dividend in the foreseeable future;</w:t>
      </w:r>
    </w:p>
    <w:p>
      <w:pPr>
        <w:spacing w:after="0" w:line="120" w:lineRule="exact"/>
        <w:rPr>
          <w:rFonts w:ascii="Arial" w:cs="Arial" w:eastAsia="Arial" w:hAnsi="Arial"/>
          <w:sz w:val="16"/>
          <w:szCs w:val="16"/>
          <w:color w:val="auto"/>
        </w:rPr>
      </w:pPr>
    </w:p>
    <w:p>
      <w:pPr>
        <w:ind w:left="660" w:right="640" w:hanging="209"/>
        <w:spacing w:after="0" w:line="265" w:lineRule="auto"/>
        <w:tabs>
          <w:tab w:leader="none" w:pos="6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expected term for options granted is calculated using the “simplified method” and represents the average time that options are expected to be outstanding based on the mid-point between the vesting date and the end of the contractual term of the award;</w:t>
      </w:r>
    </w:p>
    <w:p>
      <w:pPr>
        <w:spacing w:after="0" w:line="88" w:lineRule="exact"/>
        <w:rPr>
          <w:rFonts w:ascii="Arial" w:cs="Arial" w:eastAsia="Arial" w:hAnsi="Arial"/>
          <w:sz w:val="16"/>
          <w:szCs w:val="16"/>
          <w:color w:val="auto"/>
        </w:rPr>
      </w:pPr>
    </w:p>
    <w:p>
      <w:pPr>
        <w:ind w:left="660" w:right="720" w:hanging="209"/>
        <w:spacing w:after="0" w:line="265" w:lineRule="auto"/>
        <w:tabs>
          <w:tab w:leader="none" w:pos="6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Expected volatility is derived from the historical volatilities of a select group of comparable peer companies, for a look-back period commensurate with the expected term of the stock options, as the Company has no trading history of common stock.</w:t>
      </w:r>
    </w:p>
    <w:p>
      <w:pPr>
        <w:spacing w:after="0" w:line="75" w:lineRule="exact"/>
        <w:rPr>
          <w:sz w:val="20"/>
          <w:szCs w:val="20"/>
          <w:color w:val="auto"/>
        </w:rPr>
      </w:pPr>
    </w:p>
    <w:p>
      <w:pPr>
        <w:ind w:left="460" w:right="20"/>
        <w:spacing w:after="0" w:line="252" w:lineRule="auto"/>
        <w:rPr>
          <w:sz w:val="20"/>
          <w:szCs w:val="20"/>
          <w:color w:val="auto"/>
        </w:rPr>
      </w:pPr>
      <w:r>
        <w:rPr>
          <w:rFonts w:ascii="Arial" w:cs="Arial" w:eastAsia="Arial" w:hAnsi="Arial"/>
          <w:sz w:val="16"/>
          <w:szCs w:val="16"/>
          <w:color w:val="auto"/>
        </w:rPr>
        <w:t>As a result of the Special Redemption provisions of the Company’s Articles of Incorporation (adopted in October 2017), stock option awards are reflected in temporary equity in the accompanying consolidated balance sheet and statement of redeemable common stock, stock options, preferred stock and stockholders’ deficit at their redemption value. The redemption value was calculated as the estimated redemption amount at the estimated date of redemption less the stock option award strike price, recognized over the same period as the grant date fair value share-based compensation expense recorded in the Statements of Operations and Comprehensive</w:t>
      </w:r>
    </w:p>
    <w:p>
      <w:pPr>
        <w:spacing w:after="0" w:line="1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0800"/>
          </w:cols>
          <w:pgMar w:left="320" w:top="441" w:right="779" w:bottom="1440" w:gutter="0" w:footer="0" w:header="0"/>
        </w:sectPr>
      </w:pPr>
    </w:p>
    <w:bookmarkStart w:id="241" w:name="page242"/>
    <w:bookmarkEnd w:id="2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80"/>
        <w:spacing w:after="0" w:line="256" w:lineRule="auto"/>
        <w:rPr>
          <w:sz w:val="20"/>
          <w:szCs w:val="20"/>
          <w:color w:val="auto"/>
        </w:rPr>
      </w:pPr>
      <w:r>
        <w:rPr>
          <w:rFonts w:ascii="Arial" w:cs="Arial" w:eastAsia="Arial" w:hAnsi="Arial"/>
          <w:sz w:val="16"/>
          <w:szCs w:val="16"/>
          <w:color w:val="auto"/>
        </w:rPr>
        <w:t>Income. Changes in the projected redemption value and redemption date are accounted for prospectively. The redemption value reflected in the accompanying financial statements is recorded as a reduction of permanent equity, and in the absence of retained earnings, first from additional paid-in capital and then from accumulated deficit.</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Net income (loss) per share</w:t>
      </w:r>
    </w:p>
    <w:p>
      <w:pPr>
        <w:spacing w:after="0" w:line="128"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The Company computes basic net income (loss) per share to redeemable common stock and Class G common stock using the two-class method required for companies with participating securities based upon the weighted-average number of common shares outstanding during the period. Diluted net income (loss) per share assumes the conversion, exercise or issuance of all potential common stock equivalents, unless the effect of inclusion would be anti-dilutive. For purposes of this calculation, common stock equivalents include the Company’s redeemable stock options, warrants and the shares issuable upon the conversion of the redeemable preferred stock. For redeemable stock options and redeemable preferred stock, the calculation of diluted income (loss) per share includes an adjustment for the additional share of undistributed earnings and accretion to redemption value for the period that the common stockholders are entitled to if exercise is assumed. For warrants that are recorded as a liability in the accompanying consolidated balance sheets, the calculation of diluted income (loss) per share requires that, to the extent the average market price of the underlying shares for the reporting period exceeds the exercise price of the warrants and the presumed exercise of the warrants is dilutive to income (loss) per share for the period, an adjustment is made to net income (loss) used in the calculation to remove the change in fair value of the warrants from the numerator for the period. Likewise, an adjustment to the denominator is required to reflect the related dilutive shares, if any, under the treasury stock method.</w:t>
      </w:r>
    </w:p>
    <w:p>
      <w:pPr>
        <w:spacing w:after="0" w:line="131"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0720"/>
          </w:cols>
          <w:pgMar w:left="320" w:top="440" w:right="859" w:bottom="1440" w:gutter="0" w:footer="0" w:header="0"/>
        </w:sectPr>
      </w:pPr>
    </w:p>
    <w:bookmarkStart w:id="242" w:name="page243"/>
    <w:bookmarkEnd w:id="2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100"/>
        <w:spacing w:after="0" w:line="265" w:lineRule="auto"/>
        <w:rPr>
          <w:sz w:val="20"/>
          <w:szCs w:val="20"/>
          <w:color w:val="auto"/>
        </w:rPr>
      </w:pPr>
      <w:r>
        <w:rPr>
          <w:rFonts w:ascii="Arial" w:cs="Arial" w:eastAsia="Arial" w:hAnsi="Arial"/>
          <w:sz w:val="16"/>
          <w:szCs w:val="16"/>
          <w:color w:val="auto"/>
        </w:rPr>
        <w:t>The following tables show the computation of basic and diluted net income (loss) per share for 2020 and 2019 (redeemable common stock in thousands,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53975</wp:posOffset>
            </wp:positionV>
            <wp:extent cx="6569075" cy="158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60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Redeemable Common Stock</w:t>
            </w: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6040" w:type="dxa"/>
            <w:vAlign w:val="bottom"/>
            <w:gridSpan w:val="2"/>
          </w:tcPr>
          <w:p>
            <w:pPr>
              <w:spacing w:after="0"/>
              <w:rPr>
                <w:sz w:val="20"/>
                <w:szCs w:val="20"/>
                <w:color w:val="auto"/>
              </w:rPr>
            </w:pPr>
            <w:r>
              <w:rPr>
                <w:rFonts w:ascii="Arial" w:cs="Arial" w:eastAsia="Arial" w:hAnsi="Arial"/>
                <w:sz w:val="16"/>
                <w:szCs w:val="16"/>
                <w:color w:val="auto"/>
              </w:rPr>
              <w:t>Numerator:</w:t>
            </w: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available to stockholders, basic</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rPr>
              <w:t>3,366</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26,127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tcPr>
          <w:p>
            <w:pPr>
              <w:ind w:left="180"/>
              <w:spacing w:after="0"/>
              <w:rPr>
                <w:sz w:val="20"/>
                <w:szCs w:val="20"/>
                <w:color w:val="auto"/>
              </w:rPr>
            </w:pPr>
            <w:r>
              <w:rPr>
                <w:rFonts w:ascii="Arial" w:cs="Arial" w:eastAsia="Arial" w:hAnsi="Arial"/>
                <w:sz w:val="16"/>
                <w:szCs w:val="16"/>
                <w:color w:val="auto"/>
              </w:rPr>
              <w:t>Effect of dilutive securities:</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Redeemable preferred stock</w:t>
            </w: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86,670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tcPr>
          <w:p>
            <w:pPr>
              <w:ind w:left="380"/>
              <w:spacing w:after="0"/>
              <w:rPr>
                <w:sz w:val="20"/>
                <w:szCs w:val="20"/>
                <w:color w:val="auto"/>
              </w:rPr>
            </w:pPr>
            <w:r>
              <w:rPr>
                <w:rFonts w:ascii="Arial" w:cs="Arial" w:eastAsia="Arial" w:hAnsi="Arial"/>
                <w:sz w:val="16"/>
                <w:szCs w:val="16"/>
                <w:color w:val="auto"/>
              </w:rPr>
              <w:t>Preferred stock warrants</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ind w:right="278"/>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(2,214)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Redeemable stock options</w:t>
            </w:r>
          </w:p>
        </w:tc>
        <w:tc>
          <w:tcPr>
            <w:tcW w:w="17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rPr>
              <w:t>(2,511)</w:t>
            </w:r>
          </w:p>
        </w:tc>
        <w:tc>
          <w:tcPr>
            <w:tcW w:w="4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Pr>
          <w:p>
            <w:pPr>
              <w:ind w:left="180"/>
              <w:spacing w:after="0"/>
              <w:rPr>
                <w:sz w:val="20"/>
                <w:szCs w:val="20"/>
                <w:color w:val="auto"/>
              </w:rPr>
            </w:pPr>
            <w:r>
              <w:rPr>
                <w:rFonts w:ascii="Arial" w:cs="Arial" w:eastAsia="Arial" w:hAnsi="Arial"/>
                <w:sz w:val="16"/>
                <w:szCs w:val="16"/>
                <w:color w:val="auto"/>
              </w:rPr>
              <w:t>Net income available to stockholders, diluted</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78"/>
              <w:spacing w:after="0"/>
              <w:rPr>
                <w:sz w:val="20"/>
                <w:szCs w:val="20"/>
                <w:color w:val="auto"/>
              </w:rPr>
            </w:pPr>
            <w:r>
              <w:rPr>
                <w:rFonts w:ascii="Arial" w:cs="Arial" w:eastAsia="Arial" w:hAnsi="Arial"/>
                <w:sz w:val="16"/>
                <w:szCs w:val="16"/>
                <w:color w:val="auto"/>
              </w:rPr>
              <w:t>855</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123,405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0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Denominator:</w:t>
            </w: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tcPr>
          <w:p>
            <w:pPr>
              <w:ind w:left="180"/>
              <w:spacing w:after="0"/>
              <w:rPr>
                <w:sz w:val="20"/>
                <w:szCs w:val="20"/>
                <w:color w:val="auto"/>
              </w:rPr>
            </w:pPr>
            <w:r>
              <w:rPr>
                <w:rFonts w:ascii="Arial" w:cs="Arial" w:eastAsia="Arial" w:hAnsi="Arial"/>
                <w:sz w:val="16"/>
                <w:szCs w:val="16"/>
                <w:color w:val="auto"/>
              </w:rPr>
              <w:t>Weighted-average shares outstanding, basic</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ind w:right="278"/>
              <w:spacing w:after="0"/>
              <w:rPr>
                <w:sz w:val="20"/>
                <w:szCs w:val="20"/>
                <w:color w:val="auto"/>
              </w:rPr>
            </w:pPr>
            <w:r>
              <w:rPr>
                <w:rFonts w:ascii="Arial" w:cs="Arial" w:eastAsia="Arial" w:hAnsi="Arial"/>
                <w:sz w:val="16"/>
                <w:szCs w:val="16"/>
                <w:color w:val="auto"/>
              </w:rPr>
              <w:t>3,707,207</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3,429,975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Effect of dilutive securities:</w:t>
            </w: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tcPr>
          <w:p>
            <w:pPr>
              <w:ind w:left="380"/>
              <w:spacing w:after="0"/>
              <w:rPr>
                <w:sz w:val="20"/>
                <w:szCs w:val="20"/>
                <w:color w:val="auto"/>
              </w:rPr>
            </w:pPr>
            <w:r>
              <w:rPr>
                <w:rFonts w:ascii="Arial" w:cs="Arial" w:eastAsia="Arial" w:hAnsi="Arial"/>
                <w:sz w:val="16"/>
                <w:szCs w:val="16"/>
                <w:color w:val="auto"/>
              </w:rPr>
              <w:t>Redeemable preferred stock</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ind w:right="278"/>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14,826,008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Preferred stock warrants</w:t>
            </w: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111,127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Pr>
          <w:p>
            <w:pPr>
              <w:ind w:left="380"/>
              <w:spacing w:after="0"/>
              <w:rPr>
                <w:sz w:val="20"/>
                <w:szCs w:val="20"/>
                <w:color w:val="auto"/>
              </w:rPr>
            </w:pPr>
            <w:r>
              <w:rPr>
                <w:rFonts w:ascii="Arial" w:cs="Arial" w:eastAsia="Arial" w:hAnsi="Arial"/>
                <w:sz w:val="16"/>
                <w:szCs w:val="16"/>
                <w:color w:val="auto"/>
              </w:rPr>
              <w:t>Redeemable stock options</w:t>
            </w:r>
          </w:p>
        </w:tc>
        <w:tc>
          <w:tcPr>
            <w:tcW w:w="17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rPr>
              <w:t>1,825,098</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2,212,893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shares, diluted</w:t>
            </w:r>
          </w:p>
        </w:tc>
        <w:tc>
          <w:tcPr>
            <w:tcW w:w="17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6"/>
                <w:szCs w:val="16"/>
                <w:color w:val="auto"/>
              </w:rPr>
              <w:t>5,532,305</w:t>
            </w:r>
          </w:p>
        </w:tc>
        <w:tc>
          <w:tcPr>
            <w:tcW w:w="4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20,580,003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40" w:type="dxa"/>
            <w:vAlign w:val="bottom"/>
            <w:gridSpan w:val="2"/>
          </w:tcPr>
          <w:p>
            <w:pPr>
              <w:spacing w:after="0"/>
              <w:rPr>
                <w:sz w:val="20"/>
                <w:szCs w:val="20"/>
                <w:color w:val="auto"/>
              </w:rPr>
            </w:pPr>
            <w:r>
              <w:rPr>
                <w:rFonts w:ascii="Arial" w:cs="Arial" w:eastAsia="Arial" w:hAnsi="Arial"/>
                <w:sz w:val="16"/>
                <w:szCs w:val="16"/>
                <w:color w:val="auto"/>
              </w:rPr>
              <w:t>Basic net income per share</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78"/>
              <w:spacing w:after="0"/>
              <w:rPr>
                <w:sz w:val="20"/>
                <w:szCs w:val="20"/>
                <w:color w:val="auto"/>
              </w:rPr>
            </w:pPr>
            <w:r>
              <w:rPr>
                <w:rFonts w:ascii="Arial" w:cs="Arial" w:eastAsia="Arial" w:hAnsi="Arial"/>
                <w:sz w:val="16"/>
                <w:szCs w:val="16"/>
                <w:color w:val="auto"/>
              </w:rPr>
              <w:t>0.91</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Diluted net income per share</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rPr>
              <w:t>0.15</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40" w:type="dxa"/>
            <w:vAlign w:val="bottom"/>
            <w:gridSpan w:val="2"/>
          </w:tcPr>
          <w:p>
            <w:pPr>
              <w:spacing w:after="0"/>
              <w:rPr>
                <w:sz w:val="20"/>
                <w:szCs w:val="20"/>
                <w:color w:val="auto"/>
              </w:rPr>
            </w:pPr>
            <w:r>
              <w:rPr>
                <w:rFonts w:ascii="Arial" w:cs="Arial" w:eastAsia="Arial" w:hAnsi="Arial"/>
                <w:sz w:val="16"/>
                <w:szCs w:val="16"/>
                <w:b w:val="1"/>
                <w:bCs w:val="1"/>
                <w:color w:val="auto"/>
              </w:rPr>
              <w:t>Series G Common Stock</w:t>
            </w: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
        </w:trPr>
        <w:tc>
          <w:tcPr>
            <w:tcW w:w="6040" w:type="dxa"/>
            <w:vAlign w:val="bottom"/>
            <w:gridSpan w:val="2"/>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tcPr>
          <w:p>
            <w:pPr>
              <w:ind w:left="180"/>
              <w:spacing w:after="0"/>
              <w:rPr>
                <w:sz w:val="20"/>
                <w:szCs w:val="20"/>
                <w:color w:val="auto"/>
              </w:rPr>
            </w:pPr>
            <w:r>
              <w:rPr>
                <w:rFonts w:ascii="Arial" w:cs="Arial" w:eastAsia="Arial" w:hAnsi="Arial"/>
                <w:sz w:val="16"/>
                <w:szCs w:val="16"/>
                <w:color w:val="auto"/>
              </w:rPr>
              <w:t>Net income available to stockholder, basic</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8"/>
              <w:spacing w:after="0"/>
              <w:rPr>
                <w:sz w:val="20"/>
                <w:szCs w:val="20"/>
                <w:color w:val="auto"/>
              </w:rPr>
            </w:pPr>
            <w:r>
              <w:rPr>
                <w:rFonts w:ascii="Arial" w:cs="Arial" w:eastAsia="Arial" w:hAnsi="Arial"/>
                <w:sz w:val="16"/>
                <w:szCs w:val="16"/>
                <w:color w:val="auto"/>
              </w:rPr>
              <w:t>(0.39)</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Effect of dilutive securities:</w:t>
            </w: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Pr>
          <w:p>
            <w:pPr>
              <w:ind w:left="380"/>
              <w:spacing w:after="0"/>
              <w:rPr>
                <w:sz w:val="20"/>
                <w:szCs w:val="20"/>
                <w:color w:val="auto"/>
              </w:rPr>
            </w:pPr>
            <w:r>
              <w:rPr>
                <w:rFonts w:ascii="Arial" w:cs="Arial" w:eastAsia="Arial" w:hAnsi="Arial"/>
                <w:sz w:val="16"/>
                <w:szCs w:val="16"/>
                <w:color w:val="auto"/>
              </w:rPr>
              <w:t>Redeemable preferred stock and warrants</w:t>
            </w:r>
          </w:p>
        </w:tc>
        <w:tc>
          <w:tcPr>
            <w:tcW w:w="17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rPr>
              <w:t>(0.23)</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available to stockholder, diluted</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(0.62)</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6040" w:type="dxa"/>
            <w:vAlign w:val="bottom"/>
            <w:gridSpan w:val="2"/>
          </w:tcPr>
          <w:p>
            <w:pPr>
              <w:spacing w:after="0"/>
              <w:rPr>
                <w:sz w:val="20"/>
                <w:szCs w:val="20"/>
                <w:color w:val="auto"/>
              </w:rPr>
            </w:pPr>
            <w:r>
              <w:rPr>
                <w:rFonts w:ascii="Arial" w:cs="Arial" w:eastAsia="Arial" w:hAnsi="Arial"/>
                <w:sz w:val="16"/>
                <w:szCs w:val="16"/>
                <w:color w:val="auto"/>
              </w:rPr>
              <w:t>Denominator:</w:t>
            </w:r>
          </w:p>
        </w:tc>
        <w:tc>
          <w:tcPr>
            <w:tcW w:w="176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shares outstanding, basic and diluted</w:t>
            </w: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rPr>
              <w:t>1</w:t>
            </w: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040" w:type="dxa"/>
            <w:vAlign w:val="bottom"/>
            <w:gridSpan w:val="2"/>
          </w:tcPr>
          <w:p>
            <w:pPr>
              <w:spacing w:after="0"/>
              <w:rPr>
                <w:sz w:val="20"/>
                <w:szCs w:val="20"/>
                <w:color w:val="auto"/>
              </w:rPr>
            </w:pPr>
            <w:r>
              <w:rPr>
                <w:rFonts w:ascii="Arial" w:cs="Arial" w:eastAsia="Arial" w:hAnsi="Arial"/>
                <w:sz w:val="16"/>
                <w:szCs w:val="16"/>
                <w:color w:val="auto"/>
              </w:rPr>
              <w:t>Basic net (loss) income per share</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8"/>
              <w:spacing w:after="0"/>
              <w:rPr>
                <w:sz w:val="20"/>
                <w:szCs w:val="20"/>
                <w:color w:val="auto"/>
              </w:rPr>
            </w:pPr>
            <w:r>
              <w:rPr>
                <w:rFonts w:ascii="Arial" w:cs="Arial" w:eastAsia="Arial" w:hAnsi="Arial"/>
                <w:sz w:val="16"/>
                <w:szCs w:val="16"/>
                <w:color w:val="auto"/>
              </w:rPr>
              <w:t>(0.39)</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Diluted net (loss) income per share</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(0.62)</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right="20"/>
        <w:spacing w:after="0" w:line="253" w:lineRule="auto"/>
        <w:rPr>
          <w:sz w:val="20"/>
          <w:szCs w:val="20"/>
          <w:color w:val="auto"/>
        </w:rPr>
      </w:pPr>
      <w:r>
        <w:rPr>
          <w:rFonts w:ascii="Arial" w:cs="Arial" w:eastAsia="Arial" w:hAnsi="Arial"/>
          <w:sz w:val="16"/>
          <w:szCs w:val="16"/>
          <w:color w:val="auto"/>
        </w:rPr>
        <w:t>For the year ended December 31, 2020, a weighted-average of 1,444,611 shares from redeemable stock options and 14,883,489 shares from redeemable preferred stock and warrants were anti-dilutive and therefore not included in the calculation of diluted net income per share for redeemable common stock. For the year ended December 31, 2019, a weighted-average of 643,040 shares from redeemable stock options were anti-dilutive and therefore not included in the calculation of diluted net income per share for redeemable common stock.</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Income taxes</w:t>
      </w:r>
    </w:p>
    <w:p>
      <w:pPr>
        <w:spacing w:after="0" w:line="128" w:lineRule="exact"/>
        <w:rPr>
          <w:sz w:val="20"/>
          <w:szCs w:val="20"/>
          <w:color w:val="auto"/>
        </w:rPr>
      </w:pPr>
    </w:p>
    <w:p>
      <w:pPr>
        <w:ind w:left="460" w:right="520"/>
        <w:spacing w:after="0" w:line="256"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w:t>
      </w:r>
    </w:p>
    <w:p>
      <w:pPr>
        <w:spacing w:after="0" w:line="121"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0800"/>
          </w:cols>
          <w:pgMar w:left="320" w:top="440" w:right="779" w:bottom="1440" w:gutter="0" w:footer="0" w:header="0"/>
        </w:sectPr>
      </w:pPr>
    </w:p>
    <w:bookmarkStart w:id="243" w:name="page244"/>
    <w:bookmarkEnd w:id="2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60"/>
        <w:spacing w:after="0" w:line="250" w:lineRule="auto"/>
        <w:rPr>
          <w:sz w:val="20"/>
          <w:szCs w:val="20"/>
          <w:color w:val="auto"/>
        </w:rPr>
      </w:pPr>
      <w:r>
        <w:rPr>
          <w:rFonts w:ascii="Arial" w:cs="Arial" w:eastAsia="Arial" w:hAnsi="Arial"/>
          <w:sz w:val="16"/>
          <w:szCs w:val="16"/>
          <w:color w:val="auto"/>
        </w:rPr>
        <w:t>carryforwards. Deferred tax assets and liabilities are measured using enacted tax rates expected to apply to taxable income in the years in which those temporary differences are expected to be recovered or settled. The likelihood of realizing the tax benefits related to a potential deferred tax asset is evaluated, and a valuation allowance is recognized to reduce that deferred tax asset if it is more likely than not that all or some portion of the deferred tax asset will not be realized. Deferred tax assets and liabilities are calculated at the beginning and end of the year; the change in the sum of the deferred tax asset, valuation allowance and deferred tax liability during the year generally is recognized as a deferred tax expense or benefit. The effect on deferred tax assets and liabilities of a change in tax rates is recognized in operations in the period that includes the enactment date.</w:t>
      </w:r>
    </w:p>
    <w:p>
      <w:pPr>
        <w:spacing w:after="0" w:line="91"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Significant judgment is required in determining the Company’s provision for income taxes, deferred tax assets and liabilities and the valuation allowance recorded against net deferred tax assets. The Company assesses the likelihood that deferred tax assets will be recovered as deductions from future taxable income. The evaluation of the need for a valuation allowance is performed on a jurisdiction-by-jurisdiction basis and includes a review of all available positive and negative evidence. Factors reviewed include projections of pre-tax book income for the foreseeable future, determination of cumulative pre-tax book income after permanent differences, earnings history and reliability of forecasting. The Company recognized a full valuation allowance on deferred tax assets as of December 31, 2020 and 2019 after evaluating that it is more likely than not that deferred tax assets will not be realized as of those dates.</w:t>
      </w:r>
    </w:p>
    <w:p>
      <w:pPr>
        <w:spacing w:after="0" w:line="91" w:lineRule="exact"/>
        <w:rPr>
          <w:sz w:val="20"/>
          <w:szCs w:val="20"/>
          <w:color w:val="auto"/>
        </w:rPr>
      </w:pPr>
    </w:p>
    <w:p>
      <w:pPr>
        <w:ind w:left="460" w:right="60"/>
        <w:spacing w:after="0" w:line="250" w:lineRule="auto"/>
        <w:rPr>
          <w:sz w:val="20"/>
          <w:szCs w:val="20"/>
          <w:color w:val="auto"/>
        </w:rPr>
      </w:pPr>
      <w:r>
        <w:rPr>
          <w:rFonts w:ascii="Arial" w:cs="Arial" w:eastAsia="Arial" w:hAnsi="Arial"/>
          <w:sz w:val="16"/>
          <w:szCs w:val="16"/>
          <w:color w:val="auto"/>
        </w:rPr>
        <w:t>The Company evaluates the accounting for uncertainty in income tax recognized in the consolidated financial statements and determines whether it is more likely than not that a tax position will be sustained upon examination by the appropriate taxing authorities before any part of the benefit is recorded in its consolidated financial statements. For those tax positions where it is “not more likely than not” that a tax benefit will be sustained, no tax benefit is recognized. Where applicable, associated interest and penalties are also recorded. The Company has not accrued any liabilities for any such uncertain tax positions as of December 31, 2020 or 2019. The Company is subject to U.S. federal and state tax authority examinations for all the years since inception due to net operating loss and tax credit carryforwards. The net operating losses and tax credits are subject to adjustment until the statute closes on the year the attributes are ultimately utilized.</w:t>
      </w:r>
    </w:p>
    <w:p>
      <w:pPr>
        <w:spacing w:after="0" w:line="91"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w:t>
      </w:r>
    </w:p>
    <w:p>
      <w:pPr>
        <w:spacing w:after="0" w:line="278" w:lineRule="exact"/>
        <w:rPr>
          <w:sz w:val="20"/>
          <w:szCs w:val="20"/>
          <w:color w:val="auto"/>
        </w:rPr>
      </w:pPr>
    </w:p>
    <w:p>
      <w:pPr>
        <w:ind w:left="460" w:right="220"/>
        <w:spacing w:after="0" w:line="252" w:lineRule="auto"/>
        <w:rPr>
          <w:sz w:val="20"/>
          <w:szCs w:val="20"/>
          <w:color w:val="auto"/>
        </w:rPr>
      </w:pPr>
      <w:r>
        <w:rPr>
          <w:rFonts w:ascii="Arial" w:cs="Arial" w:eastAsia="Arial" w:hAnsi="Arial"/>
          <w:sz w:val="16"/>
          <w:szCs w:val="16"/>
          <w:color w:val="auto"/>
        </w:rPr>
        <w:t>The Company is required to file federal and state income tax returns in the United States, United Kingdom, Ireland, Netherlands, Germany and Mexico. The preparation of these income tax returns requires the Company to interpret the applicable tax laws and regulations in effect on such jurisdictions, which could impact the amount of tax paid. An amount is accrued for the estimate of additional tax liabilities, including interest and penalties, for any uncertain tax positions taken or expected to be taken in an income tax return. The accrual for uncertain tax positions is updated when more definitive information becomes available.</w:t>
      </w:r>
    </w:p>
    <w:p>
      <w:pPr>
        <w:spacing w:after="0" w:line="1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0800"/>
          </w:cols>
          <w:pgMar w:left="320" w:top="440" w:right="779" w:bottom="1440" w:gutter="0" w:footer="0" w:header="0"/>
        </w:sectPr>
      </w:pPr>
    </w:p>
    <w:bookmarkStart w:id="244" w:name="page245"/>
    <w:bookmarkEnd w:id="2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28" w:lineRule="exact"/>
        <w:rPr>
          <w:sz w:val="20"/>
          <w:szCs w:val="20"/>
          <w:color w:val="auto"/>
        </w:rPr>
      </w:pPr>
    </w:p>
    <w:p>
      <w:pPr>
        <w:ind w:left="460" w:right="380"/>
        <w:spacing w:after="0" w:line="253" w:lineRule="auto"/>
        <w:rPr>
          <w:sz w:val="20"/>
          <w:szCs w:val="20"/>
          <w:color w:val="auto"/>
        </w:rPr>
      </w:pPr>
      <w:r>
        <w:rPr>
          <w:rFonts w:ascii="Arial" w:cs="Arial" w:eastAsia="Arial" w:hAnsi="Arial"/>
          <w:sz w:val="16"/>
          <w:szCs w:val="16"/>
          <w:color w:val="auto"/>
        </w:rPr>
        <w:t>The Company commenced sales of its products in June 2019. The Company’s revenue is generated from the sale of light adjustable intraocular lenses (RxLAL) used in cataract surgery along with a specifically designed machine for delivering light to the eye, the Light Delivery Device (LDD), to adjust the lens post-surgery, as needed. Revenue is recognized from sales of products in the U.S. and Europe. Customers are primarily comprised of ambulatory surgery centers, hospitals, and physician private practices.</w:t>
      </w:r>
    </w:p>
    <w:p>
      <w:pPr>
        <w:spacing w:after="0" w:line="86" w:lineRule="exact"/>
        <w:rPr>
          <w:sz w:val="20"/>
          <w:szCs w:val="20"/>
          <w:color w:val="auto"/>
        </w:rPr>
      </w:pPr>
    </w:p>
    <w:p>
      <w:pPr>
        <w:ind w:left="460" w:right="180"/>
        <w:spacing w:after="0" w:line="248" w:lineRule="auto"/>
        <w:rPr>
          <w:sz w:val="20"/>
          <w:szCs w:val="20"/>
          <w:color w:val="auto"/>
        </w:rPr>
      </w:pPr>
      <w:r>
        <w:rPr>
          <w:rFonts w:ascii="Arial" w:cs="Arial" w:eastAsia="Arial" w:hAnsi="Arial"/>
          <w:sz w:val="16"/>
          <w:szCs w:val="16"/>
          <w:color w:val="auto"/>
        </w:rPr>
        <w:t>The Company recognizes revenue when promised goods or services are transferred to customers at a transaction price that reflects the consideration to which the Company expects to be entitled in exchange for those goods and services. Specifically, the Company applies the following five steps to recognize revenue: (i) identify the contract(s) with a customer; (ii) identify the performance obligations in the contract;</w:t>
      </w:r>
    </w:p>
    <w:p>
      <w:pPr>
        <w:ind w:left="460" w:hanging="9"/>
        <w:spacing w:after="0" w:line="249" w:lineRule="auto"/>
        <w:tabs>
          <w:tab w:leader="none" w:pos="72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determine the transaction price; (iv) allocate the transaction price to the performance obligations in the contract; and (v) recognize revenue when, or as, the Company satisfies a performance obligation. The Company applies the five-step model to contracts when it is probable that it will collect the consideration to which it is entitled in exchange for the goods or services it transfers to the customer. At contract inception, the Company assesses the goods promised within each customer contract to determine the individual deliverables in its product offerings as separate performance obligations and assesses whether each promised good or service is distinct. The transaction price is determined based on the consideration expected to be received, based either on the stated value in contractual arrangements or the estimated cash to be collected in non-contracted arrangements. The Company recognizes revenue as the amount of the transaction price that is allocated to the respective performance obligation when, or as, the performance obligation is satisfied, considering whether or not this occurs at a point in time or over time. The Company elected to account for shipping costs as fulfillment costs rather than a promised service and excludes from revenue any taxes collected from customers that are remitted to government authorities.</w:t>
      </w:r>
    </w:p>
    <w:p>
      <w:pPr>
        <w:spacing w:after="0" w:line="94" w:lineRule="exact"/>
        <w:rPr>
          <w:sz w:val="20"/>
          <w:szCs w:val="20"/>
          <w:color w:val="auto"/>
        </w:rPr>
      </w:pPr>
    </w:p>
    <w:p>
      <w:pPr>
        <w:ind w:left="460" w:right="220"/>
        <w:spacing w:after="0" w:line="248" w:lineRule="auto"/>
        <w:rPr>
          <w:sz w:val="20"/>
          <w:szCs w:val="20"/>
          <w:color w:val="auto"/>
        </w:rPr>
      </w:pPr>
      <w:r>
        <w:rPr>
          <w:rFonts w:ascii="Arial" w:cs="Arial" w:eastAsia="Arial" w:hAnsi="Arial"/>
          <w:sz w:val="16"/>
          <w:szCs w:val="16"/>
          <w:color w:val="auto"/>
        </w:rPr>
        <w:t>The Company’s LDD contracts contain multiple performance obligations bundled for one transaction price, with all obligations generally satisfied within one year. For these bundled arrangements, the Company accounts for individual products and services as separate performance obligations if they are distinct, that is, if a product or service is separately identifiable from other items in the bundled package, and if a customer can benefit from it on its own or with other resources that are readily available to the customer. The Company’s LDD contracts include a combination of the following performance obligations: (1) LDD capital asset and related components, (2) training and</w:t>
      </w:r>
    </w:p>
    <w:p>
      <w:pPr>
        <w:ind w:left="460" w:right="40" w:hanging="9"/>
        <w:spacing w:after="0" w:line="249" w:lineRule="auto"/>
        <w:tabs>
          <w:tab w:leader="none" w:pos="707" w:val="left"/>
        </w:tabs>
        <w:numPr>
          <w:ilvl w:val="0"/>
          <w:numId w:val="149"/>
        </w:numPr>
        <w:rPr>
          <w:rFonts w:ascii="Arial" w:cs="Arial" w:eastAsia="Arial" w:hAnsi="Arial"/>
          <w:sz w:val="16"/>
          <w:szCs w:val="16"/>
          <w:color w:val="auto"/>
        </w:rPr>
      </w:pPr>
      <w:r>
        <w:rPr>
          <w:rFonts w:ascii="Arial" w:cs="Arial" w:eastAsia="Arial" w:hAnsi="Arial"/>
          <w:sz w:val="16"/>
          <w:szCs w:val="16"/>
          <w:color w:val="auto"/>
        </w:rPr>
        <w:t>device service (initial year). Each of these three performance obligations are considered distinct. The LDD capital asset is distinct because the customer can benefit from it together with other resources that are readily available to the customer. Training on the use of the machine is offered as a distinct activity after installation of the LDD to enhance the customer’s ability to utilize the machine by having an industry professional provide best practices and customize training to the specific needs of the customer. Each LDD comes with a twelve-month manufacturer’s warranty (service-type) that includes preventative maintenance, unscheduled service (labor and parts) and software updates. After the first year, service contracts can be purchased separately on a standalone basis. The Company recognizes revenue as performance obligations are satisfied by transferring control of the product or service to a customer. Specifically, revenue for the LDD capital asset is recognized at a point in time at installation. Revenue for training is also recorded at a point in time, generally 30 days after installation. Revenue for the device service is recognized ratably over time after installation, generally 12 months. The Company has determined that the transaction price is the invoice price, net of adjustments, if any. The allocation to the separate performance obligations is based upon the relative standalone selling price. Standalone selling prices are based on observable prices at which the Company separately sells the products or services The Company estimates the standalone selling price using the market assessment approach considering market conditions and entity-specific factors including, but not limited to, features and functionality of the products and services, geographies, type of customer and market conditions. The Company regularly reviews and updates standalone selling prices as necessary.</w:t>
      </w:r>
    </w:p>
    <w:p>
      <w:pPr>
        <w:spacing w:after="0" w:line="129"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0800"/>
          </w:cols>
          <w:pgMar w:left="320" w:top="441" w:right="779" w:bottom="1440" w:gutter="0" w:footer="0" w:header="0"/>
        </w:sectPr>
      </w:pPr>
    </w:p>
    <w:bookmarkStart w:id="245" w:name="page246"/>
    <w:bookmarkEnd w:id="2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left="460" w:right="400"/>
        <w:spacing w:after="0" w:line="256" w:lineRule="auto"/>
        <w:rPr>
          <w:sz w:val="20"/>
          <w:szCs w:val="20"/>
          <w:color w:val="auto"/>
        </w:rPr>
      </w:pPr>
      <w:r>
        <w:rPr>
          <w:rFonts w:ascii="Arial" w:cs="Arial" w:eastAsia="Arial" w:hAnsi="Arial"/>
          <w:sz w:val="16"/>
          <w:szCs w:val="16"/>
          <w:color w:val="auto"/>
        </w:rPr>
        <w:t>RxLALs are held at customer sites on consignment. The single performance obligation is satisfied and revenue is recognized for RxLALs upon customer notification that the RxLALs have been implanted in a patient. For the years ended December 31, 2020 and 2019, credits related to returns and rebates on list prices were not significant.</w:t>
      </w:r>
    </w:p>
    <w:p>
      <w:pPr>
        <w:spacing w:after="0" w:line="83" w:lineRule="exact"/>
        <w:rPr>
          <w:sz w:val="20"/>
          <w:szCs w:val="20"/>
          <w:color w:val="auto"/>
        </w:rPr>
      </w:pPr>
    </w:p>
    <w:p>
      <w:pPr>
        <w:jc w:val="both"/>
        <w:ind w:left="460" w:right="20"/>
        <w:spacing w:after="0" w:line="265" w:lineRule="auto"/>
        <w:rPr>
          <w:sz w:val="20"/>
          <w:szCs w:val="20"/>
          <w:color w:val="auto"/>
        </w:rPr>
      </w:pPr>
      <w:r>
        <w:rPr>
          <w:rFonts w:ascii="Arial" w:cs="Arial" w:eastAsia="Arial" w:hAnsi="Arial"/>
          <w:sz w:val="16"/>
          <w:szCs w:val="16"/>
          <w:color w:val="auto"/>
        </w:rPr>
        <w:t>The Company has adopted the practical expedient permitting the direct expensing of costs incurred to obtain contracts where the amortization of such costs would occur over one year or less, and it applied to substantially all the Company’s contracts.</w:t>
      </w:r>
    </w:p>
    <w:p>
      <w:pPr>
        <w:spacing w:after="0" w:line="75" w:lineRule="exact"/>
        <w:rPr>
          <w:sz w:val="20"/>
          <w:szCs w:val="20"/>
          <w:color w:val="auto"/>
        </w:rPr>
      </w:pPr>
    </w:p>
    <w:p>
      <w:pPr>
        <w:jc w:val="both"/>
        <w:ind w:left="460" w:right="40"/>
        <w:spacing w:after="0" w:line="256" w:lineRule="auto"/>
        <w:rPr>
          <w:sz w:val="20"/>
          <w:szCs w:val="20"/>
          <w:color w:val="auto"/>
        </w:rPr>
      </w:pPr>
      <w:r>
        <w:rPr>
          <w:rFonts w:ascii="Arial" w:cs="Arial" w:eastAsia="Arial" w:hAnsi="Arial"/>
          <w:sz w:val="16"/>
          <w:szCs w:val="16"/>
          <w:color w:val="auto"/>
        </w:rPr>
        <w:t>As of December 31, 2020 and 2019, the Company recognized deferred revenue on its consolidated balance sheets of $345,000 and $10,000, respectively, related to the service agreement performance obligation. Revenue for service agreements is recognized ratably over the term of each contract.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2020 and 2019, revenue from contracts with customers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30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CCEEFF"/>
            </w:tcBorders>
          </w:tcPr>
          <w:p>
            <w:pPr>
              <w:spacing w:after="0"/>
              <w:rPr>
                <w:sz w:val="18"/>
                <w:szCs w:val="18"/>
                <w:color w:val="auto"/>
              </w:rPr>
            </w:pPr>
          </w:p>
        </w:tc>
      </w:tr>
      <w:tr>
        <w:trPr>
          <w:trHeight w:val="183"/>
        </w:trPr>
        <w:tc>
          <w:tcPr>
            <w:tcW w:w="63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LDD (including training)</w:t>
            </w:r>
          </w:p>
        </w:tc>
        <w:tc>
          <w:tcPr>
            <w:tcW w:w="31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$10,159</w:t>
            </w:r>
          </w:p>
        </w:tc>
        <w:tc>
          <w:tcPr>
            <w:tcW w:w="8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$1,187</w:t>
            </w:r>
          </w:p>
        </w:tc>
        <w:tc>
          <w:tcPr>
            <w:tcW w:w="40" w:type="dxa"/>
            <w:vAlign w:val="bottom"/>
            <w:shd w:val="clear" w:color="auto" w:fill="CCEEFF"/>
          </w:tcPr>
          <w:p>
            <w:pPr>
              <w:spacing w:after="0"/>
              <w:rPr>
                <w:sz w:val="15"/>
                <w:szCs w:val="15"/>
                <w:color w:val="auto"/>
              </w:rPr>
            </w:pPr>
          </w:p>
        </w:tc>
      </w:tr>
      <w:tr>
        <w:trPr>
          <w:trHeight w:val="190"/>
        </w:trPr>
        <w:tc>
          <w:tcPr>
            <w:tcW w:w="6300" w:type="dxa"/>
            <w:vAlign w:val="bottom"/>
          </w:tcPr>
          <w:p>
            <w:pPr>
              <w:spacing w:after="0"/>
              <w:rPr>
                <w:sz w:val="20"/>
                <w:szCs w:val="20"/>
                <w:color w:val="auto"/>
              </w:rPr>
            </w:pPr>
            <w:r>
              <w:rPr>
                <w:rFonts w:ascii="Arial" w:cs="Arial" w:eastAsia="Arial" w:hAnsi="Arial"/>
                <w:sz w:val="16"/>
                <w:szCs w:val="16"/>
                <w:color w:val="auto"/>
              </w:rPr>
              <w:t>LAL</w:t>
            </w:r>
          </w:p>
        </w:tc>
        <w:tc>
          <w:tcPr>
            <w:tcW w:w="3120" w:type="dxa"/>
            <w:vAlign w:val="bottom"/>
            <w:gridSpan w:val="2"/>
          </w:tcPr>
          <w:p>
            <w:pPr>
              <w:jc w:val="right"/>
              <w:spacing w:after="0"/>
              <w:rPr>
                <w:sz w:val="20"/>
                <w:szCs w:val="20"/>
                <w:color w:val="auto"/>
              </w:rPr>
            </w:pPr>
            <w:r>
              <w:rPr>
                <w:rFonts w:ascii="Arial" w:cs="Arial" w:eastAsia="Arial" w:hAnsi="Arial"/>
                <w:sz w:val="16"/>
                <w:szCs w:val="16"/>
                <w:color w:val="auto"/>
              </w:rPr>
              <w:t>4,256</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1,026</w:t>
            </w:r>
          </w:p>
        </w:tc>
        <w:tc>
          <w:tcPr>
            <w:tcW w:w="40" w:type="dxa"/>
            <w:vAlign w:val="bottom"/>
          </w:tcPr>
          <w:p>
            <w:pPr>
              <w:spacing w:after="0"/>
              <w:rPr>
                <w:sz w:val="16"/>
                <w:szCs w:val="16"/>
                <w:color w:val="auto"/>
              </w:rPr>
            </w:pPr>
          </w:p>
        </w:tc>
      </w:tr>
      <w:tr>
        <w:trPr>
          <w:trHeight w:val="190"/>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Service warranty, service contracts, and accessories</w:t>
            </w:r>
          </w:p>
        </w:tc>
        <w:tc>
          <w:tcPr>
            <w:tcW w:w="25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40" w:type="dxa"/>
            <w:vAlign w:val="bottom"/>
            <w:shd w:val="clear" w:color="auto" w:fill="CCEEFF"/>
          </w:tcPr>
          <w:p>
            <w:pPr>
              <w:spacing w:after="0"/>
              <w:rPr>
                <w:sz w:val="16"/>
                <w:szCs w:val="16"/>
                <w:color w:val="auto"/>
              </w:rPr>
            </w:pPr>
          </w:p>
        </w:tc>
      </w:tr>
      <w:tr>
        <w:trPr>
          <w:trHeight w:val="207"/>
        </w:trPr>
        <w:tc>
          <w:tcPr>
            <w:tcW w:w="63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$14,678</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$2,241</w:t>
            </w:r>
          </w:p>
        </w:tc>
        <w:tc>
          <w:tcPr>
            <w:tcW w:w="40" w:type="dxa"/>
            <w:vAlign w:val="bottom"/>
          </w:tcPr>
          <w:p>
            <w:pPr>
              <w:spacing w:after="0"/>
              <w:rPr>
                <w:sz w:val="17"/>
                <w:szCs w:val="17"/>
                <w:color w:val="auto"/>
              </w:rPr>
            </w:pPr>
          </w:p>
        </w:tc>
      </w:tr>
    </w:tbl>
    <w:p>
      <w:pPr>
        <w:spacing w:after="0" w:line="104" w:lineRule="exact"/>
        <w:rPr>
          <w:sz w:val="20"/>
          <w:szCs w:val="20"/>
          <w:color w:val="auto"/>
        </w:rPr>
      </w:pPr>
    </w:p>
    <w:p>
      <w:pPr>
        <w:ind w:left="460" w:right="340"/>
        <w:spacing w:after="0" w:line="265" w:lineRule="auto"/>
        <w:rPr>
          <w:sz w:val="20"/>
          <w:szCs w:val="20"/>
          <w:color w:val="auto"/>
        </w:rPr>
      </w:pPr>
      <w:r>
        <w:rPr>
          <w:rFonts w:ascii="Arial" w:cs="Arial" w:eastAsia="Arial" w:hAnsi="Arial"/>
          <w:sz w:val="16"/>
          <w:szCs w:val="16"/>
          <w:color w:val="auto"/>
        </w:rPr>
        <w:t>For the year ended December 31, 2020, the Company had one customer who individually accounted for 27% of revenue, and for the year ended December 31, 2019, the Company had two customers who individually accounted for approximately 35% and 14% of revenue.</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Cost of sales</w:t>
      </w:r>
    </w:p>
    <w:p>
      <w:pPr>
        <w:spacing w:after="0" w:line="128" w:lineRule="exact"/>
        <w:rPr>
          <w:sz w:val="20"/>
          <w:szCs w:val="20"/>
          <w:color w:val="auto"/>
        </w:rPr>
      </w:pPr>
    </w:p>
    <w:p>
      <w:pPr>
        <w:ind w:left="460" w:right="400"/>
        <w:spacing w:after="0" w:line="265" w:lineRule="auto"/>
        <w:rPr>
          <w:sz w:val="20"/>
          <w:szCs w:val="20"/>
          <w:color w:val="auto"/>
        </w:rPr>
      </w:pPr>
      <w:r>
        <w:rPr>
          <w:rFonts w:ascii="Arial" w:cs="Arial" w:eastAsia="Arial" w:hAnsi="Arial"/>
          <w:sz w:val="16"/>
          <w:szCs w:val="16"/>
          <w:color w:val="auto"/>
        </w:rPr>
        <w:t>Cost of sales consists of materials, labor and manufacturing overhead incurred to produce the Company’s products as well as the cost of shipping and handling.</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28"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Research and development expenses are expensed as incurred. Research and development expenses consist of upfront fees and milestones paid to collaborators and expenses incurred in performing research and development activities for new products and technology. The expenses include personnel-related costs, including compensation and benefits and stock-based compensation, consultants hired to perform research projects, costs incurred at clinical trial sites, regulatory and manufacturing engineering costs related to FDA premarket approval submission preparation, various laboratory and research supplies, write-off of pre-approved inventory utilized for clinical trial and research purposes, costs incurred in the development of manufacturing processes in excess of capitalizable value, fees paid to contract research organizations and direct FDA related costs. The Company also accrued the costs of ongoing clinical trials associated with programs that have been terminated or discontinued for which there is no future economic benefit at the time the decision is made to terminate or discontinue the program.</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Comprehensive income</w:t>
      </w:r>
    </w:p>
    <w:p>
      <w:pPr>
        <w:spacing w:after="0" w:line="128" w:lineRule="exact"/>
        <w:rPr>
          <w:sz w:val="20"/>
          <w:szCs w:val="20"/>
          <w:color w:val="auto"/>
        </w:rPr>
      </w:pPr>
    </w:p>
    <w:p>
      <w:pPr>
        <w:ind w:left="460" w:right="80"/>
        <w:spacing w:after="0" w:line="253" w:lineRule="auto"/>
        <w:rPr>
          <w:sz w:val="20"/>
          <w:szCs w:val="20"/>
          <w:color w:val="auto"/>
        </w:rPr>
      </w:pPr>
      <w:r>
        <w:rPr>
          <w:rFonts w:ascii="Arial" w:cs="Arial" w:eastAsia="Arial" w:hAnsi="Arial"/>
          <w:sz w:val="16"/>
          <w:szCs w:val="16"/>
          <w:color w:val="auto"/>
        </w:rPr>
        <w:t>All components of comprehensive income, including net income (loss), are reported in the consolidated financial statements in the period in which they are recognized. Comprehensive income is defined as the change in equity during a period from transactions and other events and circumstances from non-owner sources, including unrealized gains and losses on marketable securities and foreign currency translation adjustments.</w:t>
      </w:r>
    </w:p>
    <w:p>
      <w:pPr>
        <w:spacing w:after="0" w:line="124"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0800"/>
          </w:cols>
          <w:pgMar w:left="320" w:top="441" w:right="779" w:bottom="1440" w:gutter="0" w:footer="0" w:header="0"/>
        </w:sectPr>
      </w:pPr>
    </w:p>
    <w:bookmarkStart w:id="246" w:name="page247"/>
    <w:bookmarkEnd w:id="2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12" w:lineRule="exact"/>
        <w:rPr>
          <w:sz w:val="20"/>
          <w:szCs w:val="20"/>
          <w:color w:val="auto"/>
        </w:rPr>
      </w:pPr>
    </w:p>
    <w:p>
      <w:pPr>
        <w:ind w:left="460" w:right="60"/>
        <w:spacing w:after="0" w:line="25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which amends the impairment model by requiring entities to use a forward-looking approach based on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losses rather than incurred losses to estimate credit losses on certain types of financial instruments, including trade receivables. This may result in the earlier recognition of allowances for losses. In November 2018, the FASB issued ASU 2018-19, </w:t>
      </w:r>
      <w:r>
        <w:rPr>
          <w:rFonts w:ascii="Arial" w:cs="Arial" w:eastAsia="Arial" w:hAnsi="Arial"/>
          <w:sz w:val="16"/>
          <w:szCs w:val="16"/>
          <w:i w:val="1"/>
          <w:iCs w:val="1"/>
          <w:color w:val="auto"/>
        </w:rPr>
        <w:t>Codification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Topic 326, Financial Instruments—Credit Losses</w:t>
      </w:r>
      <w:r>
        <w:rPr>
          <w:rFonts w:ascii="Arial" w:cs="Arial" w:eastAsia="Arial" w:hAnsi="Arial"/>
          <w:sz w:val="16"/>
          <w:szCs w:val="16"/>
          <w:color w:val="auto"/>
        </w:rPr>
        <w:t>, which provided additional implementation guidance on the previously issued standard.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adopted the standard on January 1, 2020, and determined there was no cumulative-effect transition adjustment to the opening balance of accumulated deficit for recognition of additional credit losses upon adoption of this standard as of January 1, 2020 based on its outstanding accounts receivable, the composition and credit quality of its short-term investments and current economic conditions as of that date.</w:t>
      </w:r>
    </w:p>
    <w:p>
      <w:pPr>
        <w:spacing w:after="0" w:line="261" w:lineRule="exact"/>
        <w:rPr>
          <w:sz w:val="20"/>
          <w:szCs w:val="20"/>
          <w:color w:val="auto"/>
        </w:rPr>
      </w:pPr>
    </w:p>
    <w:p>
      <w:pPr>
        <w:ind w:left="460" w:right="40"/>
        <w:spacing w:after="0" w:line="254"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Income Statement – Reporting Comprehensive Income (Topic 220): Reclassification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Certain Tax Effects from Accumulated Other Comprehensive Income</w:t>
      </w:r>
      <w:r>
        <w:rPr>
          <w:rFonts w:ascii="Arial" w:cs="Arial" w:eastAsia="Arial" w:hAnsi="Arial"/>
          <w:sz w:val="16"/>
          <w:szCs w:val="16"/>
          <w:color w:val="auto"/>
        </w:rPr>
        <w:t>, which allows an entity to elect to reclassify the income tax effects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Tax Cuts and Jobs Act (Tax Reform) on items within accumulated other comprehensive income to retained earnings. An entity that does not elect to reclassify the income tax effects of the Tax Reform is required to disclose, in the period of adoption, a statement that an election was not made to reclassify the income tax effects of the Tax Reform from accumulated other comprehensive income to retained earnings. The standard became effective for the Company on April 1, 2019. The Company elected not to reclassify the income tax effects of the Tax Reform from accumulated other comprehensive income to retained earnings.</w:t>
      </w:r>
    </w:p>
    <w:p>
      <w:pPr>
        <w:spacing w:after="0" w:line="70" w:lineRule="exact"/>
        <w:rPr>
          <w:sz w:val="20"/>
          <w:szCs w:val="20"/>
          <w:color w:val="auto"/>
        </w:rPr>
      </w:pPr>
    </w:p>
    <w:p>
      <w:pPr>
        <w:ind w:left="460" w:right="80"/>
        <w:spacing w:after="0" w:line="252"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(Topic 718): Improvements to Nonemployee Share-Based Payment Accounting</w:t>
      </w:r>
      <w:r>
        <w:rPr>
          <w:rFonts w:ascii="Arial" w:cs="Arial" w:eastAsia="Arial" w:hAnsi="Arial"/>
          <w:sz w:val="16"/>
          <w:szCs w:val="16"/>
          <w:color w:val="auto"/>
        </w:rPr>
        <w:t>, which simplifies the accounting for share-based payments granted to nonemployees for goods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 the guidance, the measurement of equity-classified non-employee awards will be fixed at the grant date and may be accounted for using certain practical expedients that are already available for employee awards. In November 2019, FASB issued ASU No. 2019-08, </w:t>
      </w:r>
      <w:r>
        <w:rPr>
          <w:rFonts w:ascii="Arial" w:cs="Arial" w:eastAsia="Arial" w:hAnsi="Arial"/>
          <w:sz w:val="16"/>
          <w:szCs w:val="16"/>
          <w:i w:val="1"/>
          <w:iCs w:val="1"/>
          <w:color w:val="auto"/>
        </w:rPr>
        <w:t>Compensation – Stock Compensation (Topic 718) and revenue from Contracts with Customers (Topic 606)</w:t>
      </w:r>
      <w:r>
        <w:rPr>
          <w:rFonts w:ascii="Arial" w:cs="Arial" w:eastAsia="Arial" w:hAnsi="Arial"/>
          <w:sz w:val="16"/>
          <w:szCs w:val="16"/>
          <w:color w:val="auto"/>
        </w:rPr>
        <w:t>, which requires all share-based</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to customers to adopt the measurement approach in accordance with ASC 718. The amount recorded as a reduction of the transaction price is measured using the grant date fair value of the share-based payment. The award is measured and classified under ASC 718 for its entire life, unless the award is modified after it vests, and the grantee is no longer a customer. The Company elected to early adopt both ASUs effective January 1, 2019, and the adoption did not have a material impact on the Company’s consolidated financial statements.</w:t>
      </w:r>
    </w:p>
    <w:p>
      <w:pPr>
        <w:spacing w:after="0" w:line="264" w:lineRule="exact"/>
        <w:rPr>
          <w:sz w:val="20"/>
          <w:szCs w:val="20"/>
          <w:color w:val="auto"/>
        </w:rPr>
      </w:pPr>
    </w:p>
    <w:p>
      <w:pPr>
        <w:ind w:left="460"/>
        <w:spacing w:after="0" w:line="254"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Disclosure Framework – 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which adds and modifies certain disclosure requirements for fair value measurements.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new guidance, entities will no longer 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The updated guidance was effective for the Company starting in the first quarter of 2020. As a result, the Company modified certain fair value measurement disclosures primarily related to its Level 3 liabilities.</w:t>
      </w:r>
    </w:p>
    <w:p>
      <w:pPr>
        <w:spacing w:after="0" w:line="70" w:lineRule="exact"/>
        <w:rPr>
          <w:sz w:val="20"/>
          <w:szCs w:val="20"/>
          <w:color w:val="auto"/>
        </w:rPr>
      </w:pPr>
    </w:p>
    <w:p>
      <w:pPr>
        <w:ind w:left="460" w:right="100"/>
        <w:spacing w:after="0" w:line="267"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 Goodwill and Other – Internal 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Implementation Costs Incurred in a Cloud Computing Arrangement That Is a Service Contract</w:t>
      </w:r>
      <w:r>
        <w:rPr>
          <w:rFonts w:ascii="Arial" w:cs="Arial" w:eastAsia="Arial" w:hAnsi="Arial"/>
          <w:sz w:val="16"/>
          <w:szCs w:val="16"/>
          <w:color w:val="auto"/>
        </w:rPr>
        <w:t>, which changes the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for implementation costs incurred in a cloud computing</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0780"/>
          </w:cols>
          <w:pgMar w:left="320" w:top="441" w:right="799" w:bottom="1440" w:gutter="0" w:footer="0" w:header="0"/>
        </w:sectPr>
      </w:pPr>
    </w:p>
    <w:bookmarkStart w:id="247" w:name="page248"/>
    <w:bookmarkEnd w:id="2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100"/>
        <w:spacing w:after="0" w:line="252" w:lineRule="auto"/>
        <w:rPr>
          <w:sz w:val="20"/>
          <w:szCs w:val="20"/>
          <w:color w:val="auto"/>
        </w:rPr>
      </w:pPr>
      <w:r>
        <w:rPr>
          <w:rFonts w:ascii="Arial" w:cs="Arial" w:eastAsia="Arial" w:hAnsi="Arial"/>
          <w:sz w:val="16"/>
          <w:szCs w:val="16"/>
          <w:color w:val="auto"/>
        </w:rPr>
        <w:t>arrangement that is a service contract. The update aligns the requirements for capitalizing implementation costs incurred in a hosting arrangement with the requirements for capitalizing implementation costs incurred to develop or obtain internal-use software. The implementation costs should be presented as a prepaid expense in the balance sheet and expensed over the term of the hosting arrangement. This standard is effective for the Company beginning January 1, 2021, and early adoption is permitted. The Company does not expect adoption to have a material impact on its consolidated financial statements.</w:t>
      </w:r>
    </w:p>
    <w:p>
      <w:pPr>
        <w:spacing w:after="0" w:line="70" w:lineRule="exact"/>
        <w:rPr>
          <w:sz w:val="20"/>
          <w:szCs w:val="20"/>
          <w:color w:val="auto"/>
        </w:rPr>
      </w:pPr>
    </w:p>
    <w:p>
      <w:pPr>
        <w:ind w:left="460" w:right="20"/>
        <w:spacing w:after="0" w:line="257"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(ASC 740): Simplifying the Accounting for Income Taxes</w:t>
      </w:r>
      <w:r>
        <w:rPr>
          <w:rFonts w:ascii="Arial" w:cs="Arial" w:eastAsia="Arial" w:hAnsi="Arial"/>
          <w:sz w:val="16"/>
          <w:szCs w:val="16"/>
          <w:color w:val="auto"/>
        </w:rPr>
        <w:t>. ASU 2019-12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Company elected to early adopt ASU 2019-12 effective December 31, 2019, and the adoption did not have a material impact to the Company’s consolidated financial statements.</w:t>
      </w:r>
    </w:p>
    <w:p>
      <w:pPr>
        <w:spacing w:after="0" w:line="67" w:lineRule="exact"/>
        <w:rPr>
          <w:sz w:val="20"/>
          <w:szCs w:val="20"/>
          <w:color w:val="auto"/>
        </w:rPr>
      </w:pPr>
    </w:p>
    <w:p>
      <w:pPr>
        <w:ind w:left="460" w:right="60"/>
        <w:spacing w:after="0" w:line="252" w:lineRule="auto"/>
        <w:rPr>
          <w:sz w:val="20"/>
          <w:szCs w:val="20"/>
          <w:color w:val="auto"/>
        </w:rPr>
      </w:pPr>
      <w:r>
        <w:rPr>
          <w:rFonts w:ascii="Arial" w:cs="Arial" w:eastAsia="Arial" w:hAnsi="Arial"/>
          <w:sz w:val="16"/>
          <w:szCs w:val="16"/>
          <w:color w:val="auto"/>
        </w:rPr>
        <w:t xml:space="preserve">In June 2020, the FASB issued ASU No. 2020-06, </w:t>
      </w:r>
      <w:r>
        <w:rPr>
          <w:rFonts w:ascii="Arial" w:cs="Arial" w:eastAsia="Arial" w:hAnsi="Arial"/>
          <w:sz w:val="16"/>
          <w:szCs w:val="16"/>
          <w:i w:val="1"/>
          <w:iCs w:val="1"/>
          <w:color w:val="auto"/>
        </w:rPr>
        <w:t>Accounting for Convertible Instruments and Contracts in an Entity’s Own Equity</w:t>
      </w:r>
      <w:r>
        <w:rPr>
          <w:rFonts w:ascii="Arial" w:cs="Arial" w:eastAsia="Arial" w:hAnsi="Arial"/>
          <w:sz w:val="16"/>
          <w:szCs w:val="16"/>
          <w:color w:val="auto"/>
        </w:rPr>
        <w:t>, which is intended to simplify the accounting for convertible instruments. This new guidance eliminates certain models that require separate accounting for embedded conversion features and eliminates certain of the conditions for equity classification for contracts in an entity’s own equity. Accordingly, a convertible debt instrument will be accounted for as a single liability measured at its amortized cost, as long as no other features require bifurcation and recognition as derivatives. The new guidance can be adopted through either a modified retrospective method of transition or a fully retrospective method of transition. ASU 2020-06 is effective for public business entities for fiscal years beginning after December 15, 2021, including interim periods within those fiscal years. Early adoption is permitted for fiscal years beginning after December 15, 2020, including interim periods within those fiscal years. The Company is in the process of determining the impact of the adoption of the standard on its consolidated financial statements as well as whether to early adopt the new standard.</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3 – Short-term investments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Short-term investments, principally U.S. Treasury bills, are available-for-sale and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As of December 31, 2020</w:t>
            </w:r>
          </w:p>
        </w:tc>
        <w:tc>
          <w:tcPr>
            <w:tcW w:w="40" w:type="dxa"/>
            <w:vAlign w:val="bottom"/>
          </w:tcPr>
          <w:p>
            <w:pPr>
              <w:spacing w:after="0"/>
              <w:rPr>
                <w:sz w:val="18"/>
                <w:szCs w:val="18"/>
                <w:color w:val="auto"/>
              </w:rPr>
            </w:pPr>
          </w:p>
        </w:tc>
      </w:tr>
      <w:tr>
        <w:trPr>
          <w:trHeight w:val="208"/>
        </w:trPr>
        <w:tc>
          <w:tcPr>
            <w:tcW w:w="30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ind w:left="1400"/>
              <w:spacing w:after="0"/>
              <w:rPr>
                <w:sz w:val="20"/>
                <w:szCs w:val="20"/>
                <w:color w:val="auto"/>
              </w:rPr>
            </w:pPr>
            <w:r>
              <w:rPr>
                <w:rFonts w:ascii="Arial" w:cs="Arial" w:eastAsia="Arial" w:hAnsi="Arial"/>
                <w:sz w:val="16"/>
                <w:szCs w:val="16"/>
                <w:b w:val="1"/>
                <w:bCs w:val="1"/>
                <w:color w:val="auto"/>
              </w:rPr>
              <w:t>Amortized cost</w:t>
            </w:r>
          </w:p>
        </w:tc>
        <w:tc>
          <w:tcPr>
            <w:tcW w:w="216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rPr>
              <w:t>Unrealized loss, net</w:t>
            </w:r>
          </w:p>
        </w:tc>
        <w:tc>
          <w:tcPr>
            <w:tcW w:w="2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Estimated fair value</w:t>
            </w:r>
          </w:p>
        </w:tc>
      </w:tr>
      <w:tr>
        <w:trPr>
          <w:trHeight w:val="183"/>
        </w:trPr>
        <w:tc>
          <w:tcPr>
            <w:tcW w:w="30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Government securities</w:t>
            </w:r>
          </w:p>
        </w:tc>
        <w:tc>
          <w:tcPr>
            <w:tcW w:w="1800" w:type="dxa"/>
            <w:vAlign w:val="bottom"/>
            <w:gridSpan w:val="3"/>
            <w:shd w:val="clear" w:color="auto" w:fill="CCEEFF"/>
          </w:tcPr>
          <w:p>
            <w:pPr>
              <w:ind w:left="1400"/>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18"/>
              <w:spacing w:after="0" w:line="183" w:lineRule="exact"/>
              <w:rPr>
                <w:sz w:val="20"/>
                <w:szCs w:val="20"/>
                <w:color w:val="auto"/>
              </w:rPr>
            </w:pPr>
            <w:r>
              <w:rPr>
                <w:rFonts w:ascii="Arial" w:cs="Arial" w:eastAsia="Arial" w:hAnsi="Arial"/>
                <w:sz w:val="16"/>
                <w:szCs w:val="16"/>
                <w:color w:val="auto"/>
              </w:rPr>
              <w:t>54,983</w:t>
            </w:r>
          </w:p>
        </w:tc>
        <w:tc>
          <w:tcPr>
            <w:tcW w:w="1140" w:type="dxa"/>
            <w:vAlign w:val="bottom"/>
            <w:shd w:val="clear" w:color="auto" w:fill="CCEEFF"/>
          </w:tcPr>
          <w:p>
            <w:pPr>
              <w:ind w:left="36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ind w:left="640"/>
              <w:spacing w:after="0" w:line="183" w:lineRule="exact"/>
              <w:rPr>
                <w:sz w:val="20"/>
                <w:szCs w:val="20"/>
                <w:color w:val="auto"/>
              </w:rPr>
            </w:pPr>
            <w:r>
              <w:rPr>
                <w:rFonts w:ascii="Arial" w:cs="Arial" w:eastAsia="Arial" w:hAnsi="Arial"/>
                <w:sz w:val="16"/>
                <w:szCs w:val="16"/>
                <w:color w:val="auto"/>
              </w:rPr>
              <w:t>(2)</w:t>
            </w:r>
          </w:p>
        </w:tc>
        <w:tc>
          <w:tcPr>
            <w:tcW w:w="1140" w:type="dxa"/>
            <w:vAlign w:val="bottom"/>
            <w:shd w:val="clear" w:color="auto" w:fill="CCEEFF"/>
          </w:tcPr>
          <w:p>
            <w:pPr>
              <w:jc w:val="right"/>
              <w:ind w:right="398"/>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54,981</w:t>
            </w:r>
          </w:p>
        </w:tc>
        <w:tc>
          <w:tcPr>
            <w:tcW w:w="40" w:type="dxa"/>
            <w:vAlign w:val="bottom"/>
            <w:shd w:val="clear" w:color="auto" w:fill="CCEEFF"/>
          </w:tcPr>
          <w:p>
            <w:pPr>
              <w:spacing w:after="0"/>
              <w:rPr>
                <w:sz w:val="15"/>
                <w:szCs w:val="15"/>
                <w:color w:val="auto"/>
              </w:rPr>
            </w:pP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05"/>
        </w:trPr>
        <w:tc>
          <w:tcPr>
            <w:tcW w:w="30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gridSpan w:val="3"/>
          </w:tcPr>
          <w:p>
            <w:pPr>
              <w:spacing w:after="0"/>
              <w:rPr>
                <w:sz w:val="9"/>
                <w:szCs w:val="9"/>
                <w:color w:val="auto"/>
              </w:rPr>
            </w:pPr>
          </w:p>
        </w:tc>
      </w:tr>
      <w:tr>
        <w:trPr>
          <w:trHeight w:val="228"/>
        </w:trPr>
        <w:tc>
          <w:tcPr>
            <w:tcW w:w="30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As of December 31, 2019</w:t>
            </w:r>
          </w:p>
        </w:tc>
        <w:tc>
          <w:tcPr>
            <w:tcW w:w="40" w:type="dxa"/>
            <w:vAlign w:val="bottom"/>
          </w:tcPr>
          <w:p>
            <w:pPr>
              <w:spacing w:after="0"/>
              <w:rPr>
                <w:sz w:val="19"/>
                <w:szCs w:val="19"/>
                <w:color w:val="auto"/>
              </w:rPr>
            </w:pPr>
          </w:p>
        </w:tc>
      </w:tr>
      <w:tr>
        <w:trPr>
          <w:trHeight w:val="208"/>
        </w:trPr>
        <w:tc>
          <w:tcPr>
            <w:tcW w:w="30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Amortized cost</w:t>
            </w:r>
          </w:p>
        </w:tc>
        <w:tc>
          <w:tcPr>
            <w:tcW w:w="2160" w:type="dxa"/>
            <w:vAlign w:val="bottom"/>
            <w:tcBorders>
              <w:bottom w:val="single" w:sz="8" w:color="auto"/>
            </w:tcBorders>
            <w:gridSpan w:val="2"/>
          </w:tcPr>
          <w:p>
            <w:pPr>
              <w:ind w:left="400"/>
              <w:spacing w:after="0"/>
              <w:rPr>
                <w:sz w:val="20"/>
                <w:szCs w:val="20"/>
                <w:color w:val="auto"/>
              </w:rPr>
            </w:pPr>
            <w:r>
              <w:rPr>
                <w:rFonts w:ascii="Arial" w:cs="Arial" w:eastAsia="Arial" w:hAnsi="Arial"/>
                <w:sz w:val="16"/>
                <w:szCs w:val="16"/>
                <w:b w:val="1"/>
                <w:bCs w:val="1"/>
                <w:color w:val="auto"/>
              </w:rPr>
              <w:t>Unrealized gain, net</w:t>
            </w:r>
          </w:p>
        </w:tc>
        <w:tc>
          <w:tcPr>
            <w:tcW w:w="2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Estimated fair value</w:t>
            </w:r>
          </w:p>
        </w:tc>
      </w:tr>
      <w:tr>
        <w:trPr>
          <w:trHeight w:val="183"/>
        </w:trPr>
        <w:tc>
          <w:tcPr>
            <w:tcW w:w="30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Government securities</w:t>
            </w:r>
          </w:p>
        </w:tc>
        <w:tc>
          <w:tcPr>
            <w:tcW w:w="1800" w:type="dxa"/>
            <w:vAlign w:val="bottom"/>
            <w:gridSpan w:val="3"/>
            <w:shd w:val="clear" w:color="auto" w:fill="CCEEFF"/>
          </w:tcPr>
          <w:p>
            <w:pPr>
              <w:ind w:left="1440"/>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78"/>
              <w:spacing w:after="0" w:line="183" w:lineRule="exact"/>
              <w:rPr>
                <w:sz w:val="20"/>
                <w:szCs w:val="20"/>
                <w:color w:val="auto"/>
              </w:rPr>
            </w:pPr>
            <w:r>
              <w:rPr>
                <w:rFonts w:ascii="Arial" w:cs="Arial" w:eastAsia="Arial" w:hAnsi="Arial"/>
                <w:sz w:val="16"/>
                <w:szCs w:val="16"/>
                <w:color w:val="auto"/>
              </w:rPr>
              <w:t>72,664</w:t>
            </w:r>
          </w:p>
        </w:tc>
        <w:tc>
          <w:tcPr>
            <w:tcW w:w="1140" w:type="dxa"/>
            <w:vAlign w:val="bottom"/>
            <w:shd w:val="clear" w:color="auto" w:fill="CCEEFF"/>
          </w:tcPr>
          <w:p>
            <w:pPr>
              <w:ind w:left="40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ind w:left="640"/>
              <w:spacing w:after="0" w:line="183" w:lineRule="exact"/>
              <w:rPr>
                <w:sz w:val="20"/>
                <w:szCs w:val="20"/>
                <w:color w:val="auto"/>
              </w:rPr>
            </w:pPr>
            <w:r>
              <w:rPr>
                <w:rFonts w:ascii="Arial" w:cs="Arial" w:eastAsia="Arial" w:hAnsi="Arial"/>
                <w:sz w:val="16"/>
                <w:szCs w:val="16"/>
                <w:color w:val="auto"/>
              </w:rPr>
              <w:t>46</w:t>
            </w:r>
          </w:p>
        </w:tc>
        <w:tc>
          <w:tcPr>
            <w:tcW w:w="1140" w:type="dxa"/>
            <w:vAlign w:val="bottom"/>
            <w:shd w:val="clear" w:color="auto" w:fill="CCEEFF"/>
          </w:tcPr>
          <w:p>
            <w:pPr>
              <w:jc w:val="right"/>
              <w:ind w:right="398"/>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72,710</w:t>
            </w:r>
          </w:p>
        </w:tc>
        <w:tc>
          <w:tcPr>
            <w:tcW w:w="40" w:type="dxa"/>
            <w:vAlign w:val="bottom"/>
            <w:shd w:val="clear" w:color="auto" w:fill="CCEEFF"/>
          </w:tcPr>
          <w:p>
            <w:pPr>
              <w:spacing w:after="0"/>
              <w:rPr>
                <w:sz w:val="15"/>
                <w:szCs w:val="15"/>
                <w:color w:val="auto"/>
              </w:rPr>
            </w:pP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right="100"/>
        <w:spacing w:after="0" w:line="252" w:lineRule="auto"/>
        <w:rPr>
          <w:sz w:val="20"/>
          <w:szCs w:val="20"/>
          <w:color w:val="auto"/>
        </w:rPr>
      </w:pPr>
      <w:r>
        <w:rPr>
          <w:rFonts w:ascii="Arial" w:cs="Arial" w:eastAsia="Arial" w:hAnsi="Arial"/>
          <w:sz w:val="16"/>
          <w:szCs w:val="16"/>
          <w:color w:val="auto"/>
        </w:rPr>
        <w:t>All available-for-sale securities held as of December 31, 2020 and 2019 had a maturity of less than one year. The Company has classified all marketable securities, regardless of maturity, as short-term investments based upon the Company’s ability and intent to use any and all of those marketable securities to satisfy the Company’s liquidity requirements. The Company does not intend to sell the available-for-sale debt securities that are in an unrealized loss position, and it is not more likely than not that the Company will be required to sell these debt securities before recovery of their amortized cost bases, which may be at maturity.</w:t>
      </w:r>
    </w:p>
    <w:p>
      <w:pPr>
        <w:spacing w:after="0" w:line="124"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0800"/>
          </w:cols>
          <w:pgMar w:left="320" w:top="441" w:right="779" w:bottom="1440" w:gutter="0" w:footer="0" w:header="0"/>
        </w:sectPr>
      </w:pPr>
    </w:p>
    <w:bookmarkStart w:id="248" w:name="page249"/>
    <w:bookmarkEnd w:id="2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4—Inventories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3400" w:type="dxa"/>
            <w:vAlign w:val="bottom"/>
            <w:gridSpan w:val="3"/>
          </w:tcPr>
          <w:p>
            <w:pPr>
              <w:ind w:left="1940"/>
              <w:spacing w:after="0"/>
              <w:rPr>
                <w:sz w:val="20"/>
                <w:szCs w:val="20"/>
                <w:color w:val="auto"/>
              </w:rPr>
            </w:pPr>
            <w:r>
              <w:rPr>
                <w:rFonts w:ascii="Arial" w:cs="Arial" w:eastAsia="Arial" w:hAnsi="Arial"/>
                <w:sz w:val="16"/>
                <w:szCs w:val="16"/>
                <w:b w:val="1"/>
                <w:bCs w:val="1"/>
                <w:color w:val="auto"/>
              </w:rPr>
              <w:t>December 31,</w:t>
            </w:r>
          </w:p>
        </w:tc>
        <w:tc>
          <w:tcPr>
            <w:tcW w:w="1520" w:type="dxa"/>
            <w:vAlign w:val="bottom"/>
            <w:gridSpan w:val="3"/>
          </w:tcPr>
          <w:p>
            <w:pPr>
              <w:ind w:left="340"/>
              <w:spacing w:after="0"/>
              <w:rPr>
                <w:sz w:val="20"/>
                <w:szCs w:val="20"/>
                <w:color w:val="auto"/>
              </w:rPr>
            </w:pPr>
            <w:r>
              <w:rPr>
                <w:rFonts w:ascii="Arial" w:cs="Arial" w:eastAsia="Arial" w:hAnsi="Arial"/>
                <w:sz w:val="16"/>
                <w:szCs w:val="16"/>
                <w:b w:val="1"/>
                <w:bCs w:val="1"/>
                <w:color w:val="auto"/>
              </w:rPr>
              <w:t>December 31,</w:t>
            </w:r>
          </w:p>
        </w:tc>
      </w:tr>
      <w:tr>
        <w:trPr>
          <w:trHeight w:val="207"/>
        </w:trPr>
        <w:tc>
          <w:tcPr>
            <w:tcW w:w="54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2020</w:t>
            </w: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r>
      <w:tr>
        <w:trPr>
          <w:trHeight w:val="183"/>
        </w:trPr>
        <w:tc>
          <w:tcPr>
            <w:tcW w:w="54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Finished goods</w:t>
            </w:r>
          </w:p>
        </w:tc>
        <w:tc>
          <w:tcPr>
            <w:tcW w:w="2320" w:type="dxa"/>
            <w:vAlign w:val="bottom"/>
            <w:gridSpan w:val="2"/>
            <w:shd w:val="clear" w:color="auto" w:fill="CCEEFF"/>
          </w:tcPr>
          <w:p>
            <w:pPr>
              <w:ind w:left="194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98"/>
              <w:spacing w:after="0" w:line="183" w:lineRule="exact"/>
              <w:rPr>
                <w:sz w:val="20"/>
                <w:szCs w:val="20"/>
                <w:color w:val="auto"/>
              </w:rPr>
            </w:pPr>
            <w:r>
              <w:rPr>
                <w:rFonts w:ascii="Arial" w:cs="Arial" w:eastAsia="Arial" w:hAnsi="Arial"/>
                <w:sz w:val="16"/>
                <w:szCs w:val="16"/>
                <w:color w:val="auto"/>
              </w:rPr>
              <w:t>5,092</w:t>
            </w:r>
          </w:p>
        </w:tc>
        <w:tc>
          <w:tcPr>
            <w:tcW w:w="720" w:type="dxa"/>
            <w:vAlign w:val="bottom"/>
            <w:shd w:val="clear" w:color="auto" w:fill="CCEEFF"/>
          </w:tcPr>
          <w:p>
            <w:pPr>
              <w:ind w:left="340"/>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3,650</w:t>
            </w:r>
          </w:p>
        </w:tc>
        <w:tc>
          <w:tcPr>
            <w:tcW w:w="100" w:type="dxa"/>
            <w:vAlign w:val="bottom"/>
            <w:shd w:val="clear" w:color="auto" w:fill="CCEEFF"/>
          </w:tcPr>
          <w:p>
            <w:pPr>
              <w:spacing w:after="0"/>
              <w:rPr>
                <w:sz w:val="15"/>
                <w:szCs w:val="15"/>
                <w:color w:val="auto"/>
              </w:rPr>
            </w:pPr>
          </w:p>
        </w:tc>
      </w:tr>
      <w:tr>
        <w:trPr>
          <w:trHeight w:val="190"/>
        </w:trPr>
        <w:tc>
          <w:tcPr>
            <w:tcW w:w="5420" w:type="dxa"/>
            <w:vAlign w:val="bottom"/>
          </w:tcPr>
          <w:p>
            <w:pPr>
              <w:spacing w:after="0"/>
              <w:rPr>
                <w:sz w:val="20"/>
                <w:szCs w:val="20"/>
                <w:color w:val="auto"/>
              </w:rPr>
            </w:pPr>
            <w:r>
              <w:rPr>
                <w:rFonts w:ascii="Arial" w:cs="Arial" w:eastAsia="Arial" w:hAnsi="Arial"/>
                <w:sz w:val="16"/>
                <w:szCs w:val="16"/>
                <w:color w:val="auto"/>
              </w:rPr>
              <w:t>Raw materials</w:t>
            </w:r>
          </w:p>
        </w:tc>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ind w:right="298"/>
              <w:spacing w:after="0"/>
              <w:rPr>
                <w:sz w:val="20"/>
                <w:szCs w:val="20"/>
                <w:color w:val="auto"/>
              </w:rPr>
            </w:pPr>
            <w:r>
              <w:rPr>
                <w:rFonts w:ascii="Arial" w:cs="Arial" w:eastAsia="Arial" w:hAnsi="Arial"/>
                <w:sz w:val="16"/>
                <w:szCs w:val="16"/>
                <w:color w:val="auto"/>
              </w:rPr>
              <w:t>1,827</w:t>
            </w:r>
          </w:p>
        </w:tc>
        <w:tc>
          <w:tcPr>
            <w:tcW w:w="7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16"/>
                <w:szCs w:val="16"/>
                <w:color w:val="auto"/>
              </w:rPr>
            </w:pPr>
          </w:p>
        </w:tc>
      </w:tr>
      <w:tr>
        <w:trPr>
          <w:trHeight w:val="190"/>
        </w:trPr>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Work-in-process</w:t>
            </w:r>
          </w:p>
        </w:tc>
        <w:tc>
          <w:tcPr>
            <w:tcW w:w="194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6"/>
                <w:szCs w:val="16"/>
                <w:color w:val="auto"/>
              </w:rPr>
              <w:t>1,685</w:t>
            </w:r>
          </w:p>
        </w:tc>
        <w:tc>
          <w:tcPr>
            <w:tcW w:w="7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2,245</w:t>
            </w:r>
          </w:p>
        </w:tc>
        <w:tc>
          <w:tcPr>
            <w:tcW w:w="100" w:type="dxa"/>
            <w:vAlign w:val="bottom"/>
            <w:shd w:val="clear" w:color="auto" w:fill="CCEEFF"/>
          </w:tcPr>
          <w:p>
            <w:pPr>
              <w:spacing w:after="0"/>
              <w:rPr>
                <w:sz w:val="16"/>
                <w:szCs w:val="16"/>
                <w:color w:val="auto"/>
              </w:rPr>
            </w:pPr>
          </w:p>
        </w:tc>
      </w:tr>
      <w:tr>
        <w:trPr>
          <w:trHeight w:val="196"/>
        </w:trPr>
        <w:tc>
          <w:tcPr>
            <w:tcW w:w="54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298"/>
              <w:spacing w:after="0"/>
              <w:rPr>
                <w:sz w:val="20"/>
                <w:szCs w:val="20"/>
                <w:color w:val="auto"/>
              </w:rPr>
            </w:pPr>
            <w:r>
              <w:rPr>
                <w:rFonts w:ascii="Arial" w:cs="Arial" w:eastAsia="Arial" w:hAnsi="Arial"/>
                <w:sz w:val="16"/>
                <w:szCs w:val="16"/>
                <w:color w:val="auto"/>
              </w:rPr>
              <w:t>8,604</w:t>
            </w:r>
          </w:p>
        </w:tc>
        <w:tc>
          <w:tcPr>
            <w:tcW w:w="7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7,443</w:t>
            </w:r>
          </w:p>
        </w:tc>
        <w:tc>
          <w:tcPr>
            <w:tcW w:w="100" w:type="dxa"/>
            <w:vAlign w:val="bottom"/>
          </w:tcPr>
          <w:p>
            <w:pPr>
              <w:spacing w:after="0"/>
              <w:rPr>
                <w:sz w:val="17"/>
                <w:szCs w:val="17"/>
                <w:color w:val="auto"/>
              </w:rPr>
            </w:pPr>
          </w:p>
        </w:tc>
      </w:tr>
      <w:tr>
        <w:trPr>
          <w:trHeight w:val="190"/>
        </w:trPr>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Less: reserve for excess and obsolete inventory</w:t>
            </w:r>
          </w:p>
        </w:tc>
        <w:tc>
          <w:tcPr>
            <w:tcW w:w="19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(316)</w:t>
            </w:r>
          </w:p>
        </w:tc>
        <w:tc>
          <w:tcPr>
            <w:tcW w:w="7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(224)</w:t>
            </w:r>
          </w:p>
        </w:tc>
      </w:tr>
      <w:tr>
        <w:trPr>
          <w:trHeight w:val="20"/>
        </w:trPr>
        <w:tc>
          <w:tcPr>
            <w:tcW w:w="5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54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2"/>
          </w:tcPr>
          <w:p>
            <w:pPr>
              <w:ind w:left="19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8,288</w:t>
            </w:r>
          </w:p>
        </w:tc>
        <w:tc>
          <w:tcPr>
            <w:tcW w:w="7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7,219</w:t>
            </w:r>
          </w:p>
        </w:tc>
        <w:tc>
          <w:tcPr>
            <w:tcW w:w="100" w:type="dxa"/>
            <w:vAlign w:val="bottom"/>
          </w:tcPr>
          <w:p>
            <w:pPr>
              <w:spacing w:after="0"/>
              <w:rPr>
                <w:sz w:val="17"/>
                <w:szCs w:val="17"/>
                <w:color w:val="auto"/>
              </w:rPr>
            </w:pPr>
          </w:p>
        </w:tc>
      </w:tr>
    </w:tbl>
    <w:p>
      <w:pPr>
        <w:spacing w:after="0" w:line="104" w:lineRule="exact"/>
        <w:rPr>
          <w:sz w:val="20"/>
          <w:szCs w:val="20"/>
          <w:color w:val="auto"/>
        </w:rPr>
      </w:pPr>
    </w:p>
    <w:p>
      <w:pPr>
        <w:ind w:left="460" w:right="280"/>
        <w:spacing w:after="0" w:line="265" w:lineRule="auto"/>
        <w:rPr>
          <w:sz w:val="20"/>
          <w:szCs w:val="20"/>
          <w:color w:val="auto"/>
        </w:rPr>
      </w:pPr>
      <w:r>
        <w:rPr>
          <w:rFonts w:ascii="Arial" w:cs="Arial" w:eastAsia="Arial" w:hAnsi="Arial"/>
          <w:sz w:val="16"/>
          <w:szCs w:val="16"/>
          <w:color w:val="auto"/>
        </w:rPr>
        <w:t>At December 31, 2020 and 2019, finished goods included $2.7 million and $1.5 million of inventory held on consignment at customer sites, respectively.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5—Property and equipment</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and equipment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3340" w:type="dxa"/>
            <w:vAlign w:val="bottom"/>
            <w:gridSpan w:val="3"/>
          </w:tcPr>
          <w:p>
            <w:pPr>
              <w:ind w:left="1960"/>
              <w:spacing w:after="0"/>
              <w:rPr>
                <w:sz w:val="20"/>
                <w:szCs w:val="20"/>
                <w:color w:val="auto"/>
              </w:rPr>
            </w:pPr>
            <w:r>
              <w:rPr>
                <w:rFonts w:ascii="Arial" w:cs="Arial" w:eastAsia="Arial" w:hAnsi="Arial"/>
                <w:sz w:val="16"/>
                <w:szCs w:val="16"/>
                <w:b w:val="1"/>
                <w:bCs w:val="1"/>
                <w:color w:val="auto"/>
              </w:rPr>
              <w:t>December 31,</w:t>
            </w:r>
          </w:p>
        </w:tc>
        <w:tc>
          <w:tcPr>
            <w:tcW w:w="1440" w:type="dxa"/>
            <w:vAlign w:val="bottom"/>
            <w:gridSpan w:val="3"/>
          </w:tcPr>
          <w:p>
            <w:pPr>
              <w:ind w:left="260"/>
              <w:spacing w:after="0"/>
              <w:rPr>
                <w:sz w:val="20"/>
                <w:szCs w:val="20"/>
                <w:color w:val="auto"/>
              </w:rPr>
            </w:pPr>
            <w:r>
              <w:rPr>
                <w:rFonts w:ascii="Arial" w:cs="Arial" w:eastAsia="Arial" w:hAnsi="Arial"/>
                <w:sz w:val="16"/>
                <w:szCs w:val="16"/>
                <w:b w:val="1"/>
                <w:bCs w:val="1"/>
                <w:color w:val="auto"/>
              </w:rPr>
              <w:t>December 31,</w:t>
            </w:r>
          </w:p>
        </w:tc>
      </w:tr>
      <w:tr>
        <w:trPr>
          <w:trHeight w:val="207"/>
        </w:trPr>
        <w:tc>
          <w:tcPr>
            <w:tcW w:w="55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r>
      <w:tr>
        <w:trPr>
          <w:trHeight w:val="183"/>
        </w:trPr>
        <w:tc>
          <w:tcPr>
            <w:tcW w:w="55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Machinery and equipment</w:t>
            </w:r>
          </w:p>
        </w:tc>
        <w:tc>
          <w:tcPr>
            <w:tcW w:w="2260" w:type="dxa"/>
            <w:vAlign w:val="bottom"/>
            <w:gridSpan w:val="2"/>
            <w:shd w:val="clear" w:color="auto" w:fill="CCEEFF"/>
          </w:tcPr>
          <w:p>
            <w:pPr>
              <w:ind w:left="196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18"/>
              <w:spacing w:after="0" w:line="183" w:lineRule="exact"/>
              <w:rPr>
                <w:sz w:val="20"/>
                <w:szCs w:val="20"/>
                <w:color w:val="auto"/>
              </w:rPr>
            </w:pPr>
            <w:r>
              <w:rPr>
                <w:rFonts w:ascii="Arial" w:cs="Arial" w:eastAsia="Arial" w:hAnsi="Arial"/>
                <w:sz w:val="16"/>
                <w:szCs w:val="16"/>
                <w:color w:val="auto"/>
              </w:rPr>
              <w:t>11,153</w:t>
            </w:r>
          </w:p>
        </w:tc>
        <w:tc>
          <w:tcPr>
            <w:tcW w:w="600" w:type="dxa"/>
            <w:vAlign w:val="bottom"/>
            <w:shd w:val="clear" w:color="auto" w:fill="CCEEFF"/>
          </w:tcPr>
          <w:p>
            <w:pPr>
              <w:ind w:left="260"/>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9,960</w:t>
            </w:r>
          </w:p>
        </w:tc>
        <w:tc>
          <w:tcPr>
            <w:tcW w:w="100" w:type="dxa"/>
            <w:vAlign w:val="bottom"/>
            <w:shd w:val="clear" w:color="auto" w:fill="CCEEFF"/>
          </w:tcPr>
          <w:p>
            <w:pPr>
              <w:spacing w:after="0"/>
              <w:rPr>
                <w:sz w:val="15"/>
                <w:szCs w:val="15"/>
                <w:color w:val="auto"/>
              </w:rPr>
            </w:pPr>
          </w:p>
        </w:tc>
      </w:tr>
      <w:tr>
        <w:trPr>
          <w:trHeight w:val="190"/>
        </w:trPr>
        <w:tc>
          <w:tcPr>
            <w:tcW w:w="5560" w:type="dxa"/>
            <w:vAlign w:val="bottom"/>
          </w:tcPr>
          <w:p>
            <w:pPr>
              <w:spacing w:after="0"/>
              <w:rPr>
                <w:sz w:val="20"/>
                <w:szCs w:val="20"/>
                <w:color w:val="auto"/>
              </w:rPr>
            </w:pPr>
            <w:r>
              <w:rPr>
                <w:rFonts w:ascii="Arial" w:cs="Arial" w:eastAsia="Arial" w:hAnsi="Arial"/>
                <w:sz w:val="16"/>
                <w:szCs w:val="16"/>
                <w:color w:val="auto"/>
              </w:rPr>
              <w:t>Leasehold improvements</w:t>
            </w:r>
          </w:p>
        </w:tc>
        <w:tc>
          <w:tcPr>
            <w:tcW w:w="1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218"/>
              <w:spacing w:after="0"/>
              <w:rPr>
                <w:sz w:val="20"/>
                <w:szCs w:val="20"/>
                <w:color w:val="auto"/>
              </w:rPr>
            </w:pPr>
            <w:r>
              <w:rPr>
                <w:rFonts w:ascii="Arial" w:cs="Arial" w:eastAsia="Arial" w:hAnsi="Arial"/>
                <w:sz w:val="16"/>
                <w:szCs w:val="16"/>
                <w:color w:val="auto"/>
              </w:rPr>
              <w:t>10,152</w:t>
            </w:r>
          </w:p>
        </w:tc>
        <w:tc>
          <w:tcPr>
            <w:tcW w:w="6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8,365</w:t>
            </w:r>
          </w:p>
        </w:tc>
        <w:tc>
          <w:tcPr>
            <w:tcW w:w="100" w:type="dxa"/>
            <w:vAlign w:val="bottom"/>
          </w:tcPr>
          <w:p>
            <w:pPr>
              <w:spacing w:after="0"/>
              <w:rPr>
                <w:sz w:val="16"/>
                <w:szCs w:val="16"/>
                <w:color w:val="auto"/>
              </w:rPr>
            </w:pPr>
          </w:p>
        </w:tc>
      </w:tr>
      <w:tr>
        <w:trPr>
          <w:trHeight w:val="190"/>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Construction in progress</w:t>
            </w:r>
          </w:p>
        </w:tc>
        <w:tc>
          <w:tcPr>
            <w:tcW w:w="1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1,474</w:t>
            </w:r>
          </w:p>
        </w:tc>
        <w:tc>
          <w:tcPr>
            <w:tcW w:w="6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w:t>
            </w:r>
          </w:p>
        </w:tc>
        <w:tc>
          <w:tcPr>
            <w:tcW w:w="100" w:type="dxa"/>
            <w:vAlign w:val="bottom"/>
            <w:shd w:val="clear" w:color="auto" w:fill="CCEEFF"/>
          </w:tcPr>
          <w:p>
            <w:pPr>
              <w:spacing w:after="0"/>
              <w:rPr>
                <w:sz w:val="16"/>
                <w:szCs w:val="16"/>
                <w:color w:val="auto"/>
              </w:rPr>
            </w:pPr>
          </w:p>
        </w:tc>
      </w:tr>
      <w:tr>
        <w:trPr>
          <w:trHeight w:val="190"/>
        </w:trPr>
        <w:tc>
          <w:tcPr>
            <w:tcW w:w="5560" w:type="dxa"/>
            <w:vAlign w:val="bottom"/>
          </w:tcPr>
          <w:p>
            <w:pPr>
              <w:spacing w:after="0"/>
              <w:rPr>
                <w:sz w:val="20"/>
                <w:szCs w:val="20"/>
                <w:color w:val="auto"/>
              </w:rPr>
            </w:pPr>
            <w:r>
              <w:rPr>
                <w:rFonts w:ascii="Arial" w:cs="Arial" w:eastAsia="Arial" w:hAnsi="Arial"/>
                <w:sz w:val="16"/>
                <w:szCs w:val="16"/>
                <w:color w:val="auto"/>
              </w:rPr>
              <w:t>Computer hardware and software</w:t>
            </w:r>
          </w:p>
        </w:tc>
        <w:tc>
          <w:tcPr>
            <w:tcW w:w="1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218"/>
              <w:spacing w:after="0"/>
              <w:rPr>
                <w:sz w:val="20"/>
                <w:szCs w:val="20"/>
                <w:color w:val="auto"/>
              </w:rPr>
            </w:pPr>
            <w:r>
              <w:rPr>
                <w:rFonts w:ascii="Arial" w:cs="Arial" w:eastAsia="Arial" w:hAnsi="Arial"/>
                <w:sz w:val="16"/>
                <w:szCs w:val="16"/>
                <w:color w:val="auto"/>
              </w:rPr>
              <w:t>1,101</w:t>
            </w:r>
          </w:p>
        </w:tc>
        <w:tc>
          <w:tcPr>
            <w:tcW w:w="6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919</w:t>
            </w:r>
          </w:p>
        </w:tc>
        <w:tc>
          <w:tcPr>
            <w:tcW w:w="100" w:type="dxa"/>
            <w:vAlign w:val="bottom"/>
          </w:tcPr>
          <w:p>
            <w:pPr>
              <w:spacing w:after="0"/>
              <w:rPr>
                <w:sz w:val="16"/>
                <w:szCs w:val="16"/>
                <w:color w:val="auto"/>
              </w:rPr>
            </w:pPr>
          </w:p>
        </w:tc>
      </w:tr>
      <w:tr>
        <w:trPr>
          <w:trHeight w:val="190"/>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Production molds</w:t>
            </w:r>
          </w:p>
        </w:tc>
        <w:tc>
          <w:tcPr>
            <w:tcW w:w="1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867</w:t>
            </w:r>
          </w:p>
        </w:tc>
        <w:tc>
          <w:tcPr>
            <w:tcW w:w="6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6"/>
                <w:szCs w:val="16"/>
                <w:color w:val="auto"/>
              </w:rPr>
            </w:pPr>
          </w:p>
        </w:tc>
      </w:tr>
      <w:tr>
        <w:trPr>
          <w:trHeight w:val="190"/>
        </w:trPr>
        <w:tc>
          <w:tcPr>
            <w:tcW w:w="5560" w:type="dxa"/>
            <w:vAlign w:val="bottom"/>
          </w:tcPr>
          <w:p>
            <w:pPr>
              <w:spacing w:after="0"/>
              <w:rPr>
                <w:sz w:val="20"/>
                <w:szCs w:val="20"/>
                <w:color w:val="auto"/>
              </w:rPr>
            </w:pPr>
            <w:r>
              <w:rPr>
                <w:rFonts w:ascii="Arial" w:cs="Arial" w:eastAsia="Arial" w:hAnsi="Arial"/>
                <w:sz w:val="16"/>
                <w:szCs w:val="16"/>
                <w:color w:val="auto"/>
              </w:rPr>
              <w:t>Furniture and fixtures</w:t>
            </w:r>
          </w:p>
        </w:tc>
        <w:tc>
          <w:tcPr>
            <w:tcW w:w="1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218"/>
              <w:spacing w:after="0"/>
              <w:rPr>
                <w:sz w:val="20"/>
                <w:szCs w:val="20"/>
                <w:color w:val="auto"/>
              </w:rPr>
            </w:pPr>
            <w:r>
              <w:rPr>
                <w:rFonts w:ascii="Arial" w:cs="Arial" w:eastAsia="Arial" w:hAnsi="Arial"/>
                <w:sz w:val="16"/>
                <w:szCs w:val="16"/>
                <w:color w:val="auto"/>
              </w:rPr>
              <w:t>855</w:t>
            </w:r>
          </w:p>
        </w:tc>
        <w:tc>
          <w:tcPr>
            <w:tcW w:w="6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16"/>
                <w:szCs w:val="16"/>
                <w:color w:val="auto"/>
              </w:rPr>
            </w:pPr>
          </w:p>
        </w:tc>
      </w:tr>
      <w:tr>
        <w:trPr>
          <w:trHeight w:val="190"/>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Right-of-use equipment</w:t>
            </w:r>
          </w:p>
        </w:tc>
        <w:tc>
          <w:tcPr>
            <w:tcW w:w="19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rPr>
              <w:t>58</w:t>
            </w:r>
          </w:p>
        </w:tc>
        <w:tc>
          <w:tcPr>
            <w:tcW w:w="6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6"/>
                <w:szCs w:val="16"/>
                <w:color w:val="auto"/>
              </w:rPr>
            </w:pPr>
          </w:p>
        </w:tc>
      </w:tr>
      <w:tr>
        <w:trPr>
          <w:trHeight w:val="196"/>
        </w:trPr>
        <w:tc>
          <w:tcPr>
            <w:tcW w:w="5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218"/>
              <w:spacing w:after="0"/>
              <w:rPr>
                <w:sz w:val="20"/>
                <w:szCs w:val="20"/>
                <w:color w:val="auto"/>
              </w:rPr>
            </w:pPr>
            <w:r>
              <w:rPr>
                <w:rFonts w:ascii="Arial" w:cs="Arial" w:eastAsia="Arial" w:hAnsi="Arial"/>
                <w:sz w:val="16"/>
                <w:szCs w:val="16"/>
                <w:color w:val="auto"/>
              </w:rPr>
              <w:t>25,660</w:t>
            </w:r>
          </w:p>
        </w:tc>
        <w:tc>
          <w:tcPr>
            <w:tcW w:w="6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23,397</w:t>
            </w:r>
          </w:p>
        </w:tc>
        <w:tc>
          <w:tcPr>
            <w:tcW w:w="100" w:type="dxa"/>
            <w:vAlign w:val="bottom"/>
          </w:tcPr>
          <w:p>
            <w:pPr>
              <w:spacing w:after="0"/>
              <w:rPr>
                <w:sz w:val="17"/>
                <w:szCs w:val="17"/>
                <w:color w:val="auto"/>
              </w:rPr>
            </w:pPr>
          </w:p>
        </w:tc>
      </w:tr>
      <w:tr>
        <w:trPr>
          <w:trHeight w:val="190"/>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1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(12,373)</w:t>
            </w:r>
          </w:p>
        </w:tc>
        <w:tc>
          <w:tcPr>
            <w:tcW w:w="6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(8,539)</w:t>
            </w:r>
          </w:p>
        </w:tc>
      </w:tr>
      <w:tr>
        <w:trPr>
          <w:trHeight w:val="207"/>
        </w:trPr>
        <w:tc>
          <w:tcPr>
            <w:tcW w:w="55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6"/>
                <w:szCs w:val="16"/>
                <w:color w:val="auto"/>
              </w:rPr>
              <w:t>13,287</w:t>
            </w:r>
          </w:p>
        </w:tc>
        <w:tc>
          <w:tcPr>
            <w:tcW w:w="6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14,858</w:t>
            </w:r>
          </w:p>
        </w:tc>
        <w:tc>
          <w:tcPr>
            <w:tcW w:w="100" w:type="dxa"/>
            <w:vAlign w:val="bottom"/>
          </w:tcPr>
          <w:p>
            <w:pPr>
              <w:spacing w:after="0"/>
              <w:rPr>
                <w:sz w:val="17"/>
                <w:szCs w:val="17"/>
                <w:color w:val="auto"/>
              </w:rPr>
            </w:pPr>
          </w:p>
        </w:tc>
      </w:tr>
    </w:tbl>
    <w:p>
      <w:pPr>
        <w:spacing w:after="0" w:line="104" w:lineRule="exact"/>
        <w:rPr>
          <w:sz w:val="20"/>
          <w:szCs w:val="20"/>
          <w:color w:val="auto"/>
        </w:rPr>
      </w:pPr>
    </w:p>
    <w:p>
      <w:pPr>
        <w:ind w:left="460" w:right="200"/>
        <w:spacing w:after="0" w:line="256" w:lineRule="auto"/>
        <w:rPr>
          <w:sz w:val="20"/>
          <w:szCs w:val="20"/>
          <w:color w:val="auto"/>
        </w:rPr>
      </w:pPr>
      <w:r>
        <w:rPr>
          <w:rFonts w:ascii="Arial" w:cs="Arial" w:eastAsia="Arial" w:hAnsi="Arial"/>
          <w:sz w:val="16"/>
          <w:szCs w:val="16"/>
          <w:color w:val="auto"/>
        </w:rPr>
        <w:t>The Company recorded $3.9 million and $3.8 million in depreciation and amortization expense for the years ended December 31, 2020 and 2019, respectively. During the year ended December 31, 2019, the Company sold six LDDs that were classified within machinery and equipment, as they were previously used for training and clinical studies, and recognized an aggregate gain of $521,000.</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6—Fair value of financial instruments</w:t>
      </w:r>
    </w:p>
    <w:p>
      <w:pPr>
        <w:spacing w:after="0" w:line="133" w:lineRule="exact"/>
        <w:rPr>
          <w:sz w:val="20"/>
          <w:szCs w:val="20"/>
          <w:color w:val="auto"/>
        </w:rPr>
      </w:pPr>
    </w:p>
    <w:p>
      <w:pPr>
        <w:ind w:left="460" w:right="160"/>
        <w:spacing w:after="0" w:line="252" w:lineRule="auto"/>
        <w:rPr>
          <w:sz w:val="20"/>
          <w:szCs w:val="20"/>
          <w:color w:val="auto"/>
        </w:rPr>
      </w:pPr>
      <w:r>
        <w:rPr>
          <w:rFonts w:ascii="Arial" w:cs="Arial" w:eastAsia="Arial" w:hAnsi="Arial"/>
          <w:sz w:val="16"/>
          <w:szCs w:val="16"/>
          <w:color w:val="auto"/>
        </w:rPr>
        <w:t>The table and disclosures below (in thousands) present the Company’s assets and liabilities measured at fair value on a recurring basis and indicate the fair value hierarchy of the valuation techniques utilized by the Company to determine such fair value. See Note 9—Common Stock Warrant Liability and Note 11—Convertible Preferred Stock Warrants for more information on the valuation technique and inputs used for the fair value measurements of the warrant liabilities, including quantitative information about the significant unobservable inputs used in the fair value measurements of the warrant liabilities.</w:t>
      </w:r>
    </w:p>
    <w:p>
      <w:pPr>
        <w:spacing w:after="0" w:line="86" w:lineRule="exact"/>
        <w:rPr>
          <w:sz w:val="20"/>
          <w:szCs w:val="20"/>
          <w:color w:val="auto"/>
        </w:rPr>
      </w:pPr>
    </w:p>
    <w:p>
      <w:pPr>
        <w:ind w:left="460" w:right="620"/>
        <w:spacing w:after="0" w:line="265" w:lineRule="auto"/>
        <w:rPr>
          <w:sz w:val="20"/>
          <w:szCs w:val="20"/>
          <w:color w:val="auto"/>
        </w:rPr>
      </w:pPr>
      <w:r>
        <w:rPr>
          <w:rFonts w:ascii="Arial" w:cs="Arial" w:eastAsia="Arial" w:hAnsi="Arial"/>
          <w:sz w:val="16"/>
          <w:szCs w:val="16"/>
          <w:color w:val="auto"/>
        </w:rPr>
        <w:t>Money market funds are liquid investments and are actively traded. The pricing information on these investment instruments is readily available and can be independently validated as of the measurement date.</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0800"/>
          </w:cols>
          <w:pgMar w:left="320" w:top="440" w:right="779" w:bottom="1440" w:gutter="0" w:footer="0" w:header="0"/>
        </w:sectPr>
      </w:pPr>
    </w:p>
    <w:bookmarkStart w:id="249" w:name="page250"/>
    <w:bookmarkEnd w:id="2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This approach results in the classification of these securities as Level 1 of the fair value hierarchy. U.S. Government securities are measured at fair value using Level 2 inputs. The Company reviews trading activity and pricing for these investments as of each measurement date. When sufficient quoted pricing for identical securities is not available, the Company uses market pricing and other observable market inputs for similar securities obtained from various third-party data providers. These inputs represent quoted prices for similar assets in active markets or these inputs have been derived from observable market data. This approach results in the classification of these securities as Level 2 of the fair value hierarchy.</w:t>
      </w:r>
    </w:p>
    <w:p>
      <w:pPr>
        <w:spacing w:after="0" w:line="88" w:lineRule="exact"/>
        <w:rPr>
          <w:sz w:val="20"/>
          <w:szCs w:val="20"/>
          <w:color w:val="auto"/>
        </w:rPr>
      </w:pPr>
    </w:p>
    <w:p>
      <w:pPr>
        <w:ind w:left="460" w:right="480"/>
        <w:spacing w:after="0" w:line="256" w:lineRule="auto"/>
        <w:rPr>
          <w:sz w:val="20"/>
          <w:szCs w:val="20"/>
          <w:color w:val="auto"/>
        </w:rPr>
      </w:pPr>
      <w:r>
        <w:rPr>
          <w:rFonts w:ascii="Arial" w:cs="Arial" w:eastAsia="Arial" w:hAnsi="Arial"/>
          <w:sz w:val="16"/>
          <w:szCs w:val="16"/>
          <w:color w:val="auto"/>
        </w:rPr>
        <w:t>The carrying amounts of certain financial instruments such as cash and cash equivalents, accounts receivable, prepaid expenses, other current assets, accounts payable, accrued expenses and other current liabilities as of December 31, 2020 and December 31, 2019 approximate their related fair values due to the short-term maturities of these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59055</wp:posOffset>
            </wp:positionV>
            <wp:extent cx="6569075" cy="158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1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As of December 31, 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Level I</w:t>
            </w:r>
          </w:p>
        </w:tc>
        <w:tc>
          <w:tcPr>
            <w:tcW w:w="86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6"/>
                <w:szCs w:val="16"/>
                <w:b w:val="1"/>
                <w:bCs w:val="1"/>
                <w:color w:val="auto"/>
              </w:rPr>
              <w:t>Level II</w:t>
            </w:r>
          </w:p>
        </w:tc>
        <w:tc>
          <w:tcPr>
            <w:tcW w:w="92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Level III</w:t>
            </w: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55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20" w:type="dxa"/>
            <w:vAlign w:val="bottom"/>
            <w:gridSpan w:val="2"/>
          </w:tcPr>
          <w:p>
            <w:pPr>
              <w:spacing w:after="0"/>
              <w:rPr>
                <w:sz w:val="20"/>
                <w:szCs w:val="20"/>
                <w:color w:val="auto"/>
              </w:rPr>
            </w:pPr>
            <w:r>
              <w:rPr>
                <w:rFonts w:ascii="Arial" w:cs="Arial" w:eastAsia="Arial" w:hAnsi="Arial"/>
                <w:sz w:val="16"/>
                <w:szCs w:val="16"/>
                <w:color w:val="auto"/>
              </w:rPr>
              <w:t>Money market securities</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8"/>
              <w:spacing w:after="0"/>
              <w:rPr>
                <w:sz w:val="20"/>
                <w:szCs w:val="20"/>
                <w:color w:val="auto"/>
              </w:rPr>
            </w:pPr>
            <w:r>
              <w:rPr>
                <w:rFonts w:ascii="Arial" w:cs="Arial" w:eastAsia="Arial" w:hAnsi="Arial"/>
                <w:sz w:val="16"/>
                <w:szCs w:val="16"/>
                <w:color w:val="auto"/>
              </w:rPr>
              <w:t>11,822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$11,822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Government securities</w:t>
            </w:r>
          </w:p>
        </w:tc>
        <w:tc>
          <w:tcPr>
            <w:tcW w:w="14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54,981</w:t>
            </w:r>
          </w:p>
        </w:tc>
        <w:tc>
          <w:tcPr>
            <w:tcW w:w="2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54,981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Pr>
          <w:p>
            <w:pPr>
              <w:ind w:left="180"/>
              <w:spacing w:after="0"/>
              <w:rPr>
                <w:sz w:val="20"/>
                <w:szCs w:val="20"/>
                <w:color w:val="auto"/>
              </w:rPr>
            </w:pPr>
            <w:r>
              <w:rPr>
                <w:rFonts w:ascii="Arial" w:cs="Arial" w:eastAsia="Arial" w:hAnsi="Arial"/>
                <w:sz w:val="16"/>
                <w:szCs w:val="16"/>
                <w:color w:val="auto"/>
              </w:rPr>
              <w:t>Total assets at fair value</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8"/>
              <w:spacing w:after="0"/>
              <w:rPr>
                <w:sz w:val="20"/>
                <w:szCs w:val="20"/>
                <w:color w:val="auto"/>
              </w:rPr>
            </w:pPr>
            <w:r>
              <w:rPr>
                <w:rFonts w:ascii="Arial" w:cs="Arial" w:eastAsia="Arial" w:hAnsi="Arial"/>
                <w:sz w:val="16"/>
                <w:szCs w:val="16"/>
                <w:color w:val="auto"/>
              </w:rPr>
              <w:t>11,822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8"/>
              <w:spacing w:after="0"/>
              <w:rPr>
                <w:sz w:val="20"/>
                <w:szCs w:val="20"/>
                <w:color w:val="auto"/>
              </w:rPr>
            </w:pPr>
            <w:r>
              <w:rPr>
                <w:rFonts w:ascii="Arial" w:cs="Arial" w:eastAsia="Arial" w:hAnsi="Arial"/>
                <w:sz w:val="16"/>
                <w:szCs w:val="16"/>
                <w:color w:val="auto"/>
              </w:rPr>
              <w:t>54,981</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$66,803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5"/>
                <w:szCs w:val="5"/>
                <w:color w:val="auto"/>
              </w:rPr>
            </w:pPr>
          </w:p>
        </w:tc>
        <w:tc>
          <w:tcPr>
            <w:tcW w:w="55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20" w:type="dxa"/>
            <w:vAlign w:val="bottom"/>
            <w:gridSpan w:val="2"/>
          </w:tcPr>
          <w:p>
            <w:pPr>
              <w:spacing w:after="0"/>
              <w:rPr>
                <w:sz w:val="20"/>
                <w:szCs w:val="20"/>
                <w:color w:val="auto"/>
              </w:rPr>
            </w:pPr>
            <w:r>
              <w:rPr>
                <w:rFonts w:ascii="Arial" w:cs="Arial" w:eastAsia="Arial" w:hAnsi="Arial"/>
                <w:sz w:val="16"/>
                <w:szCs w:val="16"/>
                <w:color w:val="auto"/>
              </w:rPr>
              <w:t>Common stock warrant liability</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8"/>
              <w:spacing w:after="0"/>
              <w:rPr>
                <w:sz w:val="20"/>
                <w:szCs w:val="20"/>
                <w:color w:val="auto"/>
              </w:rPr>
            </w:pPr>
            <w:r>
              <w:rPr>
                <w:rFonts w:ascii="Arial" w:cs="Arial" w:eastAsia="Arial" w:hAnsi="Arial"/>
                <w:sz w:val="16"/>
                <w:szCs w:val="16"/>
                <w:color w:val="auto"/>
              </w:rPr>
              <w:t>(5,018)</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 (5,018)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Redeemable convertible preferred stock warrant liability</w:t>
            </w: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(3,828)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500" w:type="dxa"/>
            <w:vAlign w:val="bottom"/>
          </w:tcPr>
          <w:p>
            <w:pPr>
              <w:ind w:left="180"/>
              <w:spacing w:after="0"/>
              <w:rPr>
                <w:sz w:val="20"/>
                <w:szCs w:val="20"/>
                <w:color w:val="auto"/>
              </w:rPr>
            </w:pPr>
            <w:r>
              <w:rPr>
                <w:rFonts w:ascii="Arial" w:cs="Arial" w:eastAsia="Arial" w:hAnsi="Arial"/>
                <w:sz w:val="16"/>
                <w:szCs w:val="16"/>
                <w:color w:val="auto"/>
              </w:rPr>
              <w:t>Total liabilities at fair value</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8"/>
              <w:spacing w:after="0"/>
              <w:rPr>
                <w:sz w:val="20"/>
                <w:szCs w:val="20"/>
                <w:color w:val="auto"/>
              </w:rPr>
            </w:pPr>
            <w:r>
              <w:rPr>
                <w:rFonts w:ascii="Arial" w:cs="Arial" w:eastAsia="Arial" w:hAnsi="Arial"/>
                <w:sz w:val="16"/>
                <w:szCs w:val="16"/>
                <w:color w:val="auto"/>
              </w:rPr>
              <w:t>(8,846)</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 (8,846)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500" w:type="dxa"/>
            <w:vAlign w:val="bottom"/>
            <w:tcBorders>
              <w:top w:val="single" w:sz="8" w:color="auto"/>
              <w:bottom w:val="single" w:sz="8" w:color="auto"/>
            </w:tcBorders>
          </w:tcPr>
          <w:p>
            <w:pPr>
              <w:spacing w:after="0"/>
              <w:rPr>
                <w:sz w:val="9"/>
                <w:szCs w:val="9"/>
                <w:color w:val="auto"/>
              </w:rPr>
            </w:pPr>
          </w:p>
        </w:tc>
        <w:tc>
          <w:tcPr>
            <w:tcW w:w="148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spacing w:after="0"/>
              <w:rPr>
                <w:sz w:val="9"/>
                <w:szCs w:val="9"/>
                <w:color w:val="auto"/>
              </w:rPr>
            </w:pPr>
          </w:p>
        </w:tc>
        <w:tc>
          <w:tcPr>
            <w:tcW w:w="740" w:type="dxa"/>
            <w:vAlign w:val="bottom"/>
            <w:tcBorders>
              <w:top w:val="single" w:sz="8" w:color="auto"/>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As of December 31, 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Level I</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Level II</w:t>
            </w:r>
          </w:p>
        </w:tc>
        <w:tc>
          <w:tcPr>
            <w:tcW w:w="1260" w:type="dxa"/>
            <w:vAlign w:val="bottom"/>
            <w:tcBorders>
              <w:bottom w:val="single" w:sz="8" w:color="auto"/>
            </w:tcBorders>
            <w:gridSpan w:val="2"/>
          </w:tcPr>
          <w:p>
            <w:pPr>
              <w:jc w:val="right"/>
              <w:ind w:right="238"/>
              <w:spacing w:after="0"/>
              <w:rPr>
                <w:sz w:val="20"/>
                <w:szCs w:val="20"/>
                <w:color w:val="auto"/>
              </w:rPr>
            </w:pPr>
            <w:r>
              <w:rPr>
                <w:rFonts w:ascii="Arial" w:cs="Arial" w:eastAsia="Arial" w:hAnsi="Arial"/>
                <w:sz w:val="16"/>
                <w:szCs w:val="16"/>
                <w:b w:val="1"/>
                <w:bCs w:val="1"/>
                <w:color w:val="auto"/>
              </w:rPr>
              <w:t>Level III</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53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40" w:type="dxa"/>
            <w:vAlign w:val="bottom"/>
            <w:gridSpan w:val="2"/>
          </w:tcPr>
          <w:p>
            <w:pPr>
              <w:spacing w:after="0"/>
              <w:rPr>
                <w:sz w:val="20"/>
                <w:szCs w:val="20"/>
                <w:color w:val="auto"/>
              </w:rPr>
            </w:pPr>
            <w:r>
              <w:rPr>
                <w:rFonts w:ascii="Arial" w:cs="Arial" w:eastAsia="Arial" w:hAnsi="Arial"/>
                <w:sz w:val="16"/>
                <w:szCs w:val="16"/>
                <w:color w:val="auto"/>
              </w:rPr>
              <w:t>Money market securities</w:t>
            </w:r>
          </w:p>
        </w:tc>
        <w:tc>
          <w:tcPr>
            <w:tcW w:w="1400" w:type="dxa"/>
            <w:vAlign w:val="bottom"/>
            <w:gridSpan w:val="2"/>
          </w:tcPr>
          <w:p>
            <w:pPr>
              <w:ind w:left="130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98"/>
              <w:spacing w:after="0"/>
              <w:rPr>
                <w:sz w:val="20"/>
                <w:szCs w:val="20"/>
                <w:color w:val="auto"/>
              </w:rPr>
            </w:pPr>
            <w:r>
              <w:rPr>
                <w:rFonts w:ascii="Arial" w:cs="Arial" w:eastAsia="Arial" w:hAnsi="Arial"/>
                <w:sz w:val="16"/>
                <w:szCs w:val="16"/>
                <w:color w:val="auto"/>
                <w:w w:val="99"/>
              </w:rPr>
              <w:t>5,179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8"/>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5,179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Government securities</w:t>
            </w:r>
          </w:p>
        </w:tc>
        <w:tc>
          <w:tcPr>
            <w:tcW w:w="13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72,710</w:t>
            </w:r>
          </w:p>
        </w:tc>
        <w:tc>
          <w:tcPr>
            <w:tcW w:w="3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72,710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ind w:left="180"/>
              <w:spacing w:after="0"/>
              <w:rPr>
                <w:sz w:val="20"/>
                <w:szCs w:val="20"/>
                <w:color w:val="auto"/>
              </w:rPr>
            </w:pPr>
            <w:r>
              <w:rPr>
                <w:rFonts w:ascii="Arial" w:cs="Arial" w:eastAsia="Arial" w:hAnsi="Arial"/>
                <w:sz w:val="16"/>
                <w:szCs w:val="16"/>
                <w:color w:val="auto"/>
              </w:rPr>
              <w:t>Total assets at fair value</w:t>
            </w:r>
          </w:p>
        </w:tc>
        <w:tc>
          <w:tcPr>
            <w:tcW w:w="1400" w:type="dxa"/>
            <w:vAlign w:val="bottom"/>
            <w:gridSpan w:val="2"/>
          </w:tcPr>
          <w:p>
            <w:pPr>
              <w:ind w:left="130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98"/>
              <w:spacing w:after="0"/>
              <w:rPr>
                <w:sz w:val="20"/>
                <w:szCs w:val="20"/>
                <w:color w:val="auto"/>
              </w:rPr>
            </w:pPr>
            <w:r>
              <w:rPr>
                <w:rFonts w:ascii="Arial" w:cs="Arial" w:eastAsia="Arial" w:hAnsi="Arial"/>
                <w:sz w:val="16"/>
                <w:szCs w:val="16"/>
                <w:color w:val="auto"/>
                <w:w w:val="99"/>
              </w:rPr>
              <w:t>5,179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72,710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8"/>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77,889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5"/>
                <w:szCs w:val="5"/>
                <w:color w:val="auto"/>
              </w:rPr>
            </w:pPr>
          </w:p>
        </w:tc>
        <w:tc>
          <w:tcPr>
            <w:tcW w:w="53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40" w:type="dxa"/>
            <w:vAlign w:val="bottom"/>
            <w:gridSpan w:val="2"/>
          </w:tcPr>
          <w:p>
            <w:pPr>
              <w:spacing w:after="0"/>
              <w:rPr>
                <w:sz w:val="20"/>
                <w:szCs w:val="20"/>
                <w:color w:val="auto"/>
              </w:rPr>
            </w:pPr>
            <w:r>
              <w:rPr>
                <w:rFonts w:ascii="Arial" w:cs="Arial" w:eastAsia="Arial" w:hAnsi="Arial"/>
                <w:sz w:val="16"/>
                <w:szCs w:val="16"/>
                <w:color w:val="auto"/>
              </w:rPr>
              <w:t>Common stock warrant liability</w:t>
            </w:r>
          </w:p>
        </w:tc>
        <w:tc>
          <w:tcPr>
            <w:tcW w:w="1400" w:type="dxa"/>
            <w:vAlign w:val="bottom"/>
            <w:gridSpan w:val="2"/>
          </w:tcPr>
          <w:p>
            <w:pPr>
              <w:ind w:left="130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78"/>
              <w:spacing w:after="0"/>
              <w:rPr>
                <w:sz w:val="20"/>
                <w:szCs w:val="20"/>
                <w:color w:val="auto"/>
              </w:rPr>
            </w:pPr>
            <w:r>
              <w:rPr>
                <w:rFonts w:ascii="Arial" w:cs="Arial" w:eastAsia="Arial" w:hAnsi="Arial"/>
                <w:sz w:val="16"/>
                <w:szCs w:val="16"/>
                <w:color w:val="auto"/>
              </w:rPr>
              <w:t>(69,646)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(69,646)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Redeemable convertible preferred stock warrant liability</w:t>
            </w: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(2,235)</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320" w:type="dxa"/>
            <w:vAlign w:val="bottom"/>
          </w:tcPr>
          <w:p>
            <w:pPr>
              <w:ind w:left="180"/>
              <w:spacing w:after="0"/>
              <w:rPr>
                <w:sz w:val="20"/>
                <w:szCs w:val="20"/>
                <w:color w:val="auto"/>
              </w:rPr>
            </w:pPr>
            <w:r>
              <w:rPr>
                <w:rFonts w:ascii="Arial" w:cs="Arial" w:eastAsia="Arial" w:hAnsi="Arial"/>
                <w:sz w:val="16"/>
                <w:szCs w:val="16"/>
                <w:color w:val="auto"/>
              </w:rPr>
              <w:t>Total liabilities at fair value</w:t>
            </w:r>
          </w:p>
        </w:tc>
        <w:tc>
          <w:tcPr>
            <w:tcW w:w="1400" w:type="dxa"/>
            <w:vAlign w:val="bottom"/>
            <w:gridSpan w:val="2"/>
          </w:tcPr>
          <w:p>
            <w:pPr>
              <w:ind w:left="130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78"/>
              <w:spacing w:after="0"/>
              <w:rPr>
                <w:sz w:val="20"/>
                <w:szCs w:val="20"/>
                <w:color w:val="auto"/>
              </w:rPr>
            </w:pPr>
            <w:r>
              <w:rPr>
                <w:rFonts w:ascii="Arial" w:cs="Arial" w:eastAsia="Arial" w:hAnsi="Arial"/>
                <w:sz w:val="16"/>
                <w:szCs w:val="16"/>
                <w:color w:val="auto"/>
              </w:rPr>
              <w:t>(71,881)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(71,881)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gridSpan w:val="8"/>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9480" w:type="dxa"/>
            <w:vAlign w:val="bottom"/>
            <w:gridSpan w:val="9"/>
          </w:tcPr>
          <w:p>
            <w:pPr>
              <w:spacing w:after="0"/>
              <w:rPr>
                <w:sz w:val="20"/>
                <w:szCs w:val="20"/>
                <w:color w:val="auto"/>
              </w:rPr>
            </w:pPr>
            <w:r>
              <w:rPr>
                <w:rFonts w:ascii="Arial" w:cs="Arial" w:eastAsia="Arial" w:hAnsi="Arial"/>
                <w:sz w:val="16"/>
                <w:szCs w:val="16"/>
                <w:color w:val="auto"/>
              </w:rPr>
              <w:t>The following table sets forth changes in the estimated fair values for the Company’s warrant liabilities measured using significant</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340" w:type="dxa"/>
            <w:vAlign w:val="bottom"/>
            <w:gridSpan w:val="2"/>
          </w:tcPr>
          <w:p>
            <w:pPr>
              <w:spacing w:after="0"/>
              <w:rPr>
                <w:sz w:val="20"/>
                <w:szCs w:val="20"/>
                <w:color w:val="auto"/>
              </w:rPr>
            </w:pPr>
            <w:r>
              <w:rPr>
                <w:rFonts w:ascii="Arial" w:cs="Arial" w:eastAsia="Arial" w:hAnsi="Arial"/>
                <w:sz w:val="16"/>
                <w:szCs w:val="16"/>
                <w:color w:val="auto"/>
              </w:rPr>
              <w:t>unobservable inputs (in thousands):</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66040</wp:posOffset>
            </wp:positionV>
            <wp:extent cx="6569075" cy="158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2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Year ended December 31,</w:t>
            </w:r>
          </w:p>
        </w:tc>
      </w:tr>
      <w:tr>
        <w:trPr>
          <w:trHeight w:val="208"/>
        </w:trPr>
        <w:tc>
          <w:tcPr>
            <w:tcW w:w="42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r>
      <w:tr>
        <w:trPr>
          <w:trHeight w:val="183"/>
        </w:trPr>
        <w:tc>
          <w:tcPr>
            <w:tcW w:w="42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Beginning of year</w:t>
            </w:r>
          </w:p>
        </w:tc>
        <w:tc>
          <w:tcPr>
            <w:tcW w:w="394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58"/>
              <w:spacing w:after="0" w:line="183" w:lineRule="exact"/>
              <w:rPr>
                <w:sz w:val="20"/>
                <w:szCs w:val="20"/>
                <w:color w:val="auto"/>
              </w:rPr>
            </w:pPr>
            <w:r>
              <w:rPr>
                <w:rFonts w:ascii="Arial" w:cs="Arial" w:eastAsia="Arial" w:hAnsi="Arial"/>
                <w:sz w:val="16"/>
                <w:szCs w:val="16"/>
                <w:color w:val="auto"/>
              </w:rPr>
              <w:t>71,881</w:t>
            </w:r>
          </w:p>
        </w:tc>
        <w:tc>
          <w:tcPr>
            <w:tcW w:w="400" w:type="dxa"/>
            <w:vAlign w:val="bottom"/>
            <w:shd w:val="clear" w:color="auto" w:fill="CCEEFF"/>
          </w:tcPr>
          <w:p>
            <w:pPr>
              <w:jc w:val="right"/>
              <w:ind w:right="38"/>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242,818</w:t>
            </w:r>
          </w:p>
        </w:tc>
        <w:tc>
          <w:tcPr>
            <w:tcW w:w="100" w:type="dxa"/>
            <w:vAlign w:val="bottom"/>
            <w:shd w:val="clear" w:color="auto" w:fill="CCEEFF"/>
          </w:tcPr>
          <w:p>
            <w:pPr>
              <w:spacing w:after="0"/>
              <w:rPr>
                <w:sz w:val="15"/>
                <w:szCs w:val="15"/>
                <w:color w:val="auto"/>
              </w:rPr>
            </w:pPr>
          </w:p>
        </w:tc>
      </w:tr>
      <w:tr>
        <w:trPr>
          <w:trHeight w:val="190"/>
        </w:trPr>
        <w:tc>
          <w:tcPr>
            <w:tcW w:w="4220" w:type="dxa"/>
            <w:vAlign w:val="bottom"/>
          </w:tcPr>
          <w:p>
            <w:pPr>
              <w:spacing w:after="0"/>
              <w:rPr>
                <w:sz w:val="20"/>
                <w:szCs w:val="20"/>
                <w:color w:val="auto"/>
              </w:rPr>
            </w:pPr>
            <w:r>
              <w:rPr>
                <w:rFonts w:ascii="Arial" w:cs="Arial" w:eastAsia="Arial" w:hAnsi="Arial"/>
                <w:sz w:val="16"/>
                <w:szCs w:val="16"/>
                <w:color w:val="auto"/>
              </w:rPr>
              <w:t>Exercise of preferred stock warrants</w:t>
            </w:r>
          </w:p>
        </w:tc>
        <w:tc>
          <w:tcPr>
            <w:tcW w:w="3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98"/>
              <w:spacing w:after="0"/>
              <w:rPr>
                <w:sz w:val="20"/>
                <w:szCs w:val="20"/>
                <w:color w:val="auto"/>
              </w:rPr>
            </w:pPr>
            <w:r>
              <w:rPr>
                <w:rFonts w:ascii="Arial" w:cs="Arial" w:eastAsia="Arial" w:hAnsi="Arial"/>
                <w:sz w:val="16"/>
                <w:szCs w:val="16"/>
                <w:color w:val="auto"/>
              </w:rPr>
              <w:t>(24)</w:t>
            </w:r>
          </w:p>
        </w:tc>
        <w:tc>
          <w:tcPr>
            <w:tcW w:w="40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(904)</w:t>
            </w:r>
          </w:p>
        </w:tc>
      </w:tr>
      <w:tr>
        <w:trPr>
          <w:trHeight w:val="190"/>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Expiration of preferred stock warrants</w:t>
            </w:r>
          </w:p>
        </w:tc>
        <w:tc>
          <w:tcPr>
            <w:tcW w:w="3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(803)</w:t>
            </w:r>
          </w:p>
        </w:tc>
      </w:tr>
      <w:tr>
        <w:trPr>
          <w:trHeight w:val="190"/>
        </w:trPr>
        <w:tc>
          <w:tcPr>
            <w:tcW w:w="4220" w:type="dxa"/>
            <w:vAlign w:val="bottom"/>
          </w:tcPr>
          <w:p>
            <w:pPr>
              <w:spacing w:after="0"/>
              <w:rPr>
                <w:sz w:val="20"/>
                <w:szCs w:val="20"/>
                <w:color w:val="auto"/>
              </w:rPr>
            </w:pPr>
            <w:r>
              <w:rPr>
                <w:rFonts w:ascii="Arial" w:cs="Arial" w:eastAsia="Arial" w:hAnsi="Arial"/>
                <w:sz w:val="16"/>
                <w:szCs w:val="16"/>
                <w:color w:val="auto"/>
              </w:rPr>
              <w:t>Change in fair value of common stock warrant</w:t>
            </w:r>
          </w:p>
        </w:tc>
        <w:tc>
          <w:tcPr>
            <w:tcW w:w="3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98"/>
              <w:spacing w:after="0"/>
              <w:rPr>
                <w:sz w:val="20"/>
                <w:szCs w:val="20"/>
                <w:color w:val="auto"/>
              </w:rPr>
            </w:pPr>
            <w:r>
              <w:rPr>
                <w:rFonts w:ascii="Arial" w:cs="Arial" w:eastAsia="Arial" w:hAnsi="Arial"/>
                <w:sz w:val="16"/>
                <w:szCs w:val="16"/>
                <w:color w:val="auto"/>
              </w:rPr>
              <w:t>(64,628)</w:t>
            </w:r>
          </w:p>
        </w:tc>
        <w:tc>
          <w:tcPr>
            <w:tcW w:w="40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(167,818)</w:t>
            </w:r>
          </w:p>
        </w:tc>
      </w:tr>
      <w:tr>
        <w:trPr>
          <w:trHeight w:val="190"/>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preferred stock warrants</w:t>
            </w:r>
          </w:p>
        </w:tc>
        <w:tc>
          <w:tcPr>
            <w:tcW w:w="3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1,617</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(1,412)</w:t>
            </w:r>
          </w:p>
        </w:tc>
      </w:tr>
      <w:tr>
        <w:trPr>
          <w:trHeight w:val="20"/>
        </w:trPr>
        <w:tc>
          <w:tcPr>
            <w:tcW w:w="42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End of year</w:t>
            </w:r>
          </w:p>
        </w:tc>
        <w:tc>
          <w:tcPr>
            <w:tcW w:w="3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8,846</w:t>
            </w:r>
          </w:p>
        </w:tc>
        <w:tc>
          <w:tcPr>
            <w:tcW w:w="4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71,881</w:t>
            </w:r>
          </w:p>
        </w:tc>
        <w:tc>
          <w:tcPr>
            <w:tcW w:w="100" w:type="dxa"/>
            <w:vAlign w:val="bottom"/>
          </w:tcPr>
          <w:p>
            <w:pPr>
              <w:spacing w:after="0"/>
              <w:rPr>
                <w:sz w:val="17"/>
                <w:szCs w:val="17"/>
                <w:color w:val="auto"/>
              </w:rPr>
            </w:pPr>
          </w:p>
        </w:tc>
      </w:tr>
      <w:tr>
        <w:trPr>
          <w:trHeight w:val="334"/>
        </w:trPr>
        <w:tc>
          <w:tcPr>
            <w:tcW w:w="4220" w:type="dxa"/>
            <w:vAlign w:val="bottom"/>
          </w:tcPr>
          <w:p>
            <w:pPr>
              <w:spacing w:after="0"/>
              <w:rPr>
                <w:sz w:val="24"/>
                <w:szCs w:val="24"/>
                <w:color w:val="auto"/>
              </w:rPr>
            </w:pPr>
          </w:p>
        </w:tc>
        <w:tc>
          <w:tcPr>
            <w:tcW w:w="3940" w:type="dxa"/>
            <w:vAlign w:val="bottom"/>
            <w:gridSpan w:val="2"/>
          </w:tcPr>
          <w:p>
            <w:pPr>
              <w:jc w:val="right"/>
              <w:ind w:right="2820"/>
              <w:spacing w:after="0"/>
              <w:rPr>
                <w:sz w:val="20"/>
                <w:szCs w:val="20"/>
                <w:color w:val="auto"/>
              </w:rPr>
            </w:pPr>
            <w:r>
              <w:rPr>
                <w:rFonts w:ascii="Arial" w:cs="Arial" w:eastAsia="Arial" w:hAnsi="Arial"/>
                <w:sz w:val="16"/>
                <w:szCs w:val="16"/>
                <w:color w:val="auto"/>
              </w:rPr>
              <w:t>F-24</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800"/>
          </w:cols>
          <w:pgMar w:left="320" w:top="441" w:right="779" w:bottom="1440" w:gutter="0" w:footer="0" w:header="0"/>
        </w:sectPr>
      </w:pPr>
    </w:p>
    <w:bookmarkStart w:id="250" w:name="page251"/>
    <w:bookmarkEnd w:id="2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360"/>
        <w:spacing w:after="0" w:line="253" w:lineRule="auto"/>
        <w:rPr>
          <w:sz w:val="20"/>
          <w:szCs w:val="20"/>
          <w:color w:val="auto"/>
        </w:rPr>
      </w:pPr>
      <w:r>
        <w:rPr>
          <w:rFonts w:ascii="Arial" w:cs="Arial" w:eastAsia="Arial" w:hAnsi="Arial"/>
          <w:sz w:val="16"/>
          <w:szCs w:val="16"/>
          <w:color w:val="auto"/>
        </w:rPr>
        <w:t>The term loan is not actively traded. The Company measures the value of the debt instrument by considering prevailing interest rates, the pricing of public debt of similar reporting entities with consistent credit standing and its own nonperformance risk, including credit risk. Because significant pricing inputs are unobservable, the debt instrument is classified as Level 3 in the fair value hierarchy. The carrying amount of the term loan approximated its fair value at December 31, 2020.</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7—Accrued expenses and other current liabilities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Accrued expenses and other current liabilities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4460" w:type="dxa"/>
            <w:vAlign w:val="bottom"/>
            <w:gridSpan w:val="3"/>
          </w:tcPr>
          <w:p>
            <w:pPr>
              <w:ind w:left="3060"/>
              <w:spacing w:after="0"/>
              <w:rPr>
                <w:sz w:val="20"/>
                <w:szCs w:val="20"/>
                <w:color w:val="auto"/>
              </w:rPr>
            </w:pPr>
            <w:r>
              <w:rPr>
                <w:rFonts w:ascii="Arial" w:cs="Arial" w:eastAsia="Arial" w:hAnsi="Arial"/>
                <w:sz w:val="16"/>
                <w:szCs w:val="16"/>
                <w:b w:val="1"/>
                <w:bCs w:val="1"/>
                <w:color w:val="auto"/>
              </w:rPr>
              <w:t>December 31,</w:t>
            </w:r>
          </w:p>
        </w:tc>
        <w:tc>
          <w:tcPr>
            <w:tcW w:w="1480" w:type="dxa"/>
            <w:vAlign w:val="bottom"/>
            <w:gridSpan w:val="3"/>
          </w:tcPr>
          <w:p>
            <w:pPr>
              <w:ind w:left="360"/>
              <w:spacing w:after="0"/>
              <w:rPr>
                <w:sz w:val="20"/>
                <w:szCs w:val="20"/>
                <w:color w:val="auto"/>
              </w:rPr>
            </w:pPr>
            <w:r>
              <w:rPr>
                <w:rFonts w:ascii="Arial" w:cs="Arial" w:eastAsia="Arial" w:hAnsi="Arial"/>
                <w:sz w:val="16"/>
                <w:szCs w:val="16"/>
                <w:b w:val="1"/>
                <w:bCs w:val="1"/>
                <w:color w:val="auto"/>
              </w:rPr>
              <w:t>December 31,</w:t>
            </w:r>
          </w:p>
        </w:tc>
      </w:tr>
      <w:tr>
        <w:trPr>
          <w:trHeight w:val="207"/>
        </w:trPr>
        <w:tc>
          <w:tcPr>
            <w:tcW w:w="44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2020</w:t>
            </w:r>
          </w:p>
        </w:tc>
        <w:tc>
          <w:tcPr>
            <w:tcW w:w="7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18"/>
                <w:szCs w:val="18"/>
                <w:color w:val="auto"/>
              </w:rPr>
            </w:pPr>
          </w:p>
        </w:tc>
      </w:tr>
      <w:tr>
        <w:trPr>
          <w:trHeight w:val="183"/>
        </w:trPr>
        <w:tc>
          <w:tcPr>
            <w:tcW w:w="44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Compensation</w:t>
            </w:r>
          </w:p>
        </w:tc>
        <w:tc>
          <w:tcPr>
            <w:tcW w:w="3420" w:type="dxa"/>
            <w:vAlign w:val="bottom"/>
            <w:gridSpan w:val="2"/>
            <w:shd w:val="clear" w:color="auto" w:fill="CCEEFF"/>
          </w:tcPr>
          <w:p>
            <w:pPr>
              <w:ind w:left="304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58"/>
              <w:spacing w:after="0" w:line="183" w:lineRule="exact"/>
              <w:rPr>
                <w:sz w:val="20"/>
                <w:szCs w:val="20"/>
                <w:color w:val="auto"/>
              </w:rPr>
            </w:pPr>
            <w:r>
              <w:rPr>
                <w:rFonts w:ascii="Arial" w:cs="Arial" w:eastAsia="Arial" w:hAnsi="Arial"/>
                <w:sz w:val="16"/>
                <w:szCs w:val="16"/>
                <w:color w:val="auto"/>
              </w:rPr>
              <w:t>2,943</w:t>
            </w:r>
          </w:p>
        </w:tc>
        <w:tc>
          <w:tcPr>
            <w:tcW w:w="720" w:type="dxa"/>
            <w:vAlign w:val="bottom"/>
            <w:shd w:val="clear" w:color="auto" w:fill="CCEEFF"/>
          </w:tcPr>
          <w:p>
            <w:pPr>
              <w:ind w:left="340"/>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4,427</w:t>
            </w:r>
          </w:p>
        </w:tc>
        <w:tc>
          <w:tcPr>
            <w:tcW w:w="40" w:type="dxa"/>
            <w:vAlign w:val="bottom"/>
            <w:shd w:val="clear" w:color="auto" w:fill="CCEEFF"/>
          </w:tcPr>
          <w:p>
            <w:pPr>
              <w:spacing w:after="0"/>
              <w:rPr>
                <w:sz w:val="15"/>
                <w:szCs w:val="15"/>
                <w:color w:val="auto"/>
              </w:rPr>
            </w:pPr>
          </w:p>
        </w:tc>
      </w:tr>
      <w:tr>
        <w:trPr>
          <w:trHeight w:val="190"/>
        </w:trPr>
        <w:tc>
          <w:tcPr>
            <w:tcW w:w="4400" w:type="dxa"/>
            <w:vAlign w:val="bottom"/>
          </w:tcPr>
          <w:p>
            <w:pPr>
              <w:spacing w:after="0"/>
              <w:rPr>
                <w:sz w:val="20"/>
                <w:szCs w:val="20"/>
                <w:color w:val="auto"/>
              </w:rPr>
            </w:pPr>
            <w:r>
              <w:rPr>
                <w:rFonts w:ascii="Arial" w:cs="Arial" w:eastAsia="Arial" w:hAnsi="Arial"/>
                <w:sz w:val="16"/>
                <w:szCs w:val="16"/>
                <w:color w:val="auto"/>
              </w:rPr>
              <w:t>Vendor invoices</w:t>
            </w:r>
          </w:p>
        </w:tc>
        <w:tc>
          <w:tcPr>
            <w:tcW w:w="3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Arial" w:cs="Arial" w:eastAsia="Arial" w:hAnsi="Arial"/>
                <w:sz w:val="16"/>
                <w:szCs w:val="16"/>
                <w:color w:val="auto"/>
              </w:rPr>
              <w:t>745</w:t>
            </w:r>
          </w:p>
        </w:tc>
        <w:tc>
          <w:tcPr>
            <w:tcW w:w="7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427</w:t>
            </w:r>
          </w:p>
        </w:tc>
        <w:tc>
          <w:tcPr>
            <w:tcW w:w="40" w:type="dxa"/>
            <w:vAlign w:val="bottom"/>
          </w:tcPr>
          <w:p>
            <w:pPr>
              <w:spacing w:after="0"/>
              <w:rPr>
                <w:sz w:val="16"/>
                <w:szCs w:val="16"/>
                <w:color w:val="auto"/>
              </w:rPr>
            </w:pPr>
          </w:p>
        </w:tc>
      </w:tr>
      <w:tr>
        <w:trPr>
          <w:trHeight w:val="190"/>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3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417</w:t>
            </w:r>
          </w:p>
        </w:tc>
        <w:tc>
          <w:tcPr>
            <w:tcW w:w="7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40" w:type="dxa"/>
            <w:vAlign w:val="bottom"/>
            <w:shd w:val="clear" w:color="auto" w:fill="CCEEFF"/>
          </w:tcPr>
          <w:p>
            <w:pPr>
              <w:spacing w:after="0"/>
              <w:rPr>
                <w:sz w:val="16"/>
                <w:szCs w:val="16"/>
                <w:color w:val="auto"/>
              </w:rPr>
            </w:pPr>
          </w:p>
        </w:tc>
      </w:tr>
      <w:tr>
        <w:trPr>
          <w:trHeight w:val="190"/>
        </w:trPr>
        <w:tc>
          <w:tcPr>
            <w:tcW w:w="4400" w:type="dxa"/>
            <w:vAlign w:val="bottom"/>
          </w:tcPr>
          <w:p>
            <w:pPr>
              <w:spacing w:after="0"/>
              <w:rPr>
                <w:sz w:val="20"/>
                <w:szCs w:val="20"/>
                <w:color w:val="auto"/>
              </w:rPr>
            </w:pPr>
            <w:r>
              <w:rPr>
                <w:rFonts w:ascii="Arial" w:cs="Arial" w:eastAsia="Arial" w:hAnsi="Arial"/>
                <w:sz w:val="16"/>
                <w:szCs w:val="16"/>
                <w:color w:val="auto"/>
              </w:rPr>
              <w:t>Customer deposits</w:t>
            </w:r>
          </w:p>
        </w:tc>
        <w:tc>
          <w:tcPr>
            <w:tcW w:w="3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Arial" w:cs="Arial" w:eastAsia="Arial" w:hAnsi="Arial"/>
                <w:sz w:val="16"/>
                <w:szCs w:val="16"/>
                <w:color w:val="auto"/>
              </w:rPr>
              <w:t>21</w:t>
            </w:r>
          </w:p>
        </w:tc>
        <w:tc>
          <w:tcPr>
            <w:tcW w:w="7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315</w:t>
            </w:r>
          </w:p>
        </w:tc>
        <w:tc>
          <w:tcPr>
            <w:tcW w:w="40" w:type="dxa"/>
            <w:vAlign w:val="bottom"/>
          </w:tcPr>
          <w:p>
            <w:pPr>
              <w:spacing w:after="0"/>
              <w:rPr>
                <w:sz w:val="16"/>
                <w:szCs w:val="16"/>
                <w:color w:val="auto"/>
              </w:rPr>
            </w:pPr>
          </w:p>
        </w:tc>
      </w:tr>
      <w:tr>
        <w:trPr>
          <w:trHeight w:val="190"/>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30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6"/>
                <w:szCs w:val="16"/>
                <w:color w:val="auto"/>
              </w:rPr>
              <w:t>48</w:t>
            </w:r>
          </w:p>
        </w:tc>
        <w:tc>
          <w:tcPr>
            <w:tcW w:w="7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40" w:type="dxa"/>
            <w:vAlign w:val="bottom"/>
            <w:shd w:val="clear" w:color="auto" w:fill="CCEEFF"/>
          </w:tcPr>
          <w:p>
            <w:pPr>
              <w:spacing w:after="0"/>
              <w:rPr>
                <w:sz w:val="16"/>
                <w:szCs w:val="16"/>
                <w:color w:val="auto"/>
              </w:rPr>
            </w:pPr>
          </w:p>
        </w:tc>
      </w:tr>
      <w:tr>
        <w:trPr>
          <w:trHeight w:val="207"/>
        </w:trPr>
        <w:tc>
          <w:tcPr>
            <w:tcW w:w="440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2"/>
          </w:tcPr>
          <w:p>
            <w:pPr>
              <w:ind w:left="30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4,174</w:t>
            </w:r>
          </w:p>
        </w:tc>
        <w:tc>
          <w:tcPr>
            <w:tcW w:w="7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5,268</w:t>
            </w:r>
          </w:p>
        </w:tc>
        <w:tc>
          <w:tcPr>
            <w:tcW w:w="40" w:type="dxa"/>
            <w:vAlign w:val="bottom"/>
          </w:tcPr>
          <w:p>
            <w:pPr>
              <w:spacing w:after="0"/>
              <w:rPr>
                <w:sz w:val="17"/>
                <w:szCs w:val="17"/>
                <w:color w:val="auto"/>
              </w:rPr>
            </w:pPr>
          </w:p>
        </w:tc>
      </w:tr>
    </w:tbl>
    <w:p>
      <w:pPr>
        <w:spacing w:after="0" w:line="173"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8—Term loan</w:t>
      </w:r>
    </w:p>
    <w:p>
      <w:pPr>
        <w:spacing w:after="0" w:line="133" w:lineRule="exact"/>
        <w:rPr>
          <w:sz w:val="20"/>
          <w:szCs w:val="20"/>
          <w:color w:val="auto"/>
        </w:rPr>
      </w:pPr>
    </w:p>
    <w:p>
      <w:pPr>
        <w:ind w:left="460" w:right="40"/>
        <w:spacing w:after="0" w:line="253" w:lineRule="auto"/>
        <w:rPr>
          <w:sz w:val="20"/>
          <w:szCs w:val="20"/>
          <w:color w:val="auto"/>
        </w:rPr>
      </w:pPr>
      <w:r>
        <w:rPr>
          <w:rFonts w:ascii="Arial" w:cs="Arial" w:eastAsia="Arial" w:hAnsi="Arial"/>
          <w:sz w:val="16"/>
          <w:szCs w:val="16"/>
          <w:color w:val="auto"/>
        </w:rPr>
        <w:t>On October 29, 2020, the Company entered into a loan facility (“Term Loan”) with an initial draw of $25 million. Proceeds were used to help fund the Company’s ongoing operations. As part of the Term Loan, the lender committed to providing further loans of up to $35 million to the Company at its election (or for one specific draw, upon occurrence of a revenue milestone) during various draw periods in the future, provided the Company is not in default at the time of the additional loan draws.</w:t>
      </w:r>
    </w:p>
    <w:p>
      <w:pPr>
        <w:spacing w:after="0" w:line="86" w:lineRule="exact"/>
        <w:rPr>
          <w:sz w:val="20"/>
          <w:szCs w:val="20"/>
          <w:color w:val="auto"/>
        </w:rPr>
      </w:pPr>
    </w:p>
    <w:p>
      <w:pPr>
        <w:ind w:left="460" w:right="160"/>
        <w:spacing w:after="0" w:line="250" w:lineRule="auto"/>
        <w:rPr>
          <w:sz w:val="20"/>
          <w:szCs w:val="20"/>
          <w:color w:val="auto"/>
        </w:rPr>
      </w:pPr>
      <w:r>
        <w:rPr>
          <w:rFonts w:ascii="Arial" w:cs="Arial" w:eastAsia="Arial" w:hAnsi="Arial"/>
          <w:sz w:val="16"/>
          <w:szCs w:val="16"/>
          <w:color w:val="auto"/>
        </w:rPr>
        <w:t>The Term Loan is secured by substantially all of the Company’s assets, including a negative lien on the Company’s intellectual property assets. The Company is subject to various standard covenants, such as quarterly reporting, annual audits, submission of annual projections and limitations on dividends, further investments and indebtedness. The Term Loan also contains a covenant (“Performance to Plan”) that provides that, beginning on March 31, 2022 and measured monthly, the Company must achieve trailing twelve-month revenue equal to or greater than 50% of the Company’s annual operating budget as approved by the Company’s board of directors and the lender. If the Company completes an initial public offering of at least $70 million in proceeds, the Company may continue the Performance to Plan covenant or may replace it with a positive lien on its intellectual property. As of December 31, 2020, the Company was in compliance with all covenants.</w:t>
      </w:r>
    </w:p>
    <w:p>
      <w:pPr>
        <w:spacing w:after="0" w:line="281" w:lineRule="exact"/>
        <w:rPr>
          <w:sz w:val="20"/>
          <w:szCs w:val="20"/>
          <w:color w:val="auto"/>
        </w:rPr>
      </w:pPr>
    </w:p>
    <w:p>
      <w:pPr>
        <w:ind w:left="460" w:right="80"/>
        <w:spacing w:after="0" w:line="252" w:lineRule="auto"/>
        <w:rPr>
          <w:sz w:val="20"/>
          <w:szCs w:val="20"/>
          <w:color w:val="auto"/>
        </w:rPr>
      </w:pPr>
      <w:r>
        <w:rPr>
          <w:rFonts w:ascii="Arial" w:cs="Arial" w:eastAsia="Arial" w:hAnsi="Arial"/>
          <w:sz w:val="16"/>
          <w:szCs w:val="16"/>
          <w:color w:val="auto"/>
        </w:rPr>
        <w:t>Interest for all borrowings under the Term Loan is determined as the greater of (1) 9.25% or (2) 9.09% plus the greater of 30-day LIBOR published in the Wall Street Journal and 0.16%. The Company may elect an interest rate equal to 10.25% plus the greater of (1) the Wall Street Journal Prime rate or (2) 7%. The interest rate resets monthly on the last day of the month prior to the month in which interest accrues, and an actual/360-day convention applies. If the Company is considered to be in default as defined by the Term Loan, additional interest of 5% applies. The LIBOR rate is subject to change to another basis, presently undetermined, when LIBOR ceases to exist.</w:t>
      </w:r>
    </w:p>
    <w:p>
      <w:pPr>
        <w:spacing w:after="0" w:line="86" w:lineRule="exact"/>
        <w:rPr>
          <w:sz w:val="20"/>
          <w:szCs w:val="20"/>
          <w:color w:val="auto"/>
        </w:rPr>
      </w:pPr>
    </w:p>
    <w:p>
      <w:pPr>
        <w:ind w:left="460" w:right="160"/>
        <w:spacing w:after="0" w:line="253" w:lineRule="auto"/>
        <w:rPr>
          <w:sz w:val="20"/>
          <w:szCs w:val="20"/>
          <w:color w:val="auto"/>
        </w:rPr>
      </w:pPr>
      <w:r>
        <w:rPr>
          <w:rFonts w:ascii="Arial" w:cs="Arial" w:eastAsia="Arial" w:hAnsi="Arial"/>
          <w:sz w:val="16"/>
          <w:szCs w:val="16"/>
          <w:color w:val="auto"/>
        </w:rPr>
        <w:t>The Term Loan requires 36 months of interest-only payments, followed by 23-months of amortization. If the Company is in compliance with the Performance to Plan covenant through October 31, 2023, the interest-only period is extended by 12 months, and the amortization period is reduced by 11 months. Payments are due on the first day of each month in arrears. All unpaid amounts under the Term Loan mature on October 1, 2025.</w:t>
      </w:r>
    </w:p>
    <w:p>
      <w:pPr>
        <w:spacing w:after="0" w:line="124"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0800"/>
          </w:cols>
          <w:pgMar w:left="320" w:top="441" w:right="779" w:bottom="1440" w:gutter="0" w:footer="0" w:header="0"/>
        </w:sectPr>
      </w:pPr>
    </w:p>
    <w:bookmarkStart w:id="251" w:name="page252"/>
    <w:bookmarkEnd w:id="2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320"/>
        <w:spacing w:after="0" w:line="265" w:lineRule="auto"/>
        <w:rPr>
          <w:sz w:val="20"/>
          <w:szCs w:val="20"/>
          <w:color w:val="auto"/>
        </w:rPr>
      </w:pPr>
      <w:r>
        <w:rPr>
          <w:rFonts w:ascii="Arial" w:cs="Arial" w:eastAsia="Arial" w:hAnsi="Arial"/>
          <w:sz w:val="16"/>
          <w:szCs w:val="16"/>
          <w:color w:val="auto"/>
        </w:rPr>
        <w:t>The Term Loan is prepayable at any time without penalty; however, the loan must be prepaid in full or in specific increments, and amounts prepaid may not be subsequently reborrowed. The loan may also be accelerated by the lender in the event of a default.</w:t>
      </w:r>
    </w:p>
    <w:p>
      <w:pPr>
        <w:spacing w:after="0" w:line="75" w:lineRule="exact"/>
        <w:rPr>
          <w:sz w:val="20"/>
          <w:szCs w:val="20"/>
          <w:color w:val="auto"/>
        </w:rPr>
      </w:pPr>
    </w:p>
    <w:p>
      <w:pPr>
        <w:ind w:left="460" w:right="120"/>
        <w:spacing w:after="0" w:line="250" w:lineRule="auto"/>
        <w:rPr>
          <w:sz w:val="20"/>
          <w:szCs w:val="20"/>
          <w:color w:val="auto"/>
        </w:rPr>
      </w:pPr>
      <w:r>
        <w:rPr>
          <w:rFonts w:ascii="Arial" w:cs="Arial" w:eastAsia="Arial" w:hAnsi="Arial"/>
          <w:sz w:val="16"/>
          <w:szCs w:val="16"/>
          <w:color w:val="auto"/>
        </w:rPr>
        <w:t>If the loan is not fully prepaid by December 31, 2021, the Company will become subject to an additional fee (the “Exit Fee”). The fee is 3% of the original draw amount if prepaid between January 1, 2022 and October 31, 2022 ($750,000), 4% if prepaid between November 1, 2022 and October 31, 2023 ($1 million) and 5% ($1.3 million) if paid subsequently, including at maturity. The Exit Fee is being accreted to the carrying value of the debt as a debt premium and interest expense over the life of the loan using the effective interest method. Third-party professional service fees totaling $687,000 were incurred by the lender and the Company that are directly attributable to execution of the Term Loan transaction. These issuance costs have been recorded as a discount to the carrying amount of the debt and are being amortized to interest expense over the effective term of the debt using the effective interest method.</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2020, annual principal payments due under the Term Loan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620" w:type="dxa"/>
            <w:vAlign w:val="bottom"/>
          </w:tcPr>
          <w:p>
            <w:pPr>
              <w:spacing w:after="0"/>
              <w:rPr>
                <w:sz w:val="20"/>
                <w:szCs w:val="20"/>
                <w:color w:val="auto"/>
              </w:rPr>
            </w:pPr>
            <w:r>
              <w:rPr>
                <w:rFonts w:ascii="Arial" w:cs="Arial" w:eastAsia="Arial" w:hAnsi="Arial"/>
                <w:sz w:val="16"/>
                <w:szCs w:val="16"/>
                <w:b w:val="1"/>
                <w:bCs w:val="1"/>
                <w:color w:val="auto"/>
              </w:rPr>
              <w:t>Year Ended December 31,</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0"/>
        </w:trPr>
        <w:tc>
          <w:tcPr>
            <w:tcW w:w="6620" w:type="dxa"/>
            <w:vAlign w:val="bottom"/>
            <w:shd w:val="clear" w:color="auto" w:fill="CCEEFF"/>
          </w:tcPr>
          <w:p>
            <w:pPr>
              <w:jc w:val="right"/>
              <w:ind w:right="5778"/>
              <w:spacing w:after="0"/>
              <w:rPr>
                <w:sz w:val="20"/>
                <w:szCs w:val="20"/>
                <w:color w:val="auto"/>
              </w:rPr>
            </w:pPr>
            <w:r>
              <w:rPr>
                <w:rFonts w:ascii="Arial" w:cs="Arial" w:eastAsia="Arial" w:hAnsi="Arial"/>
                <w:sz w:val="16"/>
                <w:szCs w:val="16"/>
                <w:color w:val="auto"/>
              </w:rPr>
              <w:t>2021</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0"/>
        </w:trPr>
        <w:tc>
          <w:tcPr>
            <w:tcW w:w="6620" w:type="dxa"/>
            <w:vAlign w:val="bottom"/>
          </w:tcPr>
          <w:p>
            <w:pPr>
              <w:jc w:val="right"/>
              <w:ind w:right="5778"/>
              <w:spacing w:after="0"/>
              <w:rPr>
                <w:sz w:val="20"/>
                <w:szCs w:val="20"/>
                <w:color w:val="auto"/>
              </w:rPr>
            </w:pPr>
            <w:r>
              <w:rPr>
                <w:rFonts w:ascii="Arial" w:cs="Arial" w:eastAsia="Arial" w:hAnsi="Arial"/>
                <w:sz w:val="16"/>
                <w:szCs w:val="16"/>
                <w:color w:val="auto"/>
              </w:rPr>
              <w:t>2022</w:t>
            </w: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0"/>
        </w:trPr>
        <w:tc>
          <w:tcPr>
            <w:tcW w:w="6620" w:type="dxa"/>
            <w:vAlign w:val="bottom"/>
            <w:shd w:val="clear" w:color="auto" w:fill="CCEEFF"/>
          </w:tcPr>
          <w:p>
            <w:pPr>
              <w:jc w:val="right"/>
              <w:ind w:right="5778"/>
              <w:spacing w:after="0"/>
              <w:rPr>
                <w:sz w:val="20"/>
                <w:szCs w:val="20"/>
                <w:color w:val="auto"/>
              </w:rPr>
            </w:pPr>
            <w:r>
              <w:rPr>
                <w:rFonts w:ascii="Arial" w:cs="Arial" w:eastAsia="Arial" w:hAnsi="Arial"/>
                <w:sz w:val="16"/>
                <w:szCs w:val="16"/>
                <w:color w:val="auto"/>
              </w:rPr>
              <w:t>2023</w:t>
            </w:r>
          </w:p>
        </w:tc>
        <w:tc>
          <w:tcPr>
            <w:tcW w:w="2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20" w:type="dxa"/>
            <w:vAlign w:val="bottom"/>
            <w:shd w:val="clear" w:color="auto" w:fill="CCEEFF"/>
          </w:tcPr>
          <w:p>
            <w:pPr>
              <w:spacing w:after="0"/>
              <w:rPr>
                <w:sz w:val="16"/>
                <w:szCs w:val="16"/>
                <w:color w:val="auto"/>
              </w:rPr>
            </w:pPr>
          </w:p>
        </w:tc>
      </w:tr>
      <w:tr>
        <w:trPr>
          <w:trHeight w:val="190"/>
        </w:trPr>
        <w:tc>
          <w:tcPr>
            <w:tcW w:w="6620" w:type="dxa"/>
            <w:vAlign w:val="bottom"/>
          </w:tcPr>
          <w:p>
            <w:pPr>
              <w:jc w:val="right"/>
              <w:ind w:right="5778"/>
              <w:spacing w:after="0"/>
              <w:rPr>
                <w:sz w:val="20"/>
                <w:szCs w:val="20"/>
                <w:color w:val="auto"/>
              </w:rPr>
            </w:pPr>
            <w:r>
              <w:rPr>
                <w:rFonts w:ascii="Arial" w:cs="Arial" w:eastAsia="Arial" w:hAnsi="Arial"/>
                <w:sz w:val="16"/>
                <w:szCs w:val="16"/>
                <w:color w:val="auto"/>
              </w:rPr>
              <w:t>2024</w:t>
            </w: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13,043</w:t>
            </w:r>
          </w:p>
        </w:tc>
        <w:tc>
          <w:tcPr>
            <w:tcW w:w="120" w:type="dxa"/>
            <w:vAlign w:val="bottom"/>
          </w:tcPr>
          <w:p>
            <w:pPr>
              <w:spacing w:after="0"/>
              <w:rPr>
                <w:sz w:val="16"/>
                <w:szCs w:val="16"/>
                <w:color w:val="auto"/>
              </w:rPr>
            </w:pPr>
          </w:p>
        </w:tc>
      </w:tr>
      <w:tr>
        <w:trPr>
          <w:trHeight w:val="190"/>
        </w:trPr>
        <w:tc>
          <w:tcPr>
            <w:tcW w:w="6620" w:type="dxa"/>
            <w:vAlign w:val="bottom"/>
            <w:shd w:val="clear" w:color="auto" w:fill="CCEEFF"/>
          </w:tcPr>
          <w:p>
            <w:pPr>
              <w:jc w:val="right"/>
              <w:ind w:right="5778"/>
              <w:spacing w:after="0"/>
              <w:rPr>
                <w:sz w:val="20"/>
                <w:szCs w:val="20"/>
                <w:color w:val="auto"/>
              </w:rPr>
            </w:pPr>
            <w:r>
              <w:rPr>
                <w:rFonts w:ascii="Arial" w:cs="Arial" w:eastAsia="Arial" w:hAnsi="Arial"/>
                <w:sz w:val="16"/>
                <w:szCs w:val="16"/>
                <w:color w:val="auto"/>
              </w:rPr>
              <w:t>2025</w:t>
            </w:r>
          </w:p>
        </w:tc>
        <w:tc>
          <w:tcPr>
            <w:tcW w:w="29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10,870</w:t>
            </w:r>
          </w:p>
        </w:tc>
        <w:tc>
          <w:tcPr>
            <w:tcW w:w="120" w:type="dxa"/>
            <w:vAlign w:val="bottom"/>
            <w:shd w:val="clear" w:color="auto" w:fill="CCEEFF"/>
          </w:tcPr>
          <w:p>
            <w:pPr>
              <w:spacing w:after="0"/>
              <w:rPr>
                <w:sz w:val="16"/>
                <w:szCs w:val="16"/>
                <w:color w:val="auto"/>
              </w:rPr>
            </w:pPr>
          </w:p>
        </w:tc>
      </w:tr>
      <w:tr>
        <w:trPr>
          <w:trHeight w:val="196"/>
        </w:trPr>
        <w:tc>
          <w:tcPr>
            <w:tcW w:w="6620" w:type="dxa"/>
            <w:vAlign w:val="bottom"/>
          </w:tcPr>
          <w:p>
            <w:pPr>
              <w:spacing w:after="0"/>
              <w:rPr>
                <w:sz w:val="20"/>
                <w:szCs w:val="20"/>
                <w:color w:val="auto"/>
              </w:rPr>
            </w:pPr>
            <w:r>
              <w:rPr>
                <w:rFonts w:ascii="Arial" w:cs="Arial" w:eastAsia="Arial" w:hAnsi="Arial"/>
                <w:sz w:val="16"/>
                <w:szCs w:val="16"/>
                <w:color w:val="auto"/>
              </w:rPr>
              <w:t>Total</w:t>
            </w: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17"/>
                <w:szCs w:val="17"/>
                <w:color w:val="auto"/>
              </w:rPr>
            </w:pPr>
          </w:p>
        </w:tc>
      </w:tr>
      <w:tr>
        <w:trPr>
          <w:trHeight w:val="190"/>
        </w:trPr>
        <w:tc>
          <w:tcPr>
            <w:tcW w:w="6620" w:type="dxa"/>
            <w:vAlign w:val="bottom"/>
            <w:shd w:val="clear" w:color="auto" w:fill="CCEEFF"/>
          </w:tcPr>
          <w:p>
            <w:pPr>
              <w:jc w:val="right"/>
              <w:ind w:right="2898"/>
              <w:spacing w:after="0"/>
              <w:rPr>
                <w:sz w:val="20"/>
                <w:szCs w:val="20"/>
                <w:color w:val="auto"/>
              </w:rPr>
            </w:pPr>
            <w:r>
              <w:rPr>
                <w:rFonts w:ascii="Arial" w:cs="Arial" w:eastAsia="Arial" w:hAnsi="Arial"/>
                <w:sz w:val="16"/>
                <w:szCs w:val="16"/>
                <w:color w:val="auto"/>
              </w:rPr>
              <w:t>Less: unamortized issuance costs and Exit Fee</w:t>
            </w:r>
          </w:p>
        </w:tc>
        <w:tc>
          <w:tcPr>
            <w:tcW w:w="2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(601)</w:t>
            </w:r>
          </w:p>
        </w:tc>
      </w:tr>
      <w:tr>
        <w:trPr>
          <w:trHeight w:val="207"/>
        </w:trPr>
        <w:tc>
          <w:tcPr>
            <w:tcW w:w="6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Term loan, net</w:t>
            </w:r>
          </w:p>
        </w:tc>
        <w:tc>
          <w:tcPr>
            <w:tcW w:w="298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24,399</w:t>
            </w:r>
          </w:p>
        </w:tc>
        <w:tc>
          <w:tcPr>
            <w:tcW w:w="120" w:type="dxa"/>
            <w:vAlign w:val="bottom"/>
          </w:tcPr>
          <w:p>
            <w:pPr>
              <w:spacing w:after="0"/>
              <w:rPr>
                <w:sz w:val="17"/>
                <w:szCs w:val="17"/>
                <w:color w:val="auto"/>
              </w:rPr>
            </w:pPr>
          </w:p>
        </w:tc>
      </w:tr>
    </w:tbl>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2020, the interest rate charged on cash payments was 9.25%. The effective interest rate during the same period was 11.31%.</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9—Common stock warrant liability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Warrant agreement and share purchase agreement</w:t>
      </w:r>
    </w:p>
    <w:p>
      <w:pPr>
        <w:spacing w:after="0" w:line="124" w:lineRule="exact"/>
        <w:rPr>
          <w:sz w:val="20"/>
          <w:szCs w:val="20"/>
          <w:color w:val="auto"/>
        </w:rPr>
      </w:pPr>
    </w:p>
    <w:p>
      <w:pPr>
        <w:ind w:left="460" w:right="20"/>
        <w:spacing w:after="0" w:line="251" w:lineRule="auto"/>
        <w:rPr>
          <w:sz w:val="20"/>
          <w:szCs w:val="20"/>
          <w:color w:val="auto"/>
        </w:rPr>
      </w:pPr>
      <w:r>
        <w:rPr>
          <w:rFonts w:ascii="Arial" w:cs="Arial" w:eastAsia="Arial" w:hAnsi="Arial"/>
          <w:sz w:val="16"/>
          <w:szCs w:val="16"/>
          <w:color w:val="auto"/>
        </w:rPr>
        <w:t>On October 12, 2017, the Company issued a “Strategic Partner” a warrant to purchase Series W common stock (the “Warrant Agreement”) for a non-refundable payment of $60 million. This Series W common stock warrant (the “Series W Warrant”) had an initial expiration date of December 31, 2018 unless extended as provided for in the Warrant Agreement. On December 27, 2018, the Strategic Partner chose to extend the expiration date of the Series W Warrant, by making an additional non-refundable payment of $40 million, until the sooner of the achievement of performance milestones (as defined in the Warrant Agreement) or November 22, 2021. On March 18, 2020, the Company and the Strategic Partner signed an amendment to the Warrant Agreement that removed the milestone triggers for early exercise and changed the expiration date to March 31, 2021.</w:t>
      </w:r>
    </w:p>
    <w:p>
      <w:pPr>
        <w:spacing w:after="0" w:line="278"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Concurrent with the Warrant Agreement, the Strategic Partner and the Company entered into a Share Purchase Agreement (the “Purchase Agreement”). Under the Purchase Agreement, the Strategic Partner purchased one share of the Company’s non-voting $0.001 par value per share Series G common stock for $0.01. Upon exercise of the Series W Warrant, the Strategic Partner will receive one share of voting, $0.001 par value, Series W common stock. Per the Warrant Agreement, the exercise price of the Series W Warrant is $630.0 million plus adjustments for the Company’s cash, working capital, indebtedness and transaction expenses, subject to an escrow holdback of $92.0 million and a shareholder representative holdback of $500,000. The Warrant Agreement also provides for</w:t>
      </w:r>
    </w:p>
    <w:p>
      <w:pPr>
        <w:spacing w:after="0" w:line="126"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0800"/>
          </w:cols>
          <w:pgMar w:left="320" w:top="440" w:right="779" w:bottom="1440" w:gutter="0" w:footer="0" w:header="0"/>
        </w:sectPr>
      </w:pPr>
    </w:p>
    <w:bookmarkStart w:id="252" w:name="page253"/>
    <w:bookmarkEnd w:id="2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80"/>
        <w:spacing w:after="0" w:line="252" w:lineRule="auto"/>
        <w:rPr>
          <w:sz w:val="20"/>
          <w:szCs w:val="20"/>
          <w:color w:val="auto"/>
        </w:rPr>
      </w:pPr>
      <w:r>
        <w:rPr>
          <w:rFonts w:ascii="Arial" w:cs="Arial" w:eastAsia="Arial" w:hAnsi="Arial"/>
          <w:sz w:val="16"/>
          <w:szCs w:val="16"/>
          <w:color w:val="auto"/>
        </w:rPr>
        <w:t>potential aggregate milestone payments of up to $827 million for various sales-based and operating milestones and $185 million for certain regulatory milestones, either at the time of the Series W Warrant’s exercise or at dates subsequent, as defined in the Warrant Agreement. Upon notice of exercise of the Series W Warrant by the Strategic Partner and receipt of the required funds, a Special Redemption, as defined in the Company’s Articles of Incorporation, will trigger automatic redemption of all the Company’s outstanding capital instruments, except for the Series G common stock and Series W common stock, and the Strategic Partner will acquire the Company.</w:t>
      </w:r>
    </w:p>
    <w:p>
      <w:pPr>
        <w:spacing w:after="0" w:line="86" w:lineRule="exact"/>
        <w:rPr>
          <w:sz w:val="20"/>
          <w:szCs w:val="20"/>
          <w:color w:val="auto"/>
        </w:rPr>
      </w:pPr>
    </w:p>
    <w:p>
      <w:pPr>
        <w:ind w:left="460" w:right="160"/>
        <w:spacing w:after="0" w:line="256" w:lineRule="auto"/>
        <w:rPr>
          <w:sz w:val="20"/>
          <w:szCs w:val="20"/>
          <w:color w:val="auto"/>
        </w:rPr>
      </w:pPr>
      <w:r>
        <w:rPr>
          <w:rFonts w:ascii="Arial" w:cs="Arial" w:eastAsia="Arial" w:hAnsi="Arial"/>
          <w:sz w:val="16"/>
          <w:szCs w:val="16"/>
          <w:color w:val="auto"/>
        </w:rPr>
        <w:t>Under the Warrant Agreement, the Company is solely responsible for all research and preclinical, clinical and other development and commercialization of the LAL and LDD products. While the Series W Warrant is outstanding, the Company retains all decision-making rights regarding development and commercialization of its products.</w:t>
      </w:r>
    </w:p>
    <w:p>
      <w:pPr>
        <w:spacing w:after="0" w:line="83" w:lineRule="exact"/>
        <w:rPr>
          <w:sz w:val="20"/>
          <w:szCs w:val="20"/>
          <w:color w:val="auto"/>
        </w:rPr>
      </w:pPr>
    </w:p>
    <w:p>
      <w:pPr>
        <w:ind w:left="460" w:right="80"/>
        <w:spacing w:after="0" w:line="249" w:lineRule="auto"/>
        <w:rPr>
          <w:sz w:val="20"/>
          <w:szCs w:val="20"/>
          <w:color w:val="auto"/>
        </w:rPr>
      </w:pPr>
      <w:r>
        <w:rPr>
          <w:rFonts w:ascii="Arial" w:cs="Arial" w:eastAsia="Arial" w:hAnsi="Arial"/>
          <w:sz w:val="16"/>
          <w:szCs w:val="16"/>
          <w:color w:val="auto"/>
        </w:rPr>
        <w:t>The Series W warrant fair value was determined by management, with input and assistance from a third-party valuation specialist, upon issuance and is revalued as of each reporting date. The valuation specialist utilized a Monte Carlo Simulation (“MCS”) under the income method utilizing assumptions and financial data prepared by the Company. This valuation approach uses a discounted cash flow (“DCF”) method to calculate the starting equity value of the Company based upon future cash flow generation. The starting equity value of the Company is determined utilizing (1) forecasted financial projections for the next five years developed by management, (2) a terminal value assigned using an exit multiple method, and (3) a discount rate based on the weighted average cost of capital. Then a simulated equity value of the Company as of the expected exercise date is determined using the MCS method. The MCS inputs include: (1) the assumed amount of time until the exercise of the warrant, (2) the risk-free interest rate over the period until the assumed warrant exercise, (3) the assumed volatility in the value of the equity of the company, and (4) the starting equity value of the Company as determined from the discounted cash flow method. In order to determine the overall value of the warrant, the valuation specialists also simulate the payments for sales-based, operating and regulatory milestones based upon similar inputs to determine the expected overall purchase price of the Company. The net difference between the expected purchase price and the average simulated equity value determines the “option payoff”. Finally, management assigns a probability that the Strategic Partner will exercise the warrant which is applied to the present value of the “option payoff” to arrive at the recorded value reflected in the accompanying consolidated financial statements.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following table presents the assumptions used in the DCF and MCS calculations to determine the fair value of the Series W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74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 ended December 31,</w:t>
            </w:r>
          </w:p>
        </w:tc>
      </w:tr>
      <w:tr>
        <w:trPr>
          <w:trHeight w:val="208"/>
        </w:trPr>
        <w:tc>
          <w:tcPr>
            <w:tcW w:w="7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183"/>
        </w:trPr>
        <w:tc>
          <w:tcPr>
            <w:tcW w:w="74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Terminal value—exit multiple</w:t>
            </w:r>
          </w:p>
        </w:tc>
        <w:tc>
          <w:tcPr>
            <w:tcW w:w="900" w:type="dxa"/>
            <w:vAlign w:val="bottom"/>
            <w:shd w:val="clear" w:color="auto" w:fill="CCEEFF"/>
          </w:tcPr>
          <w:p>
            <w:pPr>
              <w:jc w:val="center"/>
              <w:spacing w:after="0" w:line="183" w:lineRule="exact"/>
              <w:rPr>
                <w:sz w:val="20"/>
                <w:szCs w:val="20"/>
                <w:color w:val="auto"/>
              </w:rPr>
            </w:pPr>
            <w:r>
              <w:rPr>
                <w:rFonts w:ascii="Arial" w:cs="Arial" w:eastAsia="Arial" w:hAnsi="Arial"/>
                <w:sz w:val="16"/>
                <w:szCs w:val="16"/>
                <w:color w:val="auto"/>
              </w:rPr>
              <w:t>7.00</w:t>
            </w:r>
          </w:p>
        </w:tc>
        <w:tc>
          <w:tcPr>
            <w:tcW w:w="2000" w:type="dxa"/>
            <w:vAlign w:val="bottom"/>
            <w:shd w:val="clear" w:color="auto" w:fill="CCEEFF"/>
          </w:tcPr>
          <w:p>
            <w:pPr>
              <w:jc w:val="right"/>
              <w:ind w:right="718"/>
              <w:spacing w:after="0" w:line="183" w:lineRule="exact"/>
              <w:rPr>
                <w:sz w:val="20"/>
                <w:szCs w:val="20"/>
                <w:color w:val="auto"/>
              </w:rPr>
            </w:pPr>
            <w:r>
              <w:rPr>
                <w:rFonts w:ascii="Arial" w:cs="Arial" w:eastAsia="Arial" w:hAnsi="Arial"/>
                <w:sz w:val="16"/>
                <w:szCs w:val="16"/>
                <w:color w:val="auto"/>
              </w:rPr>
              <w:t>7.00</w:t>
            </w:r>
          </w:p>
        </w:tc>
      </w:tr>
      <w:tr>
        <w:trPr>
          <w:trHeight w:val="190"/>
        </w:trPr>
        <w:tc>
          <w:tcPr>
            <w:tcW w:w="7440" w:type="dxa"/>
            <w:vAlign w:val="bottom"/>
          </w:tcPr>
          <w:p>
            <w:pPr>
              <w:spacing w:after="0"/>
              <w:rPr>
                <w:sz w:val="20"/>
                <w:szCs w:val="20"/>
                <w:color w:val="auto"/>
              </w:rPr>
            </w:pPr>
            <w:r>
              <w:rPr>
                <w:rFonts w:ascii="Arial" w:cs="Arial" w:eastAsia="Arial" w:hAnsi="Arial"/>
                <w:sz w:val="16"/>
                <w:szCs w:val="16"/>
                <w:color w:val="auto"/>
              </w:rPr>
              <w:t>Weighted average cost of capital discount rate</w:t>
            </w:r>
          </w:p>
        </w:tc>
        <w:tc>
          <w:tcPr>
            <w:tcW w:w="900" w:type="dxa"/>
            <w:vAlign w:val="bottom"/>
          </w:tcPr>
          <w:p>
            <w:pPr>
              <w:jc w:val="center"/>
              <w:spacing w:after="0"/>
              <w:rPr>
                <w:sz w:val="20"/>
                <w:szCs w:val="20"/>
                <w:color w:val="auto"/>
              </w:rPr>
            </w:pPr>
            <w:r>
              <w:rPr>
                <w:rFonts w:ascii="Arial" w:cs="Arial" w:eastAsia="Arial" w:hAnsi="Arial"/>
                <w:sz w:val="16"/>
                <w:szCs w:val="16"/>
                <w:color w:val="auto"/>
              </w:rPr>
              <w:t>22.0%</w:t>
            </w:r>
          </w:p>
        </w:tc>
        <w:tc>
          <w:tcPr>
            <w:tcW w:w="2000" w:type="dxa"/>
            <w:vAlign w:val="bottom"/>
          </w:tcPr>
          <w:p>
            <w:pPr>
              <w:jc w:val="right"/>
              <w:ind w:right="638"/>
              <w:spacing w:after="0"/>
              <w:rPr>
                <w:sz w:val="20"/>
                <w:szCs w:val="20"/>
                <w:color w:val="auto"/>
              </w:rPr>
            </w:pPr>
            <w:r>
              <w:rPr>
                <w:rFonts w:ascii="Arial" w:cs="Arial" w:eastAsia="Arial" w:hAnsi="Arial"/>
                <w:sz w:val="16"/>
                <w:szCs w:val="16"/>
                <w:color w:val="auto"/>
              </w:rPr>
              <w:t>22.0%</w:t>
            </w:r>
          </w:p>
        </w:tc>
      </w:tr>
      <w:tr>
        <w:trPr>
          <w:trHeight w:val="190"/>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Expected life (in years)</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0.25 year</w:t>
            </w:r>
          </w:p>
        </w:tc>
        <w:tc>
          <w:tcPr>
            <w:tcW w:w="200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rPr>
              <w:t>0.92 and 2.09 years</w:t>
            </w:r>
          </w:p>
        </w:tc>
      </w:tr>
      <w:tr>
        <w:trPr>
          <w:trHeight w:val="190"/>
        </w:trPr>
        <w:tc>
          <w:tcPr>
            <w:tcW w:w="7440" w:type="dxa"/>
            <w:vAlign w:val="bottom"/>
          </w:tcPr>
          <w:p>
            <w:pPr>
              <w:spacing w:after="0"/>
              <w:rPr>
                <w:sz w:val="20"/>
                <w:szCs w:val="20"/>
                <w:color w:val="auto"/>
              </w:rPr>
            </w:pPr>
            <w:r>
              <w:rPr>
                <w:rFonts w:ascii="Arial" w:cs="Arial" w:eastAsia="Arial" w:hAnsi="Arial"/>
                <w:sz w:val="16"/>
                <w:szCs w:val="16"/>
                <w:color w:val="auto"/>
              </w:rPr>
              <w:t>Risk-free interest rate</w:t>
            </w:r>
          </w:p>
        </w:tc>
        <w:tc>
          <w:tcPr>
            <w:tcW w:w="900" w:type="dxa"/>
            <w:vAlign w:val="bottom"/>
          </w:tcPr>
          <w:p>
            <w:pPr>
              <w:jc w:val="center"/>
              <w:spacing w:after="0"/>
              <w:rPr>
                <w:sz w:val="20"/>
                <w:szCs w:val="20"/>
                <w:color w:val="auto"/>
              </w:rPr>
            </w:pPr>
            <w:r>
              <w:rPr>
                <w:rFonts w:ascii="Arial" w:cs="Arial" w:eastAsia="Arial" w:hAnsi="Arial"/>
                <w:sz w:val="16"/>
                <w:szCs w:val="16"/>
                <w:color w:val="auto"/>
              </w:rPr>
              <w:t>0.9%</w:t>
            </w:r>
          </w:p>
        </w:tc>
        <w:tc>
          <w:tcPr>
            <w:tcW w:w="2000" w:type="dxa"/>
            <w:vAlign w:val="bottom"/>
          </w:tcPr>
          <w:p>
            <w:pPr>
              <w:jc w:val="center"/>
              <w:ind w:left="18"/>
              <w:spacing w:after="0"/>
              <w:rPr>
                <w:sz w:val="20"/>
                <w:szCs w:val="20"/>
                <w:color w:val="auto"/>
              </w:rPr>
            </w:pPr>
            <w:r>
              <w:rPr>
                <w:rFonts w:ascii="Arial" w:cs="Arial" w:eastAsia="Arial" w:hAnsi="Arial"/>
                <w:sz w:val="16"/>
                <w:szCs w:val="16"/>
                <w:color w:val="auto"/>
              </w:rPr>
              <w:t>1.58% and 1.59%</w:t>
            </w:r>
          </w:p>
        </w:tc>
      </w:tr>
      <w:tr>
        <w:trPr>
          <w:trHeight w:val="190"/>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56.9%</w:t>
            </w:r>
          </w:p>
        </w:tc>
        <w:tc>
          <w:tcPr>
            <w:tcW w:w="200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rPr>
              <w:t>59.6% and 66.8%</w:t>
            </w:r>
          </w:p>
        </w:tc>
      </w:tr>
      <w:tr>
        <w:trPr>
          <w:trHeight w:val="20"/>
        </w:trPr>
        <w:tc>
          <w:tcPr>
            <w:tcW w:w="7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Special redemption</w:t>
      </w:r>
    </w:p>
    <w:p>
      <w:pPr>
        <w:spacing w:after="0" w:line="124"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On October 25, 2017, the Company adopted the 12th Amended and Restated Articles of Incorporation (the “Amendment”). Under Article IV of the Amendment, if the Strategic Partner exercises the Series W Warrant, an automatic redemption, conversion, termination and cancellation of all then outstanding shares of the Company’s capital stock, options and warrants will occur without any further action required. Immediately prior to the automatic redemption, all outstanding preferred shares convert to common shares, unvested stock options accelerate and become fully vested and all stock options terminate along with any preferred stock warrants outstanding. Shareholders, option holders and warrant holders have the right to receive the initial per</w:t>
      </w:r>
    </w:p>
    <w:p>
      <w:pPr>
        <w:spacing w:after="0" w:line="126"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0800"/>
          </w:cols>
          <w:pgMar w:left="320" w:top="441" w:right="779" w:bottom="1440" w:gutter="0" w:footer="0" w:header="0"/>
        </w:sectPr>
      </w:pPr>
    </w:p>
    <w:bookmarkStart w:id="253" w:name="page254"/>
    <w:bookmarkEnd w:id="2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left="460" w:right="220"/>
        <w:spacing w:after="0" w:line="256" w:lineRule="auto"/>
        <w:rPr>
          <w:sz w:val="20"/>
          <w:szCs w:val="20"/>
          <w:color w:val="auto"/>
        </w:rPr>
      </w:pPr>
      <w:r>
        <w:rPr>
          <w:rFonts w:ascii="Arial" w:cs="Arial" w:eastAsia="Arial" w:hAnsi="Arial"/>
          <w:sz w:val="16"/>
          <w:szCs w:val="16"/>
          <w:color w:val="auto"/>
        </w:rPr>
        <w:t>share price less the strike price as defined in the Warrant Agreement. The Strategic Partner will advance (through an exchange agent) the funds to the Company, which will then disburse the funds to all shareholders, option holders and warrant holders. If the Series W Warrant is terminated or expires unexercised, Article IV of the Amendment is terminated and is of no further force and effect.</w:t>
      </w:r>
    </w:p>
    <w:p>
      <w:pPr>
        <w:spacing w:after="0" w:line="83"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Upon adoption, management determined that the exercise of the Series W Warrant by the Strategic Partner (and therefore, the Special Redemption) was a probable, though not certain event. As a result, as of October 2017, the Company began accreting common stock to the expected redemption value and reflected the redemption value of stock options in temporary equity. During the year ended December 31, 2020, the Company recorded $18.3 million of accretion of common stock and a credit of $1.5 million related to the value of redeemable stock options, which reflected the expected redemption value less strike price on vested stock options outstanding. During the year ended December 31, 2019, the Company recorded $25.6 million of accretion of common stock and an entry to record $13.4 million in redemption value related to redeemable stock options. In December 2020, management determined that exercise of the Series W Warrant was no longer probable, at which point accretion to redemption value of common stock and the entry to record the redemption value of stock options ceased.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10—Redeemable convertible preferred stock and stockholders’ deficit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Redeemable convertible preferred stock</w:t>
      </w:r>
    </w:p>
    <w:p>
      <w:pPr>
        <w:spacing w:after="0" w:line="124" w:lineRule="exact"/>
        <w:rPr>
          <w:sz w:val="20"/>
          <w:szCs w:val="20"/>
          <w:color w:val="auto"/>
        </w:rPr>
      </w:pPr>
    </w:p>
    <w:p>
      <w:pPr>
        <w:jc w:val="both"/>
        <w:ind w:left="460" w:right="100"/>
        <w:spacing w:after="0" w:line="248" w:lineRule="auto"/>
        <w:rPr>
          <w:sz w:val="20"/>
          <w:szCs w:val="20"/>
          <w:color w:val="auto"/>
        </w:rPr>
      </w:pPr>
      <w:r>
        <w:rPr>
          <w:rFonts w:ascii="Arial" w:cs="Arial" w:eastAsia="Arial" w:hAnsi="Arial"/>
          <w:sz w:val="16"/>
          <w:szCs w:val="16"/>
          <w:color w:val="auto"/>
        </w:rPr>
        <w:t>The Amendment authorized eight classes of preferred stock, Series A through F, the “Prior Preferred Stock” and Series G and H, the “Senior Preferred Stock”. All of the Company’s redeemable convertible preferred stock has been classified as temporary equity on the accompanying consolidated balance sheets, as all such preferred stock is redeemable either at the option of the holder or upon an event outside the control of the Company (i.e., a change in control). The redeemable convertible preferred stock is redeemable per the Special Redemption (see Note</w:t>
      </w:r>
    </w:p>
    <w:p>
      <w:pPr>
        <w:ind w:left="460" w:right="360" w:hanging="9"/>
        <w:spacing w:after="0" w:line="253" w:lineRule="auto"/>
        <w:tabs>
          <w:tab w:leader="none" w:pos="652" w:val="left"/>
        </w:tabs>
        <w:numPr>
          <w:ilvl w:val="0"/>
          <w:numId w:val="150"/>
        </w:numPr>
        <w:rPr>
          <w:rFonts w:ascii="Arial" w:cs="Arial" w:eastAsia="Arial" w:hAnsi="Arial"/>
          <w:sz w:val="16"/>
          <w:szCs w:val="16"/>
          <w:color w:val="auto"/>
        </w:rPr>
      </w:pPr>
      <w:r>
        <w:rPr>
          <w:rFonts w:ascii="Arial" w:cs="Arial" w:eastAsia="Arial" w:hAnsi="Arial"/>
          <w:sz w:val="16"/>
          <w:szCs w:val="16"/>
          <w:color w:val="auto"/>
        </w:rPr>
        <w:t>or upon certain change in control events (including liquidation, sale or transfer of control of the Company); however, the Special Redemption is not a certain event, and all change in control events are outside of the Company’s control. In the event of the Special Redemption, the holders will receive redemption proceeds as defined in the Warrant Agreement. In the event of liquidation, holders of the convertible preferred stock may have the right to receive its liquidation preference under the terms of the Company’s Amendment.</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result of management’s determination that the Special Redemption is probable, but not certain, the Company began accreting to the</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expected redemption value of the redeemable convertible preferred stock in October 2017. The Company recorded $25.7 million and</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$68.7 million of accretion on all redeemable convertible preferred stock for the years ended December 31, 2020 and 2019, respectively. In</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December 2020, management determined that the Special Redemption was no longer probable, at which point accretion to redemption value</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ceased.</w:t>
      </w:r>
    </w:p>
    <w:p>
      <w:pPr>
        <w:spacing w:after="0" w:line="14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0800"/>
          </w:cols>
          <w:pgMar w:left="320" w:top="441" w:right="779" w:bottom="1440" w:gutter="0" w:footer="0" w:header="0"/>
        </w:sectPr>
      </w:pPr>
    </w:p>
    <w:bookmarkStart w:id="254" w:name="page255"/>
    <w:bookmarkEnd w:id="2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0"/>
        <w:spacing w:after="0" w:line="265" w:lineRule="auto"/>
        <w:rPr>
          <w:sz w:val="20"/>
          <w:szCs w:val="20"/>
          <w:color w:val="auto"/>
        </w:rPr>
      </w:pPr>
      <w:r>
        <w:rPr>
          <w:rFonts w:ascii="Arial" w:cs="Arial" w:eastAsia="Arial" w:hAnsi="Arial"/>
          <w:sz w:val="16"/>
          <w:szCs w:val="16"/>
          <w:color w:val="auto"/>
        </w:rPr>
        <w:t>The following tables summarize information related to issuance of the Company’s preferred stock (in thousands, except number of shares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53975</wp:posOffset>
            </wp:positionV>
            <wp:extent cx="6569075" cy="158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As of December 31, 2020</w:t>
            </w:r>
          </w:p>
        </w:tc>
      </w:tr>
      <w:tr>
        <w:trPr>
          <w:trHeight w:val="166"/>
        </w:trPr>
        <w:tc>
          <w:tcPr>
            <w:tcW w:w="1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38"/>
              <w:spacing w:after="0" w:line="166" w:lineRule="exact"/>
              <w:rPr>
                <w:sz w:val="20"/>
                <w:szCs w:val="20"/>
                <w:color w:val="auto"/>
              </w:rPr>
            </w:pPr>
            <w:r>
              <w:rPr>
                <w:rFonts w:ascii="Arial" w:cs="Arial" w:eastAsia="Arial" w:hAnsi="Arial"/>
                <w:sz w:val="16"/>
                <w:szCs w:val="16"/>
                <w:b w:val="1"/>
                <w:bCs w:val="1"/>
                <w:color w:val="auto"/>
              </w:rPr>
              <w:t>Share</w:t>
            </w: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58"/>
              <w:spacing w:after="0" w:line="166" w:lineRule="exact"/>
              <w:rPr>
                <w:sz w:val="20"/>
                <w:szCs w:val="20"/>
                <w:color w:val="auto"/>
              </w:rPr>
            </w:pPr>
            <w:r>
              <w:rPr>
                <w:rFonts w:ascii="Arial" w:cs="Arial" w:eastAsia="Arial" w:hAnsi="Arial"/>
                <w:sz w:val="16"/>
                <w:szCs w:val="16"/>
                <w:b w:val="1"/>
                <w:bCs w:val="1"/>
                <w:color w:val="auto"/>
              </w:rPr>
              <w:t>Shares</w:t>
            </w: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6"/>
                <w:szCs w:val="16"/>
                <w:b w:val="1"/>
                <w:bCs w:val="1"/>
                <w:color w:val="auto"/>
              </w:rPr>
              <w:t>Carrying</w:t>
            </w:r>
          </w:p>
        </w:tc>
        <w:tc>
          <w:tcPr>
            <w:tcW w:w="40" w:type="dxa"/>
            <w:vAlign w:val="bottom"/>
          </w:tcPr>
          <w:p>
            <w:pPr>
              <w:spacing w:after="0"/>
              <w:rPr>
                <w:sz w:val="14"/>
                <w:szCs w:val="14"/>
                <w:color w:val="auto"/>
              </w:rPr>
            </w:pPr>
          </w:p>
        </w:tc>
      </w:tr>
      <w:tr>
        <w:trPr>
          <w:trHeight w:val="190"/>
        </w:trPr>
        <w:tc>
          <w:tcPr>
            <w:tcW w:w="1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jc w:val="right"/>
              <w:ind w:right="78"/>
              <w:spacing w:after="0"/>
              <w:rPr>
                <w:sz w:val="20"/>
                <w:szCs w:val="20"/>
                <w:color w:val="auto"/>
              </w:rPr>
            </w:pPr>
            <w:r>
              <w:rPr>
                <w:rFonts w:ascii="Arial" w:cs="Arial" w:eastAsia="Arial" w:hAnsi="Arial"/>
                <w:sz w:val="16"/>
                <w:szCs w:val="16"/>
                <w:b w:val="1"/>
                <w:bCs w:val="1"/>
                <w:color w:val="auto"/>
              </w:rPr>
              <w:t>Par</w:t>
            </w:r>
          </w:p>
        </w:tc>
        <w:tc>
          <w:tcPr>
            <w:tcW w:w="980" w:type="dxa"/>
            <w:vAlign w:val="bottom"/>
          </w:tcPr>
          <w:p>
            <w:pPr>
              <w:jc w:val="right"/>
              <w:ind w:right="38"/>
              <w:spacing w:after="0"/>
              <w:rPr>
                <w:sz w:val="20"/>
                <w:szCs w:val="20"/>
                <w:color w:val="auto"/>
              </w:rPr>
            </w:pPr>
            <w:r>
              <w:rPr>
                <w:rFonts w:ascii="Arial" w:cs="Arial" w:eastAsia="Arial" w:hAnsi="Arial"/>
                <w:sz w:val="16"/>
                <w:szCs w:val="16"/>
                <w:b w:val="1"/>
                <w:bCs w:val="1"/>
                <w:color w:val="auto"/>
              </w:rPr>
              <w:t>Date of</w:t>
            </w:r>
          </w:p>
        </w:tc>
        <w:tc>
          <w:tcPr>
            <w:tcW w:w="240" w:type="dxa"/>
            <w:vAlign w:val="bottom"/>
          </w:tcPr>
          <w:p>
            <w:pPr>
              <w:spacing w:after="0"/>
              <w:rPr>
                <w:sz w:val="16"/>
                <w:szCs w:val="16"/>
                <w:color w:val="auto"/>
              </w:rPr>
            </w:pPr>
          </w:p>
        </w:tc>
        <w:tc>
          <w:tcPr>
            <w:tcW w:w="720" w:type="dxa"/>
            <w:vAlign w:val="bottom"/>
          </w:tcPr>
          <w:p>
            <w:pPr>
              <w:jc w:val="right"/>
              <w:ind w:right="38"/>
              <w:spacing w:after="0"/>
              <w:rPr>
                <w:sz w:val="20"/>
                <w:szCs w:val="20"/>
                <w:color w:val="auto"/>
              </w:rPr>
            </w:pPr>
            <w:r>
              <w:rPr>
                <w:rFonts w:ascii="Arial" w:cs="Arial" w:eastAsia="Arial" w:hAnsi="Arial"/>
                <w:sz w:val="16"/>
                <w:szCs w:val="16"/>
                <w:b w:val="1"/>
                <w:bCs w:val="1"/>
                <w:color w:val="auto"/>
              </w:rPr>
              <w:t>price at</w:t>
            </w:r>
          </w:p>
        </w:tc>
        <w:tc>
          <w:tcPr>
            <w:tcW w:w="120" w:type="dxa"/>
            <w:vAlign w:val="bottom"/>
          </w:tcPr>
          <w:p>
            <w:pPr>
              <w:spacing w:after="0"/>
              <w:rPr>
                <w:sz w:val="16"/>
                <w:szCs w:val="16"/>
                <w:color w:val="auto"/>
              </w:rPr>
            </w:pPr>
          </w:p>
        </w:tc>
        <w:tc>
          <w:tcPr>
            <w:tcW w:w="1160" w:type="dxa"/>
            <w:vAlign w:val="bottom"/>
          </w:tcPr>
          <w:p>
            <w:pPr>
              <w:jc w:val="right"/>
              <w:ind w:right="38"/>
              <w:spacing w:after="0"/>
              <w:rPr>
                <w:sz w:val="20"/>
                <w:szCs w:val="20"/>
                <w:color w:val="auto"/>
              </w:rPr>
            </w:pPr>
            <w:r>
              <w:rPr>
                <w:rFonts w:ascii="Arial" w:cs="Arial" w:eastAsia="Arial" w:hAnsi="Arial"/>
                <w:sz w:val="16"/>
                <w:szCs w:val="16"/>
                <w:b w:val="1"/>
                <w:bCs w:val="1"/>
                <w:color w:val="auto"/>
              </w:rPr>
              <w:t>Shares</w:t>
            </w:r>
          </w:p>
        </w:tc>
        <w:tc>
          <w:tcPr>
            <w:tcW w:w="1400" w:type="dxa"/>
            <w:vAlign w:val="bottom"/>
          </w:tcPr>
          <w:p>
            <w:pPr>
              <w:jc w:val="right"/>
              <w:ind w:right="58"/>
              <w:spacing w:after="0"/>
              <w:rPr>
                <w:sz w:val="20"/>
                <w:szCs w:val="20"/>
                <w:color w:val="auto"/>
              </w:rPr>
            </w:pPr>
            <w:r>
              <w:rPr>
                <w:rFonts w:ascii="Arial" w:cs="Arial" w:eastAsia="Arial" w:hAnsi="Arial"/>
                <w:sz w:val="16"/>
                <w:szCs w:val="16"/>
                <w:b w:val="1"/>
                <w:bCs w:val="1"/>
                <w:color w:val="auto"/>
              </w:rPr>
              <w:t>issued and</w:t>
            </w: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Liquidation</w:t>
            </w:r>
          </w:p>
        </w:tc>
        <w:tc>
          <w:tcPr>
            <w:tcW w:w="32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value(2)</w:t>
            </w:r>
          </w:p>
        </w:tc>
      </w:tr>
      <w:tr>
        <w:trPr>
          <w:trHeight w:val="220"/>
        </w:trPr>
        <w:tc>
          <w:tcPr>
            <w:tcW w:w="1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value</w:t>
            </w: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issuance</w:t>
            </w: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issuance</w:t>
            </w:r>
          </w:p>
        </w:tc>
        <w:tc>
          <w:tcPr>
            <w:tcW w:w="128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6"/>
                <w:szCs w:val="16"/>
                <w:b w:val="1"/>
                <w:bCs w:val="1"/>
                <w:color w:val="auto"/>
              </w:rPr>
              <w:t>authorized(1)</w:t>
            </w:r>
          </w:p>
        </w:tc>
        <w:tc>
          <w:tcPr>
            <w:tcW w:w="14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outstanding(1)</w:t>
            </w:r>
          </w:p>
        </w:tc>
        <w:tc>
          <w:tcPr>
            <w:tcW w:w="114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6"/>
                <w:szCs w:val="16"/>
                <w:b w:val="1"/>
                <w:bCs w:val="1"/>
                <w:color w:val="auto"/>
              </w:rPr>
              <w:t>preference</w:t>
            </w: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share capital</w:t>
            </w:r>
          </w:p>
        </w:tc>
      </w:tr>
      <w:tr>
        <w:trPr>
          <w:trHeight w:val="183"/>
        </w:trPr>
        <w:tc>
          <w:tcPr>
            <w:tcW w:w="16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Series A</w:t>
            </w:r>
          </w:p>
        </w:tc>
        <w:tc>
          <w:tcPr>
            <w:tcW w:w="1720" w:type="dxa"/>
            <w:vAlign w:val="bottom"/>
            <w:gridSpan w:val="2"/>
            <w:shd w:val="clear" w:color="auto" w:fill="CCEEFF"/>
          </w:tcPr>
          <w:p>
            <w:pPr>
              <w:jc w:val="right"/>
              <w:ind w:right="78"/>
              <w:spacing w:after="0" w:line="183" w:lineRule="exact"/>
              <w:rPr>
                <w:sz w:val="20"/>
                <w:szCs w:val="20"/>
                <w:color w:val="auto"/>
              </w:rPr>
            </w:pPr>
            <w:r>
              <w:rPr>
                <w:rFonts w:ascii="Arial" w:cs="Arial" w:eastAsia="Arial" w:hAnsi="Arial"/>
                <w:sz w:val="16"/>
                <w:szCs w:val="16"/>
                <w:color w:val="auto"/>
              </w:rPr>
              <w:t>$0.001</w:t>
            </w:r>
          </w:p>
        </w:tc>
        <w:tc>
          <w:tcPr>
            <w:tcW w:w="980" w:type="dxa"/>
            <w:vAlign w:val="bottom"/>
            <w:shd w:val="clear" w:color="auto" w:fill="CCEEFF"/>
          </w:tcPr>
          <w:p>
            <w:pPr>
              <w:jc w:val="right"/>
              <w:ind w:right="38"/>
              <w:spacing w:after="0" w:line="183" w:lineRule="exact"/>
              <w:rPr>
                <w:sz w:val="20"/>
                <w:szCs w:val="20"/>
                <w:color w:val="auto"/>
              </w:rPr>
            </w:pPr>
            <w:r>
              <w:rPr>
                <w:rFonts w:ascii="Arial" w:cs="Arial" w:eastAsia="Arial" w:hAnsi="Arial"/>
                <w:sz w:val="16"/>
                <w:szCs w:val="16"/>
                <w:color w:val="auto"/>
              </w:rPr>
              <w:t>Feb-2000</w:t>
            </w:r>
          </w:p>
        </w:tc>
        <w:tc>
          <w:tcPr>
            <w:tcW w:w="240" w:type="dxa"/>
            <w:vAlign w:val="bottom"/>
            <w:shd w:val="clear" w:color="auto" w:fill="CCEEFF"/>
          </w:tcPr>
          <w:p>
            <w:pPr>
              <w:ind w:left="120"/>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8"/>
              <w:spacing w:after="0" w:line="183" w:lineRule="exact"/>
              <w:rPr>
                <w:sz w:val="20"/>
                <w:szCs w:val="20"/>
                <w:color w:val="auto"/>
              </w:rPr>
            </w:pPr>
            <w:r>
              <w:rPr>
                <w:rFonts w:ascii="Arial" w:cs="Arial" w:eastAsia="Arial" w:hAnsi="Arial"/>
                <w:sz w:val="16"/>
                <w:szCs w:val="16"/>
                <w:color w:val="auto"/>
              </w:rPr>
              <w:t>40.81</w:t>
            </w:r>
          </w:p>
        </w:tc>
        <w:tc>
          <w:tcPr>
            <w:tcW w:w="1280" w:type="dxa"/>
            <w:vAlign w:val="bottom"/>
            <w:gridSpan w:val="2"/>
            <w:shd w:val="clear" w:color="auto" w:fill="CCEEFF"/>
          </w:tcPr>
          <w:p>
            <w:pPr>
              <w:jc w:val="right"/>
              <w:ind w:right="38"/>
              <w:spacing w:after="0" w:line="183" w:lineRule="exact"/>
              <w:rPr>
                <w:sz w:val="20"/>
                <w:szCs w:val="20"/>
                <w:color w:val="auto"/>
              </w:rPr>
            </w:pPr>
            <w:r>
              <w:rPr>
                <w:rFonts w:ascii="Arial" w:cs="Arial" w:eastAsia="Arial" w:hAnsi="Arial"/>
                <w:sz w:val="16"/>
                <w:szCs w:val="16"/>
                <w:color w:val="auto"/>
              </w:rPr>
              <w:t>355,921</w:t>
            </w:r>
          </w:p>
        </w:tc>
        <w:tc>
          <w:tcPr>
            <w:tcW w:w="1400" w:type="dxa"/>
            <w:vAlign w:val="bottom"/>
            <w:shd w:val="clear" w:color="auto" w:fill="CCEEFF"/>
          </w:tcPr>
          <w:p>
            <w:pPr>
              <w:jc w:val="right"/>
              <w:ind w:right="58"/>
              <w:spacing w:after="0" w:line="183" w:lineRule="exact"/>
              <w:rPr>
                <w:sz w:val="20"/>
                <w:szCs w:val="20"/>
                <w:color w:val="auto"/>
              </w:rPr>
            </w:pPr>
            <w:r>
              <w:rPr>
                <w:rFonts w:ascii="Arial" w:cs="Arial" w:eastAsia="Arial" w:hAnsi="Arial"/>
                <w:sz w:val="16"/>
                <w:szCs w:val="16"/>
                <w:color w:val="auto"/>
              </w:rPr>
              <w:t>355,903</w:t>
            </w:r>
          </w:p>
        </w:tc>
        <w:tc>
          <w:tcPr>
            <w:tcW w:w="260" w:type="dxa"/>
            <w:vAlign w:val="bottom"/>
            <w:shd w:val="clear" w:color="auto" w:fill="CCEEFF"/>
          </w:tcPr>
          <w:p>
            <w:pPr>
              <w:ind w:left="120"/>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8"/>
              <w:spacing w:after="0" w:line="183" w:lineRule="exact"/>
              <w:rPr>
                <w:sz w:val="20"/>
                <w:szCs w:val="20"/>
                <w:color w:val="auto"/>
              </w:rPr>
            </w:pPr>
            <w:r>
              <w:rPr>
                <w:rFonts w:ascii="Arial" w:cs="Arial" w:eastAsia="Arial" w:hAnsi="Arial"/>
                <w:sz w:val="16"/>
                <w:szCs w:val="16"/>
                <w:color w:val="auto"/>
              </w:rPr>
              <w:t>14,523</w:t>
            </w:r>
          </w:p>
        </w:tc>
        <w:tc>
          <w:tcPr>
            <w:tcW w:w="320" w:type="dxa"/>
            <w:vAlign w:val="bottom"/>
            <w:shd w:val="clear" w:color="auto" w:fill="CCEEFF"/>
          </w:tcPr>
          <w:p>
            <w:pPr>
              <w:jc w:val="right"/>
              <w:ind w:right="38"/>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13,535</w:t>
            </w:r>
          </w:p>
        </w:tc>
        <w:tc>
          <w:tcPr>
            <w:tcW w:w="40" w:type="dxa"/>
            <w:vAlign w:val="bottom"/>
            <w:shd w:val="clear" w:color="auto" w:fill="CCEEFF"/>
          </w:tcPr>
          <w:p>
            <w:pPr>
              <w:spacing w:after="0"/>
              <w:rPr>
                <w:sz w:val="15"/>
                <w:szCs w:val="15"/>
                <w:color w:val="auto"/>
              </w:rPr>
            </w:pPr>
          </w:p>
        </w:tc>
      </w:tr>
      <w:tr>
        <w:trPr>
          <w:trHeight w:val="190"/>
        </w:trPr>
        <w:tc>
          <w:tcPr>
            <w:tcW w:w="1680" w:type="dxa"/>
            <w:vAlign w:val="bottom"/>
          </w:tcPr>
          <w:p>
            <w:pPr>
              <w:spacing w:after="0"/>
              <w:rPr>
                <w:sz w:val="20"/>
                <w:szCs w:val="20"/>
                <w:color w:val="auto"/>
              </w:rPr>
            </w:pPr>
            <w:r>
              <w:rPr>
                <w:rFonts w:ascii="Arial" w:cs="Arial" w:eastAsia="Arial" w:hAnsi="Arial"/>
                <w:sz w:val="16"/>
                <w:szCs w:val="16"/>
                <w:color w:val="auto"/>
              </w:rPr>
              <w:t>Series B</w:t>
            </w:r>
          </w:p>
        </w:tc>
        <w:tc>
          <w:tcPr>
            <w:tcW w:w="1720" w:type="dxa"/>
            <w:vAlign w:val="bottom"/>
            <w:gridSpan w:val="2"/>
          </w:tcPr>
          <w:p>
            <w:pPr>
              <w:jc w:val="right"/>
              <w:ind w:right="78"/>
              <w:spacing w:after="0"/>
              <w:rPr>
                <w:sz w:val="20"/>
                <w:szCs w:val="20"/>
                <w:color w:val="auto"/>
              </w:rPr>
            </w:pPr>
            <w:r>
              <w:rPr>
                <w:rFonts w:ascii="Arial" w:cs="Arial" w:eastAsia="Arial" w:hAnsi="Arial"/>
                <w:sz w:val="16"/>
                <w:szCs w:val="16"/>
                <w:color w:val="auto"/>
              </w:rPr>
              <w:t>$0.001</w:t>
            </w:r>
          </w:p>
        </w:tc>
        <w:tc>
          <w:tcPr>
            <w:tcW w:w="980" w:type="dxa"/>
            <w:vAlign w:val="bottom"/>
          </w:tcPr>
          <w:p>
            <w:pPr>
              <w:jc w:val="right"/>
              <w:ind w:right="38"/>
              <w:spacing w:after="0"/>
              <w:rPr>
                <w:sz w:val="20"/>
                <w:szCs w:val="20"/>
                <w:color w:val="auto"/>
              </w:rPr>
            </w:pPr>
            <w:r>
              <w:rPr>
                <w:rFonts w:ascii="Arial" w:cs="Arial" w:eastAsia="Arial" w:hAnsi="Arial"/>
                <w:sz w:val="16"/>
                <w:szCs w:val="16"/>
                <w:color w:val="auto"/>
              </w:rPr>
              <w:t>May-2003</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8"/>
              <w:spacing w:after="0"/>
              <w:rPr>
                <w:sz w:val="20"/>
                <w:szCs w:val="20"/>
                <w:color w:val="auto"/>
              </w:rPr>
            </w:pPr>
            <w:r>
              <w:rPr>
                <w:rFonts w:ascii="Arial" w:cs="Arial" w:eastAsia="Arial" w:hAnsi="Arial"/>
                <w:sz w:val="16"/>
                <w:szCs w:val="16"/>
                <w:color w:val="auto"/>
              </w:rPr>
              <w:t>9.07</w:t>
            </w:r>
          </w:p>
        </w:tc>
        <w:tc>
          <w:tcPr>
            <w:tcW w:w="1280" w:type="dxa"/>
            <w:vAlign w:val="bottom"/>
            <w:gridSpan w:val="2"/>
          </w:tcPr>
          <w:p>
            <w:pPr>
              <w:jc w:val="right"/>
              <w:ind w:right="38"/>
              <w:spacing w:after="0"/>
              <w:rPr>
                <w:sz w:val="20"/>
                <w:szCs w:val="20"/>
                <w:color w:val="auto"/>
              </w:rPr>
            </w:pPr>
            <w:r>
              <w:rPr>
                <w:rFonts w:ascii="Arial" w:cs="Arial" w:eastAsia="Arial" w:hAnsi="Arial"/>
                <w:sz w:val="16"/>
                <w:szCs w:val="16"/>
                <w:color w:val="auto"/>
              </w:rPr>
              <w:t>1,741,452</w:t>
            </w: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1,741,399</w:t>
            </w:r>
          </w:p>
        </w:tc>
        <w:tc>
          <w:tcPr>
            <w:tcW w:w="260" w:type="dxa"/>
            <w:vAlign w:val="bottom"/>
          </w:tcPr>
          <w:p>
            <w:pPr>
              <w:spacing w:after="0"/>
              <w:rPr>
                <w:sz w:val="16"/>
                <w:szCs w:val="16"/>
                <w:color w:val="auto"/>
              </w:rPr>
            </w:pPr>
          </w:p>
        </w:tc>
        <w:tc>
          <w:tcPr>
            <w:tcW w:w="880" w:type="dxa"/>
            <w:vAlign w:val="bottom"/>
          </w:tcPr>
          <w:p>
            <w:pPr>
              <w:jc w:val="right"/>
              <w:ind w:right="38"/>
              <w:spacing w:after="0"/>
              <w:rPr>
                <w:sz w:val="20"/>
                <w:szCs w:val="20"/>
                <w:color w:val="auto"/>
              </w:rPr>
            </w:pPr>
            <w:r>
              <w:rPr>
                <w:rFonts w:ascii="Arial" w:cs="Arial" w:eastAsia="Arial" w:hAnsi="Arial"/>
                <w:sz w:val="16"/>
                <w:szCs w:val="16"/>
                <w:color w:val="auto"/>
              </w:rPr>
              <w:t>15,795</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39,715</w:t>
            </w:r>
          </w:p>
        </w:tc>
        <w:tc>
          <w:tcPr>
            <w:tcW w:w="40" w:type="dxa"/>
            <w:vAlign w:val="bottom"/>
          </w:tcPr>
          <w:p>
            <w:pPr>
              <w:spacing w:after="0"/>
              <w:rPr>
                <w:sz w:val="16"/>
                <w:szCs w:val="16"/>
                <w:color w:val="auto"/>
              </w:rPr>
            </w:pPr>
          </w:p>
        </w:tc>
      </w:tr>
      <w:tr>
        <w:trPr>
          <w:trHeight w:val="190"/>
        </w:trPr>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Series C</w:t>
            </w:r>
          </w:p>
        </w:tc>
        <w:tc>
          <w:tcPr>
            <w:tcW w:w="172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$0.001</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Feb-2007</w:t>
            </w:r>
          </w:p>
        </w:tc>
        <w:tc>
          <w:tcPr>
            <w:tcW w:w="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12.92</w:t>
            </w:r>
          </w:p>
        </w:tc>
        <w:tc>
          <w:tcPr>
            <w:tcW w:w="128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1,168,344</w:t>
            </w:r>
          </w:p>
        </w:tc>
        <w:tc>
          <w:tcPr>
            <w:tcW w:w="14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1,168,311</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15,086</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28,136</w:t>
            </w:r>
          </w:p>
        </w:tc>
        <w:tc>
          <w:tcPr>
            <w:tcW w:w="40" w:type="dxa"/>
            <w:vAlign w:val="bottom"/>
            <w:shd w:val="clear" w:color="auto" w:fill="CCEEFF"/>
          </w:tcPr>
          <w:p>
            <w:pPr>
              <w:spacing w:after="0"/>
              <w:rPr>
                <w:sz w:val="16"/>
                <w:szCs w:val="16"/>
                <w:color w:val="auto"/>
              </w:rPr>
            </w:pPr>
          </w:p>
        </w:tc>
      </w:tr>
      <w:tr>
        <w:trPr>
          <w:trHeight w:val="190"/>
        </w:trPr>
        <w:tc>
          <w:tcPr>
            <w:tcW w:w="1680" w:type="dxa"/>
            <w:vAlign w:val="bottom"/>
          </w:tcPr>
          <w:p>
            <w:pPr>
              <w:spacing w:after="0"/>
              <w:rPr>
                <w:sz w:val="20"/>
                <w:szCs w:val="20"/>
                <w:color w:val="auto"/>
              </w:rPr>
            </w:pPr>
            <w:r>
              <w:rPr>
                <w:rFonts w:ascii="Arial" w:cs="Arial" w:eastAsia="Arial" w:hAnsi="Arial"/>
                <w:sz w:val="16"/>
                <w:szCs w:val="16"/>
                <w:color w:val="auto"/>
              </w:rPr>
              <w:t>Series D</w:t>
            </w:r>
          </w:p>
        </w:tc>
        <w:tc>
          <w:tcPr>
            <w:tcW w:w="1720" w:type="dxa"/>
            <w:vAlign w:val="bottom"/>
            <w:gridSpan w:val="2"/>
          </w:tcPr>
          <w:p>
            <w:pPr>
              <w:jc w:val="right"/>
              <w:ind w:right="78"/>
              <w:spacing w:after="0"/>
              <w:rPr>
                <w:sz w:val="20"/>
                <w:szCs w:val="20"/>
                <w:color w:val="auto"/>
              </w:rPr>
            </w:pPr>
            <w:r>
              <w:rPr>
                <w:rFonts w:ascii="Arial" w:cs="Arial" w:eastAsia="Arial" w:hAnsi="Arial"/>
                <w:sz w:val="16"/>
                <w:szCs w:val="16"/>
                <w:color w:val="auto"/>
              </w:rPr>
              <w:t>$0.001</w:t>
            </w:r>
          </w:p>
        </w:tc>
        <w:tc>
          <w:tcPr>
            <w:tcW w:w="980" w:type="dxa"/>
            <w:vAlign w:val="bottom"/>
          </w:tcPr>
          <w:p>
            <w:pPr>
              <w:jc w:val="right"/>
              <w:ind w:right="38"/>
              <w:spacing w:after="0"/>
              <w:rPr>
                <w:sz w:val="20"/>
                <w:szCs w:val="20"/>
                <w:color w:val="auto"/>
              </w:rPr>
            </w:pPr>
            <w:r>
              <w:rPr>
                <w:rFonts w:ascii="Arial" w:cs="Arial" w:eastAsia="Arial" w:hAnsi="Arial"/>
                <w:sz w:val="16"/>
                <w:szCs w:val="16"/>
                <w:color w:val="auto"/>
              </w:rPr>
              <w:t>Aug-2009</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8"/>
              <w:spacing w:after="0"/>
              <w:rPr>
                <w:sz w:val="20"/>
                <w:szCs w:val="20"/>
                <w:color w:val="auto"/>
              </w:rPr>
            </w:pPr>
            <w:r>
              <w:rPr>
                <w:rFonts w:ascii="Arial" w:cs="Arial" w:eastAsia="Arial" w:hAnsi="Arial"/>
                <w:sz w:val="16"/>
                <w:szCs w:val="16"/>
                <w:color w:val="auto"/>
              </w:rPr>
              <w:t>18.08</w:t>
            </w:r>
          </w:p>
        </w:tc>
        <w:tc>
          <w:tcPr>
            <w:tcW w:w="1280" w:type="dxa"/>
            <w:vAlign w:val="bottom"/>
            <w:gridSpan w:val="2"/>
          </w:tcPr>
          <w:p>
            <w:pPr>
              <w:jc w:val="right"/>
              <w:ind w:right="38"/>
              <w:spacing w:after="0"/>
              <w:rPr>
                <w:sz w:val="20"/>
                <w:szCs w:val="20"/>
                <w:color w:val="auto"/>
              </w:rPr>
            </w:pPr>
            <w:r>
              <w:rPr>
                <w:rFonts w:ascii="Arial" w:cs="Arial" w:eastAsia="Arial" w:hAnsi="Arial"/>
                <w:sz w:val="16"/>
                <w:szCs w:val="16"/>
                <w:color w:val="auto"/>
              </w:rPr>
              <w:t>663,808</w:t>
            </w: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663,728</w:t>
            </w:r>
          </w:p>
        </w:tc>
        <w:tc>
          <w:tcPr>
            <w:tcW w:w="260" w:type="dxa"/>
            <w:vAlign w:val="bottom"/>
          </w:tcPr>
          <w:p>
            <w:pPr>
              <w:spacing w:after="0"/>
              <w:rPr>
                <w:sz w:val="16"/>
                <w:szCs w:val="16"/>
                <w:color w:val="auto"/>
              </w:rPr>
            </w:pPr>
          </w:p>
        </w:tc>
        <w:tc>
          <w:tcPr>
            <w:tcW w:w="880" w:type="dxa"/>
            <w:vAlign w:val="bottom"/>
          </w:tcPr>
          <w:p>
            <w:pPr>
              <w:jc w:val="right"/>
              <w:ind w:right="38"/>
              <w:spacing w:after="0"/>
              <w:rPr>
                <w:sz w:val="20"/>
                <w:szCs w:val="20"/>
                <w:color w:val="auto"/>
              </w:rPr>
            </w:pPr>
            <w:r>
              <w:rPr>
                <w:rFonts w:ascii="Arial" w:cs="Arial" w:eastAsia="Arial" w:hAnsi="Arial"/>
                <w:sz w:val="16"/>
                <w:szCs w:val="16"/>
                <w:color w:val="auto"/>
              </w:rPr>
              <w:t>12,000</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18,503</w:t>
            </w:r>
          </w:p>
        </w:tc>
        <w:tc>
          <w:tcPr>
            <w:tcW w:w="40" w:type="dxa"/>
            <w:vAlign w:val="bottom"/>
          </w:tcPr>
          <w:p>
            <w:pPr>
              <w:spacing w:after="0"/>
              <w:rPr>
                <w:sz w:val="16"/>
                <w:szCs w:val="16"/>
                <w:color w:val="auto"/>
              </w:rPr>
            </w:pPr>
          </w:p>
        </w:tc>
      </w:tr>
      <w:tr>
        <w:trPr>
          <w:trHeight w:val="190"/>
        </w:trPr>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Series E</w:t>
            </w:r>
          </w:p>
        </w:tc>
        <w:tc>
          <w:tcPr>
            <w:tcW w:w="172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$0.001</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Oct-2011</w:t>
            </w:r>
          </w:p>
        </w:tc>
        <w:tc>
          <w:tcPr>
            <w:tcW w:w="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20.66</w:t>
            </w:r>
          </w:p>
        </w:tc>
        <w:tc>
          <w:tcPr>
            <w:tcW w:w="128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353,339</w:t>
            </w:r>
          </w:p>
        </w:tc>
        <w:tc>
          <w:tcPr>
            <w:tcW w:w="14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353,327</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7,300</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10,350</w:t>
            </w:r>
          </w:p>
        </w:tc>
        <w:tc>
          <w:tcPr>
            <w:tcW w:w="40" w:type="dxa"/>
            <w:vAlign w:val="bottom"/>
            <w:shd w:val="clear" w:color="auto" w:fill="CCEEFF"/>
          </w:tcPr>
          <w:p>
            <w:pPr>
              <w:spacing w:after="0"/>
              <w:rPr>
                <w:sz w:val="16"/>
                <w:szCs w:val="16"/>
                <w:color w:val="auto"/>
              </w:rPr>
            </w:pPr>
          </w:p>
        </w:tc>
      </w:tr>
      <w:tr>
        <w:trPr>
          <w:trHeight w:val="190"/>
        </w:trPr>
        <w:tc>
          <w:tcPr>
            <w:tcW w:w="1680" w:type="dxa"/>
            <w:vAlign w:val="bottom"/>
          </w:tcPr>
          <w:p>
            <w:pPr>
              <w:spacing w:after="0"/>
              <w:rPr>
                <w:sz w:val="20"/>
                <w:szCs w:val="20"/>
                <w:color w:val="auto"/>
              </w:rPr>
            </w:pPr>
            <w:r>
              <w:rPr>
                <w:rFonts w:ascii="Arial" w:cs="Arial" w:eastAsia="Arial" w:hAnsi="Arial"/>
                <w:sz w:val="16"/>
                <w:szCs w:val="16"/>
                <w:color w:val="auto"/>
              </w:rPr>
              <w:t>Series F</w:t>
            </w:r>
          </w:p>
        </w:tc>
        <w:tc>
          <w:tcPr>
            <w:tcW w:w="1720" w:type="dxa"/>
            <w:vAlign w:val="bottom"/>
            <w:gridSpan w:val="2"/>
          </w:tcPr>
          <w:p>
            <w:pPr>
              <w:jc w:val="right"/>
              <w:ind w:right="78"/>
              <w:spacing w:after="0"/>
              <w:rPr>
                <w:sz w:val="20"/>
                <w:szCs w:val="20"/>
                <w:color w:val="auto"/>
              </w:rPr>
            </w:pPr>
            <w:r>
              <w:rPr>
                <w:rFonts w:ascii="Arial" w:cs="Arial" w:eastAsia="Arial" w:hAnsi="Arial"/>
                <w:sz w:val="16"/>
                <w:szCs w:val="16"/>
                <w:color w:val="auto"/>
              </w:rPr>
              <w:t>$0.001</w:t>
            </w:r>
          </w:p>
        </w:tc>
        <w:tc>
          <w:tcPr>
            <w:tcW w:w="980" w:type="dxa"/>
            <w:vAlign w:val="bottom"/>
          </w:tcPr>
          <w:p>
            <w:pPr>
              <w:jc w:val="right"/>
              <w:ind w:right="38"/>
              <w:spacing w:after="0"/>
              <w:rPr>
                <w:sz w:val="20"/>
                <w:szCs w:val="20"/>
                <w:color w:val="auto"/>
              </w:rPr>
            </w:pPr>
            <w:r>
              <w:rPr>
                <w:rFonts w:ascii="Arial" w:cs="Arial" w:eastAsia="Arial" w:hAnsi="Arial"/>
                <w:sz w:val="16"/>
                <w:szCs w:val="16"/>
                <w:color w:val="auto"/>
              </w:rPr>
              <w:t>May-2012</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8"/>
              <w:spacing w:after="0"/>
              <w:rPr>
                <w:sz w:val="20"/>
                <w:szCs w:val="20"/>
                <w:color w:val="auto"/>
              </w:rPr>
            </w:pPr>
            <w:r>
              <w:rPr>
                <w:rFonts w:ascii="Arial" w:cs="Arial" w:eastAsia="Arial" w:hAnsi="Arial"/>
                <w:sz w:val="16"/>
                <w:szCs w:val="16"/>
                <w:color w:val="auto"/>
              </w:rPr>
              <w:t>25.83</w:t>
            </w:r>
          </w:p>
        </w:tc>
        <w:tc>
          <w:tcPr>
            <w:tcW w:w="1280" w:type="dxa"/>
            <w:vAlign w:val="bottom"/>
            <w:gridSpan w:val="2"/>
          </w:tcPr>
          <w:p>
            <w:pPr>
              <w:jc w:val="right"/>
              <w:ind w:right="38"/>
              <w:spacing w:after="0"/>
              <w:rPr>
                <w:sz w:val="20"/>
                <w:szCs w:val="20"/>
                <w:color w:val="auto"/>
              </w:rPr>
            </w:pPr>
            <w:r>
              <w:rPr>
                <w:rFonts w:ascii="Arial" w:cs="Arial" w:eastAsia="Arial" w:hAnsi="Arial"/>
                <w:sz w:val="16"/>
                <w:szCs w:val="16"/>
                <w:color w:val="auto"/>
              </w:rPr>
              <w:t>507,744</w:t>
            </w: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499,159</w:t>
            </w:r>
          </w:p>
        </w:tc>
        <w:tc>
          <w:tcPr>
            <w:tcW w:w="260" w:type="dxa"/>
            <w:vAlign w:val="bottom"/>
          </w:tcPr>
          <w:p>
            <w:pPr>
              <w:spacing w:after="0"/>
              <w:rPr>
                <w:sz w:val="16"/>
                <w:szCs w:val="16"/>
                <w:color w:val="auto"/>
              </w:rPr>
            </w:pPr>
          </w:p>
        </w:tc>
        <w:tc>
          <w:tcPr>
            <w:tcW w:w="880" w:type="dxa"/>
            <w:vAlign w:val="bottom"/>
          </w:tcPr>
          <w:p>
            <w:pPr>
              <w:jc w:val="right"/>
              <w:ind w:right="38"/>
              <w:spacing w:after="0"/>
              <w:rPr>
                <w:sz w:val="20"/>
                <w:szCs w:val="20"/>
                <w:color w:val="auto"/>
              </w:rPr>
            </w:pPr>
            <w:r>
              <w:rPr>
                <w:rFonts w:ascii="Arial" w:cs="Arial" w:eastAsia="Arial" w:hAnsi="Arial"/>
                <w:sz w:val="16"/>
                <w:szCs w:val="16"/>
                <w:color w:val="auto"/>
              </w:rPr>
              <w:t>12,891</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18,305</w:t>
            </w:r>
          </w:p>
        </w:tc>
        <w:tc>
          <w:tcPr>
            <w:tcW w:w="40" w:type="dxa"/>
            <w:vAlign w:val="bottom"/>
          </w:tcPr>
          <w:p>
            <w:pPr>
              <w:spacing w:after="0"/>
              <w:rPr>
                <w:sz w:val="16"/>
                <w:szCs w:val="16"/>
                <w:color w:val="auto"/>
              </w:rPr>
            </w:pPr>
          </w:p>
        </w:tc>
      </w:tr>
      <w:tr>
        <w:trPr>
          <w:trHeight w:val="190"/>
        </w:trPr>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Series G</w:t>
            </w:r>
          </w:p>
        </w:tc>
        <w:tc>
          <w:tcPr>
            <w:tcW w:w="172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$0.001</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Jun-2015</w:t>
            </w:r>
          </w:p>
        </w:tc>
        <w:tc>
          <w:tcPr>
            <w:tcW w:w="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12.40</w:t>
            </w:r>
          </w:p>
        </w:tc>
        <w:tc>
          <w:tcPr>
            <w:tcW w:w="128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5,832,685</w:t>
            </w:r>
          </w:p>
        </w:tc>
        <w:tc>
          <w:tcPr>
            <w:tcW w:w="14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5,788,878</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71,759</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135,682</w:t>
            </w:r>
          </w:p>
        </w:tc>
        <w:tc>
          <w:tcPr>
            <w:tcW w:w="40" w:type="dxa"/>
            <w:vAlign w:val="bottom"/>
            <w:shd w:val="clear" w:color="auto" w:fill="CCEEFF"/>
          </w:tcPr>
          <w:p>
            <w:pPr>
              <w:spacing w:after="0"/>
              <w:rPr>
                <w:sz w:val="16"/>
                <w:szCs w:val="16"/>
                <w:color w:val="auto"/>
              </w:rPr>
            </w:pPr>
          </w:p>
        </w:tc>
      </w:tr>
      <w:tr>
        <w:trPr>
          <w:trHeight w:val="196"/>
        </w:trPr>
        <w:tc>
          <w:tcPr>
            <w:tcW w:w="1680" w:type="dxa"/>
            <w:vAlign w:val="bottom"/>
          </w:tcPr>
          <w:p>
            <w:pPr>
              <w:spacing w:after="0"/>
              <w:rPr>
                <w:sz w:val="20"/>
                <w:szCs w:val="20"/>
                <w:color w:val="auto"/>
              </w:rPr>
            </w:pPr>
            <w:r>
              <w:rPr>
                <w:rFonts w:ascii="Arial" w:cs="Arial" w:eastAsia="Arial" w:hAnsi="Arial"/>
                <w:sz w:val="16"/>
                <w:szCs w:val="16"/>
                <w:color w:val="auto"/>
              </w:rPr>
              <w:t>Series H</w:t>
            </w:r>
          </w:p>
        </w:tc>
        <w:tc>
          <w:tcPr>
            <w:tcW w:w="1720" w:type="dxa"/>
            <w:vAlign w:val="bottom"/>
            <w:gridSpan w:val="2"/>
          </w:tcPr>
          <w:p>
            <w:pPr>
              <w:jc w:val="right"/>
              <w:ind w:right="78"/>
              <w:spacing w:after="0"/>
              <w:rPr>
                <w:sz w:val="20"/>
                <w:szCs w:val="20"/>
                <w:color w:val="auto"/>
              </w:rPr>
            </w:pPr>
            <w:r>
              <w:rPr>
                <w:rFonts w:ascii="Arial" w:cs="Arial" w:eastAsia="Arial" w:hAnsi="Arial"/>
                <w:sz w:val="16"/>
                <w:szCs w:val="16"/>
                <w:color w:val="auto"/>
              </w:rPr>
              <w:t>$0.001</w:t>
            </w:r>
          </w:p>
        </w:tc>
        <w:tc>
          <w:tcPr>
            <w:tcW w:w="980" w:type="dxa"/>
            <w:vAlign w:val="bottom"/>
          </w:tcPr>
          <w:p>
            <w:pPr>
              <w:jc w:val="right"/>
              <w:ind w:right="38"/>
              <w:spacing w:after="0"/>
              <w:rPr>
                <w:sz w:val="20"/>
                <w:szCs w:val="20"/>
                <w:color w:val="auto"/>
              </w:rPr>
            </w:pPr>
            <w:r>
              <w:rPr>
                <w:rFonts w:ascii="Arial" w:cs="Arial" w:eastAsia="Arial" w:hAnsi="Arial"/>
                <w:sz w:val="16"/>
                <w:szCs w:val="16"/>
                <w:color w:val="auto"/>
              </w:rPr>
              <w:t>Feb-2017</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8"/>
              <w:spacing w:after="0"/>
              <w:rPr>
                <w:sz w:val="20"/>
                <w:szCs w:val="20"/>
                <w:color w:val="auto"/>
              </w:rPr>
            </w:pPr>
            <w:r>
              <w:rPr>
                <w:rFonts w:ascii="Arial" w:cs="Arial" w:eastAsia="Arial" w:hAnsi="Arial"/>
                <w:sz w:val="16"/>
                <w:szCs w:val="16"/>
                <w:color w:val="auto"/>
              </w:rPr>
              <w:t>12.40</w:t>
            </w: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5,949,499</w:t>
            </w:r>
          </w:p>
        </w:tc>
        <w:tc>
          <w:tcPr>
            <w:tcW w:w="14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3,805,567</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47,174</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89,074</w:t>
            </w:r>
          </w:p>
        </w:tc>
        <w:tc>
          <w:tcPr>
            <w:tcW w:w="40" w:type="dxa"/>
            <w:vAlign w:val="bottom"/>
          </w:tcPr>
          <w:p>
            <w:pPr>
              <w:spacing w:after="0"/>
              <w:rPr>
                <w:sz w:val="17"/>
                <w:szCs w:val="17"/>
                <w:color w:val="auto"/>
              </w:rPr>
            </w:pPr>
          </w:p>
        </w:tc>
      </w:tr>
      <w:tr>
        <w:trPr>
          <w:trHeight w:val="190"/>
        </w:trPr>
        <w:tc>
          <w:tcPr>
            <w:tcW w:w="1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16,572,792</w:t>
            </w:r>
          </w:p>
        </w:tc>
        <w:tc>
          <w:tcPr>
            <w:tcW w:w="14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14,376,272</w:t>
            </w:r>
          </w:p>
        </w:tc>
        <w:tc>
          <w:tcPr>
            <w:tcW w:w="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196,528</w:t>
            </w:r>
          </w:p>
        </w:tc>
        <w:tc>
          <w:tcPr>
            <w:tcW w:w="3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353,300</w:t>
            </w:r>
          </w:p>
        </w:tc>
        <w:tc>
          <w:tcPr>
            <w:tcW w:w="40" w:type="dxa"/>
            <w:vAlign w:val="bottom"/>
            <w:shd w:val="clear" w:color="auto" w:fill="CCEEFF"/>
          </w:tcPr>
          <w:p>
            <w:pPr>
              <w:spacing w:after="0"/>
              <w:rPr>
                <w:sz w:val="16"/>
                <w:szCs w:val="16"/>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05"/>
        </w:trPr>
        <w:tc>
          <w:tcPr>
            <w:tcW w:w="16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gridSpan w:val="4"/>
          </w:tcPr>
          <w:p>
            <w:pPr>
              <w:spacing w:after="0"/>
              <w:rPr>
                <w:sz w:val="9"/>
                <w:szCs w:val="9"/>
                <w:color w:val="auto"/>
              </w:rPr>
            </w:pPr>
          </w:p>
        </w:tc>
      </w:tr>
      <w:tr>
        <w:trPr>
          <w:trHeight w:val="228"/>
        </w:trPr>
        <w:tc>
          <w:tcPr>
            <w:tcW w:w="1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As of December 31, 2019</w:t>
            </w:r>
          </w:p>
        </w:tc>
      </w:tr>
      <w:tr>
        <w:trPr>
          <w:trHeight w:val="166"/>
        </w:trPr>
        <w:tc>
          <w:tcPr>
            <w:tcW w:w="1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38"/>
              <w:spacing w:after="0" w:line="166" w:lineRule="exact"/>
              <w:rPr>
                <w:sz w:val="20"/>
                <w:szCs w:val="20"/>
                <w:color w:val="auto"/>
              </w:rPr>
            </w:pPr>
            <w:r>
              <w:rPr>
                <w:rFonts w:ascii="Arial" w:cs="Arial" w:eastAsia="Arial" w:hAnsi="Arial"/>
                <w:sz w:val="16"/>
                <w:szCs w:val="16"/>
                <w:b w:val="1"/>
                <w:bCs w:val="1"/>
                <w:color w:val="auto"/>
              </w:rPr>
              <w:t>Share</w:t>
            </w: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58"/>
              <w:spacing w:after="0" w:line="166" w:lineRule="exact"/>
              <w:rPr>
                <w:sz w:val="20"/>
                <w:szCs w:val="20"/>
                <w:color w:val="auto"/>
              </w:rPr>
            </w:pPr>
            <w:r>
              <w:rPr>
                <w:rFonts w:ascii="Arial" w:cs="Arial" w:eastAsia="Arial" w:hAnsi="Arial"/>
                <w:sz w:val="16"/>
                <w:szCs w:val="16"/>
                <w:b w:val="1"/>
                <w:bCs w:val="1"/>
                <w:color w:val="auto"/>
              </w:rPr>
              <w:t>Shares</w:t>
            </w: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6"/>
                <w:szCs w:val="16"/>
                <w:b w:val="1"/>
                <w:bCs w:val="1"/>
                <w:color w:val="auto"/>
              </w:rPr>
              <w:t>Carrying</w:t>
            </w:r>
          </w:p>
        </w:tc>
        <w:tc>
          <w:tcPr>
            <w:tcW w:w="40" w:type="dxa"/>
            <w:vAlign w:val="bottom"/>
          </w:tcPr>
          <w:p>
            <w:pPr>
              <w:spacing w:after="0"/>
              <w:rPr>
                <w:sz w:val="14"/>
                <w:szCs w:val="14"/>
                <w:color w:val="auto"/>
              </w:rPr>
            </w:pPr>
          </w:p>
        </w:tc>
      </w:tr>
      <w:tr>
        <w:trPr>
          <w:trHeight w:val="190"/>
        </w:trPr>
        <w:tc>
          <w:tcPr>
            <w:tcW w:w="1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jc w:val="right"/>
              <w:ind w:right="78"/>
              <w:spacing w:after="0"/>
              <w:rPr>
                <w:sz w:val="20"/>
                <w:szCs w:val="20"/>
                <w:color w:val="auto"/>
              </w:rPr>
            </w:pPr>
            <w:r>
              <w:rPr>
                <w:rFonts w:ascii="Arial" w:cs="Arial" w:eastAsia="Arial" w:hAnsi="Arial"/>
                <w:sz w:val="16"/>
                <w:szCs w:val="16"/>
                <w:b w:val="1"/>
                <w:bCs w:val="1"/>
                <w:color w:val="auto"/>
              </w:rPr>
              <w:t>Par</w:t>
            </w:r>
          </w:p>
        </w:tc>
        <w:tc>
          <w:tcPr>
            <w:tcW w:w="980" w:type="dxa"/>
            <w:vAlign w:val="bottom"/>
          </w:tcPr>
          <w:p>
            <w:pPr>
              <w:jc w:val="right"/>
              <w:ind w:right="38"/>
              <w:spacing w:after="0"/>
              <w:rPr>
                <w:sz w:val="20"/>
                <w:szCs w:val="20"/>
                <w:color w:val="auto"/>
              </w:rPr>
            </w:pPr>
            <w:r>
              <w:rPr>
                <w:rFonts w:ascii="Arial" w:cs="Arial" w:eastAsia="Arial" w:hAnsi="Arial"/>
                <w:sz w:val="16"/>
                <w:szCs w:val="16"/>
                <w:b w:val="1"/>
                <w:bCs w:val="1"/>
                <w:color w:val="auto"/>
              </w:rPr>
              <w:t>Date of</w:t>
            </w:r>
          </w:p>
        </w:tc>
        <w:tc>
          <w:tcPr>
            <w:tcW w:w="240" w:type="dxa"/>
            <w:vAlign w:val="bottom"/>
          </w:tcPr>
          <w:p>
            <w:pPr>
              <w:spacing w:after="0"/>
              <w:rPr>
                <w:sz w:val="16"/>
                <w:szCs w:val="16"/>
                <w:color w:val="auto"/>
              </w:rPr>
            </w:pPr>
          </w:p>
        </w:tc>
        <w:tc>
          <w:tcPr>
            <w:tcW w:w="720" w:type="dxa"/>
            <w:vAlign w:val="bottom"/>
          </w:tcPr>
          <w:p>
            <w:pPr>
              <w:jc w:val="right"/>
              <w:ind w:right="38"/>
              <w:spacing w:after="0"/>
              <w:rPr>
                <w:sz w:val="20"/>
                <w:szCs w:val="20"/>
                <w:color w:val="auto"/>
              </w:rPr>
            </w:pPr>
            <w:r>
              <w:rPr>
                <w:rFonts w:ascii="Arial" w:cs="Arial" w:eastAsia="Arial" w:hAnsi="Arial"/>
                <w:sz w:val="16"/>
                <w:szCs w:val="16"/>
                <w:b w:val="1"/>
                <w:bCs w:val="1"/>
                <w:color w:val="auto"/>
              </w:rPr>
              <w:t>price at</w:t>
            </w:r>
          </w:p>
        </w:tc>
        <w:tc>
          <w:tcPr>
            <w:tcW w:w="120" w:type="dxa"/>
            <w:vAlign w:val="bottom"/>
          </w:tcPr>
          <w:p>
            <w:pPr>
              <w:spacing w:after="0"/>
              <w:rPr>
                <w:sz w:val="16"/>
                <w:szCs w:val="16"/>
                <w:color w:val="auto"/>
              </w:rPr>
            </w:pPr>
          </w:p>
        </w:tc>
        <w:tc>
          <w:tcPr>
            <w:tcW w:w="1160" w:type="dxa"/>
            <w:vAlign w:val="bottom"/>
          </w:tcPr>
          <w:p>
            <w:pPr>
              <w:jc w:val="right"/>
              <w:ind w:right="38"/>
              <w:spacing w:after="0"/>
              <w:rPr>
                <w:sz w:val="20"/>
                <w:szCs w:val="20"/>
                <w:color w:val="auto"/>
              </w:rPr>
            </w:pPr>
            <w:r>
              <w:rPr>
                <w:rFonts w:ascii="Arial" w:cs="Arial" w:eastAsia="Arial" w:hAnsi="Arial"/>
                <w:sz w:val="16"/>
                <w:szCs w:val="16"/>
                <w:b w:val="1"/>
                <w:bCs w:val="1"/>
                <w:color w:val="auto"/>
              </w:rPr>
              <w:t>Shares</w:t>
            </w:r>
          </w:p>
        </w:tc>
        <w:tc>
          <w:tcPr>
            <w:tcW w:w="1400" w:type="dxa"/>
            <w:vAlign w:val="bottom"/>
          </w:tcPr>
          <w:p>
            <w:pPr>
              <w:jc w:val="right"/>
              <w:ind w:right="58"/>
              <w:spacing w:after="0"/>
              <w:rPr>
                <w:sz w:val="20"/>
                <w:szCs w:val="20"/>
                <w:color w:val="auto"/>
              </w:rPr>
            </w:pPr>
            <w:r>
              <w:rPr>
                <w:rFonts w:ascii="Arial" w:cs="Arial" w:eastAsia="Arial" w:hAnsi="Arial"/>
                <w:sz w:val="16"/>
                <w:szCs w:val="16"/>
                <w:b w:val="1"/>
                <w:bCs w:val="1"/>
                <w:color w:val="auto"/>
              </w:rPr>
              <w:t>issued and</w:t>
            </w: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Liquidation</w:t>
            </w:r>
          </w:p>
        </w:tc>
        <w:tc>
          <w:tcPr>
            <w:tcW w:w="32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value(2)</w:t>
            </w:r>
          </w:p>
        </w:tc>
      </w:tr>
      <w:tr>
        <w:trPr>
          <w:trHeight w:val="220"/>
        </w:trPr>
        <w:tc>
          <w:tcPr>
            <w:tcW w:w="1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value</w:t>
            </w: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issuance</w:t>
            </w: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issuance</w:t>
            </w:r>
          </w:p>
        </w:tc>
        <w:tc>
          <w:tcPr>
            <w:tcW w:w="128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6"/>
                <w:szCs w:val="16"/>
                <w:b w:val="1"/>
                <w:bCs w:val="1"/>
                <w:color w:val="auto"/>
              </w:rPr>
              <w:t>authorized(1)</w:t>
            </w:r>
          </w:p>
        </w:tc>
        <w:tc>
          <w:tcPr>
            <w:tcW w:w="14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outstanding(1)</w:t>
            </w:r>
          </w:p>
        </w:tc>
        <w:tc>
          <w:tcPr>
            <w:tcW w:w="114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6"/>
                <w:szCs w:val="16"/>
                <w:b w:val="1"/>
                <w:bCs w:val="1"/>
                <w:color w:val="auto"/>
              </w:rPr>
              <w:t>preference</w:t>
            </w: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share capital</w:t>
            </w:r>
          </w:p>
        </w:tc>
      </w:tr>
      <w:tr>
        <w:trPr>
          <w:trHeight w:val="183"/>
        </w:trPr>
        <w:tc>
          <w:tcPr>
            <w:tcW w:w="16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Series A</w:t>
            </w:r>
          </w:p>
        </w:tc>
        <w:tc>
          <w:tcPr>
            <w:tcW w:w="1720" w:type="dxa"/>
            <w:vAlign w:val="bottom"/>
            <w:gridSpan w:val="2"/>
            <w:shd w:val="clear" w:color="auto" w:fill="CCEEFF"/>
          </w:tcPr>
          <w:p>
            <w:pPr>
              <w:jc w:val="right"/>
              <w:ind w:right="78"/>
              <w:spacing w:after="0" w:line="183" w:lineRule="exact"/>
              <w:rPr>
                <w:sz w:val="20"/>
                <w:szCs w:val="20"/>
                <w:color w:val="auto"/>
              </w:rPr>
            </w:pPr>
            <w:r>
              <w:rPr>
                <w:rFonts w:ascii="Arial" w:cs="Arial" w:eastAsia="Arial" w:hAnsi="Arial"/>
                <w:sz w:val="16"/>
                <w:szCs w:val="16"/>
                <w:color w:val="auto"/>
              </w:rPr>
              <w:t>$0.001</w:t>
            </w:r>
          </w:p>
        </w:tc>
        <w:tc>
          <w:tcPr>
            <w:tcW w:w="980" w:type="dxa"/>
            <w:vAlign w:val="bottom"/>
            <w:shd w:val="clear" w:color="auto" w:fill="CCEEFF"/>
          </w:tcPr>
          <w:p>
            <w:pPr>
              <w:jc w:val="right"/>
              <w:ind w:right="38"/>
              <w:spacing w:after="0" w:line="183" w:lineRule="exact"/>
              <w:rPr>
                <w:sz w:val="20"/>
                <w:szCs w:val="20"/>
                <w:color w:val="auto"/>
              </w:rPr>
            </w:pPr>
            <w:r>
              <w:rPr>
                <w:rFonts w:ascii="Arial" w:cs="Arial" w:eastAsia="Arial" w:hAnsi="Arial"/>
                <w:sz w:val="16"/>
                <w:szCs w:val="16"/>
                <w:color w:val="auto"/>
              </w:rPr>
              <w:t>Feb-2000</w:t>
            </w:r>
          </w:p>
        </w:tc>
        <w:tc>
          <w:tcPr>
            <w:tcW w:w="240" w:type="dxa"/>
            <w:vAlign w:val="bottom"/>
            <w:shd w:val="clear" w:color="auto" w:fill="CCEEFF"/>
          </w:tcPr>
          <w:p>
            <w:pPr>
              <w:ind w:left="120"/>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8"/>
              <w:spacing w:after="0" w:line="183" w:lineRule="exact"/>
              <w:rPr>
                <w:sz w:val="20"/>
                <w:szCs w:val="20"/>
                <w:color w:val="auto"/>
              </w:rPr>
            </w:pPr>
            <w:r>
              <w:rPr>
                <w:rFonts w:ascii="Arial" w:cs="Arial" w:eastAsia="Arial" w:hAnsi="Arial"/>
                <w:sz w:val="16"/>
                <w:szCs w:val="16"/>
                <w:color w:val="auto"/>
              </w:rPr>
              <w:t>40.81</w:t>
            </w:r>
          </w:p>
        </w:tc>
        <w:tc>
          <w:tcPr>
            <w:tcW w:w="1280" w:type="dxa"/>
            <w:vAlign w:val="bottom"/>
            <w:gridSpan w:val="2"/>
            <w:shd w:val="clear" w:color="auto" w:fill="CCEEFF"/>
          </w:tcPr>
          <w:p>
            <w:pPr>
              <w:jc w:val="right"/>
              <w:ind w:right="38"/>
              <w:spacing w:after="0" w:line="183" w:lineRule="exact"/>
              <w:rPr>
                <w:sz w:val="20"/>
                <w:szCs w:val="20"/>
                <w:color w:val="auto"/>
              </w:rPr>
            </w:pPr>
            <w:r>
              <w:rPr>
                <w:rFonts w:ascii="Arial" w:cs="Arial" w:eastAsia="Arial" w:hAnsi="Arial"/>
                <w:sz w:val="16"/>
                <w:szCs w:val="16"/>
                <w:color w:val="auto"/>
              </w:rPr>
              <w:t>355,921</w:t>
            </w:r>
          </w:p>
        </w:tc>
        <w:tc>
          <w:tcPr>
            <w:tcW w:w="1400" w:type="dxa"/>
            <w:vAlign w:val="bottom"/>
            <w:shd w:val="clear" w:color="auto" w:fill="CCEEFF"/>
          </w:tcPr>
          <w:p>
            <w:pPr>
              <w:jc w:val="right"/>
              <w:ind w:right="58"/>
              <w:spacing w:after="0" w:line="183" w:lineRule="exact"/>
              <w:rPr>
                <w:sz w:val="20"/>
                <w:szCs w:val="20"/>
                <w:color w:val="auto"/>
              </w:rPr>
            </w:pPr>
            <w:r>
              <w:rPr>
                <w:rFonts w:ascii="Arial" w:cs="Arial" w:eastAsia="Arial" w:hAnsi="Arial"/>
                <w:sz w:val="16"/>
                <w:szCs w:val="16"/>
                <w:color w:val="auto"/>
              </w:rPr>
              <w:t>355,903</w:t>
            </w:r>
          </w:p>
        </w:tc>
        <w:tc>
          <w:tcPr>
            <w:tcW w:w="260" w:type="dxa"/>
            <w:vAlign w:val="bottom"/>
            <w:shd w:val="clear" w:color="auto" w:fill="CCEEFF"/>
          </w:tcPr>
          <w:p>
            <w:pPr>
              <w:ind w:left="120"/>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8"/>
              <w:spacing w:after="0" w:line="183" w:lineRule="exact"/>
              <w:rPr>
                <w:sz w:val="20"/>
                <w:szCs w:val="20"/>
                <w:color w:val="auto"/>
              </w:rPr>
            </w:pPr>
            <w:r>
              <w:rPr>
                <w:rFonts w:ascii="Arial" w:cs="Arial" w:eastAsia="Arial" w:hAnsi="Arial"/>
                <w:sz w:val="16"/>
                <w:szCs w:val="16"/>
                <w:color w:val="auto"/>
              </w:rPr>
              <w:t>14,523</w:t>
            </w:r>
          </w:p>
        </w:tc>
        <w:tc>
          <w:tcPr>
            <w:tcW w:w="320" w:type="dxa"/>
            <w:vAlign w:val="bottom"/>
            <w:shd w:val="clear" w:color="auto" w:fill="CCEEFF"/>
          </w:tcPr>
          <w:p>
            <w:pPr>
              <w:jc w:val="right"/>
              <w:ind w:right="38"/>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13,535</w:t>
            </w:r>
          </w:p>
        </w:tc>
        <w:tc>
          <w:tcPr>
            <w:tcW w:w="40" w:type="dxa"/>
            <w:vAlign w:val="bottom"/>
            <w:shd w:val="clear" w:color="auto" w:fill="CCEEFF"/>
          </w:tcPr>
          <w:p>
            <w:pPr>
              <w:spacing w:after="0"/>
              <w:rPr>
                <w:sz w:val="15"/>
                <w:szCs w:val="15"/>
                <w:color w:val="auto"/>
              </w:rPr>
            </w:pPr>
          </w:p>
        </w:tc>
      </w:tr>
      <w:tr>
        <w:trPr>
          <w:trHeight w:val="190"/>
        </w:trPr>
        <w:tc>
          <w:tcPr>
            <w:tcW w:w="1680" w:type="dxa"/>
            <w:vAlign w:val="bottom"/>
          </w:tcPr>
          <w:p>
            <w:pPr>
              <w:spacing w:after="0"/>
              <w:rPr>
                <w:sz w:val="20"/>
                <w:szCs w:val="20"/>
                <w:color w:val="auto"/>
              </w:rPr>
            </w:pPr>
            <w:r>
              <w:rPr>
                <w:rFonts w:ascii="Arial" w:cs="Arial" w:eastAsia="Arial" w:hAnsi="Arial"/>
                <w:sz w:val="16"/>
                <w:szCs w:val="16"/>
                <w:color w:val="auto"/>
              </w:rPr>
              <w:t>Series B</w:t>
            </w:r>
          </w:p>
        </w:tc>
        <w:tc>
          <w:tcPr>
            <w:tcW w:w="1720" w:type="dxa"/>
            <w:vAlign w:val="bottom"/>
            <w:gridSpan w:val="2"/>
          </w:tcPr>
          <w:p>
            <w:pPr>
              <w:jc w:val="right"/>
              <w:ind w:right="78"/>
              <w:spacing w:after="0"/>
              <w:rPr>
                <w:sz w:val="20"/>
                <w:szCs w:val="20"/>
                <w:color w:val="auto"/>
              </w:rPr>
            </w:pPr>
            <w:r>
              <w:rPr>
                <w:rFonts w:ascii="Arial" w:cs="Arial" w:eastAsia="Arial" w:hAnsi="Arial"/>
                <w:sz w:val="16"/>
                <w:szCs w:val="16"/>
                <w:color w:val="auto"/>
              </w:rPr>
              <w:t>$0.001</w:t>
            </w:r>
          </w:p>
        </w:tc>
        <w:tc>
          <w:tcPr>
            <w:tcW w:w="980" w:type="dxa"/>
            <w:vAlign w:val="bottom"/>
          </w:tcPr>
          <w:p>
            <w:pPr>
              <w:jc w:val="right"/>
              <w:ind w:right="38"/>
              <w:spacing w:after="0"/>
              <w:rPr>
                <w:sz w:val="20"/>
                <w:szCs w:val="20"/>
                <w:color w:val="auto"/>
              </w:rPr>
            </w:pPr>
            <w:r>
              <w:rPr>
                <w:rFonts w:ascii="Arial" w:cs="Arial" w:eastAsia="Arial" w:hAnsi="Arial"/>
                <w:sz w:val="16"/>
                <w:szCs w:val="16"/>
                <w:color w:val="auto"/>
              </w:rPr>
              <w:t>May-2003</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8"/>
              <w:spacing w:after="0"/>
              <w:rPr>
                <w:sz w:val="20"/>
                <w:szCs w:val="20"/>
                <w:color w:val="auto"/>
              </w:rPr>
            </w:pPr>
            <w:r>
              <w:rPr>
                <w:rFonts w:ascii="Arial" w:cs="Arial" w:eastAsia="Arial" w:hAnsi="Arial"/>
                <w:sz w:val="16"/>
                <w:szCs w:val="16"/>
                <w:color w:val="auto"/>
              </w:rPr>
              <w:t>9.07</w:t>
            </w:r>
          </w:p>
        </w:tc>
        <w:tc>
          <w:tcPr>
            <w:tcW w:w="1280" w:type="dxa"/>
            <w:vAlign w:val="bottom"/>
            <w:gridSpan w:val="2"/>
          </w:tcPr>
          <w:p>
            <w:pPr>
              <w:jc w:val="right"/>
              <w:ind w:right="38"/>
              <w:spacing w:after="0"/>
              <w:rPr>
                <w:sz w:val="20"/>
                <w:szCs w:val="20"/>
                <w:color w:val="auto"/>
              </w:rPr>
            </w:pPr>
            <w:r>
              <w:rPr>
                <w:rFonts w:ascii="Arial" w:cs="Arial" w:eastAsia="Arial" w:hAnsi="Arial"/>
                <w:sz w:val="16"/>
                <w:szCs w:val="16"/>
                <w:color w:val="auto"/>
              </w:rPr>
              <w:t>1,741,452</w:t>
            </w: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1,741,399</w:t>
            </w:r>
          </w:p>
        </w:tc>
        <w:tc>
          <w:tcPr>
            <w:tcW w:w="260" w:type="dxa"/>
            <w:vAlign w:val="bottom"/>
          </w:tcPr>
          <w:p>
            <w:pPr>
              <w:spacing w:after="0"/>
              <w:rPr>
                <w:sz w:val="16"/>
                <w:szCs w:val="16"/>
                <w:color w:val="auto"/>
              </w:rPr>
            </w:pPr>
          </w:p>
        </w:tc>
        <w:tc>
          <w:tcPr>
            <w:tcW w:w="880" w:type="dxa"/>
            <w:vAlign w:val="bottom"/>
          </w:tcPr>
          <w:p>
            <w:pPr>
              <w:jc w:val="right"/>
              <w:ind w:right="38"/>
              <w:spacing w:after="0"/>
              <w:rPr>
                <w:sz w:val="20"/>
                <w:szCs w:val="20"/>
                <w:color w:val="auto"/>
              </w:rPr>
            </w:pPr>
            <w:r>
              <w:rPr>
                <w:rFonts w:ascii="Arial" w:cs="Arial" w:eastAsia="Arial" w:hAnsi="Arial"/>
                <w:sz w:val="16"/>
                <w:szCs w:val="16"/>
                <w:color w:val="auto"/>
              </w:rPr>
              <w:t>15,795</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34,929</w:t>
            </w:r>
          </w:p>
        </w:tc>
        <w:tc>
          <w:tcPr>
            <w:tcW w:w="40" w:type="dxa"/>
            <w:vAlign w:val="bottom"/>
          </w:tcPr>
          <w:p>
            <w:pPr>
              <w:spacing w:after="0"/>
              <w:rPr>
                <w:sz w:val="16"/>
                <w:szCs w:val="16"/>
                <w:color w:val="auto"/>
              </w:rPr>
            </w:pPr>
          </w:p>
        </w:tc>
      </w:tr>
      <w:tr>
        <w:trPr>
          <w:trHeight w:val="190"/>
        </w:trPr>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Series C</w:t>
            </w:r>
          </w:p>
        </w:tc>
        <w:tc>
          <w:tcPr>
            <w:tcW w:w="172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$0.001</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Feb-2007</w:t>
            </w:r>
          </w:p>
        </w:tc>
        <w:tc>
          <w:tcPr>
            <w:tcW w:w="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12.92</w:t>
            </w:r>
          </w:p>
        </w:tc>
        <w:tc>
          <w:tcPr>
            <w:tcW w:w="128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1,168,344</w:t>
            </w:r>
          </w:p>
        </w:tc>
        <w:tc>
          <w:tcPr>
            <w:tcW w:w="14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1,168,311</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15,086</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26,105</w:t>
            </w:r>
          </w:p>
        </w:tc>
        <w:tc>
          <w:tcPr>
            <w:tcW w:w="40" w:type="dxa"/>
            <w:vAlign w:val="bottom"/>
            <w:shd w:val="clear" w:color="auto" w:fill="CCEEFF"/>
          </w:tcPr>
          <w:p>
            <w:pPr>
              <w:spacing w:after="0"/>
              <w:rPr>
                <w:sz w:val="16"/>
                <w:szCs w:val="16"/>
                <w:color w:val="auto"/>
              </w:rPr>
            </w:pPr>
          </w:p>
        </w:tc>
      </w:tr>
      <w:tr>
        <w:trPr>
          <w:trHeight w:val="190"/>
        </w:trPr>
        <w:tc>
          <w:tcPr>
            <w:tcW w:w="1680" w:type="dxa"/>
            <w:vAlign w:val="bottom"/>
          </w:tcPr>
          <w:p>
            <w:pPr>
              <w:spacing w:after="0"/>
              <w:rPr>
                <w:sz w:val="20"/>
                <w:szCs w:val="20"/>
                <w:color w:val="auto"/>
              </w:rPr>
            </w:pPr>
            <w:r>
              <w:rPr>
                <w:rFonts w:ascii="Arial" w:cs="Arial" w:eastAsia="Arial" w:hAnsi="Arial"/>
                <w:sz w:val="16"/>
                <w:szCs w:val="16"/>
                <w:color w:val="auto"/>
              </w:rPr>
              <w:t>Series D</w:t>
            </w:r>
          </w:p>
        </w:tc>
        <w:tc>
          <w:tcPr>
            <w:tcW w:w="1720" w:type="dxa"/>
            <w:vAlign w:val="bottom"/>
            <w:gridSpan w:val="2"/>
          </w:tcPr>
          <w:p>
            <w:pPr>
              <w:jc w:val="right"/>
              <w:ind w:right="78"/>
              <w:spacing w:after="0"/>
              <w:rPr>
                <w:sz w:val="20"/>
                <w:szCs w:val="20"/>
                <w:color w:val="auto"/>
              </w:rPr>
            </w:pPr>
            <w:r>
              <w:rPr>
                <w:rFonts w:ascii="Arial" w:cs="Arial" w:eastAsia="Arial" w:hAnsi="Arial"/>
                <w:sz w:val="16"/>
                <w:szCs w:val="16"/>
                <w:color w:val="auto"/>
              </w:rPr>
              <w:t>$0.001</w:t>
            </w:r>
          </w:p>
        </w:tc>
        <w:tc>
          <w:tcPr>
            <w:tcW w:w="980" w:type="dxa"/>
            <w:vAlign w:val="bottom"/>
          </w:tcPr>
          <w:p>
            <w:pPr>
              <w:jc w:val="right"/>
              <w:ind w:right="38"/>
              <w:spacing w:after="0"/>
              <w:rPr>
                <w:sz w:val="20"/>
                <w:szCs w:val="20"/>
                <w:color w:val="auto"/>
              </w:rPr>
            </w:pPr>
            <w:r>
              <w:rPr>
                <w:rFonts w:ascii="Arial" w:cs="Arial" w:eastAsia="Arial" w:hAnsi="Arial"/>
                <w:sz w:val="16"/>
                <w:szCs w:val="16"/>
                <w:color w:val="auto"/>
              </w:rPr>
              <w:t>Aug-2009</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8"/>
              <w:spacing w:after="0"/>
              <w:rPr>
                <w:sz w:val="20"/>
                <w:szCs w:val="20"/>
                <w:color w:val="auto"/>
              </w:rPr>
            </w:pPr>
            <w:r>
              <w:rPr>
                <w:rFonts w:ascii="Arial" w:cs="Arial" w:eastAsia="Arial" w:hAnsi="Arial"/>
                <w:sz w:val="16"/>
                <w:szCs w:val="16"/>
                <w:color w:val="auto"/>
              </w:rPr>
              <w:t>18.08</w:t>
            </w:r>
          </w:p>
        </w:tc>
        <w:tc>
          <w:tcPr>
            <w:tcW w:w="1280" w:type="dxa"/>
            <w:vAlign w:val="bottom"/>
            <w:gridSpan w:val="2"/>
          </w:tcPr>
          <w:p>
            <w:pPr>
              <w:jc w:val="right"/>
              <w:ind w:right="38"/>
              <w:spacing w:after="0"/>
              <w:rPr>
                <w:sz w:val="20"/>
                <w:szCs w:val="20"/>
                <w:color w:val="auto"/>
              </w:rPr>
            </w:pPr>
            <w:r>
              <w:rPr>
                <w:rFonts w:ascii="Arial" w:cs="Arial" w:eastAsia="Arial" w:hAnsi="Arial"/>
                <w:sz w:val="16"/>
                <w:szCs w:val="16"/>
                <w:color w:val="auto"/>
              </w:rPr>
              <w:t>663,808</w:t>
            </w: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663,726</w:t>
            </w:r>
          </w:p>
        </w:tc>
        <w:tc>
          <w:tcPr>
            <w:tcW w:w="260" w:type="dxa"/>
            <w:vAlign w:val="bottom"/>
          </w:tcPr>
          <w:p>
            <w:pPr>
              <w:spacing w:after="0"/>
              <w:rPr>
                <w:sz w:val="16"/>
                <w:szCs w:val="16"/>
                <w:color w:val="auto"/>
              </w:rPr>
            </w:pPr>
          </w:p>
        </w:tc>
        <w:tc>
          <w:tcPr>
            <w:tcW w:w="880" w:type="dxa"/>
            <w:vAlign w:val="bottom"/>
          </w:tcPr>
          <w:p>
            <w:pPr>
              <w:jc w:val="right"/>
              <w:ind w:right="38"/>
              <w:spacing w:after="0"/>
              <w:rPr>
                <w:sz w:val="20"/>
                <w:szCs w:val="20"/>
                <w:color w:val="auto"/>
              </w:rPr>
            </w:pPr>
            <w:r>
              <w:rPr>
                <w:rFonts w:ascii="Arial" w:cs="Arial" w:eastAsia="Arial" w:hAnsi="Arial"/>
                <w:sz w:val="16"/>
                <w:szCs w:val="16"/>
                <w:color w:val="auto"/>
              </w:rPr>
              <w:t>12,000</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17,753</w:t>
            </w:r>
          </w:p>
        </w:tc>
        <w:tc>
          <w:tcPr>
            <w:tcW w:w="40" w:type="dxa"/>
            <w:vAlign w:val="bottom"/>
          </w:tcPr>
          <w:p>
            <w:pPr>
              <w:spacing w:after="0"/>
              <w:rPr>
                <w:sz w:val="16"/>
                <w:szCs w:val="16"/>
                <w:color w:val="auto"/>
              </w:rPr>
            </w:pPr>
          </w:p>
        </w:tc>
      </w:tr>
      <w:tr>
        <w:trPr>
          <w:trHeight w:val="190"/>
        </w:trPr>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Series E</w:t>
            </w:r>
          </w:p>
        </w:tc>
        <w:tc>
          <w:tcPr>
            <w:tcW w:w="172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$0.001</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Oct-2011</w:t>
            </w:r>
          </w:p>
        </w:tc>
        <w:tc>
          <w:tcPr>
            <w:tcW w:w="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20.66</w:t>
            </w:r>
          </w:p>
        </w:tc>
        <w:tc>
          <w:tcPr>
            <w:tcW w:w="128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353,339</w:t>
            </w:r>
          </w:p>
        </w:tc>
        <w:tc>
          <w:tcPr>
            <w:tcW w:w="14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353,327</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7,300</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10,042</w:t>
            </w:r>
          </w:p>
        </w:tc>
        <w:tc>
          <w:tcPr>
            <w:tcW w:w="40" w:type="dxa"/>
            <w:vAlign w:val="bottom"/>
            <w:shd w:val="clear" w:color="auto" w:fill="CCEEFF"/>
          </w:tcPr>
          <w:p>
            <w:pPr>
              <w:spacing w:after="0"/>
              <w:rPr>
                <w:sz w:val="16"/>
                <w:szCs w:val="16"/>
                <w:color w:val="auto"/>
              </w:rPr>
            </w:pPr>
          </w:p>
        </w:tc>
      </w:tr>
      <w:tr>
        <w:trPr>
          <w:trHeight w:val="190"/>
        </w:trPr>
        <w:tc>
          <w:tcPr>
            <w:tcW w:w="1680" w:type="dxa"/>
            <w:vAlign w:val="bottom"/>
          </w:tcPr>
          <w:p>
            <w:pPr>
              <w:spacing w:after="0"/>
              <w:rPr>
                <w:sz w:val="20"/>
                <w:szCs w:val="20"/>
                <w:color w:val="auto"/>
              </w:rPr>
            </w:pPr>
            <w:r>
              <w:rPr>
                <w:rFonts w:ascii="Arial" w:cs="Arial" w:eastAsia="Arial" w:hAnsi="Arial"/>
                <w:sz w:val="16"/>
                <w:szCs w:val="16"/>
                <w:color w:val="auto"/>
              </w:rPr>
              <w:t>Series F</w:t>
            </w:r>
          </w:p>
        </w:tc>
        <w:tc>
          <w:tcPr>
            <w:tcW w:w="1720" w:type="dxa"/>
            <w:vAlign w:val="bottom"/>
            <w:gridSpan w:val="2"/>
          </w:tcPr>
          <w:p>
            <w:pPr>
              <w:jc w:val="right"/>
              <w:ind w:right="78"/>
              <w:spacing w:after="0"/>
              <w:rPr>
                <w:sz w:val="20"/>
                <w:szCs w:val="20"/>
                <w:color w:val="auto"/>
              </w:rPr>
            </w:pPr>
            <w:r>
              <w:rPr>
                <w:rFonts w:ascii="Arial" w:cs="Arial" w:eastAsia="Arial" w:hAnsi="Arial"/>
                <w:sz w:val="16"/>
                <w:szCs w:val="16"/>
                <w:color w:val="auto"/>
              </w:rPr>
              <w:t>$0.001</w:t>
            </w:r>
          </w:p>
        </w:tc>
        <w:tc>
          <w:tcPr>
            <w:tcW w:w="980" w:type="dxa"/>
            <w:vAlign w:val="bottom"/>
          </w:tcPr>
          <w:p>
            <w:pPr>
              <w:jc w:val="right"/>
              <w:ind w:right="38"/>
              <w:spacing w:after="0"/>
              <w:rPr>
                <w:sz w:val="20"/>
                <w:szCs w:val="20"/>
                <w:color w:val="auto"/>
              </w:rPr>
            </w:pPr>
            <w:r>
              <w:rPr>
                <w:rFonts w:ascii="Arial" w:cs="Arial" w:eastAsia="Arial" w:hAnsi="Arial"/>
                <w:sz w:val="16"/>
                <w:szCs w:val="16"/>
                <w:color w:val="auto"/>
              </w:rPr>
              <w:t>May-2012</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8"/>
              <w:spacing w:after="0"/>
              <w:rPr>
                <w:sz w:val="20"/>
                <w:szCs w:val="20"/>
                <w:color w:val="auto"/>
              </w:rPr>
            </w:pPr>
            <w:r>
              <w:rPr>
                <w:rFonts w:ascii="Arial" w:cs="Arial" w:eastAsia="Arial" w:hAnsi="Arial"/>
                <w:sz w:val="16"/>
                <w:szCs w:val="16"/>
                <w:color w:val="auto"/>
              </w:rPr>
              <w:t>25.83</w:t>
            </w:r>
          </w:p>
        </w:tc>
        <w:tc>
          <w:tcPr>
            <w:tcW w:w="1280" w:type="dxa"/>
            <w:vAlign w:val="bottom"/>
            <w:gridSpan w:val="2"/>
          </w:tcPr>
          <w:p>
            <w:pPr>
              <w:jc w:val="right"/>
              <w:ind w:right="38"/>
              <w:spacing w:after="0"/>
              <w:rPr>
                <w:sz w:val="20"/>
                <w:szCs w:val="20"/>
                <w:color w:val="auto"/>
              </w:rPr>
            </w:pPr>
            <w:r>
              <w:rPr>
                <w:rFonts w:ascii="Arial" w:cs="Arial" w:eastAsia="Arial" w:hAnsi="Arial"/>
                <w:sz w:val="16"/>
                <w:szCs w:val="16"/>
                <w:color w:val="auto"/>
              </w:rPr>
              <w:t>507,744</w:t>
            </w: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499,157</w:t>
            </w:r>
          </w:p>
        </w:tc>
        <w:tc>
          <w:tcPr>
            <w:tcW w:w="260" w:type="dxa"/>
            <w:vAlign w:val="bottom"/>
          </w:tcPr>
          <w:p>
            <w:pPr>
              <w:spacing w:after="0"/>
              <w:rPr>
                <w:sz w:val="16"/>
                <w:szCs w:val="16"/>
                <w:color w:val="auto"/>
              </w:rPr>
            </w:pPr>
          </w:p>
        </w:tc>
        <w:tc>
          <w:tcPr>
            <w:tcW w:w="880" w:type="dxa"/>
            <w:vAlign w:val="bottom"/>
          </w:tcPr>
          <w:p>
            <w:pPr>
              <w:jc w:val="right"/>
              <w:ind w:right="38"/>
              <w:spacing w:after="0"/>
              <w:rPr>
                <w:sz w:val="20"/>
                <w:szCs w:val="20"/>
                <w:color w:val="auto"/>
              </w:rPr>
            </w:pPr>
            <w:r>
              <w:rPr>
                <w:rFonts w:ascii="Arial" w:cs="Arial" w:eastAsia="Arial" w:hAnsi="Arial"/>
                <w:sz w:val="16"/>
                <w:szCs w:val="16"/>
                <w:color w:val="auto"/>
              </w:rPr>
              <w:t>12,891</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17,807</w:t>
            </w:r>
          </w:p>
        </w:tc>
        <w:tc>
          <w:tcPr>
            <w:tcW w:w="40" w:type="dxa"/>
            <w:vAlign w:val="bottom"/>
          </w:tcPr>
          <w:p>
            <w:pPr>
              <w:spacing w:after="0"/>
              <w:rPr>
                <w:sz w:val="16"/>
                <w:szCs w:val="16"/>
                <w:color w:val="auto"/>
              </w:rPr>
            </w:pPr>
          </w:p>
        </w:tc>
      </w:tr>
      <w:tr>
        <w:trPr>
          <w:trHeight w:val="190"/>
        </w:trPr>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Series G</w:t>
            </w:r>
          </w:p>
        </w:tc>
        <w:tc>
          <w:tcPr>
            <w:tcW w:w="172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$0.001</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Jun-2015</w:t>
            </w:r>
          </w:p>
        </w:tc>
        <w:tc>
          <w:tcPr>
            <w:tcW w:w="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12.40</w:t>
            </w:r>
          </w:p>
        </w:tc>
        <w:tc>
          <w:tcPr>
            <w:tcW w:w="128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5,832,685</w:t>
            </w:r>
          </w:p>
        </w:tc>
        <w:tc>
          <w:tcPr>
            <w:tcW w:w="14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5,788,878</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71,759</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125,362</w:t>
            </w:r>
          </w:p>
        </w:tc>
        <w:tc>
          <w:tcPr>
            <w:tcW w:w="40" w:type="dxa"/>
            <w:vAlign w:val="bottom"/>
            <w:shd w:val="clear" w:color="auto" w:fill="CCEEFF"/>
          </w:tcPr>
          <w:p>
            <w:pPr>
              <w:spacing w:after="0"/>
              <w:rPr>
                <w:sz w:val="16"/>
                <w:szCs w:val="16"/>
                <w:color w:val="auto"/>
              </w:rPr>
            </w:pPr>
          </w:p>
        </w:tc>
      </w:tr>
      <w:tr>
        <w:trPr>
          <w:trHeight w:val="196"/>
        </w:trPr>
        <w:tc>
          <w:tcPr>
            <w:tcW w:w="1680" w:type="dxa"/>
            <w:vAlign w:val="bottom"/>
          </w:tcPr>
          <w:p>
            <w:pPr>
              <w:spacing w:after="0"/>
              <w:rPr>
                <w:sz w:val="20"/>
                <w:szCs w:val="20"/>
                <w:color w:val="auto"/>
              </w:rPr>
            </w:pPr>
            <w:r>
              <w:rPr>
                <w:rFonts w:ascii="Arial" w:cs="Arial" w:eastAsia="Arial" w:hAnsi="Arial"/>
                <w:sz w:val="16"/>
                <w:szCs w:val="16"/>
                <w:color w:val="auto"/>
              </w:rPr>
              <w:t>Series H</w:t>
            </w:r>
          </w:p>
        </w:tc>
        <w:tc>
          <w:tcPr>
            <w:tcW w:w="1720" w:type="dxa"/>
            <w:vAlign w:val="bottom"/>
            <w:gridSpan w:val="2"/>
          </w:tcPr>
          <w:p>
            <w:pPr>
              <w:jc w:val="right"/>
              <w:ind w:right="78"/>
              <w:spacing w:after="0"/>
              <w:rPr>
                <w:sz w:val="20"/>
                <w:szCs w:val="20"/>
                <w:color w:val="auto"/>
              </w:rPr>
            </w:pPr>
            <w:r>
              <w:rPr>
                <w:rFonts w:ascii="Arial" w:cs="Arial" w:eastAsia="Arial" w:hAnsi="Arial"/>
                <w:sz w:val="16"/>
                <w:szCs w:val="16"/>
                <w:color w:val="auto"/>
              </w:rPr>
              <w:t>$0.001</w:t>
            </w:r>
          </w:p>
        </w:tc>
        <w:tc>
          <w:tcPr>
            <w:tcW w:w="980" w:type="dxa"/>
            <w:vAlign w:val="bottom"/>
          </w:tcPr>
          <w:p>
            <w:pPr>
              <w:jc w:val="right"/>
              <w:ind w:right="38"/>
              <w:spacing w:after="0"/>
              <w:rPr>
                <w:sz w:val="20"/>
                <w:szCs w:val="20"/>
                <w:color w:val="auto"/>
              </w:rPr>
            </w:pPr>
            <w:r>
              <w:rPr>
                <w:rFonts w:ascii="Arial" w:cs="Arial" w:eastAsia="Arial" w:hAnsi="Arial"/>
                <w:sz w:val="16"/>
                <w:szCs w:val="16"/>
                <w:color w:val="auto"/>
              </w:rPr>
              <w:t>Feb-2017</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8"/>
              <w:spacing w:after="0"/>
              <w:rPr>
                <w:sz w:val="20"/>
                <w:szCs w:val="20"/>
                <w:color w:val="auto"/>
              </w:rPr>
            </w:pPr>
            <w:r>
              <w:rPr>
                <w:rFonts w:ascii="Arial" w:cs="Arial" w:eastAsia="Arial" w:hAnsi="Arial"/>
                <w:sz w:val="16"/>
                <w:szCs w:val="16"/>
                <w:color w:val="auto"/>
              </w:rPr>
              <w:t>12.40</w:t>
            </w: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5,949,499</w:t>
            </w:r>
          </w:p>
        </w:tc>
        <w:tc>
          <w:tcPr>
            <w:tcW w:w="14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3,803,754</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47,152</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82,048</w:t>
            </w:r>
          </w:p>
        </w:tc>
        <w:tc>
          <w:tcPr>
            <w:tcW w:w="40" w:type="dxa"/>
            <w:vAlign w:val="bottom"/>
          </w:tcPr>
          <w:p>
            <w:pPr>
              <w:spacing w:after="0"/>
              <w:rPr>
                <w:sz w:val="17"/>
                <w:szCs w:val="17"/>
                <w:color w:val="auto"/>
              </w:rPr>
            </w:pPr>
          </w:p>
        </w:tc>
      </w:tr>
      <w:tr>
        <w:trPr>
          <w:trHeight w:val="190"/>
        </w:trPr>
        <w:tc>
          <w:tcPr>
            <w:tcW w:w="1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16,572,792</w:t>
            </w:r>
          </w:p>
        </w:tc>
        <w:tc>
          <w:tcPr>
            <w:tcW w:w="14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14,374,455</w:t>
            </w:r>
          </w:p>
        </w:tc>
        <w:tc>
          <w:tcPr>
            <w:tcW w:w="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196,506</w:t>
            </w:r>
          </w:p>
        </w:tc>
        <w:tc>
          <w:tcPr>
            <w:tcW w:w="3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327,581</w:t>
            </w:r>
          </w:p>
        </w:tc>
        <w:tc>
          <w:tcPr>
            <w:tcW w:w="40" w:type="dxa"/>
            <w:vAlign w:val="bottom"/>
            <w:shd w:val="clear" w:color="auto" w:fill="CCEEFF"/>
          </w:tcPr>
          <w:p>
            <w:pPr>
              <w:spacing w:after="0"/>
              <w:rPr>
                <w:sz w:val="16"/>
                <w:szCs w:val="16"/>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3" w:lineRule="exact"/>
        <w:rPr>
          <w:sz w:val="20"/>
          <w:szCs w:val="20"/>
          <w:color w:val="auto"/>
        </w:rPr>
      </w:pPr>
    </w:p>
    <w:p>
      <w:pPr>
        <w:ind w:left="760" w:hanging="309"/>
        <w:spacing w:after="0"/>
        <w:tabs>
          <w:tab w:leader="none" w:pos="76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The shares authorized, issued and outstanding do not reflect any anti-dilution provisions of Series C, Series D, Series E and Series F as a result of the Series G financing.</w:t>
      </w:r>
    </w:p>
    <w:p>
      <w:pPr>
        <w:spacing w:after="0" w:line="53" w:lineRule="exact"/>
        <w:rPr>
          <w:rFonts w:ascii="Arial" w:cs="Arial" w:eastAsia="Arial" w:hAnsi="Arial"/>
          <w:sz w:val="13"/>
          <w:szCs w:val="13"/>
          <w:color w:val="auto"/>
        </w:rPr>
      </w:pPr>
    </w:p>
    <w:p>
      <w:pPr>
        <w:ind w:left="760" w:right="20" w:hanging="309"/>
        <w:spacing w:after="0" w:line="234" w:lineRule="auto"/>
        <w:tabs>
          <w:tab w:leader="none" w:pos="76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The carrying value reflects the gross proceeds received from the sale of the preferred stock less issuance costs and the fair value at issuance of preferred stock warrants classified as a liability, plus accretion of redemption value.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Series H financing</w:t>
      </w:r>
    </w:p>
    <w:p>
      <w:pPr>
        <w:spacing w:after="0" w:line="124" w:lineRule="exact"/>
        <w:rPr>
          <w:sz w:val="20"/>
          <w:szCs w:val="20"/>
          <w:color w:val="auto"/>
        </w:rPr>
      </w:pPr>
    </w:p>
    <w:p>
      <w:pPr>
        <w:ind w:left="460" w:right="100"/>
        <w:spacing w:after="0" w:line="253" w:lineRule="auto"/>
        <w:rPr>
          <w:sz w:val="20"/>
          <w:szCs w:val="20"/>
          <w:color w:val="auto"/>
        </w:rPr>
      </w:pPr>
      <w:r>
        <w:rPr>
          <w:rFonts w:ascii="Arial" w:cs="Arial" w:eastAsia="Arial" w:hAnsi="Arial"/>
          <w:sz w:val="16"/>
          <w:szCs w:val="16"/>
          <w:color w:val="auto"/>
        </w:rPr>
        <w:t>On February 24, 2017, the Company issued 2,874,555 shares of Series H preferred stock (par value $0.001) at a price per share of $12.40 for gross proceeds of $35.6 million. On March 23 and 24, 2017, the Company completed a second and third closing, respectively, and issued a total of 896,527 shares of Series H preferred stock, for $11.1 million. Warrants were also issued as part of the Series H financing (see Note 11). In addition to warrant expense, Series H financing closing costs were $285,000.</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Conversion rights</w:t>
      </w:r>
    </w:p>
    <w:p>
      <w:pPr>
        <w:spacing w:after="0" w:line="124" w:lineRule="exact"/>
        <w:rPr>
          <w:sz w:val="20"/>
          <w:szCs w:val="20"/>
          <w:color w:val="auto"/>
        </w:rPr>
      </w:pPr>
    </w:p>
    <w:p>
      <w:pPr>
        <w:ind w:left="460" w:right="200"/>
        <w:spacing w:after="0" w:line="252" w:lineRule="auto"/>
        <w:rPr>
          <w:sz w:val="20"/>
          <w:szCs w:val="20"/>
          <w:color w:val="auto"/>
        </w:rPr>
      </w:pPr>
      <w:r>
        <w:rPr>
          <w:rFonts w:ascii="Arial" w:cs="Arial" w:eastAsia="Arial" w:hAnsi="Arial"/>
          <w:sz w:val="16"/>
          <w:szCs w:val="16"/>
          <w:color w:val="auto"/>
        </w:rPr>
        <w:t>As a result of the Series G financing and as a continued provision of the Series H financing, certain anti-dilution provisions were triggered in the Series G offering in the Prior Preferred Stock. This resulted in an increase in the number of authorized shares of common stock. Additionally, the number of shares of common stock issued would increase if Series C, Series D, Series E and Series F preferred stock (the “Conversion Shares”) converted to common stock. This increase is determined by a conversion factor based on the original issuance price (“OIP”) of the individual Conversion Shares. The Prior Preferred Shares conversion to common stock would</w:t>
      </w:r>
    </w:p>
    <w:p>
      <w:pPr>
        <w:spacing w:after="0" w:line="124"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0800"/>
          </w:cols>
          <w:pgMar w:left="320" w:top="440" w:right="779" w:bottom="1440" w:gutter="0" w:footer="0" w:header="0"/>
        </w:sectPr>
      </w:pPr>
    </w:p>
    <w:bookmarkStart w:id="255" w:name="page256"/>
    <w:bookmarkEnd w:id="2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1260"/>
        <w:spacing w:after="0" w:line="380" w:lineRule="auto"/>
        <w:rPr>
          <w:sz w:val="20"/>
          <w:szCs w:val="20"/>
          <w:color w:val="auto"/>
        </w:rPr>
      </w:pPr>
      <w:r>
        <w:rPr>
          <w:rFonts w:ascii="Arial" w:cs="Arial" w:eastAsia="Arial" w:hAnsi="Arial"/>
          <w:sz w:val="16"/>
          <w:szCs w:val="16"/>
          <w:color w:val="auto"/>
        </w:rPr>
        <w:t xml:space="preserve">increase the number of common shares outstanding by 474,733 if all the Conversion Shares exercise their conversion rights. </w:t>
      </w:r>
      <w:r>
        <w:rPr>
          <w:rFonts w:ascii="Arial" w:cs="Arial" w:eastAsia="Arial" w:hAnsi="Arial"/>
          <w:sz w:val="16"/>
          <w:szCs w:val="16"/>
          <w:i w:val="1"/>
          <w:iCs w:val="1"/>
          <w:color w:val="auto"/>
        </w:rPr>
        <w:t>Liquidation rights</w:t>
      </w:r>
    </w:p>
    <w:p>
      <w:pPr>
        <w:spacing w:after="0" w:line="1" w:lineRule="exact"/>
        <w:rPr>
          <w:sz w:val="20"/>
          <w:szCs w:val="20"/>
          <w:color w:val="auto"/>
        </w:rPr>
      </w:pPr>
    </w:p>
    <w:p>
      <w:pPr>
        <w:ind w:left="460" w:right="760"/>
        <w:spacing w:after="0" w:line="265" w:lineRule="auto"/>
        <w:rPr>
          <w:sz w:val="20"/>
          <w:szCs w:val="20"/>
          <w:color w:val="auto"/>
        </w:rPr>
      </w:pPr>
      <w:r>
        <w:rPr>
          <w:rFonts w:ascii="Arial" w:cs="Arial" w:eastAsia="Arial" w:hAnsi="Arial"/>
          <w:sz w:val="16"/>
          <w:szCs w:val="16"/>
          <w:color w:val="auto"/>
        </w:rPr>
        <w:t>In the event of a liquidation, dissolution or winding up of the Company, whether voluntary or involuntary, or upon an asset transfer or acquisition (a “Liquidation Event”), the priority for amounts available for distribution to the Preferred Stockholders are as follows:</w:t>
      </w:r>
    </w:p>
    <w:p>
      <w:pPr>
        <w:spacing w:after="0" w:line="88" w:lineRule="exact"/>
        <w:rPr>
          <w:sz w:val="20"/>
          <w:szCs w:val="20"/>
          <w:color w:val="auto"/>
        </w:rPr>
      </w:pPr>
    </w:p>
    <w:p>
      <w:pPr>
        <w:ind w:left="660" w:hanging="209"/>
        <w:spacing w:after="0"/>
        <w:tabs>
          <w:tab w:leader="none" w:pos="6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Series G, Series H</w:t>
      </w:r>
    </w:p>
    <w:p>
      <w:pPr>
        <w:spacing w:after="0" w:line="6" w:lineRule="exact"/>
        <w:rPr>
          <w:rFonts w:ascii="Arial" w:cs="Arial" w:eastAsia="Arial" w:hAnsi="Arial"/>
          <w:sz w:val="16"/>
          <w:szCs w:val="16"/>
          <w:color w:val="auto"/>
        </w:rPr>
      </w:pPr>
    </w:p>
    <w:p>
      <w:pPr>
        <w:ind w:left="660" w:hanging="209"/>
        <w:spacing w:after="0"/>
        <w:tabs>
          <w:tab w:leader="none" w:pos="6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Series B, Series C, Series D, Series E, Series F</w:t>
      </w:r>
    </w:p>
    <w:p>
      <w:pPr>
        <w:spacing w:after="0" w:line="6" w:lineRule="exact"/>
        <w:rPr>
          <w:rFonts w:ascii="Arial" w:cs="Arial" w:eastAsia="Arial" w:hAnsi="Arial"/>
          <w:sz w:val="16"/>
          <w:szCs w:val="16"/>
          <w:color w:val="auto"/>
        </w:rPr>
      </w:pPr>
    </w:p>
    <w:p>
      <w:pPr>
        <w:ind w:left="660" w:hanging="209"/>
        <w:spacing w:after="0"/>
        <w:tabs>
          <w:tab w:leader="none" w:pos="6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Series A</w:t>
      </w:r>
    </w:p>
    <w:p>
      <w:pPr>
        <w:spacing w:after="0" w:line="108" w:lineRule="exact"/>
        <w:rPr>
          <w:sz w:val="20"/>
          <w:szCs w:val="20"/>
          <w:color w:val="auto"/>
        </w:rPr>
      </w:pPr>
    </w:p>
    <w:p>
      <w:pPr>
        <w:ind w:left="460" w:right="160"/>
        <w:spacing w:after="0" w:line="256" w:lineRule="auto"/>
        <w:rPr>
          <w:sz w:val="20"/>
          <w:szCs w:val="20"/>
          <w:color w:val="auto"/>
        </w:rPr>
      </w:pPr>
      <w:r>
        <w:rPr>
          <w:rFonts w:ascii="Arial" w:cs="Arial" w:eastAsia="Arial" w:hAnsi="Arial"/>
          <w:sz w:val="16"/>
          <w:szCs w:val="16"/>
          <w:color w:val="auto"/>
        </w:rPr>
        <w:t>Preferred stock is entitled to a liquidation preference at OIP, plus any declared but unpaid dividends. If the Company’s assets are insufficient to make payment in full to all these equity holders, then the assets will be distributed ratably in proportion to the full amounts to which they would otherwise be entitled to receive.</w:t>
      </w:r>
    </w:p>
    <w:p>
      <w:pPr>
        <w:spacing w:after="0" w:line="83" w:lineRule="exact"/>
        <w:rPr>
          <w:sz w:val="20"/>
          <w:szCs w:val="20"/>
          <w:color w:val="auto"/>
        </w:rPr>
      </w:pPr>
    </w:p>
    <w:p>
      <w:pPr>
        <w:jc w:val="both"/>
        <w:ind w:left="460" w:right="120"/>
        <w:spacing w:after="0" w:line="265" w:lineRule="auto"/>
        <w:rPr>
          <w:sz w:val="20"/>
          <w:szCs w:val="20"/>
          <w:color w:val="auto"/>
        </w:rPr>
      </w:pPr>
      <w:r>
        <w:rPr>
          <w:rFonts w:ascii="Arial" w:cs="Arial" w:eastAsia="Arial" w:hAnsi="Arial"/>
          <w:sz w:val="16"/>
          <w:szCs w:val="16"/>
          <w:color w:val="auto"/>
        </w:rPr>
        <w:t>Once the holders of preferred stock have been paid, any remaining assets available shall be distributed among the holders of common stock and any previously converted preferred shares based upon the number of shares of common stock held by each (on an as converted basis).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Optional conversions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Preferred stock is convertible at the option of the holder into common stock on a one for one basis.</w:t>
      </w:r>
    </w:p>
    <w:p>
      <w:pPr>
        <w:spacing w:after="0" w:line="108" w:lineRule="exact"/>
        <w:rPr>
          <w:sz w:val="20"/>
          <w:szCs w:val="20"/>
          <w:color w:val="auto"/>
        </w:rPr>
      </w:pPr>
    </w:p>
    <w:p>
      <w:pPr>
        <w:ind w:left="460" w:right="400"/>
        <w:spacing w:after="0" w:line="265" w:lineRule="auto"/>
        <w:rPr>
          <w:sz w:val="20"/>
          <w:szCs w:val="20"/>
          <w:color w:val="auto"/>
        </w:rPr>
      </w:pPr>
      <w:r>
        <w:rPr>
          <w:rFonts w:ascii="Arial" w:cs="Arial" w:eastAsia="Arial" w:hAnsi="Arial"/>
          <w:sz w:val="16"/>
          <w:szCs w:val="16"/>
          <w:color w:val="auto"/>
        </w:rPr>
        <w:t>The following table shows the common stock equivalent of preferred stock, if converted, as a result of the anti-dilution provisions enacted during the Series G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53975</wp:posOffset>
            </wp:positionV>
            <wp:extent cx="6569075" cy="158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Fully diluted on</w:t>
            </w:r>
          </w:p>
        </w:tc>
      </w:tr>
      <w:tr>
        <w:trPr>
          <w:trHeight w:val="207"/>
        </w:trPr>
        <w:tc>
          <w:tcPr>
            <w:tcW w:w="7960" w:type="dxa"/>
            <w:vAlign w:val="bottom"/>
          </w:tcPr>
          <w:p>
            <w:pPr>
              <w:spacing w:after="0"/>
              <w:rPr>
                <w:sz w:val="20"/>
                <w:szCs w:val="20"/>
                <w:color w:val="auto"/>
              </w:rPr>
            </w:pPr>
            <w:r>
              <w:rPr>
                <w:rFonts w:ascii="Arial" w:cs="Arial" w:eastAsia="Arial" w:hAnsi="Arial"/>
                <w:sz w:val="16"/>
                <w:szCs w:val="16"/>
                <w:b w:val="1"/>
                <w:bCs w:val="1"/>
                <w:color w:val="auto"/>
              </w:rPr>
              <w:t>Converted</w:t>
            </w:r>
          </w:p>
        </w:tc>
        <w:tc>
          <w:tcPr>
            <w:tcW w:w="108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conversion(1)</w:t>
            </w:r>
          </w:p>
        </w:tc>
      </w:tr>
      <w:tr>
        <w:trPr>
          <w:trHeight w:val="183"/>
        </w:trPr>
        <w:tc>
          <w:tcPr>
            <w:tcW w:w="79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shares</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12/31/2020</w:t>
            </w:r>
          </w:p>
        </w:tc>
        <w:tc>
          <w:tcPr>
            <w:tcW w:w="12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12/31/2019</w:t>
            </w:r>
          </w:p>
        </w:tc>
        <w:tc>
          <w:tcPr>
            <w:tcW w:w="80" w:type="dxa"/>
            <w:vAlign w:val="bottom"/>
            <w:tcBorders>
              <w:bottom w:val="single" w:sz="8" w:color="auto"/>
            </w:tcBorders>
          </w:tcPr>
          <w:p>
            <w:pPr>
              <w:spacing w:after="0"/>
              <w:rPr>
                <w:sz w:val="15"/>
                <w:szCs w:val="15"/>
                <w:color w:val="auto"/>
              </w:rPr>
            </w:pPr>
          </w:p>
        </w:tc>
      </w:tr>
      <w:tr>
        <w:trPr>
          <w:trHeight w:val="183"/>
        </w:trPr>
        <w:tc>
          <w:tcPr>
            <w:tcW w:w="79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Series A</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355,903</w:t>
            </w:r>
          </w:p>
        </w:tc>
        <w:tc>
          <w:tcPr>
            <w:tcW w:w="12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355,903</w:t>
            </w:r>
          </w:p>
        </w:tc>
        <w:tc>
          <w:tcPr>
            <w:tcW w:w="80" w:type="dxa"/>
            <w:vAlign w:val="bottom"/>
            <w:shd w:val="clear" w:color="auto" w:fill="CCEEFF"/>
          </w:tcPr>
          <w:p>
            <w:pPr>
              <w:spacing w:after="0"/>
              <w:rPr>
                <w:sz w:val="15"/>
                <w:szCs w:val="15"/>
                <w:color w:val="auto"/>
              </w:rPr>
            </w:pPr>
          </w:p>
        </w:tc>
      </w:tr>
      <w:tr>
        <w:trPr>
          <w:trHeight w:val="190"/>
        </w:trPr>
        <w:tc>
          <w:tcPr>
            <w:tcW w:w="7960" w:type="dxa"/>
            <w:vAlign w:val="bottom"/>
          </w:tcPr>
          <w:p>
            <w:pPr>
              <w:spacing w:after="0"/>
              <w:rPr>
                <w:sz w:val="20"/>
                <w:szCs w:val="20"/>
                <w:color w:val="auto"/>
              </w:rPr>
            </w:pPr>
            <w:r>
              <w:rPr>
                <w:rFonts w:ascii="Arial" w:cs="Arial" w:eastAsia="Arial" w:hAnsi="Arial"/>
                <w:sz w:val="16"/>
                <w:szCs w:val="16"/>
                <w:color w:val="auto"/>
              </w:rPr>
              <w:t>Series B</w:t>
            </w:r>
          </w:p>
        </w:tc>
        <w:tc>
          <w:tcPr>
            <w:tcW w:w="1080" w:type="dxa"/>
            <w:vAlign w:val="bottom"/>
          </w:tcPr>
          <w:p>
            <w:pPr>
              <w:jc w:val="right"/>
              <w:spacing w:after="0"/>
              <w:rPr>
                <w:sz w:val="20"/>
                <w:szCs w:val="20"/>
                <w:color w:val="auto"/>
              </w:rPr>
            </w:pPr>
            <w:r>
              <w:rPr>
                <w:rFonts w:ascii="Arial" w:cs="Arial" w:eastAsia="Arial" w:hAnsi="Arial"/>
                <w:sz w:val="16"/>
                <w:szCs w:val="16"/>
                <w:color w:val="auto"/>
              </w:rPr>
              <w:t>1,741,399</w:t>
            </w:r>
          </w:p>
        </w:tc>
        <w:tc>
          <w:tcPr>
            <w:tcW w:w="1220" w:type="dxa"/>
            <w:vAlign w:val="bottom"/>
          </w:tcPr>
          <w:p>
            <w:pPr>
              <w:jc w:val="right"/>
              <w:spacing w:after="0"/>
              <w:rPr>
                <w:sz w:val="20"/>
                <w:szCs w:val="20"/>
                <w:color w:val="auto"/>
              </w:rPr>
            </w:pPr>
            <w:r>
              <w:rPr>
                <w:rFonts w:ascii="Arial" w:cs="Arial" w:eastAsia="Arial" w:hAnsi="Arial"/>
                <w:sz w:val="16"/>
                <w:szCs w:val="16"/>
                <w:color w:val="auto"/>
              </w:rPr>
              <w:t>1,741,399</w:t>
            </w:r>
          </w:p>
        </w:tc>
        <w:tc>
          <w:tcPr>
            <w:tcW w:w="80" w:type="dxa"/>
            <w:vAlign w:val="bottom"/>
          </w:tcPr>
          <w:p>
            <w:pPr>
              <w:spacing w:after="0"/>
              <w:rPr>
                <w:sz w:val="16"/>
                <w:szCs w:val="16"/>
                <w:color w:val="auto"/>
              </w:rPr>
            </w:pPr>
          </w:p>
        </w:tc>
      </w:tr>
      <w:tr>
        <w:trPr>
          <w:trHeight w:val="190"/>
        </w:trPr>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Series C</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1,197,590</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1,197,591</w:t>
            </w:r>
          </w:p>
        </w:tc>
        <w:tc>
          <w:tcPr>
            <w:tcW w:w="80" w:type="dxa"/>
            <w:vAlign w:val="bottom"/>
            <w:shd w:val="clear" w:color="auto" w:fill="CCEEFF"/>
          </w:tcPr>
          <w:p>
            <w:pPr>
              <w:spacing w:after="0"/>
              <w:rPr>
                <w:sz w:val="16"/>
                <w:szCs w:val="16"/>
                <w:color w:val="auto"/>
              </w:rPr>
            </w:pPr>
          </w:p>
        </w:tc>
      </w:tr>
      <w:tr>
        <w:trPr>
          <w:trHeight w:val="190"/>
        </w:trPr>
        <w:tc>
          <w:tcPr>
            <w:tcW w:w="7960" w:type="dxa"/>
            <w:vAlign w:val="bottom"/>
          </w:tcPr>
          <w:p>
            <w:pPr>
              <w:spacing w:after="0"/>
              <w:rPr>
                <w:sz w:val="20"/>
                <w:szCs w:val="20"/>
                <w:color w:val="auto"/>
              </w:rPr>
            </w:pPr>
            <w:r>
              <w:rPr>
                <w:rFonts w:ascii="Arial" w:cs="Arial" w:eastAsia="Arial" w:hAnsi="Arial"/>
                <w:sz w:val="16"/>
                <w:szCs w:val="16"/>
                <w:color w:val="auto"/>
              </w:rPr>
              <w:t>Series D</w:t>
            </w:r>
          </w:p>
        </w:tc>
        <w:tc>
          <w:tcPr>
            <w:tcW w:w="1080" w:type="dxa"/>
            <w:vAlign w:val="bottom"/>
          </w:tcPr>
          <w:p>
            <w:pPr>
              <w:jc w:val="right"/>
              <w:spacing w:after="0"/>
              <w:rPr>
                <w:sz w:val="20"/>
                <w:szCs w:val="20"/>
                <w:color w:val="auto"/>
              </w:rPr>
            </w:pPr>
            <w:r>
              <w:rPr>
                <w:rFonts w:ascii="Arial" w:cs="Arial" w:eastAsia="Arial" w:hAnsi="Arial"/>
                <w:sz w:val="16"/>
                <w:szCs w:val="16"/>
                <w:color w:val="auto"/>
              </w:rPr>
              <w:t>772,963</w:t>
            </w:r>
          </w:p>
        </w:tc>
        <w:tc>
          <w:tcPr>
            <w:tcW w:w="1220" w:type="dxa"/>
            <w:vAlign w:val="bottom"/>
          </w:tcPr>
          <w:p>
            <w:pPr>
              <w:jc w:val="right"/>
              <w:spacing w:after="0"/>
              <w:rPr>
                <w:sz w:val="20"/>
                <w:szCs w:val="20"/>
                <w:color w:val="auto"/>
              </w:rPr>
            </w:pPr>
            <w:r>
              <w:rPr>
                <w:rFonts w:ascii="Arial" w:cs="Arial" w:eastAsia="Arial" w:hAnsi="Arial"/>
                <w:sz w:val="16"/>
                <w:szCs w:val="16"/>
                <w:color w:val="auto"/>
              </w:rPr>
              <w:t>772,960</w:t>
            </w:r>
          </w:p>
        </w:tc>
        <w:tc>
          <w:tcPr>
            <w:tcW w:w="80" w:type="dxa"/>
            <w:vAlign w:val="bottom"/>
          </w:tcPr>
          <w:p>
            <w:pPr>
              <w:spacing w:after="0"/>
              <w:rPr>
                <w:sz w:val="16"/>
                <w:szCs w:val="16"/>
                <w:color w:val="auto"/>
              </w:rPr>
            </w:pPr>
          </w:p>
        </w:tc>
      </w:tr>
      <w:tr>
        <w:trPr>
          <w:trHeight w:val="190"/>
        </w:trPr>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Series E</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429,766</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429,766</w:t>
            </w:r>
          </w:p>
        </w:tc>
        <w:tc>
          <w:tcPr>
            <w:tcW w:w="80" w:type="dxa"/>
            <w:vAlign w:val="bottom"/>
            <w:shd w:val="clear" w:color="auto" w:fill="CCEEFF"/>
          </w:tcPr>
          <w:p>
            <w:pPr>
              <w:spacing w:after="0"/>
              <w:rPr>
                <w:sz w:val="16"/>
                <w:szCs w:val="16"/>
                <w:color w:val="auto"/>
              </w:rPr>
            </w:pPr>
          </w:p>
        </w:tc>
      </w:tr>
      <w:tr>
        <w:trPr>
          <w:trHeight w:val="190"/>
        </w:trPr>
        <w:tc>
          <w:tcPr>
            <w:tcW w:w="7960" w:type="dxa"/>
            <w:vAlign w:val="bottom"/>
          </w:tcPr>
          <w:p>
            <w:pPr>
              <w:spacing w:after="0"/>
              <w:rPr>
                <w:sz w:val="20"/>
                <w:szCs w:val="20"/>
                <w:color w:val="auto"/>
              </w:rPr>
            </w:pPr>
            <w:r>
              <w:rPr>
                <w:rFonts w:ascii="Arial" w:cs="Arial" w:eastAsia="Arial" w:hAnsi="Arial"/>
                <w:sz w:val="16"/>
                <w:szCs w:val="16"/>
                <w:color w:val="auto"/>
              </w:rPr>
              <w:t>Series F</w:t>
            </w:r>
          </w:p>
        </w:tc>
        <w:tc>
          <w:tcPr>
            <w:tcW w:w="1080" w:type="dxa"/>
            <w:vAlign w:val="bottom"/>
          </w:tcPr>
          <w:p>
            <w:pPr>
              <w:jc w:val="right"/>
              <w:spacing w:after="0"/>
              <w:rPr>
                <w:sz w:val="20"/>
                <w:szCs w:val="20"/>
                <w:color w:val="auto"/>
              </w:rPr>
            </w:pPr>
            <w:r>
              <w:rPr>
                <w:rFonts w:ascii="Arial" w:cs="Arial" w:eastAsia="Arial" w:hAnsi="Arial"/>
                <w:sz w:val="16"/>
                <w:szCs w:val="16"/>
                <w:color w:val="auto"/>
              </w:rPr>
              <w:t>758,941</w:t>
            </w:r>
          </w:p>
        </w:tc>
        <w:tc>
          <w:tcPr>
            <w:tcW w:w="1220" w:type="dxa"/>
            <w:vAlign w:val="bottom"/>
          </w:tcPr>
          <w:p>
            <w:pPr>
              <w:jc w:val="right"/>
              <w:spacing w:after="0"/>
              <w:rPr>
                <w:sz w:val="20"/>
                <w:szCs w:val="20"/>
                <w:color w:val="auto"/>
              </w:rPr>
            </w:pPr>
            <w:r>
              <w:rPr>
                <w:rFonts w:ascii="Arial" w:cs="Arial" w:eastAsia="Arial" w:hAnsi="Arial"/>
                <w:sz w:val="16"/>
                <w:szCs w:val="16"/>
                <w:color w:val="auto"/>
              </w:rPr>
              <w:t>758,937</w:t>
            </w:r>
          </w:p>
        </w:tc>
        <w:tc>
          <w:tcPr>
            <w:tcW w:w="80" w:type="dxa"/>
            <w:vAlign w:val="bottom"/>
          </w:tcPr>
          <w:p>
            <w:pPr>
              <w:spacing w:after="0"/>
              <w:rPr>
                <w:sz w:val="16"/>
                <w:szCs w:val="16"/>
                <w:color w:val="auto"/>
              </w:rPr>
            </w:pPr>
          </w:p>
        </w:tc>
      </w:tr>
      <w:tr>
        <w:trPr>
          <w:trHeight w:val="190"/>
        </w:trPr>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Series G</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5,788,878</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5,788,878</w:t>
            </w:r>
          </w:p>
        </w:tc>
        <w:tc>
          <w:tcPr>
            <w:tcW w:w="80" w:type="dxa"/>
            <w:vAlign w:val="bottom"/>
            <w:shd w:val="clear" w:color="auto" w:fill="CCEEFF"/>
          </w:tcPr>
          <w:p>
            <w:pPr>
              <w:spacing w:after="0"/>
              <w:rPr>
                <w:sz w:val="16"/>
                <w:szCs w:val="16"/>
                <w:color w:val="auto"/>
              </w:rPr>
            </w:pPr>
          </w:p>
        </w:tc>
      </w:tr>
      <w:tr>
        <w:trPr>
          <w:trHeight w:val="196"/>
        </w:trPr>
        <w:tc>
          <w:tcPr>
            <w:tcW w:w="7960" w:type="dxa"/>
            <w:vAlign w:val="bottom"/>
          </w:tcPr>
          <w:p>
            <w:pPr>
              <w:spacing w:after="0"/>
              <w:rPr>
                <w:sz w:val="20"/>
                <w:szCs w:val="20"/>
                <w:color w:val="auto"/>
              </w:rPr>
            </w:pPr>
            <w:r>
              <w:rPr>
                <w:rFonts w:ascii="Arial" w:cs="Arial" w:eastAsia="Arial" w:hAnsi="Arial"/>
                <w:sz w:val="16"/>
                <w:szCs w:val="16"/>
                <w:color w:val="auto"/>
              </w:rPr>
              <w:t>Series H</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3,805,567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3,803,754</w:t>
            </w:r>
          </w:p>
        </w:tc>
        <w:tc>
          <w:tcPr>
            <w:tcW w:w="80" w:type="dxa"/>
            <w:vAlign w:val="bottom"/>
          </w:tcPr>
          <w:p>
            <w:pPr>
              <w:spacing w:after="0"/>
              <w:rPr>
                <w:sz w:val="17"/>
                <w:szCs w:val="17"/>
                <w:color w:val="auto"/>
              </w:rPr>
            </w:pPr>
          </w:p>
        </w:tc>
      </w:tr>
      <w:tr>
        <w:trPr>
          <w:trHeight w:val="190"/>
        </w:trPr>
        <w:tc>
          <w:tcPr>
            <w:tcW w:w="796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14,851,007</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14,849,188</w:t>
            </w:r>
          </w:p>
        </w:tc>
        <w:tc>
          <w:tcPr>
            <w:tcW w:w="80" w:type="dxa"/>
            <w:vAlign w:val="bottom"/>
            <w:shd w:val="clear" w:color="auto" w:fill="CCEEFF"/>
          </w:tcPr>
          <w:p>
            <w:pPr>
              <w:spacing w:after="0"/>
              <w:rPr>
                <w:sz w:val="16"/>
                <w:szCs w:val="16"/>
                <w:color w:val="auto"/>
              </w:rPr>
            </w:pP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3" w:lineRule="exact"/>
        <w:rPr>
          <w:sz w:val="20"/>
          <w:szCs w:val="20"/>
          <w:color w:val="auto"/>
        </w:rPr>
      </w:pPr>
    </w:p>
    <w:p>
      <w:pPr>
        <w:ind w:left="760" w:hanging="309"/>
        <w:spacing w:after="0"/>
        <w:tabs>
          <w:tab w:leader="none" w:pos="76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Excludes preferred stock warrants (Note 11).</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Automatic conversions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preferred stock is subject to automatic conversion under several circumstances:</w:t>
      </w:r>
    </w:p>
    <w:p>
      <w:pPr>
        <w:spacing w:after="0" w:line="120" w:lineRule="exact"/>
        <w:rPr>
          <w:sz w:val="20"/>
          <w:szCs w:val="20"/>
          <w:color w:val="auto"/>
        </w:rPr>
      </w:pPr>
    </w:p>
    <w:p>
      <w:pPr>
        <w:ind w:left="660" w:hanging="209"/>
        <w:spacing w:after="0"/>
        <w:tabs>
          <w:tab w:leader="none" w:pos="6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Each individual class of preferred stock can be converted into shares of common stock based on the following:</w:t>
      </w:r>
    </w:p>
    <w:p>
      <w:pPr>
        <w:spacing w:after="0" w:line="104" w:lineRule="exact"/>
        <w:rPr>
          <w:rFonts w:ascii="Arial" w:cs="Arial" w:eastAsia="Arial" w:hAnsi="Arial"/>
          <w:sz w:val="16"/>
          <w:szCs w:val="16"/>
          <w:color w:val="auto"/>
        </w:rPr>
      </w:pPr>
    </w:p>
    <w:p>
      <w:pPr>
        <w:ind w:left="1360" w:right="340" w:hanging="503"/>
        <w:spacing w:after="0" w:line="286" w:lineRule="auto"/>
        <w:tabs>
          <w:tab w:leader="none" w:pos="1360" w:val="left"/>
        </w:tabs>
        <w:numPr>
          <w:ilvl w:val="1"/>
          <w:numId w:val="154"/>
        </w:numPr>
        <w:rPr>
          <w:rFonts w:ascii="Arial" w:cs="Arial" w:eastAsia="Arial" w:hAnsi="Arial"/>
          <w:sz w:val="16"/>
          <w:szCs w:val="16"/>
          <w:color w:val="auto"/>
        </w:rPr>
      </w:pPr>
      <w:r>
        <w:rPr>
          <w:rFonts w:ascii="Arial" w:cs="Arial" w:eastAsia="Arial" w:hAnsi="Arial"/>
          <w:sz w:val="16"/>
          <w:szCs w:val="16"/>
          <w:i w:val="1"/>
          <w:iCs w:val="1"/>
          <w:color w:val="auto"/>
        </w:rPr>
        <w:t>Series A and Series B—</w:t>
      </w:r>
      <w:r>
        <w:rPr>
          <w:rFonts w:ascii="Arial" w:cs="Arial" w:eastAsia="Arial" w:hAnsi="Arial"/>
          <w:sz w:val="16"/>
          <w:szCs w:val="16"/>
          <w:color w:val="auto"/>
        </w:rPr>
        <w:t>If a majority of Series A and Series B preferred stockholders, voting together as a single class, make</w:t>
      </w:r>
      <w:r>
        <w:rPr>
          <w:rFonts w:ascii="Arial" w:cs="Arial" w:eastAsia="Arial" w:hAnsi="Arial"/>
          <w:sz w:val="16"/>
          <w:szCs w:val="16"/>
          <w:i w:val="1"/>
          <w:iCs w:val="1"/>
          <w:color w:val="auto"/>
        </w:rPr>
        <w:t xml:space="preserve"> </w:t>
      </w:r>
      <w:r>
        <w:rPr>
          <w:rFonts w:ascii="Arial" w:cs="Arial" w:eastAsia="Arial" w:hAnsi="Arial"/>
          <w:sz w:val="16"/>
          <w:szCs w:val="16"/>
          <w:color w:val="auto"/>
        </w:rPr>
        <w:t>such an election.</w:t>
      </w:r>
    </w:p>
    <w:p>
      <w:pPr>
        <w:spacing w:after="0" w:line="55" w:lineRule="exact"/>
        <w:rPr>
          <w:rFonts w:ascii="Arial" w:cs="Arial" w:eastAsia="Arial" w:hAnsi="Arial"/>
          <w:sz w:val="16"/>
          <w:szCs w:val="16"/>
          <w:color w:val="auto"/>
        </w:rPr>
      </w:pPr>
    </w:p>
    <w:p>
      <w:pPr>
        <w:ind w:left="1360" w:right="280" w:hanging="503"/>
        <w:spacing w:after="0" w:line="267" w:lineRule="auto"/>
        <w:tabs>
          <w:tab w:leader="none" w:pos="1360" w:val="left"/>
        </w:tabs>
        <w:numPr>
          <w:ilvl w:val="1"/>
          <w:numId w:val="154"/>
        </w:numPr>
        <w:rPr>
          <w:rFonts w:ascii="Arial" w:cs="Arial" w:eastAsia="Arial" w:hAnsi="Arial"/>
          <w:sz w:val="16"/>
          <w:szCs w:val="16"/>
          <w:color w:val="auto"/>
        </w:rPr>
      </w:pPr>
      <w:r>
        <w:rPr>
          <w:rFonts w:ascii="Arial" w:cs="Arial" w:eastAsia="Arial" w:hAnsi="Arial"/>
          <w:sz w:val="16"/>
          <w:szCs w:val="16"/>
          <w:i w:val="1"/>
          <w:iCs w:val="1"/>
          <w:color w:val="auto"/>
        </w:rPr>
        <w:t>Series C, Series D, Series E, Series F—</w:t>
      </w:r>
      <w:r>
        <w:rPr>
          <w:rFonts w:ascii="Arial" w:cs="Arial" w:eastAsia="Arial" w:hAnsi="Arial"/>
          <w:sz w:val="16"/>
          <w:szCs w:val="16"/>
          <w:color w:val="auto"/>
        </w:rPr>
        <w:t>Each share of the Series C, Series D, Series E and Series F preferred stock classes</w:t>
      </w:r>
      <w:r>
        <w:rPr>
          <w:rFonts w:ascii="Arial" w:cs="Arial" w:eastAsia="Arial" w:hAnsi="Arial"/>
          <w:sz w:val="16"/>
          <w:szCs w:val="16"/>
          <w:i w:val="1"/>
          <w:iCs w:val="1"/>
          <w:color w:val="auto"/>
        </w:rPr>
        <w:t xml:space="preserve"> </w:t>
      </w:r>
      <w:r>
        <w:rPr>
          <w:rFonts w:ascii="Arial" w:cs="Arial" w:eastAsia="Arial" w:hAnsi="Arial"/>
          <w:sz w:val="16"/>
          <w:szCs w:val="16"/>
          <w:color w:val="auto"/>
        </w:rPr>
        <w:t>shall automatically be converted into shares of common stock if a majority of each separate series, voting together as a single class, make such an election.</w:t>
      </w:r>
    </w:p>
    <w:p>
      <w:pPr>
        <w:spacing w:after="0" w:line="112"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0800"/>
          </w:cols>
          <w:pgMar w:left="320" w:top="441" w:right="779" w:bottom="1440" w:gutter="0" w:footer="0" w:header="0"/>
        </w:sectPr>
      </w:pPr>
    </w:p>
    <w:bookmarkStart w:id="256" w:name="page257"/>
    <w:bookmarkEnd w:id="2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1360" w:right="120" w:hanging="503"/>
        <w:spacing w:after="0" w:line="286" w:lineRule="auto"/>
        <w:tabs>
          <w:tab w:leader="none" w:pos="1360" w:val="left"/>
        </w:tabs>
        <w:numPr>
          <w:ilvl w:val="1"/>
          <w:numId w:val="155"/>
        </w:numPr>
        <w:rPr>
          <w:rFonts w:ascii="Arial" w:cs="Arial" w:eastAsia="Arial" w:hAnsi="Arial"/>
          <w:sz w:val="16"/>
          <w:szCs w:val="16"/>
          <w:color w:val="auto"/>
        </w:rPr>
      </w:pPr>
      <w:r>
        <w:rPr>
          <w:rFonts w:ascii="Arial" w:cs="Arial" w:eastAsia="Arial" w:hAnsi="Arial"/>
          <w:sz w:val="16"/>
          <w:szCs w:val="16"/>
          <w:i w:val="1"/>
          <w:iCs w:val="1"/>
          <w:color w:val="auto"/>
        </w:rPr>
        <w:t>Series G and H—</w:t>
      </w:r>
      <w:r>
        <w:rPr>
          <w:rFonts w:ascii="Arial" w:cs="Arial" w:eastAsia="Arial" w:hAnsi="Arial"/>
          <w:sz w:val="16"/>
          <w:szCs w:val="16"/>
          <w:color w:val="auto"/>
        </w:rPr>
        <w:t>Upon a vote of more than 51% of the Series G and H preferred stockholders, voting together as a single class,</w:t>
      </w:r>
      <w:r>
        <w:rPr>
          <w:rFonts w:ascii="Arial" w:cs="Arial" w:eastAsia="Arial" w:hAnsi="Arial"/>
          <w:sz w:val="16"/>
          <w:szCs w:val="16"/>
          <w:i w:val="1"/>
          <w:iCs w:val="1"/>
          <w:color w:val="auto"/>
        </w:rPr>
        <w:t xml:space="preserve"> </w:t>
      </w:r>
      <w:r>
        <w:rPr>
          <w:rFonts w:ascii="Arial" w:cs="Arial" w:eastAsia="Arial" w:hAnsi="Arial"/>
          <w:sz w:val="16"/>
          <w:szCs w:val="16"/>
          <w:color w:val="auto"/>
        </w:rPr>
        <w:t>all Series G and H preferred stock shares will automatically be converted into shares of common stock.</w:t>
      </w:r>
    </w:p>
    <w:p>
      <w:pPr>
        <w:spacing w:after="0" w:line="71" w:lineRule="exact"/>
        <w:rPr>
          <w:rFonts w:ascii="Arial" w:cs="Arial" w:eastAsia="Arial" w:hAnsi="Arial"/>
          <w:sz w:val="16"/>
          <w:szCs w:val="16"/>
          <w:color w:val="auto"/>
        </w:rPr>
      </w:pPr>
    </w:p>
    <w:p>
      <w:pPr>
        <w:ind w:left="660" w:right="100" w:hanging="209"/>
        <w:spacing w:after="0" w:line="251" w:lineRule="auto"/>
        <w:tabs>
          <w:tab w:leader="none" w:pos="6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Preferred stock is automatically converted into shares of common stock upon the closing of a firm commitment underwritten public offering pursuant to an effective registration statement under the Securities Act of 1933, as amended, covering the offer and sale of common stock for the account of the Company, at an offering price per share greater than or equal to $24.80 (adjusted for any stock dividends, combinations, splits, recapitalizations and similar equity transactions with respect to the common stock) and in which the gross cash proceeds to the Company are at least $40 million and after which the common stock is listed on the New York Stock Exchange, the American Stock Exchange or the NASDAQ Stock Market.</w:t>
      </w:r>
    </w:p>
    <w:p>
      <w:pPr>
        <w:spacing w:after="0" w:line="100" w:lineRule="exact"/>
        <w:rPr>
          <w:rFonts w:ascii="Arial" w:cs="Arial" w:eastAsia="Arial" w:hAnsi="Arial"/>
          <w:sz w:val="16"/>
          <w:szCs w:val="16"/>
          <w:color w:val="auto"/>
        </w:rPr>
      </w:pPr>
    </w:p>
    <w:p>
      <w:pPr>
        <w:jc w:val="both"/>
        <w:ind w:left="660" w:right="60" w:hanging="209"/>
        <w:spacing w:after="0" w:line="265" w:lineRule="auto"/>
        <w:tabs>
          <w:tab w:leader="none" w:pos="6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Immediately prior to the closing of the exercise of the Series W Warrant and under the Special Redemption, each share will be mandatorily redeemed, cancelled, retired and shall cease to exist and be converted into the right to receive the per share redemption payment in cash.</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Redemptions</w:t>
      </w:r>
    </w:p>
    <w:p>
      <w:pPr>
        <w:spacing w:after="0" w:line="124" w:lineRule="exact"/>
        <w:rPr>
          <w:sz w:val="20"/>
          <w:szCs w:val="20"/>
          <w:color w:val="auto"/>
        </w:rPr>
      </w:pPr>
    </w:p>
    <w:p>
      <w:pPr>
        <w:ind w:left="460" w:right="160"/>
        <w:spacing w:after="0" w:line="253" w:lineRule="auto"/>
        <w:rPr>
          <w:sz w:val="20"/>
          <w:szCs w:val="20"/>
          <w:color w:val="auto"/>
        </w:rPr>
      </w:pPr>
      <w:r>
        <w:rPr>
          <w:rFonts w:ascii="Arial" w:cs="Arial" w:eastAsia="Arial" w:hAnsi="Arial"/>
          <w:sz w:val="16"/>
          <w:szCs w:val="16"/>
          <w:color w:val="auto"/>
        </w:rPr>
        <w:t>As of October 2017, under the provisions of the Special Redemption, if the Strategic Partner exercised the Series W Warrant, the Company would have mandatorily redeemed, canceled and retired all outstanding shares of preferred stock and converted them to cash with a right to receive the per share redemption payments as defined in the Warrant Agreement. As of March 31, 2021, the Series W Warrant expired unexercised and all redemption provisions of the Special Redemption lapsed.</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Common stock</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share of common stock is entitled to one vote. Common stock reserved for future issuance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262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r>
      <w:tr>
        <w:trPr>
          <w:trHeight w:val="207"/>
        </w:trPr>
        <w:tc>
          <w:tcPr>
            <w:tcW w:w="65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auto"/>
            </w:tcBorders>
          </w:tcPr>
          <w:p>
            <w:pPr>
              <w:spacing w:after="0"/>
              <w:rPr>
                <w:sz w:val="18"/>
                <w:szCs w:val="18"/>
                <w:color w:val="auto"/>
              </w:rPr>
            </w:pPr>
          </w:p>
        </w:tc>
      </w:tr>
      <w:tr>
        <w:trPr>
          <w:trHeight w:val="183"/>
        </w:trPr>
        <w:tc>
          <w:tcPr>
            <w:tcW w:w="65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Conversion of preferred stock</w:t>
            </w:r>
          </w:p>
        </w:tc>
        <w:tc>
          <w:tcPr>
            <w:tcW w:w="26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14,851,007</w:t>
            </w:r>
          </w:p>
        </w:tc>
        <w:tc>
          <w:tcPr>
            <w:tcW w:w="11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14,849,188</w:t>
            </w:r>
          </w:p>
        </w:tc>
        <w:tc>
          <w:tcPr>
            <w:tcW w:w="60" w:type="dxa"/>
            <w:vAlign w:val="bottom"/>
            <w:shd w:val="clear" w:color="auto" w:fill="CCEEFF"/>
          </w:tcPr>
          <w:p>
            <w:pPr>
              <w:spacing w:after="0"/>
              <w:rPr>
                <w:sz w:val="15"/>
                <w:szCs w:val="15"/>
                <w:color w:val="auto"/>
              </w:rPr>
            </w:pPr>
          </w:p>
        </w:tc>
      </w:tr>
      <w:tr>
        <w:trPr>
          <w:trHeight w:val="190"/>
        </w:trPr>
        <w:tc>
          <w:tcPr>
            <w:tcW w:w="6500" w:type="dxa"/>
            <w:vAlign w:val="bottom"/>
          </w:tcPr>
          <w:p>
            <w:pPr>
              <w:spacing w:after="0"/>
              <w:rPr>
                <w:sz w:val="20"/>
                <w:szCs w:val="20"/>
                <w:color w:val="auto"/>
              </w:rPr>
            </w:pPr>
            <w:r>
              <w:rPr>
                <w:rFonts w:ascii="Arial" w:cs="Arial" w:eastAsia="Arial" w:hAnsi="Arial"/>
                <w:sz w:val="16"/>
                <w:szCs w:val="16"/>
                <w:color w:val="auto"/>
              </w:rPr>
              <w:t>Preferred stock warrants</w:t>
            </w:r>
          </w:p>
        </w:tc>
        <w:tc>
          <w:tcPr>
            <w:tcW w:w="2620" w:type="dxa"/>
            <w:vAlign w:val="bottom"/>
            <w:gridSpan w:val="2"/>
          </w:tcPr>
          <w:p>
            <w:pPr>
              <w:jc w:val="right"/>
              <w:spacing w:after="0"/>
              <w:rPr>
                <w:sz w:val="20"/>
                <w:szCs w:val="20"/>
                <w:color w:val="auto"/>
              </w:rPr>
            </w:pPr>
            <w:r>
              <w:rPr>
                <w:rFonts w:ascii="Arial" w:cs="Arial" w:eastAsia="Arial" w:hAnsi="Arial"/>
                <w:sz w:val="16"/>
                <w:szCs w:val="16"/>
                <w:color w:val="auto"/>
              </w:rPr>
              <w:t>225,945</w:t>
            </w:r>
          </w:p>
        </w:tc>
        <w:tc>
          <w:tcPr>
            <w:tcW w:w="1160" w:type="dxa"/>
            <w:vAlign w:val="bottom"/>
          </w:tcPr>
          <w:p>
            <w:pPr>
              <w:jc w:val="right"/>
              <w:spacing w:after="0"/>
              <w:rPr>
                <w:sz w:val="20"/>
                <w:szCs w:val="20"/>
                <w:color w:val="auto"/>
              </w:rPr>
            </w:pPr>
            <w:r>
              <w:rPr>
                <w:rFonts w:ascii="Arial" w:cs="Arial" w:eastAsia="Arial" w:hAnsi="Arial"/>
                <w:sz w:val="16"/>
                <w:szCs w:val="16"/>
                <w:color w:val="auto"/>
              </w:rPr>
              <w:t>227,762</w:t>
            </w:r>
          </w:p>
        </w:tc>
        <w:tc>
          <w:tcPr>
            <w:tcW w:w="60" w:type="dxa"/>
            <w:vAlign w:val="bottom"/>
          </w:tcPr>
          <w:p>
            <w:pPr>
              <w:spacing w:after="0"/>
              <w:rPr>
                <w:sz w:val="16"/>
                <w:szCs w:val="16"/>
                <w:color w:val="auto"/>
              </w:rPr>
            </w:pPr>
          </w:p>
        </w:tc>
      </w:tr>
      <w:tr>
        <w:trPr>
          <w:trHeight w:val="190"/>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Common stock warrant</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6"/>
                <w:szCs w:val="16"/>
                <w:color w:val="auto"/>
              </w:rPr>
            </w:pPr>
          </w:p>
        </w:tc>
      </w:tr>
      <w:tr>
        <w:trPr>
          <w:trHeight w:val="196"/>
        </w:trPr>
        <w:tc>
          <w:tcPr>
            <w:tcW w:w="6500" w:type="dxa"/>
            <w:vAlign w:val="bottom"/>
          </w:tcPr>
          <w:p>
            <w:pPr>
              <w:spacing w:after="0"/>
              <w:rPr>
                <w:sz w:val="20"/>
                <w:szCs w:val="20"/>
                <w:color w:val="auto"/>
              </w:rPr>
            </w:pPr>
            <w:r>
              <w:rPr>
                <w:rFonts w:ascii="Arial" w:cs="Arial" w:eastAsia="Arial" w:hAnsi="Arial"/>
                <w:sz w:val="16"/>
                <w:szCs w:val="16"/>
                <w:color w:val="auto"/>
              </w:rPr>
              <w:t>Stock options issued and outstanding under the 2006 and 2015 plans</w:t>
            </w:r>
          </w:p>
        </w:tc>
        <w:tc>
          <w:tcPr>
            <w:tcW w:w="146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4,201,935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3,473,757</w:t>
            </w:r>
          </w:p>
        </w:tc>
        <w:tc>
          <w:tcPr>
            <w:tcW w:w="60" w:type="dxa"/>
            <w:vAlign w:val="bottom"/>
          </w:tcPr>
          <w:p>
            <w:pPr>
              <w:spacing w:after="0"/>
              <w:rPr>
                <w:sz w:val="17"/>
                <w:szCs w:val="17"/>
                <w:color w:val="auto"/>
              </w:rPr>
            </w:pPr>
          </w:p>
        </w:tc>
      </w:tr>
      <w:tr>
        <w:trPr>
          <w:trHeight w:val="190"/>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Total shares of common stock reserved</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19,278,888</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18,550,708</w:t>
            </w:r>
          </w:p>
        </w:tc>
        <w:tc>
          <w:tcPr>
            <w:tcW w:w="60" w:type="dxa"/>
            <w:vAlign w:val="bottom"/>
            <w:shd w:val="clear" w:color="auto" w:fill="CCEEFF"/>
          </w:tcPr>
          <w:p>
            <w:pPr>
              <w:spacing w:after="0"/>
              <w:rPr>
                <w:sz w:val="16"/>
                <w:szCs w:val="16"/>
                <w:color w:val="auto"/>
              </w:rPr>
            </w:pPr>
          </w:p>
        </w:tc>
      </w:tr>
      <w:tr>
        <w:trPr>
          <w:trHeight w:val="20"/>
        </w:trPr>
        <w:tc>
          <w:tcPr>
            <w:tcW w:w="65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Dividends</w:t>
      </w:r>
    </w:p>
    <w:p>
      <w:pPr>
        <w:spacing w:after="0" w:line="124" w:lineRule="exact"/>
        <w:rPr>
          <w:sz w:val="20"/>
          <w:szCs w:val="20"/>
          <w:color w:val="auto"/>
        </w:rPr>
      </w:pPr>
    </w:p>
    <w:p>
      <w:pPr>
        <w:jc w:val="both"/>
        <w:ind w:left="460"/>
        <w:spacing w:after="0" w:line="265" w:lineRule="auto"/>
        <w:rPr>
          <w:sz w:val="20"/>
          <w:szCs w:val="20"/>
          <w:color w:val="auto"/>
        </w:rPr>
      </w:pPr>
      <w:r>
        <w:rPr>
          <w:rFonts w:ascii="Arial" w:cs="Arial" w:eastAsia="Arial" w:hAnsi="Arial"/>
          <w:sz w:val="16"/>
          <w:szCs w:val="16"/>
          <w:color w:val="auto"/>
        </w:rPr>
        <w:t>Any dividends preferred or otherwise, are payable, when and if declared by the Company’s Board of Directors, are non-cumulative and priority is given to the Senior Preferred, Prior Preferred and common stockholders as follows:</w:t>
      </w:r>
    </w:p>
    <w:p>
      <w:pPr>
        <w:spacing w:after="0" w:line="88" w:lineRule="exact"/>
        <w:rPr>
          <w:sz w:val="20"/>
          <w:szCs w:val="20"/>
          <w:color w:val="auto"/>
        </w:rPr>
      </w:pPr>
    </w:p>
    <w:p>
      <w:pPr>
        <w:ind w:left="660" w:hanging="209"/>
        <w:spacing w:after="0"/>
        <w:tabs>
          <w:tab w:leader="none" w:pos="6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Senior Preferred at a rate of 8% of the OIP per share</w:t>
      </w:r>
    </w:p>
    <w:p>
      <w:pPr>
        <w:spacing w:after="0" w:line="6" w:lineRule="exact"/>
        <w:rPr>
          <w:rFonts w:ascii="Arial" w:cs="Arial" w:eastAsia="Arial" w:hAnsi="Arial"/>
          <w:sz w:val="16"/>
          <w:szCs w:val="16"/>
          <w:color w:val="auto"/>
        </w:rPr>
      </w:pPr>
    </w:p>
    <w:p>
      <w:pPr>
        <w:ind w:left="660" w:hanging="209"/>
        <w:spacing w:after="0"/>
        <w:tabs>
          <w:tab w:leader="none" w:pos="6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Prior Preferred at 8% of OIP per share</w:t>
      </w:r>
    </w:p>
    <w:p>
      <w:pPr>
        <w:spacing w:after="0" w:line="6" w:lineRule="exact"/>
        <w:rPr>
          <w:rFonts w:ascii="Arial" w:cs="Arial" w:eastAsia="Arial" w:hAnsi="Arial"/>
          <w:sz w:val="16"/>
          <w:szCs w:val="16"/>
          <w:color w:val="auto"/>
        </w:rPr>
      </w:pPr>
    </w:p>
    <w:p>
      <w:pPr>
        <w:ind w:left="660" w:hanging="209"/>
        <w:spacing w:after="0"/>
        <w:tabs>
          <w:tab w:leader="none" w:pos="6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Common stockholders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dividends were declared to date or during the years ended December 31, 2020 and 2019.</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11—Convertible preferred stock warrants</w:t>
      </w:r>
    </w:p>
    <w:p>
      <w:pPr>
        <w:spacing w:after="0" w:line="133" w:lineRule="exact"/>
        <w:rPr>
          <w:sz w:val="20"/>
          <w:szCs w:val="20"/>
          <w:color w:val="auto"/>
        </w:rPr>
      </w:pPr>
    </w:p>
    <w:p>
      <w:pPr>
        <w:ind w:left="460"/>
        <w:spacing w:after="0" w:line="265" w:lineRule="auto"/>
        <w:rPr>
          <w:sz w:val="20"/>
          <w:szCs w:val="20"/>
          <w:color w:val="auto"/>
        </w:rPr>
      </w:pPr>
      <w:r>
        <w:rPr>
          <w:rFonts w:ascii="Arial" w:cs="Arial" w:eastAsia="Arial" w:hAnsi="Arial"/>
          <w:sz w:val="16"/>
          <w:szCs w:val="16"/>
          <w:color w:val="auto"/>
        </w:rPr>
        <w:t>Series F, G and H convertible preferred stock warrants were recorded at fair value at issuance and are revalued as of each reporting date until exercised or expired. The fair value of Series F, G and H convertible preferred</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0800"/>
          </w:cols>
          <w:pgMar w:left="320" w:top="441" w:right="779" w:bottom="1440" w:gutter="0" w:footer="0" w:header="0"/>
        </w:sectPr>
      </w:pPr>
    </w:p>
    <w:bookmarkStart w:id="257" w:name="page258"/>
    <w:bookmarkEnd w:id="2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0"/>
        <w:spacing w:after="0" w:line="249" w:lineRule="auto"/>
        <w:rPr>
          <w:sz w:val="20"/>
          <w:szCs w:val="20"/>
          <w:color w:val="auto"/>
        </w:rPr>
      </w:pPr>
      <w:r>
        <w:rPr>
          <w:rFonts w:ascii="Arial" w:cs="Arial" w:eastAsia="Arial" w:hAnsi="Arial"/>
          <w:sz w:val="16"/>
          <w:szCs w:val="16"/>
          <w:color w:val="auto"/>
        </w:rPr>
        <w:t>stock warrants were determined with the assistance of valuation specialists using a Probability-Weighted Expected Return Model and Option Pricing Model (PWERM/OPM) Hybrid Method. This method essentially utilizes a combination of market and income method approaches for each part of the calculation of enterprise value and combines them in a probabilistic manner. The valuation considers several future scenarios for the Company, each of which assumes a shareholder exit either through initial public offering (“IPO”), sale (“M&amp;A”) or dissolution. Based upon the current IPO market, M&amp;A values for private companies and the historical likelihood of dissolution or no exit, the Company concluded that the probabilities and time frames are reasonable. Implicit in the timing used in the application of the PWERM/OPM Hybrid Method is also the possibility of no exit. The option pricing model’s inputs included: (1) the assumed time until a liquidity event, (2) the risk-free interest rate over the period until the assumed liquidity event, (3) the assumed volatility in the value of the equity of the company (which corresponds to the model’s underlying asset volatility), (4) the enterprise value and preferred investment amount and (5) the key price points in the Company’s capital structure in terms of exit levels on the assumed liquidation date. A significant increase (decrease) in any of these inputs in isolation, particularly the estimated price of the Company’s preferred stock, would have resulted in a significantly higher (lower) fair value measurement.</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scenario probability-weighted assumptions were used to revalue the convertible preferred stock warrants to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28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Year ended December 31,</w:t>
            </w:r>
          </w:p>
        </w:tc>
      </w:tr>
      <w:tr>
        <w:trPr>
          <w:trHeight w:val="183"/>
        </w:trPr>
        <w:tc>
          <w:tcPr>
            <w:tcW w:w="528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2019</w:t>
            </w:r>
          </w:p>
        </w:tc>
      </w:tr>
      <w:tr>
        <w:trPr>
          <w:trHeight w:val="166"/>
        </w:trPr>
        <w:tc>
          <w:tcPr>
            <w:tcW w:w="5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20" w:type="dxa"/>
            <w:vAlign w:val="bottom"/>
          </w:tcPr>
          <w:p>
            <w:pPr>
              <w:jc w:val="right"/>
              <w:spacing w:after="0" w:line="166" w:lineRule="exact"/>
              <w:rPr>
                <w:sz w:val="20"/>
                <w:szCs w:val="20"/>
                <w:color w:val="auto"/>
              </w:rPr>
            </w:pPr>
            <w:r>
              <w:rPr>
                <w:rFonts w:ascii="Arial" w:cs="Arial" w:eastAsia="Arial" w:hAnsi="Arial"/>
                <w:sz w:val="16"/>
                <w:szCs w:val="16"/>
                <w:b w:val="1"/>
                <w:bCs w:val="1"/>
                <w:color w:val="auto"/>
              </w:rPr>
              <w:t>Weighted</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20" w:type="dxa"/>
            <w:vAlign w:val="bottom"/>
          </w:tcPr>
          <w:p>
            <w:pPr>
              <w:jc w:val="right"/>
              <w:spacing w:after="0" w:line="166" w:lineRule="exact"/>
              <w:rPr>
                <w:sz w:val="20"/>
                <w:szCs w:val="20"/>
                <w:color w:val="auto"/>
              </w:rPr>
            </w:pPr>
            <w:r>
              <w:rPr>
                <w:rFonts w:ascii="Arial" w:cs="Arial" w:eastAsia="Arial" w:hAnsi="Arial"/>
                <w:sz w:val="16"/>
                <w:szCs w:val="16"/>
                <w:b w:val="1"/>
                <w:bCs w:val="1"/>
                <w:color w:val="auto"/>
              </w:rPr>
              <w:t>Weighted</w:t>
            </w:r>
          </w:p>
        </w:tc>
      </w:tr>
      <w:tr>
        <w:trPr>
          <w:trHeight w:val="207"/>
        </w:trPr>
        <w:tc>
          <w:tcPr>
            <w:tcW w:w="5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ind w:left="920"/>
              <w:spacing w:after="0"/>
              <w:rPr>
                <w:sz w:val="20"/>
                <w:szCs w:val="20"/>
                <w:color w:val="auto"/>
              </w:rPr>
            </w:pPr>
            <w:r>
              <w:rPr>
                <w:rFonts w:ascii="Arial" w:cs="Arial" w:eastAsia="Arial" w:hAnsi="Arial"/>
                <w:sz w:val="16"/>
                <w:szCs w:val="16"/>
                <w:b w:val="1"/>
                <w:bCs w:val="1"/>
                <w:color w:val="auto"/>
              </w:rPr>
              <w:t>Range</w:t>
            </w: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average</w:t>
            </w:r>
          </w:p>
        </w:tc>
        <w:tc>
          <w:tcPr>
            <w:tcW w:w="1580" w:type="dxa"/>
            <w:vAlign w:val="bottom"/>
            <w:tcBorders>
              <w:bottom w:val="single" w:sz="8" w:color="auto"/>
            </w:tcBorders>
          </w:tcPr>
          <w:p>
            <w:pPr>
              <w:ind w:left="960"/>
              <w:spacing w:after="0"/>
              <w:rPr>
                <w:sz w:val="20"/>
                <w:szCs w:val="20"/>
                <w:color w:val="auto"/>
              </w:rPr>
            </w:pPr>
            <w:r>
              <w:rPr>
                <w:rFonts w:ascii="Arial" w:cs="Arial" w:eastAsia="Arial" w:hAnsi="Arial"/>
                <w:sz w:val="16"/>
                <w:szCs w:val="16"/>
                <w:b w:val="1"/>
                <w:bCs w:val="1"/>
                <w:color w:val="auto"/>
              </w:rPr>
              <w:t>Range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average</w:t>
            </w:r>
          </w:p>
        </w:tc>
      </w:tr>
      <w:tr>
        <w:trPr>
          <w:trHeight w:val="183"/>
        </w:trPr>
        <w:tc>
          <w:tcPr>
            <w:tcW w:w="52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Expected volatility</w:t>
            </w:r>
          </w:p>
        </w:tc>
        <w:tc>
          <w:tcPr>
            <w:tcW w:w="1540" w:type="dxa"/>
            <w:vAlign w:val="bottom"/>
            <w:shd w:val="clear" w:color="auto" w:fill="CCEEFF"/>
          </w:tcPr>
          <w:p>
            <w:pPr>
              <w:jc w:val="center"/>
              <w:ind w:right="58"/>
              <w:spacing w:after="0" w:line="183" w:lineRule="exact"/>
              <w:rPr>
                <w:sz w:val="20"/>
                <w:szCs w:val="20"/>
                <w:color w:val="auto"/>
              </w:rPr>
            </w:pPr>
            <w:r>
              <w:rPr>
                <w:rFonts w:ascii="Arial" w:cs="Arial" w:eastAsia="Arial" w:hAnsi="Arial"/>
                <w:sz w:val="16"/>
                <w:szCs w:val="16"/>
                <w:color w:val="auto"/>
              </w:rPr>
              <w:t>83.4% to 97.4%</w:t>
            </w:r>
          </w:p>
        </w:tc>
        <w:tc>
          <w:tcPr>
            <w:tcW w:w="920" w:type="dxa"/>
            <w:vAlign w:val="bottom"/>
            <w:shd w:val="clear" w:color="auto" w:fill="CCEEFF"/>
          </w:tcPr>
          <w:p>
            <w:pPr>
              <w:jc w:val="center"/>
              <w:spacing w:after="0" w:line="183" w:lineRule="exact"/>
              <w:rPr>
                <w:sz w:val="20"/>
                <w:szCs w:val="20"/>
                <w:color w:val="auto"/>
              </w:rPr>
            </w:pPr>
            <w:r>
              <w:rPr>
                <w:rFonts w:ascii="Arial" w:cs="Arial" w:eastAsia="Arial" w:hAnsi="Arial"/>
                <w:sz w:val="16"/>
                <w:szCs w:val="16"/>
                <w:color w:val="auto"/>
              </w:rPr>
              <w:t>94.6%</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center"/>
              <w:ind w:right="58"/>
              <w:spacing w:after="0" w:line="183" w:lineRule="exact"/>
              <w:rPr>
                <w:sz w:val="20"/>
                <w:szCs w:val="20"/>
                <w:color w:val="auto"/>
              </w:rPr>
            </w:pPr>
            <w:r>
              <w:rPr>
                <w:rFonts w:ascii="Arial" w:cs="Arial" w:eastAsia="Arial" w:hAnsi="Arial"/>
                <w:sz w:val="16"/>
                <w:szCs w:val="16"/>
                <w:color w:val="auto"/>
              </w:rPr>
              <w:t>60.7% to 66.6%</w:t>
            </w:r>
          </w:p>
        </w:tc>
        <w:tc>
          <w:tcPr>
            <w:tcW w:w="920" w:type="dxa"/>
            <w:vAlign w:val="bottom"/>
            <w:shd w:val="clear" w:color="auto" w:fill="CCEEFF"/>
          </w:tcPr>
          <w:p>
            <w:pPr>
              <w:jc w:val="center"/>
              <w:spacing w:after="0" w:line="183" w:lineRule="exact"/>
              <w:rPr>
                <w:sz w:val="20"/>
                <w:szCs w:val="20"/>
                <w:color w:val="auto"/>
              </w:rPr>
            </w:pPr>
            <w:r>
              <w:rPr>
                <w:rFonts w:ascii="Arial" w:cs="Arial" w:eastAsia="Arial" w:hAnsi="Arial"/>
                <w:sz w:val="16"/>
                <w:szCs w:val="16"/>
                <w:color w:val="auto"/>
              </w:rPr>
              <w:t>61.9%</w:t>
            </w:r>
          </w:p>
        </w:tc>
      </w:tr>
      <w:tr>
        <w:trPr>
          <w:trHeight w:val="190"/>
        </w:trPr>
        <w:tc>
          <w:tcPr>
            <w:tcW w:w="5280" w:type="dxa"/>
            <w:vAlign w:val="bottom"/>
          </w:tcPr>
          <w:p>
            <w:pPr>
              <w:spacing w:after="0"/>
              <w:rPr>
                <w:sz w:val="20"/>
                <w:szCs w:val="20"/>
                <w:color w:val="auto"/>
              </w:rPr>
            </w:pPr>
            <w:r>
              <w:rPr>
                <w:rFonts w:ascii="Arial" w:cs="Arial" w:eastAsia="Arial" w:hAnsi="Arial"/>
                <w:sz w:val="16"/>
                <w:szCs w:val="16"/>
                <w:color w:val="auto"/>
              </w:rPr>
              <w:t>Risk adjusted discount factor</w:t>
            </w:r>
          </w:p>
        </w:tc>
        <w:tc>
          <w:tcPr>
            <w:tcW w:w="1540" w:type="dxa"/>
            <w:vAlign w:val="bottom"/>
          </w:tcPr>
          <w:p>
            <w:pPr>
              <w:jc w:val="center"/>
              <w:ind w:right="38"/>
              <w:spacing w:after="0"/>
              <w:rPr>
                <w:sz w:val="20"/>
                <w:szCs w:val="20"/>
                <w:color w:val="auto"/>
              </w:rPr>
            </w:pPr>
            <w:r>
              <w:rPr>
                <w:rFonts w:ascii="Arial" w:cs="Arial" w:eastAsia="Arial" w:hAnsi="Arial"/>
                <w:sz w:val="16"/>
                <w:szCs w:val="16"/>
                <w:color w:val="auto"/>
              </w:rPr>
              <w:t>16% to 31%</w:t>
            </w:r>
          </w:p>
        </w:tc>
        <w:tc>
          <w:tcPr>
            <w:tcW w:w="920" w:type="dxa"/>
            <w:vAlign w:val="bottom"/>
          </w:tcPr>
          <w:p>
            <w:pPr>
              <w:jc w:val="center"/>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6"/>
                <w:szCs w:val="16"/>
                <w:color w:val="auto"/>
              </w:rPr>
            </w:pPr>
          </w:p>
        </w:tc>
        <w:tc>
          <w:tcPr>
            <w:tcW w:w="1580" w:type="dxa"/>
            <w:vAlign w:val="bottom"/>
          </w:tcPr>
          <w:p>
            <w:pPr>
              <w:jc w:val="center"/>
              <w:ind w:right="38"/>
              <w:spacing w:after="0"/>
              <w:rPr>
                <w:sz w:val="20"/>
                <w:szCs w:val="20"/>
                <w:color w:val="auto"/>
              </w:rPr>
            </w:pPr>
            <w:r>
              <w:rPr>
                <w:rFonts w:ascii="Arial" w:cs="Arial" w:eastAsia="Arial" w:hAnsi="Arial"/>
                <w:sz w:val="16"/>
                <w:szCs w:val="16"/>
                <w:color w:val="auto"/>
              </w:rPr>
              <w:t>16% to 22%</w:t>
            </w:r>
          </w:p>
        </w:tc>
        <w:tc>
          <w:tcPr>
            <w:tcW w:w="920" w:type="dxa"/>
            <w:vAlign w:val="bottom"/>
          </w:tcPr>
          <w:p>
            <w:pPr>
              <w:jc w:val="center"/>
              <w:spacing w:after="0"/>
              <w:rPr>
                <w:sz w:val="20"/>
                <w:szCs w:val="20"/>
                <w:color w:val="auto"/>
              </w:rPr>
            </w:pPr>
            <w:r>
              <w:rPr>
                <w:rFonts w:ascii="Arial" w:cs="Arial" w:eastAsia="Arial" w:hAnsi="Arial"/>
                <w:sz w:val="16"/>
                <w:szCs w:val="16"/>
                <w:color w:val="auto"/>
              </w:rPr>
              <w:t>20%</w:t>
            </w:r>
          </w:p>
        </w:tc>
      </w:tr>
      <w:tr>
        <w:trPr>
          <w:trHeight w:val="190"/>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Expected life (in years)</w:t>
            </w:r>
          </w:p>
        </w:tc>
        <w:tc>
          <w:tcPr>
            <w:tcW w:w="154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rPr>
              <w:t>0.4 to 2.0 years</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1.1 years</w:t>
            </w:r>
          </w:p>
        </w:tc>
        <w:tc>
          <w:tcPr>
            <w:tcW w:w="158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rPr>
              <w:t>0.9 to 2.3 years</w:t>
            </w:r>
          </w:p>
        </w:tc>
        <w:tc>
          <w:tcPr>
            <w:tcW w:w="9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1.9 years</w:t>
            </w:r>
          </w:p>
        </w:tc>
      </w:tr>
      <w:tr>
        <w:trPr>
          <w:trHeight w:val="201"/>
        </w:trPr>
        <w:tc>
          <w:tcPr>
            <w:tcW w:w="5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Expected dividend yield</w:t>
            </w:r>
          </w:p>
        </w:tc>
        <w:tc>
          <w:tcPr>
            <w:tcW w:w="154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rPr>
              <w:t>0.0%</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rPr>
              <w:t>0.0%</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0.0%</w:t>
            </w:r>
          </w:p>
        </w:tc>
      </w:tr>
    </w:tbl>
    <w:p>
      <w:pPr>
        <w:spacing w:after="0" w:line="104" w:lineRule="exact"/>
        <w:rPr>
          <w:sz w:val="20"/>
          <w:szCs w:val="20"/>
          <w:color w:val="auto"/>
        </w:rPr>
      </w:pPr>
    </w:p>
    <w:p>
      <w:pPr>
        <w:ind w:left="460" w:right="80"/>
        <w:spacing w:after="0" w:line="256" w:lineRule="auto"/>
        <w:rPr>
          <w:sz w:val="20"/>
          <w:szCs w:val="20"/>
          <w:color w:val="auto"/>
        </w:rPr>
      </w:pPr>
      <w:r>
        <w:rPr>
          <w:rFonts w:ascii="Arial" w:cs="Arial" w:eastAsia="Arial" w:hAnsi="Arial"/>
          <w:sz w:val="16"/>
          <w:szCs w:val="16"/>
          <w:color w:val="auto"/>
        </w:rPr>
        <w:t>As a result of the Series G financing, certain anti-dilution provisions were triggered in the conversion shares and the Series F warrants, if converted to common stock. Series F warrants would have increased by a conversion factor of 1.52 to 13,026, an increase of 4,459. If Series F warrants had been exercised, total cash proceeds would be approximately $200,000 to the Company.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Series F warrants expired on June 3, 2019, and the Company recognized a gain on expiration of $157,000.</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2019, 56,443 Series G warrants were exercised and converted to Series G convertible preferred stock.</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remaining 40,350 warrants expired unexercised on June 3, 2019, and the Company recognized a gain on expiration of $646,000.</w:t>
      </w:r>
    </w:p>
    <w:p>
      <w:pPr>
        <w:spacing w:after="0" w:line="108" w:lineRule="exact"/>
        <w:rPr>
          <w:sz w:val="20"/>
          <w:szCs w:val="20"/>
          <w:color w:val="auto"/>
        </w:rPr>
      </w:pPr>
    </w:p>
    <w:p>
      <w:pPr>
        <w:ind w:left="460" w:right="80"/>
        <w:spacing w:after="0" w:line="251" w:lineRule="auto"/>
        <w:rPr>
          <w:sz w:val="20"/>
          <w:szCs w:val="20"/>
          <w:color w:val="auto"/>
        </w:rPr>
      </w:pPr>
      <w:r>
        <w:rPr>
          <w:rFonts w:ascii="Arial" w:cs="Arial" w:eastAsia="Arial" w:hAnsi="Arial"/>
          <w:sz w:val="16"/>
          <w:szCs w:val="16"/>
          <w:color w:val="auto"/>
        </w:rPr>
        <w:t>In February and March 2017, the Company issued 260,434 warrants to purchase shares of Series H convertible preferred stock with an exercise price of $12.40. Series H warrants were initially issued with a five-year life; in November 2017, they were extended another five years to 2027. As of December 31, 2020 and 2019, the Company had 225,945 and 227,762 Series H warrants outstanding, respectively. The fair value of Series H warrants was $16.95 and $9.82 per share as of December 31, 2020 and 2019, respectively. Thus, outstanding Series H warrants had an estimated fair value of $3.8 million and $2.2 million as of December 31, 2020 and 2019, respectively. During the year ended December 31, 2020, 1,817 Series H warrants were exercised. There were no exercises of Series H warrants during the year ended December 31, 2019.</w:t>
      </w:r>
    </w:p>
    <w:p>
      <w:pPr>
        <w:spacing w:after="0" w:line="278" w:lineRule="exact"/>
        <w:rPr>
          <w:sz w:val="20"/>
          <w:szCs w:val="20"/>
          <w:color w:val="auto"/>
        </w:rPr>
      </w:pPr>
    </w:p>
    <w:p>
      <w:pPr>
        <w:ind w:left="460" w:right="60"/>
        <w:spacing w:after="0" w:line="265" w:lineRule="auto"/>
        <w:rPr>
          <w:sz w:val="20"/>
          <w:szCs w:val="20"/>
          <w:color w:val="auto"/>
        </w:rPr>
      </w:pPr>
      <w:r>
        <w:rPr>
          <w:rFonts w:ascii="Arial" w:cs="Arial" w:eastAsia="Arial" w:hAnsi="Arial"/>
          <w:sz w:val="16"/>
          <w:szCs w:val="16"/>
          <w:color w:val="auto"/>
        </w:rPr>
        <w:t>The Series H warrants are classified as liabilities on the accompanying consolidated balance sheets and re-measured at fair value as of each balance sheet date. Changes in fair value are recognized as a component of</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0800"/>
          </w:cols>
          <w:pgMar w:left="320" w:top="440" w:right="779" w:bottom="1440" w:gutter="0" w:footer="0" w:header="0"/>
        </w:sectPr>
      </w:pPr>
    </w:p>
    <w:bookmarkStart w:id="258" w:name="page259"/>
    <w:bookmarkEnd w:id="2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income (expense), net in the accompanying consolidated statement of operations and comprehensive income.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12—Stock-based compensation expense</w:t>
      </w:r>
    </w:p>
    <w:p>
      <w:pPr>
        <w:spacing w:after="0" w:line="133" w:lineRule="exact"/>
        <w:rPr>
          <w:sz w:val="20"/>
          <w:szCs w:val="20"/>
          <w:color w:val="auto"/>
        </w:rPr>
      </w:pPr>
    </w:p>
    <w:p>
      <w:pPr>
        <w:ind w:left="460" w:right="160"/>
        <w:spacing w:after="0" w:line="265" w:lineRule="auto"/>
        <w:rPr>
          <w:sz w:val="20"/>
          <w:szCs w:val="20"/>
          <w:color w:val="auto"/>
        </w:rPr>
      </w:pPr>
      <w:r>
        <w:rPr>
          <w:rFonts w:ascii="Arial" w:cs="Arial" w:eastAsia="Arial" w:hAnsi="Arial"/>
          <w:sz w:val="16"/>
          <w:szCs w:val="16"/>
          <w:color w:val="auto"/>
        </w:rPr>
        <w:t>As of December 31, 2020 and 2019, the Company had two stock-based incentive compensation plans, the Calhoun Vision, Inc. 2015 Equity Incentive Plan (the “2015 Stock Plan”) and the Calhoun Vision, Inc. 2006 Stock Plan (the “2006 Stock Plan”) (collectively the “Plans”).</w:t>
      </w:r>
    </w:p>
    <w:p>
      <w:pPr>
        <w:spacing w:after="0" w:line="75" w:lineRule="exact"/>
        <w:rPr>
          <w:sz w:val="20"/>
          <w:szCs w:val="20"/>
          <w:color w:val="auto"/>
        </w:rPr>
      </w:pPr>
    </w:p>
    <w:p>
      <w:pPr>
        <w:ind w:left="460" w:right="80"/>
        <w:spacing w:after="0" w:line="253" w:lineRule="auto"/>
        <w:rPr>
          <w:sz w:val="20"/>
          <w:szCs w:val="20"/>
          <w:color w:val="auto"/>
        </w:rPr>
      </w:pPr>
      <w:r>
        <w:rPr>
          <w:rFonts w:ascii="Arial" w:cs="Arial" w:eastAsia="Arial" w:hAnsi="Arial"/>
          <w:sz w:val="16"/>
          <w:szCs w:val="16"/>
          <w:color w:val="auto"/>
        </w:rPr>
        <w:t>The 2006 Stock Plan expired in 2016. No stock options may be granted under this stock plan. Outstanding awards will continue to vest under the original grant terms. Options forfeited or expired will be cancelled. The 2015 Stock Plan permits the grant of incentive stock options, nonqualified stock options, stock appreciation rights, restricted stock (non-vested awards), stock awards, performance shares, performance share units and stock units, together the “Awards”. Each Award under the 2015 Stock Plan has a maximum term of 10 years from the grant date.</w:t>
      </w:r>
    </w:p>
    <w:p>
      <w:pPr>
        <w:spacing w:after="0" w:line="276" w:lineRule="exact"/>
        <w:rPr>
          <w:sz w:val="20"/>
          <w:szCs w:val="20"/>
          <w:color w:val="auto"/>
        </w:rPr>
      </w:pPr>
    </w:p>
    <w:p>
      <w:pPr>
        <w:ind w:left="460" w:right="20"/>
        <w:spacing w:after="0" w:line="251" w:lineRule="auto"/>
        <w:rPr>
          <w:sz w:val="20"/>
          <w:szCs w:val="20"/>
          <w:color w:val="auto"/>
        </w:rPr>
      </w:pPr>
      <w:r>
        <w:rPr>
          <w:rFonts w:ascii="Arial" w:cs="Arial" w:eastAsia="Arial" w:hAnsi="Arial"/>
          <w:sz w:val="16"/>
          <w:szCs w:val="16"/>
          <w:color w:val="auto"/>
        </w:rPr>
        <w:t>Option awards are generally granted with an exercise price of no less than 100% of estimated fair market value on the date of grant. Time based awards generally vest over four years as follows: one fourth of the total number of shares vest and become exercisable on the one-year anniversary; 1/48th of the total number of shares subject to the option vest and become exercisable on each monthly anniversary thereafter for the remaining 3 years. The purpose of the Plans is to provide a means by which eligible recipients of stock awards may be given an opportunity to benefit from increases in the value of the common stock in order to retain or procure the services of the employees, members of the Board and consultants.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stock option activities for the years ended December 31, 2020 and 2019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gridSpan w:val="2"/>
          </w:tcPr>
          <w:p>
            <w:pPr>
              <w:jc w:val="right"/>
              <w:ind w:right="98"/>
              <w:spacing w:after="0"/>
              <w:rPr>
                <w:sz w:val="20"/>
                <w:szCs w:val="20"/>
                <w:color w:val="auto"/>
              </w:rPr>
            </w:pPr>
            <w:r>
              <w:rPr>
                <w:rFonts w:ascii="Arial" w:cs="Arial" w:eastAsia="Arial" w:hAnsi="Arial"/>
                <w:sz w:val="16"/>
                <w:szCs w:val="16"/>
                <w:b w:val="1"/>
                <w:bCs w:val="1"/>
                <w:color w:val="auto"/>
              </w:rPr>
              <w:t>Weighted</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Weighted avg</w:t>
            </w:r>
          </w:p>
        </w:tc>
      </w:tr>
      <w:tr>
        <w:trPr>
          <w:trHeight w:val="190"/>
        </w:trPr>
        <w:tc>
          <w:tcPr>
            <w:tcW w:w="3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138"/>
              <w:spacing w:after="0"/>
              <w:rPr>
                <w:sz w:val="20"/>
                <w:szCs w:val="20"/>
                <w:color w:val="auto"/>
              </w:rPr>
            </w:pPr>
            <w:r>
              <w:rPr>
                <w:rFonts w:ascii="Arial" w:cs="Arial" w:eastAsia="Arial" w:hAnsi="Arial"/>
                <w:sz w:val="16"/>
                <w:szCs w:val="16"/>
                <w:b w:val="1"/>
                <w:bCs w:val="1"/>
                <w:color w:val="auto"/>
              </w:rPr>
              <w:t>Shares</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98"/>
              <w:spacing w:after="0"/>
              <w:rPr>
                <w:sz w:val="20"/>
                <w:szCs w:val="20"/>
                <w:color w:val="auto"/>
              </w:rPr>
            </w:pPr>
            <w:r>
              <w:rPr>
                <w:rFonts w:ascii="Arial" w:cs="Arial" w:eastAsia="Arial" w:hAnsi="Arial"/>
                <w:sz w:val="16"/>
                <w:szCs w:val="16"/>
                <w:b w:val="1"/>
                <w:bCs w:val="1"/>
                <w:color w:val="auto"/>
              </w:rPr>
              <w:t>Weighted</w:t>
            </w:r>
          </w:p>
        </w:tc>
        <w:tc>
          <w:tcPr>
            <w:tcW w:w="320" w:type="dxa"/>
            <w:vAlign w:val="bottom"/>
          </w:tcPr>
          <w:p>
            <w:pPr>
              <w:spacing w:after="0"/>
              <w:rPr>
                <w:sz w:val="16"/>
                <w:szCs w:val="16"/>
                <w:color w:val="auto"/>
              </w:rPr>
            </w:pPr>
          </w:p>
        </w:tc>
        <w:tc>
          <w:tcPr>
            <w:tcW w:w="840" w:type="dxa"/>
            <w:vAlign w:val="bottom"/>
          </w:tcPr>
          <w:p>
            <w:pPr>
              <w:jc w:val="right"/>
              <w:ind w:right="98"/>
              <w:spacing w:after="0"/>
              <w:rPr>
                <w:sz w:val="20"/>
                <w:szCs w:val="20"/>
                <w:color w:val="auto"/>
              </w:rPr>
            </w:pPr>
            <w:r>
              <w:rPr>
                <w:rFonts w:ascii="Arial" w:cs="Arial" w:eastAsia="Arial" w:hAnsi="Arial"/>
                <w:sz w:val="16"/>
                <w:szCs w:val="16"/>
                <w:b w:val="1"/>
                <w:bCs w:val="1"/>
                <w:color w:val="auto"/>
              </w:rPr>
              <w:t>average</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remaining</w:t>
            </w:r>
          </w:p>
        </w:tc>
      </w:tr>
      <w:tr>
        <w:trPr>
          <w:trHeight w:val="190"/>
        </w:trPr>
        <w:tc>
          <w:tcPr>
            <w:tcW w:w="3660" w:type="dxa"/>
            <w:vAlign w:val="bottom"/>
          </w:tcPr>
          <w:p>
            <w:pPr>
              <w:spacing w:after="0"/>
              <w:rPr>
                <w:sz w:val="16"/>
                <w:szCs w:val="16"/>
                <w:color w:val="auto"/>
              </w:rPr>
            </w:pPr>
          </w:p>
        </w:tc>
        <w:tc>
          <w:tcPr>
            <w:tcW w:w="1500" w:type="dxa"/>
            <w:vAlign w:val="bottom"/>
            <w:gridSpan w:val="2"/>
          </w:tcPr>
          <w:p>
            <w:pPr>
              <w:jc w:val="right"/>
              <w:ind w:right="138"/>
              <w:spacing w:after="0"/>
              <w:rPr>
                <w:sz w:val="20"/>
                <w:szCs w:val="20"/>
                <w:color w:val="auto"/>
              </w:rPr>
            </w:pPr>
            <w:r>
              <w:rPr>
                <w:rFonts w:ascii="Arial" w:cs="Arial" w:eastAsia="Arial" w:hAnsi="Arial"/>
                <w:sz w:val="16"/>
                <w:szCs w:val="16"/>
                <w:b w:val="1"/>
                <w:bCs w:val="1"/>
                <w:color w:val="auto"/>
              </w:rPr>
              <w:t>available for</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Number of</w:t>
            </w:r>
          </w:p>
        </w:tc>
        <w:tc>
          <w:tcPr>
            <w:tcW w:w="400" w:type="dxa"/>
            <w:vAlign w:val="bottom"/>
          </w:tcPr>
          <w:p>
            <w:pPr>
              <w:spacing w:after="0"/>
              <w:rPr>
                <w:sz w:val="16"/>
                <w:szCs w:val="16"/>
                <w:color w:val="auto"/>
              </w:rPr>
            </w:pPr>
          </w:p>
        </w:tc>
        <w:tc>
          <w:tcPr>
            <w:tcW w:w="1060" w:type="dxa"/>
            <w:vAlign w:val="bottom"/>
          </w:tcPr>
          <w:p>
            <w:pPr>
              <w:jc w:val="right"/>
              <w:ind w:right="98"/>
              <w:spacing w:after="0"/>
              <w:rPr>
                <w:sz w:val="20"/>
                <w:szCs w:val="20"/>
                <w:color w:val="auto"/>
              </w:rPr>
            </w:pPr>
            <w:r>
              <w:rPr>
                <w:rFonts w:ascii="Arial" w:cs="Arial" w:eastAsia="Arial" w:hAnsi="Arial"/>
                <w:sz w:val="16"/>
                <w:szCs w:val="16"/>
                <w:b w:val="1"/>
                <w:bCs w:val="1"/>
                <w:color w:val="auto"/>
              </w:rPr>
              <w:t>average</w:t>
            </w:r>
          </w:p>
        </w:tc>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grant date</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contractual</w:t>
            </w:r>
          </w:p>
        </w:tc>
      </w:tr>
      <w:tr>
        <w:trPr>
          <w:trHeight w:val="207"/>
        </w:trPr>
        <w:tc>
          <w:tcPr>
            <w:tcW w:w="36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grant</w:t>
            </w:r>
          </w:p>
        </w:tc>
        <w:tc>
          <w:tcPr>
            <w:tcW w:w="12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options</w:t>
            </w: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exercise price</w:t>
            </w:r>
          </w:p>
        </w:tc>
        <w:tc>
          <w:tcPr>
            <w:tcW w:w="1160" w:type="dxa"/>
            <w:vAlign w:val="bottom"/>
            <w:tcBorders>
              <w:bottom w:val="single" w:sz="8" w:color="auto"/>
            </w:tcBorders>
            <w:gridSpan w:val="2"/>
          </w:tcPr>
          <w:p>
            <w:pPr>
              <w:jc w:val="right"/>
              <w:ind w:right="98"/>
              <w:spacing w:after="0"/>
              <w:rPr>
                <w:sz w:val="20"/>
                <w:szCs w:val="20"/>
                <w:color w:val="auto"/>
              </w:rPr>
            </w:pPr>
            <w:r>
              <w:rPr>
                <w:rFonts w:ascii="Arial" w:cs="Arial" w:eastAsia="Arial" w:hAnsi="Arial"/>
                <w:sz w:val="16"/>
                <w:szCs w:val="16"/>
                <w:b w:val="1"/>
                <w:bCs w:val="1"/>
                <w:color w:val="auto"/>
              </w:rPr>
              <w:t>fair value</w:t>
            </w:r>
          </w:p>
        </w:tc>
        <w:tc>
          <w:tcPr>
            <w:tcW w:w="13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life (years)</w:t>
            </w:r>
          </w:p>
        </w:tc>
      </w:tr>
      <w:tr>
        <w:trPr>
          <w:trHeight w:val="183"/>
        </w:trPr>
        <w:tc>
          <w:tcPr>
            <w:tcW w:w="36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Options outstanding as of December 31, 2018</w:t>
            </w:r>
          </w:p>
        </w:tc>
        <w:tc>
          <w:tcPr>
            <w:tcW w:w="1500" w:type="dxa"/>
            <w:vAlign w:val="bottom"/>
            <w:gridSpan w:val="2"/>
            <w:shd w:val="clear" w:color="auto" w:fill="CCEEFF"/>
          </w:tcPr>
          <w:p>
            <w:pPr>
              <w:jc w:val="right"/>
              <w:ind w:right="138"/>
              <w:spacing w:after="0" w:line="183" w:lineRule="exact"/>
              <w:rPr>
                <w:sz w:val="20"/>
                <w:szCs w:val="20"/>
                <w:color w:val="auto"/>
              </w:rPr>
            </w:pPr>
            <w:r>
              <w:rPr>
                <w:rFonts w:ascii="Arial" w:cs="Arial" w:eastAsia="Arial" w:hAnsi="Arial"/>
                <w:sz w:val="16"/>
                <w:szCs w:val="16"/>
                <w:color w:val="auto"/>
              </w:rPr>
              <w:t>217,478</w:t>
            </w: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3,565,002</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98"/>
              <w:spacing w:after="0" w:line="183" w:lineRule="exact"/>
              <w:rPr>
                <w:sz w:val="20"/>
                <w:szCs w:val="20"/>
                <w:color w:val="auto"/>
              </w:rPr>
            </w:pPr>
            <w:r>
              <w:rPr>
                <w:rFonts w:ascii="Arial" w:cs="Arial" w:eastAsia="Arial" w:hAnsi="Arial"/>
                <w:sz w:val="16"/>
                <w:szCs w:val="16"/>
                <w:color w:val="auto"/>
              </w:rPr>
              <w:t>6.67</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7.00</w:t>
            </w:r>
          </w:p>
        </w:tc>
        <w:tc>
          <w:tcPr>
            <w:tcW w:w="40" w:type="dxa"/>
            <w:vAlign w:val="bottom"/>
            <w:shd w:val="clear" w:color="auto" w:fill="CCEEFF"/>
          </w:tcPr>
          <w:p>
            <w:pPr>
              <w:spacing w:after="0"/>
              <w:rPr>
                <w:sz w:val="15"/>
                <w:szCs w:val="15"/>
                <w:color w:val="auto"/>
              </w:rPr>
            </w:pPr>
          </w:p>
        </w:tc>
      </w:tr>
      <w:tr>
        <w:trPr>
          <w:trHeight w:val="190"/>
        </w:trPr>
        <w:tc>
          <w:tcPr>
            <w:tcW w:w="3660" w:type="dxa"/>
            <w:vAlign w:val="bottom"/>
          </w:tcPr>
          <w:p>
            <w:pPr>
              <w:spacing w:after="0"/>
              <w:rPr>
                <w:sz w:val="20"/>
                <w:szCs w:val="20"/>
                <w:color w:val="auto"/>
              </w:rPr>
            </w:pPr>
            <w:r>
              <w:rPr>
                <w:rFonts w:ascii="Arial" w:cs="Arial" w:eastAsia="Arial" w:hAnsi="Arial"/>
                <w:sz w:val="16"/>
                <w:szCs w:val="16"/>
                <w:color w:val="auto"/>
              </w:rPr>
              <w:t>Granted</w:t>
            </w:r>
          </w:p>
        </w:tc>
        <w:tc>
          <w:tcPr>
            <w:tcW w:w="1500" w:type="dxa"/>
            <w:vAlign w:val="bottom"/>
            <w:gridSpan w:val="2"/>
          </w:tcPr>
          <w:p>
            <w:pPr>
              <w:jc w:val="right"/>
              <w:ind w:right="78"/>
              <w:spacing w:after="0"/>
              <w:rPr>
                <w:sz w:val="20"/>
                <w:szCs w:val="20"/>
                <w:color w:val="auto"/>
              </w:rPr>
            </w:pPr>
            <w:r>
              <w:rPr>
                <w:rFonts w:ascii="Arial" w:cs="Arial" w:eastAsia="Arial" w:hAnsi="Arial"/>
                <w:sz w:val="16"/>
                <w:szCs w:val="16"/>
                <w:color w:val="auto"/>
              </w:rPr>
              <w:t>(257,914)</w:t>
            </w:r>
          </w:p>
        </w:tc>
        <w:tc>
          <w:tcPr>
            <w:tcW w:w="1020" w:type="dxa"/>
            <w:vAlign w:val="bottom"/>
          </w:tcPr>
          <w:p>
            <w:pPr>
              <w:jc w:val="right"/>
              <w:spacing w:after="0"/>
              <w:rPr>
                <w:sz w:val="20"/>
                <w:szCs w:val="20"/>
                <w:color w:val="auto"/>
              </w:rPr>
            </w:pPr>
            <w:r>
              <w:rPr>
                <w:rFonts w:ascii="Arial" w:cs="Arial" w:eastAsia="Arial" w:hAnsi="Arial"/>
                <w:sz w:val="16"/>
                <w:szCs w:val="16"/>
                <w:color w:val="auto"/>
              </w:rPr>
              <w:t>257,914</w:t>
            </w:r>
          </w:p>
        </w:tc>
        <w:tc>
          <w:tcPr>
            <w:tcW w:w="220" w:type="dxa"/>
            <w:vAlign w:val="bottom"/>
          </w:tcPr>
          <w:p>
            <w:pPr>
              <w:spacing w:after="0"/>
              <w:rPr>
                <w:sz w:val="16"/>
                <w:szCs w:val="16"/>
                <w:color w:val="auto"/>
              </w:rPr>
            </w:pPr>
          </w:p>
        </w:tc>
        <w:tc>
          <w:tcPr>
            <w:tcW w:w="400" w:type="dxa"/>
            <w:vAlign w:val="bottom"/>
          </w:tcPr>
          <w:p>
            <w:pPr>
              <w:ind w:lef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8"/>
              <w:spacing w:after="0"/>
              <w:rPr>
                <w:sz w:val="20"/>
                <w:szCs w:val="20"/>
                <w:color w:val="auto"/>
              </w:rPr>
            </w:pPr>
            <w:r>
              <w:rPr>
                <w:rFonts w:ascii="Arial" w:cs="Arial" w:eastAsia="Arial" w:hAnsi="Arial"/>
                <w:sz w:val="16"/>
                <w:szCs w:val="16"/>
                <w:color w:val="auto"/>
              </w:rPr>
              <w:t>22.28</w:t>
            </w:r>
          </w:p>
        </w:tc>
        <w:tc>
          <w:tcPr>
            <w:tcW w:w="320" w:type="dxa"/>
            <w:vAlign w:val="bottom"/>
          </w:tcPr>
          <w:p>
            <w:pPr>
              <w:ind w:left="1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8"/>
              <w:spacing w:after="0"/>
              <w:rPr>
                <w:sz w:val="20"/>
                <w:szCs w:val="20"/>
                <w:color w:val="auto"/>
              </w:rPr>
            </w:pPr>
            <w:r>
              <w:rPr>
                <w:rFonts w:ascii="Arial" w:cs="Arial" w:eastAsia="Arial" w:hAnsi="Arial"/>
                <w:sz w:val="16"/>
                <w:szCs w:val="16"/>
                <w:color w:val="auto"/>
              </w:rPr>
              <w:t>11.46</w:t>
            </w: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(219,134)</w:t>
            </w:r>
          </w:p>
        </w:tc>
        <w:tc>
          <w:tcPr>
            <w:tcW w:w="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4.07</w:t>
            </w:r>
          </w:p>
        </w:tc>
        <w:tc>
          <w:tcPr>
            <w:tcW w:w="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1.96</w:t>
            </w:r>
          </w:p>
        </w:tc>
        <w:tc>
          <w:tcPr>
            <w:tcW w:w="1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0"/>
        </w:trPr>
        <w:tc>
          <w:tcPr>
            <w:tcW w:w="3660" w:type="dxa"/>
            <w:vAlign w:val="bottom"/>
          </w:tcPr>
          <w:p>
            <w:pPr>
              <w:spacing w:after="0"/>
              <w:rPr>
                <w:sz w:val="20"/>
                <w:szCs w:val="20"/>
                <w:color w:val="auto"/>
              </w:rPr>
            </w:pPr>
            <w:r>
              <w:rPr>
                <w:rFonts w:ascii="Arial" w:cs="Arial" w:eastAsia="Arial" w:hAnsi="Arial"/>
                <w:sz w:val="16"/>
                <w:szCs w:val="16"/>
                <w:color w:val="auto"/>
              </w:rPr>
              <w:t>Forfeited</w:t>
            </w:r>
          </w:p>
        </w:tc>
        <w:tc>
          <w:tcPr>
            <w:tcW w:w="1500" w:type="dxa"/>
            <w:vAlign w:val="bottom"/>
            <w:gridSpan w:val="2"/>
          </w:tcPr>
          <w:p>
            <w:pPr>
              <w:jc w:val="right"/>
              <w:ind w:right="138"/>
              <w:spacing w:after="0"/>
              <w:rPr>
                <w:sz w:val="20"/>
                <w:szCs w:val="20"/>
                <w:color w:val="auto"/>
              </w:rPr>
            </w:pPr>
            <w:r>
              <w:rPr>
                <w:rFonts w:ascii="Arial" w:cs="Arial" w:eastAsia="Arial" w:hAnsi="Arial"/>
                <w:sz w:val="16"/>
                <w:szCs w:val="16"/>
                <w:color w:val="auto"/>
              </w:rPr>
              <w:t>50,574</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(50,594)</w:t>
            </w:r>
          </w:p>
        </w:tc>
        <w:tc>
          <w:tcPr>
            <w:tcW w:w="400" w:type="dxa"/>
            <w:vAlign w:val="bottom"/>
          </w:tcPr>
          <w:p>
            <w:pPr>
              <w:ind w:lef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8"/>
              <w:spacing w:after="0"/>
              <w:rPr>
                <w:sz w:val="20"/>
                <w:szCs w:val="20"/>
                <w:color w:val="auto"/>
              </w:rPr>
            </w:pPr>
            <w:r>
              <w:rPr>
                <w:rFonts w:ascii="Arial" w:cs="Arial" w:eastAsia="Arial" w:hAnsi="Arial"/>
                <w:sz w:val="16"/>
                <w:szCs w:val="16"/>
                <w:color w:val="auto"/>
              </w:rPr>
              <w:t>12.85</w:t>
            </w:r>
          </w:p>
        </w:tc>
        <w:tc>
          <w:tcPr>
            <w:tcW w:w="320" w:type="dxa"/>
            <w:vAlign w:val="bottom"/>
          </w:tcPr>
          <w:p>
            <w:pPr>
              <w:ind w:left="1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8"/>
              <w:spacing w:after="0"/>
              <w:rPr>
                <w:sz w:val="20"/>
                <w:szCs w:val="20"/>
                <w:color w:val="auto"/>
              </w:rPr>
            </w:pPr>
            <w:r>
              <w:rPr>
                <w:rFonts w:ascii="Arial" w:cs="Arial" w:eastAsia="Arial" w:hAnsi="Arial"/>
                <w:sz w:val="16"/>
                <w:szCs w:val="16"/>
                <w:color w:val="auto"/>
              </w:rPr>
              <w:t>6.07</w:t>
            </w: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Expired</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48,393</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(79,431)</w:t>
            </w:r>
          </w:p>
        </w:tc>
        <w:tc>
          <w:tcPr>
            <w:tcW w:w="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13.09</w:t>
            </w:r>
          </w:p>
        </w:tc>
        <w:tc>
          <w:tcPr>
            <w:tcW w:w="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0.71</w:t>
            </w:r>
          </w:p>
        </w:tc>
        <w:tc>
          <w:tcPr>
            <w:tcW w:w="1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6"/>
        </w:trPr>
        <w:tc>
          <w:tcPr>
            <w:tcW w:w="3660" w:type="dxa"/>
            <w:vAlign w:val="bottom"/>
          </w:tcPr>
          <w:p>
            <w:pPr>
              <w:spacing w:after="0"/>
              <w:rPr>
                <w:sz w:val="20"/>
                <w:szCs w:val="20"/>
                <w:color w:val="auto"/>
              </w:rPr>
            </w:pPr>
            <w:r>
              <w:rPr>
                <w:rFonts w:ascii="Arial" w:cs="Arial" w:eastAsia="Arial" w:hAnsi="Arial"/>
                <w:sz w:val="16"/>
                <w:szCs w:val="16"/>
                <w:color w:val="auto"/>
              </w:rPr>
              <w:t>Options outstanding as of December 31, 2019</w:t>
            </w:r>
          </w:p>
        </w:tc>
        <w:tc>
          <w:tcPr>
            <w:tcW w:w="320" w:type="dxa"/>
            <w:vAlign w:val="bottom"/>
          </w:tcPr>
          <w:p>
            <w:pPr>
              <w:spacing w:after="0"/>
              <w:rPr>
                <w:sz w:val="17"/>
                <w:szCs w:val="17"/>
                <w:color w:val="auto"/>
              </w:rPr>
            </w:pPr>
          </w:p>
        </w:tc>
        <w:tc>
          <w:tcPr>
            <w:tcW w:w="1180" w:type="dxa"/>
            <w:vAlign w:val="bottom"/>
            <w:tcBorders>
              <w:top w:val="single" w:sz="8" w:color="auto"/>
            </w:tcBorders>
          </w:tcPr>
          <w:p>
            <w:pPr>
              <w:jc w:val="right"/>
              <w:ind w:right="138"/>
              <w:spacing w:after="0"/>
              <w:rPr>
                <w:sz w:val="20"/>
                <w:szCs w:val="20"/>
                <w:color w:val="auto"/>
              </w:rPr>
            </w:pPr>
            <w:r>
              <w:rPr>
                <w:rFonts w:ascii="Arial" w:cs="Arial" w:eastAsia="Arial" w:hAnsi="Arial"/>
                <w:sz w:val="16"/>
                <w:szCs w:val="16"/>
                <w:color w:val="auto"/>
              </w:rPr>
              <w:t>58,531</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3,473,757</w:t>
            </w:r>
          </w:p>
        </w:tc>
        <w:tc>
          <w:tcPr>
            <w:tcW w:w="220" w:type="dxa"/>
            <w:vAlign w:val="bottom"/>
          </w:tcPr>
          <w:p>
            <w:pPr>
              <w:spacing w:after="0"/>
              <w:rPr>
                <w:sz w:val="17"/>
                <w:szCs w:val="17"/>
                <w:color w:val="auto"/>
              </w:rPr>
            </w:pPr>
          </w:p>
        </w:tc>
        <w:tc>
          <w:tcPr>
            <w:tcW w:w="400" w:type="dxa"/>
            <w:vAlign w:val="bottom"/>
          </w:tcPr>
          <w:p>
            <w:pPr>
              <w:ind w:lef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8"/>
              <w:spacing w:after="0"/>
              <w:rPr>
                <w:sz w:val="20"/>
                <w:szCs w:val="20"/>
                <w:color w:val="auto"/>
              </w:rPr>
            </w:pPr>
            <w:r>
              <w:rPr>
                <w:rFonts w:ascii="Arial" w:cs="Arial" w:eastAsia="Arial" w:hAnsi="Arial"/>
                <w:sz w:val="16"/>
                <w:szCs w:val="16"/>
                <w:color w:val="auto"/>
              </w:rPr>
              <w:t>7.76</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6.00</w:t>
            </w:r>
          </w:p>
        </w:tc>
        <w:tc>
          <w:tcPr>
            <w:tcW w:w="40" w:type="dxa"/>
            <w:vAlign w:val="bottom"/>
          </w:tcPr>
          <w:p>
            <w:pPr>
              <w:spacing w:after="0"/>
              <w:rPr>
                <w:sz w:val="17"/>
                <w:szCs w:val="17"/>
                <w:color w:val="auto"/>
              </w:rPr>
            </w:pPr>
          </w:p>
        </w:tc>
      </w:tr>
      <w:tr>
        <w:trPr>
          <w:trHeight w:val="190"/>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Issued</w:t>
            </w:r>
          </w:p>
        </w:tc>
        <w:tc>
          <w:tcPr>
            <w:tcW w:w="150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1,181,026</w:t>
            </w: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0"/>
        </w:trPr>
        <w:tc>
          <w:tcPr>
            <w:tcW w:w="3660" w:type="dxa"/>
            <w:vAlign w:val="bottom"/>
          </w:tcPr>
          <w:p>
            <w:pPr>
              <w:spacing w:after="0"/>
              <w:rPr>
                <w:sz w:val="20"/>
                <w:szCs w:val="20"/>
                <w:color w:val="auto"/>
              </w:rPr>
            </w:pPr>
            <w:r>
              <w:rPr>
                <w:rFonts w:ascii="Arial" w:cs="Arial" w:eastAsia="Arial" w:hAnsi="Arial"/>
                <w:sz w:val="16"/>
                <w:szCs w:val="16"/>
                <w:color w:val="auto"/>
              </w:rPr>
              <w:t>Granted</w:t>
            </w:r>
          </w:p>
        </w:tc>
        <w:tc>
          <w:tcPr>
            <w:tcW w:w="1500" w:type="dxa"/>
            <w:vAlign w:val="bottom"/>
            <w:gridSpan w:val="2"/>
          </w:tcPr>
          <w:p>
            <w:pPr>
              <w:jc w:val="right"/>
              <w:ind w:right="78"/>
              <w:spacing w:after="0"/>
              <w:rPr>
                <w:sz w:val="20"/>
                <w:szCs w:val="20"/>
                <w:color w:val="auto"/>
              </w:rPr>
            </w:pPr>
            <w:r>
              <w:rPr>
                <w:rFonts w:ascii="Arial" w:cs="Arial" w:eastAsia="Arial" w:hAnsi="Arial"/>
                <w:sz w:val="16"/>
                <w:szCs w:val="16"/>
                <w:color w:val="auto"/>
              </w:rPr>
              <w:t>(1,156,078)</w:t>
            </w:r>
          </w:p>
        </w:tc>
        <w:tc>
          <w:tcPr>
            <w:tcW w:w="1020" w:type="dxa"/>
            <w:vAlign w:val="bottom"/>
          </w:tcPr>
          <w:p>
            <w:pPr>
              <w:jc w:val="right"/>
              <w:spacing w:after="0"/>
              <w:rPr>
                <w:sz w:val="20"/>
                <w:szCs w:val="20"/>
                <w:color w:val="auto"/>
              </w:rPr>
            </w:pPr>
            <w:r>
              <w:rPr>
                <w:rFonts w:ascii="Arial" w:cs="Arial" w:eastAsia="Arial" w:hAnsi="Arial"/>
                <w:sz w:val="16"/>
                <w:szCs w:val="16"/>
                <w:color w:val="auto"/>
              </w:rPr>
              <w:t>1,156,078</w:t>
            </w:r>
          </w:p>
        </w:tc>
        <w:tc>
          <w:tcPr>
            <w:tcW w:w="220" w:type="dxa"/>
            <w:vAlign w:val="bottom"/>
          </w:tcPr>
          <w:p>
            <w:pPr>
              <w:spacing w:after="0"/>
              <w:rPr>
                <w:sz w:val="16"/>
                <w:szCs w:val="16"/>
                <w:color w:val="auto"/>
              </w:rPr>
            </w:pPr>
          </w:p>
        </w:tc>
        <w:tc>
          <w:tcPr>
            <w:tcW w:w="400" w:type="dxa"/>
            <w:vAlign w:val="bottom"/>
          </w:tcPr>
          <w:p>
            <w:pPr>
              <w:ind w:lef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8"/>
              <w:spacing w:after="0"/>
              <w:rPr>
                <w:sz w:val="20"/>
                <w:szCs w:val="20"/>
                <w:color w:val="auto"/>
              </w:rPr>
            </w:pPr>
            <w:r>
              <w:rPr>
                <w:rFonts w:ascii="Arial" w:cs="Arial" w:eastAsia="Arial" w:hAnsi="Arial"/>
                <w:sz w:val="16"/>
                <w:szCs w:val="16"/>
                <w:color w:val="auto"/>
              </w:rPr>
              <w:t>15.09</w:t>
            </w:r>
          </w:p>
        </w:tc>
        <w:tc>
          <w:tcPr>
            <w:tcW w:w="320" w:type="dxa"/>
            <w:vAlign w:val="bottom"/>
          </w:tcPr>
          <w:p>
            <w:pPr>
              <w:ind w:left="1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8"/>
              <w:spacing w:after="0"/>
              <w:rPr>
                <w:sz w:val="20"/>
                <w:szCs w:val="20"/>
                <w:color w:val="auto"/>
              </w:rPr>
            </w:pPr>
            <w:r>
              <w:rPr>
                <w:rFonts w:ascii="Arial" w:cs="Arial" w:eastAsia="Arial" w:hAnsi="Arial"/>
                <w:sz w:val="16"/>
                <w:szCs w:val="16"/>
                <w:color w:val="auto"/>
              </w:rPr>
              <w:t>8.39</w:t>
            </w: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(249,566)</w:t>
            </w:r>
          </w:p>
        </w:tc>
        <w:tc>
          <w:tcPr>
            <w:tcW w:w="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3.98</w:t>
            </w:r>
          </w:p>
        </w:tc>
        <w:tc>
          <w:tcPr>
            <w:tcW w:w="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2.08</w:t>
            </w:r>
          </w:p>
        </w:tc>
        <w:tc>
          <w:tcPr>
            <w:tcW w:w="1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0"/>
        </w:trPr>
        <w:tc>
          <w:tcPr>
            <w:tcW w:w="3660" w:type="dxa"/>
            <w:vAlign w:val="bottom"/>
          </w:tcPr>
          <w:p>
            <w:pPr>
              <w:spacing w:after="0"/>
              <w:rPr>
                <w:sz w:val="20"/>
                <w:szCs w:val="20"/>
                <w:color w:val="auto"/>
              </w:rPr>
            </w:pPr>
            <w:r>
              <w:rPr>
                <w:rFonts w:ascii="Arial" w:cs="Arial" w:eastAsia="Arial" w:hAnsi="Arial"/>
                <w:sz w:val="16"/>
                <w:szCs w:val="16"/>
                <w:color w:val="auto"/>
              </w:rPr>
              <w:t>Forfeited</w:t>
            </w:r>
          </w:p>
        </w:tc>
        <w:tc>
          <w:tcPr>
            <w:tcW w:w="1500" w:type="dxa"/>
            <w:vAlign w:val="bottom"/>
            <w:gridSpan w:val="2"/>
          </w:tcPr>
          <w:p>
            <w:pPr>
              <w:jc w:val="right"/>
              <w:ind w:right="138"/>
              <w:spacing w:after="0"/>
              <w:rPr>
                <w:sz w:val="20"/>
                <w:szCs w:val="20"/>
                <w:color w:val="auto"/>
              </w:rPr>
            </w:pPr>
            <w:r>
              <w:rPr>
                <w:rFonts w:ascii="Arial" w:cs="Arial" w:eastAsia="Arial" w:hAnsi="Arial"/>
                <w:sz w:val="16"/>
                <w:szCs w:val="16"/>
                <w:color w:val="auto"/>
              </w:rPr>
              <w:t>168,831</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(168,831)</w:t>
            </w:r>
          </w:p>
        </w:tc>
        <w:tc>
          <w:tcPr>
            <w:tcW w:w="400" w:type="dxa"/>
            <w:vAlign w:val="bottom"/>
          </w:tcPr>
          <w:p>
            <w:pPr>
              <w:ind w:lef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8"/>
              <w:spacing w:after="0"/>
              <w:rPr>
                <w:sz w:val="20"/>
                <w:szCs w:val="20"/>
                <w:color w:val="auto"/>
              </w:rPr>
            </w:pPr>
            <w:r>
              <w:rPr>
                <w:rFonts w:ascii="Arial" w:cs="Arial" w:eastAsia="Arial" w:hAnsi="Arial"/>
                <w:sz w:val="16"/>
                <w:szCs w:val="16"/>
                <w:color w:val="auto"/>
              </w:rPr>
              <w:t>18.53</w:t>
            </w:r>
          </w:p>
        </w:tc>
        <w:tc>
          <w:tcPr>
            <w:tcW w:w="320" w:type="dxa"/>
            <w:vAlign w:val="bottom"/>
          </w:tcPr>
          <w:p>
            <w:pPr>
              <w:ind w:left="1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8"/>
              <w:spacing w:after="0"/>
              <w:rPr>
                <w:sz w:val="20"/>
                <w:szCs w:val="20"/>
                <w:color w:val="auto"/>
              </w:rPr>
            </w:pPr>
            <w:r>
              <w:rPr>
                <w:rFonts w:ascii="Arial" w:cs="Arial" w:eastAsia="Arial" w:hAnsi="Arial"/>
                <w:sz w:val="16"/>
                <w:szCs w:val="16"/>
                <w:color w:val="auto"/>
              </w:rPr>
              <w:t>8.96</w:t>
            </w: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Expired</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(9,503)</w:t>
            </w:r>
          </w:p>
        </w:tc>
        <w:tc>
          <w:tcPr>
            <w:tcW w:w="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4.14</w:t>
            </w:r>
          </w:p>
        </w:tc>
        <w:tc>
          <w:tcPr>
            <w:tcW w:w="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1"/>
        </w:trPr>
        <w:tc>
          <w:tcPr>
            <w:tcW w:w="3660" w:type="dxa"/>
            <w:vAlign w:val="bottom"/>
          </w:tcPr>
          <w:p>
            <w:pPr>
              <w:spacing w:after="0"/>
              <w:rPr>
                <w:sz w:val="20"/>
                <w:szCs w:val="20"/>
                <w:color w:val="auto"/>
              </w:rPr>
            </w:pPr>
            <w:r>
              <w:rPr>
                <w:rFonts w:ascii="Arial" w:cs="Arial" w:eastAsia="Arial" w:hAnsi="Arial"/>
                <w:sz w:val="16"/>
                <w:szCs w:val="16"/>
                <w:color w:val="auto"/>
              </w:rPr>
              <w:t>Options outstanding as of December 31, 2020</w:t>
            </w:r>
          </w:p>
        </w:tc>
        <w:tc>
          <w:tcPr>
            <w:tcW w:w="3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color w:val="auto"/>
              </w:rPr>
              <w:t>252,310</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4,201,935</w:t>
            </w:r>
          </w:p>
        </w:tc>
        <w:tc>
          <w:tcPr>
            <w:tcW w:w="220" w:type="dxa"/>
            <w:vAlign w:val="bottom"/>
          </w:tcPr>
          <w:p>
            <w:pPr>
              <w:spacing w:after="0"/>
              <w:rPr>
                <w:sz w:val="17"/>
                <w:szCs w:val="17"/>
                <w:color w:val="auto"/>
              </w:rPr>
            </w:pPr>
          </w:p>
        </w:tc>
        <w:tc>
          <w:tcPr>
            <w:tcW w:w="400" w:type="dxa"/>
            <w:vAlign w:val="bottom"/>
          </w:tcPr>
          <w:p>
            <w:pPr>
              <w:ind w:lef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8"/>
              <w:spacing w:after="0"/>
              <w:rPr>
                <w:sz w:val="20"/>
                <w:szCs w:val="20"/>
                <w:color w:val="auto"/>
              </w:rPr>
            </w:pPr>
            <w:r>
              <w:rPr>
                <w:rFonts w:ascii="Arial" w:cs="Arial" w:eastAsia="Arial" w:hAnsi="Arial"/>
                <w:sz w:val="16"/>
                <w:szCs w:val="16"/>
                <w:color w:val="auto"/>
              </w:rPr>
              <w:t>9.57</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6.46</w:t>
            </w:r>
          </w:p>
        </w:tc>
        <w:tc>
          <w:tcPr>
            <w:tcW w:w="40" w:type="dxa"/>
            <w:vAlign w:val="bottom"/>
          </w:tcPr>
          <w:p>
            <w:pPr>
              <w:spacing w:after="0"/>
              <w:rPr>
                <w:sz w:val="17"/>
                <w:szCs w:val="17"/>
                <w:color w:val="auto"/>
              </w:rPr>
            </w:pPr>
          </w:p>
        </w:tc>
      </w:tr>
      <w:tr>
        <w:trPr>
          <w:trHeight w:val="190"/>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Exercisable as of December 31, 2020</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3,024,770</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7.17</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40" w:type="dxa"/>
            <w:vAlign w:val="bottom"/>
            <w:shd w:val="clear" w:color="auto" w:fill="CCEEFF"/>
          </w:tcPr>
          <w:p>
            <w:pPr>
              <w:spacing w:after="0"/>
              <w:rPr>
                <w:sz w:val="16"/>
                <w:szCs w:val="16"/>
                <w:color w:val="auto"/>
              </w:rPr>
            </w:pP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right="420"/>
        <w:spacing w:after="0" w:line="265" w:lineRule="auto"/>
        <w:rPr>
          <w:sz w:val="20"/>
          <w:szCs w:val="20"/>
          <w:color w:val="auto"/>
        </w:rPr>
      </w:pPr>
      <w:r>
        <w:rPr>
          <w:rFonts w:ascii="Arial" w:cs="Arial" w:eastAsia="Arial" w:hAnsi="Arial"/>
          <w:sz w:val="16"/>
          <w:szCs w:val="16"/>
          <w:color w:val="auto"/>
        </w:rPr>
        <w:t>At December 31, 2020 and 2019, the intrinsic value of options vested was $26.2 million and $29.2 million, respectively, and of all options outstanding was $26.4 million and $31.1 million, respectively. During 2020 and</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0800"/>
          </w:cols>
          <w:pgMar w:left="320" w:top="440" w:right="779" w:bottom="1440" w:gutter="0" w:footer="0" w:header="0"/>
        </w:sectPr>
      </w:pPr>
    </w:p>
    <w:bookmarkStart w:id="259" w:name="page260"/>
    <w:bookmarkEnd w:id="2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40"/>
        <w:spacing w:after="0" w:line="265" w:lineRule="auto"/>
        <w:rPr>
          <w:sz w:val="20"/>
          <w:szCs w:val="20"/>
          <w:color w:val="auto"/>
        </w:rPr>
      </w:pPr>
      <w:r>
        <w:rPr>
          <w:rFonts w:ascii="Arial" w:cs="Arial" w:eastAsia="Arial" w:hAnsi="Arial"/>
          <w:sz w:val="16"/>
          <w:szCs w:val="16"/>
          <w:color w:val="auto"/>
        </w:rPr>
        <w:t>2019, the total cash received from the exercise of stock options was $991,000 and $891,000, respectively. The total fair value less strike price of these options was $2.8 million and $3.5 million, respectively.</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Vested and non-vested options granted by the Company were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0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As of December 31, 2020</w:t>
            </w:r>
          </w:p>
        </w:tc>
      </w:tr>
      <w:tr>
        <w:trPr>
          <w:trHeight w:val="166"/>
        </w:trPr>
        <w:tc>
          <w:tcPr>
            <w:tcW w:w="4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18"/>
              <w:spacing w:after="0" w:line="166" w:lineRule="exact"/>
              <w:rPr>
                <w:sz w:val="20"/>
                <w:szCs w:val="20"/>
                <w:color w:val="auto"/>
              </w:rPr>
            </w:pPr>
            <w:r>
              <w:rPr>
                <w:rFonts w:ascii="Arial" w:cs="Arial" w:eastAsia="Arial" w:hAnsi="Arial"/>
                <w:sz w:val="16"/>
                <w:szCs w:val="16"/>
                <w:b w:val="1"/>
                <w:bCs w:val="1"/>
                <w:color w:val="auto"/>
              </w:rPr>
              <w:t>Options</w:t>
            </w:r>
          </w:p>
        </w:tc>
        <w:tc>
          <w:tcPr>
            <w:tcW w:w="102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6"/>
                <w:szCs w:val="16"/>
                <w:b w:val="1"/>
                <w:bCs w:val="1"/>
                <w:color w:val="auto"/>
              </w:rPr>
              <w:t>Options</w:t>
            </w:r>
          </w:p>
        </w:tc>
        <w:tc>
          <w:tcPr>
            <w:tcW w:w="60" w:type="dxa"/>
            <w:vAlign w:val="bottom"/>
          </w:tcPr>
          <w:p>
            <w:pPr>
              <w:spacing w:after="0"/>
              <w:rPr>
                <w:sz w:val="14"/>
                <w:szCs w:val="14"/>
                <w:color w:val="auto"/>
              </w:rPr>
            </w:pPr>
          </w:p>
        </w:tc>
      </w:tr>
      <w:tr>
        <w:trPr>
          <w:trHeight w:val="207"/>
        </w:trPr>
        <w:tc>
          <w:tcPr>
            <w:tcW w:w="4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Plan name</w:t>
            </w:r>
          </w:p>
        </w:tc>
        <w:tc>
          <w:tcPr>
            <w:tcW w:w="28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78"/>
              <w:spacing w:after="0"/>
              <w:rPr>
                <w:sz w:val="20"/>
                <w:szCs w:val="20"/>
                <w:color w:val="auto"/>
              </w:rPr>
            </w:pPr>
            <w:r>
              <w:rPr>
                <w:rFonts w:ascii="Arial" w:cs="Arial" w:eastAsia="Arial" w:hAnsi="Arial"/>
                <w:sz w:val="16"/>
                <w:szCs w:val="16"/>
                <w:b w:val="1"/>
                <w:bCs w:val="1"/>
                <w:color w:val="auto"/>
              </w:rPr>
              <w:t>Exercise price</w:t>
            </w:r>
          </w:p>
        </w:tc>
        <w:tc>
          <w:tcPr>
            <w:tcW w:w="11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outstanding</w:t>
            </w: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exercisable</w:t>
            </w:r>
          </w:p>
        </w:tc>
      </w:tr>
      <w:tr>
        <w:trPr>
          <w:trHeight w:val="183"/>
        </w:trPr>
        <w:tc>
          <w:tcPr>
            <w:tcW w:w="40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2006 Stock Plan</w:t>
            </w:r>
          </w:p>
        </w:tc>
        <w:tc>
          <w:tcPr>
            <w:tcW w:w="29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78"/>
              <w:spacing w:after="0" w:line="183" w:lineRule="exact"/>
              <w:rPr>
                <w:sz w:val="20"/>
                <w:szCs w:val="20"/>
                <w:color w:val="auto"/>
              </w:rPr>
            </w:pPr>
            <w:r>
              <w:rPr>
                <w:rFonts w:ascii="Arial" w:cs="Arial" w:eastAsia="Arial" w:hAnsi="Arial"/>
                <w:sz w:val="16"/>
                <w:szCs w:val="16"/>
                <w:color w:val="auto"/>
              </w:rPr>
              <w:t>4.14</w:t>
            </w:r>
          </w:p>
        </w:tc>
        <w:tc>
          <w:tcPr>
            <w:tcW w:w="1100" w:type="dxa"/>
            <w:vAlign w:val="bottom"/>
            <w:shd w:val="clear" w:color="auto" w:fill="CCEEFF"/>
          </w:tcPr>
          <w:p>
            <w:pPr>
              <w:jc w:val="right"/>
              <w:ind w:right="18"/>
              <w:spacing w:after="0" w:line="183" w:lineRule="exact"/>
              <w:rPr>
                <w:sz w:val="20"/>
                <w:szCs w:val="20"/>
                <w:color w:val="auto"/>
              </w:rPr>
            </w:pPr>
            <w:r>
              <w:rPr>
                <w:rFonts w:ascii="Arial" w:cs="Arial" w:eastAsia="Arial" w:hAnsi="Arial"/>
                <w:sz w:val="16"/>
                <w:szCs w:val="16"/>
                <w:color w:val="auto"/>
              </w:rPr>
              <w:t>199,711</w:t>
            </w: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199,711</w:t>
            </w:r>
          </w:p>
        </w:tc>
        <w:tc>
          <w:tcPr>
            <w:tcW w:w="60" w:type="dxa"/>
            <w:vAlign w:val="bottom"/>
            <w:shd w:val="clear" w:color="auto" w:fill="CCEEFF"/>
          </w:tcPr>
          <w:p>
            <w:pPr>
              <w:spacing w:after="0"/>
              <w:rPr>
                <w:sz w:val="15"/>
                <w:szCs w:val="15"/>
                <w:color w:val="auto"/>
              </w:rPr>
            </w:pPr>
          </w:p>
        </w:tc>
      </w:tr>
      <w:tr>
        <w:trPr>
          <w:trHeight w:val="196"/>
        </w:trPr>
        <w:tc>
          <w:tcPr>
            <w:tcW w:w="4000" w:type="dxa"/>
            <w:vAlign w:val="bottom"/>
          </w:tcPr>
          <w:p>
            <w:pPr>
              <w:spacing w:after="0"/>
              <w:rPr>
                <w:sz w:val="20"/>
                <w:szCs w:val="20"/>
                <w:color w:val="auto"/>
              </w:rPr>
            </w:pPr>
            <w:r>
              <w:rPr>
                <w:rFonts w:ascii="Arial" w:cs="Arial" w:eastAsia="Arial" w:hAnsi="Arial"/>
                <w:sz w:val="16"/>
                <w:szCs w:val="16"/>
                <w:color w:val="auto"/>
              </w:rPr>
              <w:t>2015 Stock Plan</w:t>
            </w:r>
          </w:p>
        </w:tc>
        <w:tc>
          <w:tcPr>
            <w:tcW w:w="2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8"/>
              <w:spacing w:after="0"/>
              <w:rPr>
                <w:sz w:val="20"/>
                <w:szCs w:val="20"/>
                <w:color w:val="auto"/>
              </w:rPr>
            </w:pPr>
            <w:r>
              <w:rPr>
                <w:rFonts w:ascii="Arial" w:cs="Arial" w:eastAsia="Arial" w:hAnsi="Arial"/>
                <w:sz w:val="16"/>
                <w:szCs w:val="16"/>
                <w:color w:val="auto"/>
              </w:rPr>
              <w:t>3.93—$23.04</w:t>
            </w:r>
          </w:p>
        </w:tc>
        <w:tc>
          <w:tcPr>
            <w:tcW w:w="11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4,002,224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2,825,059</w:t>
            </w:r>
          </w:p>
        </w:tc>
        <w:tc>
          <w:tcPr>
            <w:tcW w:w="60" w:type="dxa"/>
            <w:vAlign w:val="bottom"/>
          </w:tcPr>
          <w:p>
            <w:pPr>
              <w:spacing w:after="0"/>
              <w:rPr>
                <w:sz w:val="17"/>
                <w:szCs w:val="17"/>
                <w:color w:val="auto"/>
              </w:rPr>
            </w:pPr>
          </w:p>
        </w:tc>
      </w:tr>
      <w:tr>
        <w:trPr>
          <w:trHeight w:val="190"/>
        </w:trPr>
        <w:tc>
          <w:tcPr>
            <w:tcW w:w="400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4,201,935</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3,024,770</w:t>
            </w:r>
          </w:p>
        </w:tc>
        <w:tc>
          <w:tcPr>
            <w:tcW w:w="60" w:type="dxa"/>
            <w:vAlign w:val="bottom"/>
            <w:shd w:val="clear" w:color="auto" w:fill="CCEEFF"/>
          </w:tcPr>
          <w:p>
            <w:pPr>
              <w:spacing w:after="0"/>
              <w:rPr>
                <w:sz w:val="16"/>
                <w:szCs w:val="16"/>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5"/>
        </w:trPr>
        <w:tc>
          <w:tcPr>
            <w:tcW w:w="400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r>
    </w:tbl>
    <w:p>
      <w:pPr>
        <w:spacing w:after="0" w:line="2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0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As of December 31, 2019</w:t>
            </w:r>
          </w:p>
        </w:tc>
      </w:tr>
      <w:tr>
        <w:trPr>
          <w:trHeight w:val="166"/>
        </w:trPr>
        <w:tc>
          <w:tcPr>
            <w:tcW w:w="4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18"/>
              <w:spacing w:after="0" w:line="166" w:lineRule="exact"/>
              <w:rPr>
                <w:sz w:val="20"/>
                <w:szCs w:val="20"/>
                <w:color w:val="auto"/>
              </w:rPr>
            </w:pPr>
            <w:r>
              <w:rPr>
                <w:rFonts w:ascii="Arial" w:cs="Arial" w:eastAsia="Arial" w:hAnsi="Arial"/>
                <w:sz w:val="16"/>
                <w:szCs w:val="16"/>
                <w:b w:val="1"/>
                <w:bCs w:val="1"/>
                <w:color w:val="auto"/>
              </w:rPr>
              <w:t>Options</w:t>
            </w:r>
          </w:p>
        </w:tc>
        <w:tc>
          <w:tcPr>
            <w:tcW w:w="102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6"/>
                <w:szCs w:val="16"/>
                <w:b w:val="1"/>
                <w:bCs w:val="1"/>
                <w:color w:val="auto"/>
              </w:rPr>
              <w:t>Options</w:t>
            </w:r>
          </w:p>
        </w:tc>
        <w:tc>
          <w:tcPr>
            <w:tcW w:w="60" w:type="dxa"/>
            <w:vAlign w:val="bottom"/>
          </w:tcPr>
          <w:p>
            <w:pPr>
              <w:spacing w:after="0"/>
              <w:rPr>
                <w:sz w:val="14"/>
                <w:szCs w:val="14"/>
                <w:color w:val="auto"/>
              </w:rPr>
            </w:pPr>
          </w:p>
        </w:tc>
      </w:tr>
      <w:tr>
        <w:trPr>
          <w:trHeight w:val="207"/>
        </w:trPr>
        <w:tc>
          <w:tcPr>
            <w:tcW w:w="4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Plan name</w:t>
            </w:r>
          </w:p>
        </w:tc>
        <w:tc>
          <w:tcPr>
            <w:tcW w:w="28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78"/>
              <w:spacing w:after="0"/>
              <w:rPr>
                <w:sz w:val="20"/>
                <w:szCs w:val="20"/>
                <w:color w:val="auto"/>
              </w:rPr>
            </w:pPr>
            <w:r>
              <w:rPr>
                <w:rFonts w:ascii="Arial" w:cs="Arial" w:eastAsia="Arial" w:hAnsi="Arial"/>
                <w:sz w:val="16"/>
                <w:szCs w:val="16"/>
                <w:b w:val="1"/>
                <w:bCs w:val="1"/>
                <w:color w:val="auto"/>
              </w:rPr>
              <w:t>Exercise price</w:t>
            </w:r>
          </w:p>
        </w:tc>
        <w:tc>
          <w:tcPr>
            <w:tcW w:w="11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outstanding</w:t>
            </w: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exercisable</w:t>
            </w:r>
          </w:p>
        </w:tc>
      </w:tr>
      <w:tr>
        <w:trPr>
          <w:trHeight w:val="183"/>
        </w:trPr>
        <w:tc>
          <w:tcPr>
            <w:tcW w:w="40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2006 Stock Plan</w:t>
            </w:r>
          </w:p>
        </w:tc>
        <w:tc>
          <w:tcPr>
            <w:tcW w:w="29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78"/>
              <w:spacing w:after="0" w:line="183" w:lineRule="exact"/>
              <w:rPr>
                <w:sz w:val="20"/>
                <w:szCs w:val="20"/>
                <w:color w:val="auto"/>
              </w:rPr>
            </w:pPr>
            <w:r>
              <w:rPr>
                <w:rFonts w:ascii="Arial" w:cs="Arial" w:eastAsia="Arial" w:hAnsi="Arial"/>
                <w:sz w:val="16"/>
                <w:szCs w:val="16"/>
                <w:color w:val="auto"/>
              </w:rPr>
              <w:t>4.14</w:t>
            </w:r>
          </w:p>
        </w:tc>
        <w:tc>
          <w:tcPr>
            <w:tcW w:w="1100" w:type="dxa"/>
            <w:vAlign w:val="bottom"/>
            <w:shd w:val="clear" w:color="auto" w:fill="CCEEFF"/>
          </w:tcPr>
          <w:p>
            <w:pPr>
              <w:jc w:val="right"/>
              <w:ind w:right="18"/>
              <w:spacing w:after="0" w:line="183" w:lineRule="exact"/>
              <w:rPr>
                <w:sz w:val="20"/>
                <w:szCs w:val="20"/>
                <w:color w:val="auto"/>
              </w:rPr>
            </w:pPr>
            <w:r>
              <w:rPr>
                <w:rFonts w:ascii="Arial" w:cs="Arial" w:eastAsia="Arial" w:hAnsi="Arial"/>
                <w:sz w:val="16"/>
                <w:szCs w:val="16"/>
                <w:color w:val="auto"/>
              </w:rPr>
              <w:t>237,149</w:t>
            </w: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237,149</w:t>
            </w:r>
          </w:p>
        </w:tc>
        <w:tc>
          <w:tcPr>
            <w:tcW w:w="60" w:type="dxa"/>
            <w:vAlign w:val="bottom"/>
            <w:shd w:val="clear" w:color="auto" w:fill="CCEEFF"/>
          </w:tcPr>
          <w:p>
            <w:pPr>
              <w:spacing w:after="0"/>
              <w:rPr>
                <w:sz w:val="15"/>
                <w:szCs w:val="15"/>
                <w:color w:val="auto"/>
              </w:rPr>
            </w:pPr>
          </w:p>
        </w:tc>
      </w:tr>
      <w:tr>
        <w:trPr>
          <w:trHeight w:val="196"/>
        </w:trPr>
        <w:tc>
          <w:tcPr>
            <w:tcW w:w="4000" w:type="dxa"/>
            <w:vAlign w:val="bottom"/>
          </w:tcPr>
          <w:p>
            <w:pPr>
              <w:spacing w:after="0"/>
              <w:rPr>
                <w:sz w:val="20"/>
                <w:szCs w:val="20"/>
                <w:color w:val="auto"/>
              </w:rPr>
            </w:pPr>
            <w:r>
              <w:rPr>
                <w:rFonts w:ascii="Arial" w:cs="Arial" w:eastAsia="Arial" w:hAnsi="Arial"/>
                <w:sz w:val="16"/>
                <w:szCs w:val="16"/>
                <w:color w:val="auto"/>
              </w:rPr>
              <w:t>2015 Stock Plan</w:t>
            </w:r>
          </w:p>
        </w:tc>
        <w:tc>
          <w:tcPr>
            <w:tcW w:w="2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8"/>
              <w:spacing w:after="0"/>
              <w:rPr>
                <w:sz w:val="20"/>
                <w:szCs w:val="20"/>
                <w:color w:val="auto"/>
              </w:rPr>
            </w:pPr>
            <w:r>
              <w:rPr>
                <w:rFonts w:ascii="Arial" w:cs="Arial" w:eastAsia="Arial" w:hAnsi="Arial"/>
                <w:sz w:val="16"/>
                <w:szCs w:val="16"/>
                <w:color w:val="auto"/>
              </w:rPr>
              <w:t>3.93—$23.04</w:t>
            </w:r>
          </w:p>
        </w:tc>
        <w:tc>
          <w:tcPr>
            <w:tcW w:w="11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3,236,608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2,579,507</w:t>
            </w:r>
          </w:p>
        </w:tc>
        <w:tc>
          <w:tcPr>
            <w:tcW w:w="60" w:type="dxa"/>
            <w:vAlign w:val="bottom"/>
          </w:tcPr>
          <w:p>
            <w:pPr>
              <w:spacing w:after="0"/>
              <w:rPr>
                <w:sz w:val="17"/>
                <w:szCs w:val="17"/>
                <w:color w:val="auto"/>
              </w:rPr>
            </w:pPr>
          </w:p>
        </w:tc>
      </w:tr>
      <w:tr>
        <w:trPr>
          <w:trHeight w:val="190"/>
        </w:trPr>
        <w:tc>
          <w:tcPr>
            <w:tcW w:w="400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3,473,757</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2,816,656</w:t>
            </w:r>
          </w:p>
        </w:tc>
        <w:tc>
          <w:tcPr>
            <w:tcW w:w="60" w:type="dxa"/>
            <w:vAlign w:val="bottom"/>
            <w:shd w:val="clear" w:color="auto" w:fill="CCEEFF"/>
          </w:tcPr>
          <w:p>
            <w:pPr>
              <w:spacing w:after="0"/>
              <w:rPr>
                <w:sz w:val="16"/>
                <w:szCs w:val="16"/>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right="180"/>
        <w:spacing w:after="0" w:line="265" w:lineRule="auto"/>
        <w:rPr>
          <w:sz w:val="20"/>
          <w:szCs w:val="20"/>
          <w:color w:val="auto"/>
        </w:rPr>
      </w:pPr>
      <w:r>
        <w:rPr>
          <w:rFonts w:ascii="Arial" w:cs="Arial" w:eastAsia="Arial" w:hAnsi="Arial"/>
          <w:sz w:val="16"/>
          <w:szCs w:val="16"/>
          <w:color w:val="auto"/>
        </w:rPr>
        <w:t>Stock-based compensation expense was classified in the accompanying consolidated statements of operations and comprehensive income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53975</wp:posOffset>
            </wp:positionV>
            <wp:extent cx="6569075" cy="158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9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4"/>
          </w:tcPr>
          <w:p>
            <w:pPr>
              <w:ind w:left="560"/>
              <w:spacing w:after="0"/>
              <w:rPr>
                <w:sz w:val="20"/>
                <w:szCs w:val="20"/>
                <w:color w:val="auto"/>
              </w:rPr>
            </w:pPr>
            <w:r>
              <w:rPr>
                <w:rFonts w:ascii="Arial" w:cs="Arial" w:eastAsia="Arial" w:hAnsi="Arial"/>
                <w:sz w:val="16"/>
                <w:szCs w:val="16"/>
                <w:b w:val="1"/>
                <w:bCs w:val="1"/>
                <w:color w:val="auto"/>
              </w:rPr>
              <w:t>Year ended December 31,</w:t>
            </w:r>
          </w:p>
        </w:tc>
      </w:tr>
      <w:tr>
        <w:trPr>
          <w:trHeight w:val="208"/>
        </w:trPr>
        <w:tc>
          <w:tcPr>
            <w:tcW w:w="49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2020</w:t>
            </w:r>
          </w:p>
        </w:tc>
        <w:tc>
          <w:tcPr>
            <w:tcW w:w="8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18"/>
                <w:szCs w:val="18"/>
                <w:color w:val="auto"/>
              </w:rPr>
            </w:pPr>
          </w:p>
        </w:tc>
      </w:tr>
      <w:tr>
        <w:trPr>
          <w:trHeight w:val="183"/>
        </w:trPr>
        <w:tc>
          <w:tcPr>
            <w:tcW w:w="49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Research and development</w:t>
            </w:r>
          </w:p>
        </w:tc>
        <w:tc>
          <w:tcPr>
            <w:tcW w:w="274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38"/>
              <w:spacing w:after="0" w:line="183" w:lineRule="exact"/>
              <w:rPr>
                <w:sz w:val="20"/>
                <w:szCs w:val="20"/>
                <w:color w:val="auto"/>
              </w:rPr>
            </w:pPr>
            <w:r>
              <w:rPr>
                <w:rFonts w:ascii="Arial" w:cs="Arial" w:eastAsia="Arial" w:hAnsi="Arial"/>
                <w:sz w:val="16"/>
                <w:szCs w:val="16"/>
                <w:color w:val="auto"/>
              </w:rPr>
              <w:t>2,200</w:t>
            </w:r>
          </w:p>
        </w:tc>
        <w:tc>
          <w:tcPr>
            <w:tcW w:w="820" w:type="dxa"/>
            <w:vAlign w:val="bottom"/>
            <w:shd w:val="clear" w:color="auto" w:fill="CCEEFF"/>
          </w:tcPr>
          <w:p>
            <w:pPr>
              <w:jc w:val="right"/>
              <w:ind w:right="118"/>
              <w:spacing w:after="0" w:line="183"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1,855</w:t>
            </w:r>
          </w:p>
        </w:tc>
        <w:tc>
          <w:tcPr>
            <w:tcW w:w="40" w:type="dxa"/>
            <w:vAlign w:val="bottom"/>
            <w:shd w:val="clear" w:color="auto" w:fill="CCEEFF"/>
          </w:tcPr>
          <w:p>
            <w:pPr>
              <w:spacing w:after="0"/>
              <w:rPr>
                <w:sz w:val="15"/>
                <w:szCs w:val="15"/>
                <w:color w:val="auto"/>
              </w:rPr>
            </w:pPr>
          </w:p>
        </w:tc>
      </w:tr>
      <w:tr>
        <w:trPr>
          <w:trHeight w:val="190"/>
        </w:trPr>
        <w:tc>
          <w:tcPr>
            <w:tcW w:w="498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2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38"/>
              <w:spacing w:after="0"/>
              <w:rPr>
                <w:sz w:val="20"/>
                <w:szCs w:val="20"/>
                <w:color w:val="auto"/>
              </w:rPr>
            </w:pPr>
            <w:r>
              <w:rPr>
                <w:rFonts w:ascii="Arial" w:cs="Arial" w:eastAsia="Arial" w:hAnsi="Arial"/>
                <w:sz w:val="16"/>
                <w:szCs w:val="16"/>
                <w:color w:val="auto"/>
              </w:rPr>
              <w:t>1,344</w:t>
            </w:r>
          </w:p>
        </w:tc>
        <w:tc>
          <w:tcPr>
            <w:tcW w:w="8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2,336</w:t>
            </w:r>
          </w:p>
        </w:tc>
        <w:tc>
          <w:tcPr>
            <w:tcW w:w="40" w:type="dxa"/>
            <w:vAlign w:val="bottom"/>
          </w:tcPr>
          <w:p>
            <w:pPr>
              <w:spacing w:after="0"/>
              <w:rPr>
                <w:sz w:val="16"/>
                <w:szCs w:val="16"/>
                <w:color w:val="auto"/>
              </w:rPr>
            </w:pPr>
          </w:p>
        </w:tc>
      </w:tr>
      <w:tr>
        <w:trPr>
          <w:trHeight w:val="190"/>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Cost of goods sold</w:t>
            </w:r>
          </w:p>
        </w:tc>
        <w:tc>
          <w:tcPr>
            <w:tcW w:w="24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38"/>
              <w:spacing w:after="0"/>
              <w:rPr>
                <w:sz w:val="20"/>
                <w:szCs w:val="20"/>
                <w:color w:val="auto"/>
              </w:rPr>
            </w:pPr>
            <w:r>
              <w:rPr>
                <w:rFonts w:ascii="Arial" w:cs="Arial" w:eastAsia="Arial" w:hAnsi="Arial"/>
                <w:sz w:val="16"/>
                <w:szCs w:val="16"/>
                <w:color w:val="auto"/>
              </w:rPr>
              <w:t>641</w:t>
            </w:r>
          </w:p>
        </w:tc>
        <w:tc>
          <w:tcPr>
            <w:tcW w:w="8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40" w:type="dxa"/>
            <w:vAlign w:val="bottom"/>
            <w:shd w:val="clear" w:color="auto" w:fill="CCEEFF"/>
          </w:tcPr>
          <w:p>
            <w:pPr>
              <w:spacing w:after="0"/>
              <w:rPr>
                <w:sz w:val="16"/>
                <w:szCs w:val="16"/>
                <w:color w:val="auto"/>
              </w:rPr>
            </w:pPr>
          </w:p>
        </w:tc>
      </w:tr>
      <w:tr>
        <w:trPr>
          <w:trHeight w:val="207"/>
        </w:trPr>
        <w:tc>
          <w:tcPr>
            <w:tcW w:w="49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color w:val="auto"/>
              </w:rPr>
              <w:t>4,185</w:t>
            </w: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4,598</w:t>
            </w:r>
          </w:p>
        </w:tc>
        <w:tc>
          <w:tcPr>
            <w:tcW w:w="40" w:type="dxa"/>
            <w:vAlign w:val="bottom"/>
          </w:tcPr>
          <w:p>
            <w:pPr>
              <w:spacing w:after="0"/>
              <w:rPr>
                <w:sz w:val="17"/>
                <w:szCs w:val="17"/>
                <w:color w:val="auto"/>
              </w:rPr>
            </w:pPr>
          </w:p>
        </w:tc>
      </w:tr>
    </w:tbl>
    <w:p>
      <w:pPr>
        <w:spacing w:after="0" w:line="104" w:lineRule="exact"/>
        <w:rPr>
          <w:sz w:val="20"/>
          <w:szCs w:val="20"/>
          <w:color w:val="auto"/>
        </w:rPr>
      </w:pPr>
    </w:p>
    <w:p>
      <w:pPr>
        <w:ind w:left="460" w:right="20"/>
        <w:spacing w:after="0" w:line="256" w:lineRule="auto"/>
        <w:rPr>
          <w:sz w:val="20"/>
          <w:szCs w:val="20"/>
          <w:color w:val="auto"/>
        </w:rPr>
      </w:pPr>
      <w:r>
        <w:rPr>
          <w:rFonts w:ascii="Arial" w:cs="Arial" w:eastAsia="Arial" w:hAnsi="Arial"/>
          <w:sz w:val="16"/>
          <w:szCs w:val="16"/>
          <w:color w:val="auto"/>
        </w:rPr>
        <w:t>As of December 31, 2020 and 2019, there were 1,177,165 and 657,101 unvested options, respectively. Total unrecognized expense related to unvested stock options was approximately $9.8 million and $5.2 million as of December 31, 2020 and 2019, respectively. Amounts are expected to be recognized over a weighted average period of approximately 2.9 and 2.0 years, respectively.</w:t>
      </w:r>
    </w:p>
    <w:p>
      <w:pPr>
        <w:spacing w:after="0" w:line="83" w:lineRule="exact"/>
        <w:rPr>
          <w:sz w:val="20"/>
          <w:szCs w:val="20"/>
          <w:color w:val="auto"/>
        </w:rPr>
      </w:pPr>
    </w:p>
    <w:p>
      <w:pPr>
        <w:ind w:left="460" w:right="160"/>
        <w:spacing w:after="0" w:line="265" w:lineRule="auto"/>
        <w:rPr>
          <w:sz w:val="20"/>
          <w:szCs w:val="20"/>
          <w:color w:val="auto"/>
        </w:rPr>
      </w:pPr>
      <w:r>
        <w:rPr>
          <w:rFonts w:ascii="Arial" w:cs="Arial" w:eastAsia="Arial" w:hAnsi="Arial"/>
          <w:sz w:val="16"/>
          <w:szCs w:val="16"/>
          <w:color w:val="auto"/>
        </w:rPr>
        <w:t>The following table presents the range and weighted-average assumptions, used in the Black-Scholes option pricing model to determine the fair value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53975</wp:posOffset>
            </wp:positionV>
            <wp:extent cx="6569075" cy="158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86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Year ended December 31,</w:t>
            </w:r>
          </w:p>
        </w:tc>
      </w:tr>
      <w:tr>
        <w:trPr>
          <w:trHeight w:val="183"/>
        </w:trPr>
        <w:tc>
          <w:tcPr>
            <w:tcW w:w="4860" w:type="dxa"/>
            <w:vAlign w:val="bottom"/>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2019</w:t>
            </w:r>
          </w:p>
        </w:tc>
      </w:tr>
      <w:tr>
        <w:trPr>
          <w:trHeight w:val="166"/>
        </w:trPr>
        <w:tc>
          <w:tcPr>
            <w:tcW w:w="4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jc w:val="right"/>
              <w:spacing w:after="0" w:line="166" w:lineRule="exact"/>
              <w:rPr>
                <w:sz w:val="20"/>
                <w:szCs w:val="20"/>
                <w:color w:val="auto"/>
              </w:rPr>
            </w:pPr>
            <w:r>
              <w:rPr>
                <w:rFonts w:ascii="Arial" w:cs="Arial" w:eastAsia="Arial" w:hAnsi="Arial"/>
                <w:sz w:val="16"/>
                <w:szCs w:val="16"/>
                <w:b w:val="1"/>
                <w:bCs w:val="1"/>
                <w:color w:val="auto"/>
              </w:rPr>
              <w:t>Weighted</w:t>
            </w: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tcPr>
          <w:p>
            <w:pPr>
              <w:jc w:val="right"/>
              <w:spacing w:after="0" w:line="166" w:lineRule="exact"/>
              <w:rPr>
                <w:sz w:val="20"/>
                <w:szCs w:val="20"/>
                <w:color w:val="auto"/>
              </w:rPr>
            </w:pPr>
            <w:r>
              <w:rPr>
                <w:rFonts w:ascii="Arial" w:cs="Arial" w:eastAsia="Arial" w:hAnsi="Arial"/>
                <w:sz w:val="16"/>
                <w:szCs w:val="16"/>
                <w:b w:val="1"/>
                <w:bCs w:val="1"/>
                <w:color w:val="auto"/>
              </w:rPr>
              <w:t>Weighted</w:t>
            </w:r>
          </w:p>
        </w:tc>
      </w:tr>
      <w:tr>
        <w:trPr>
          <w:trHeight w:val="207"/>
        </w:trPr>
        <w:tc>
          <w:tcPr>
            <w:tcW w:w="48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auto"/>
              </w:rPr>
              <w:t>Range</w:t>
            </w: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average</w:t>
            </w:r>
          </w:p>
        </w:tc>
        <w:tc>
          <w:tcPr>
            <w:tcW w:w="174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auto"/>
              </w:rPr>
              <w:t>Range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average</w:t>
            </w:r>
          </w:p>
        </w:tc>
      </w:tr>
      <w:tr>
        <w:trPr>
          <w:trHeight w:val="183"/>
        </w:trPr>
        <w:tc>
          <w:tcPr>
            <w:tcW w:w="48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Expected volatility</w:t>
            </w:r>
          </w:p>
        </w:tc>
        <w:tc>
          <w:tcPr>
            <w:tcW w:w="1720" w:type="dxa"/>
            <w:vAlign w:val="bottom"/>
            <w:shd w:val="clear" w:color="auto" w:fill="CCEEFF"/>
          </w:tcPr>
          <w:p>
            <w:pPr>
              <w:jc w:val="center"/>
              <w:ind w:right="38"/>
              <w:spacing w:after="0" w:line="183" w:lineRule="exact"/>
              <w:rPr>
                <w:sz w:val="20"/>
                <w:szCs w:val="20"/>
                <w:color w:val="auto"/>
              </w:rPr>
            </w:pPr>
            <w:r>
              <w:rPr>
                <w:rFonts w:ascii="Arial" w:cs="Arial" w:eastAsia="Arial" w:hAnsi="Arial"/>
                <w:sz w:val="16"/>
                <w:szCs w:val="16"/>
                <w:color w:val="auto"/>
              </w:rPr>
              <w:t>60.1% to 61.9%</w:t>
            </w:r>
          </w:p>
        </w:tc>
        <w:tc>
          <w:tcPr>
            <w:tcW w:w="960" w:type="dxa"/>
            <w:vAlign w:val="bottom"/>
            <w:shd w:val="clear" w:color="auto" w:fill="CCEEFF"/>
          </w:tcPr>
          <w:p>
            <w:pPr>
              <w:jc w:val="center"/>
              <w:spacing w:after="0" w:line="183" w:lineRule="exact"/>
              <w:rPr>
                <w:sz w:val="20"/>
                <w:szCs w:val="20"/>
                <w:color w:val="auto"/>
              </w:rPr>
            </w:pPr>
            <w:r>
              <w:rPr>
                <w:rFonts w:ascii="Arial" w:cs="Arial" w:eastAsia="Arial" w:hAnsi="Arial"/>
                <w:sz w:val="16"/>
                <w:szCs w:val="16"/>
                <w:color w:val="auto"/>
              </w:rPr>
              <w:t>61.2%</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center"/>
              <w:ind w:right="18"/>
              <w:spacing w:after="0" w:line="183" w:lineRule="exact"/>
              <w:rPr>
                <w:sz w:val="20"/>
                <w:szCs w:val="20"/>
                <w:color w:val="auto"/>
              </w:rPr>
            </w:pPr>
            <w:r>
              <w:rPr>
                <w:rFonts w:ascii="Arial" w:cs="Arial" w:eastAsia="Arial" w:hAnsi="Arial"/>
                <w:sz w:val="16"/>
                <w:szCs w:val="16"/>
                <w:color w:val="auto"/>
              </w:rPr>
              <w:t>52.0% to 54.2%</w:t>
            </w:r>
          </w:p>
        </w:tc>
        <w:tc>
          <w:tcPr>
            <w:tcW w:w="960" w:type="dxa"/>
            <w:vAlign w:val="bottom"/>
            <w:shd w:val="clear" w:color="auto" w:fill="CCEEFF"/>
          </w:tcPr>
          <w:p>
            <w:pPr>
              <w:jc w:val="center"/>
              <w:spacing w:after="0" w:line="183" w:lineRule="exact"/>
              <w:rPr>
                <w:sz w:val="20"/>
                <w:szCs w:val="20"/>
                <w:color w:val="auto"/>
              </w:rPr>
            </w:pPr>
            <w:r>
              <w:rPr>
                <w:rFonts w:ascii="Arial" w:cs="Arial" w:eastAsia="Arial" w:hAnsi="Arial"/>
                <w:sz w:val="16"/>
                <w:szCs w:val="16"/>
                <w:color w:val="auto"/>
              </w:rPr>
              <w:t>52.6%</w:t>
            </w:r>
          </w:p>
        </w:tc>
      </w:tr>
      <w:tr>
        <w:trPr>
          <w:trHeight w:val="190"/>
        </w:trPr>
        <w:tc>
          <w:tcPr>
            <w:tcW w:w="486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720" w:type="dxa"/>
            <w:vAlign w:val="bottom"/>
          </w:tcPr>
          <w:p>
            <w:pPr>
              <w:jc w:val="center"/>
              <w:ind w:right="18"/>
              <w:spacing w:after="0"/>
              <w:rPr>
                <w:sz w:val="20"/>
                <w:szCs w:val="20"/>
                <w:color w:val="auto"/>
              </w:rPr>
            </w:pPr>
            <w:r>
              <w:rPr>
                <w:rFonts w:ascii="Arial" w:cs="Arial" w:eastAsia="Arial" w:hAnsi="Arial"/>
                <w:sz w:val="16"/>
                <w:szCs w:val="16"/>
                <w:color w:val="auto"/>
              </w:rPr>
              <w:t>0.3% to 0.9%</w:t>
            </w:r>
          </w:p>
        </w:tc>
        <w:tc>
          <w:tcPr>
            <w:tcW w:w="960" w:type="dxa"/>
            <w:vAlign w:val="bottom"/>
          </w:tcPr>
          <w:p>
            <w:pPr>
              <w:jc w:val="center"/>
              <w:spacing w:after="0"/>
              <w:rPr>
                <w:sz w:val="20"/>
                <w:szCs w:val="20"/>
                <w:color w:val="auto"/>
              </w:rPr>
            </w:pPr>
            <w:r>
              <w:rPr>
                <w:rFonts w:ascii="Arial" w:cs="Arial" w:eastAsia="Arial" w:hAnsi="Arial"/>
                <w:sz w:val="16"/>
                <w:szCs w:val="16"/>
                <w:color w:val="auto"/>
                <w:w w:val="98"/>
              </w:rPr>
              <w:t>0.4%</w:t>
            </w:r>
          </w:p>
        </w:tc>
        <w:tc>
          <w:tcPr>
            <w:tcW w:w="100" w:type="dxa"/>
            <w:vAlign w:val="bottom"/>
          </w:tcPr>
          <w:p>
            <w:pPr>
              <w:spacing w:after="0"/>
              <w:rPr>
                <w:sz w:val="16"/>
                <w:szCs w:val="16"/>
                <w:color w:val="auto"/>
              </w:rPr>
            </w:pPr>
          </w:p>
        </w:tc>
        <w:tc>
          <w:tcPr>
            <w:tcW w:w="1740" w:type="dxa"/>
            <w:vAlign w:val="bottom"/>
          </w:tcPr>
          <w:p>
            <w:pPr>
              <w:jc w:val="center"/>
              <w:ind w:right="38"/>
              <w:spacing w:after="0"/>
              <w:rPr>
                <w:sz w:val="20"/>
                <w:szCs w:val="20"/>
                <w:color w:val="auto"/>
              </w:rPr>
            </w:pPr>
            <w:r>
              <w:rPr>
                <w:rFonts w:ascii="Arial" w:cs="Arial" w:eastAsia="Arial" w:hAnsi="Arial"/>
                <w:sz w:val="16"/>
                <w:szCs w:val="16"/>
                <w:color w:val="auto"/>
              </w:rPr>
              <w:t>1.8% to 2.7%</w:t>
            </w:r>
          </w:p>
        </w:tc>
        <w:tc>
          <w:tcPr>
            <w:tcW w:w="960" w:type="dxa"/>
            <w:vAlign w:val="bottom"/>
          </w:tcPr>
          <w:p>
            <w:pPr>
              <w:jc w:val="center"/>
              <w:spacing w:after="0"/>
              <w:rPr>
                <w:sz w:val="20"/>
                <w:szCs w:val="20"/>
                <w:color w:val="auto"/>
              </w:rPr>
            </w:pPr>
            <w:r>
              <w:rPr>
                <w:rFonts w:ascii="Arial" w:cs="Arial" w:eastAsia="Arial" w:hAnsi="Arial"/>
                <w:sz w:val="16"/>
                <w:szCs w:val="16"/>
                <w:color w:val="auto"/>
              </w:rPr>
              <w:t>2.4%</w:t>
            </w:r>
          </w:p>
        </w:tc>
      </w:tr>
      <w:tr>
        <w:trPr>
          <w:trHeight w:val="190"/>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Expected life (in years)</w:t>
            </w:r>
          </w:p>
        </w:tc>
        <w:tc>
          <w:tcPr>
            <w:tcW w:w="172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rPr>
              <w:t>5.52 to 10.0 years</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6.11 years</w:t>
            </w:r>
          </w:p>
        </w:tc>
        <w:tc>
          <w:tcPr>
            <w:tcW w:w="1740" w:type="dxa"/>
            <w:vAlign w:val="bottom"/>
            <w:shd w:val="clear" w:color="auto" w:fill="CCEEFF"/>
          </w:tcPr>
          <w:p>
            <w:pPr>
              <w:jc w:val="center"/>
              <w:ind w:right="18"/>
              <w:spacing w:after="0"/>
              <w:rPr>
                <w:sz w:val="20"/>
                <w:szCs w:val="20"/>
                <w:color w:val="auto"/>
              </w:rPr>
            </w:pPr>
            <w:r>
              <w:rPr>
                <w:rFonts w:ascii="Arial" w:cs="Arial" w:eastAsia="Arial" w:hAnsi="Arial"/>
                <w:sz w:val="16"/>
                <w:szCs w:val="16"/>
                <w:color w:val="auto"/>
              </w:rPr>
              <w:t>5.52 to 10.0 years</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6.11 years</w:t>
            </w:r>
          </w:p>
        </w:tc>
      </w:tr>
      <w:tr>
        <w:trPr>
          <w:trHeight w:val="190"/>
        </w:trPr>
        <w:tc>
          <w:tcPr>
            <w:tcW w:w="486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1720" w:type="dxa"/>
            <w:vAlign w:val="bottom"/>
          </w:tcPr>
          <w:p>
            <w:pPr>
              <w:jc w:val="right"/>
              <w:ind w:right="638"/>
              <w:spacing w:after="0"/>
              <w:rPr>
                <w:sz w:val="20"/>
                <w:szCs w:val="20"/>
                <w:color w:val="auto"/>
              </w:rPr>
            </w:pPr>
            <w:r>
              <w:rPr>
                <w:rFonts w:ascii="Arial" w:cs="Arial" w:eastAsia="Arial" w:hAnsi="Arial"/>
                <w:sz w:val="16"/>
                <w:szCs w:val="16"/>
                <w:color w:val="auto"/>
              </w:rPr>
              <w:t>0.0%</w:t>
            </w:r>
          </w:p>
        </w:tc>
        <w:tc>
          <w:tcPr>
            <w:tcW w:w="960" w:type="dxa"/>
            <w:vAlign w:val="bottom"/>
          </w:tcPr>
          <w:p>
            <w:pPr>
              <w:jc w:val="center"/>
              <w:spacing w:after="0"/>
              <w:rPr>
                <w:sz w:val="20"/>
                <w:szCs w:val="20"/>
                <w:color w:val="auto"/>
              </w:rPr>
            </w:pPr>
            <w:r>
              <w:rPr>
                <w:rFonts w:ascii="Arial" w:cs="Arial" w:eastAsia="Arial" w:hAnsi="Arial"/>
                <w:sz w:val="16"/>
                <w:szCs w:val="16"/>
                <w:color w:val="auto"/>
                <w:w w:val="98"/>
              </w:rPr>
              <w:t>0.0%</w:t>
            </w:r>
          </w:p>
        </w:tc>
        <w:tc>
          <w:tcPr>
            <w:tcW w:w="100" w:type="dxa"/>
            <w:vAlign w:val="bottom"/>
          </w:tcPr>
          <w:p>
            <w:pPr>
              <w:spacing w:after="0"/>
              <w:rPr>
                <w:sz w:val="16"/>
                <w:szCs w:val="16"/>
                <w:color w:val="auto"/>
              </w:rPr>
            </w:pPr>
          </w:p>
        </w:tc>
        <w:tc>
          <w:tcPr>
            <w:tcW w:w="1740" w:type="dxa"/>
            <w:vAlign w:val="bottom"/>
          </w:tcPr>
          <w:p>
            <w:pPr>
              <w:jc w:val="center"/>
              <w:ind w:right="38"/>
              <w:spacing w:after="0"/>
              <w:rPr>
                <w:sz w:val="20"/>
                <w:szCs w:val="20"/>
                <w:color w:val="auto"/>
              </w:rPr>
            </w:pPr>
            <w:r>
              <w:rPr>
                <w:rFonts w:ascii="Arial" w:cs="Arial" w:eastAsia="Arial" w:hAnsi="Arial"/>
                <w:sz w:val="16"/>
                <w:szCs w:val="16"/>
                <w:color w:val="auto"/>
              </w:rPr>
              <w:t>0.0%</w:t>
            </w:r>
          </w:p>
        </w:tc>
        <w:tc>
          <w:tcPr>
            <w:tcW w:w="960" w:type="dxa"/>
            <w:vAlign w:val="bottom"/>
          </w:tcPr>
          <w:p>
            <w:pPr>
              <w:jc w:val="center"/>
              <w:spacing w:after="0"/>
              <w:rPr>
                <w:sz w:val="20"/>
                <w:szCs w:val="20"/>
                <w:color w:val="auto"/>
              </w:rPr>
            </w:pPr>
            <w:r>
              <w:rPr>
                <w:rFonts w:ascii="Arial" w:cs="Arial" w:eastAsia="Arial" w:hAnsi="Arial"/>
                <w:sz w:val="16"/>
                <w:szCs w:val="16"/>
                <w:color w:val="auto"/>
              </w:rPr>
              <w:t>0.0%</w:t>
            </w:r>
          </w:p>
        </w:tc>
      </w:tr>
      <w:tr>
        <w:trPr>
          <w:trHeight w:val="190"/>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Grant date fair value</w:t>
            </w:r>
          </w:p>
        </w:tc>
        <w:tc>
          <w:tcPr>
            <w:tcW w:w="1720" w:type="dxa"/>
            <w:vAlign w:val="bottom"/>
            <w:shd w:val="clear" w:color="auto" w:fill="CCEEFF"/>
          </w:tcPr>
          <w:p>
            <w:pPr>
              <w:jc w:val="right"/>
              <w:ind w:right="618"/>
              <w:spacing w:after="0"/>
              <w:rPr>
                <w:sz w:val="20"/>
                <w:szCs w:val="20"/>
                <w:color w:val="auto"/>
              </w:rPr>
            </w:pPr>
            <w:r>
              <w:rPr>
                <w:rFonts w:ascii="Arial" w:cs="Arial" w:eastAsia="Arial" w:hAnsi="Arial"/>
                <w:sz w:val="16"/>
                <w:szCs w:val="16"/>
                <w:color w:val="auto"/>
              </w:rPr>
              <w:t>$1.46</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$1.46</w:t>
            </w: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rPr>
              <w:t>$0.38 to $2.23</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$2.16</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Awards to non-employees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Expenses related to stock options issued to non-employees have been calculated using the fair value of the</w:t>
      </w:r>
    </w:p>
    <w:p>
      <w:pPr>
        <w:spacing w:after="0" w:line="6" w:lineRule="exact"/>
        <w:rPr>
          <w:sz w:val="20"/>
          <w:szCs w:val="20"/>
          <w:color w:val="auto"/>
        </w:rPr>
      </w:pPr>
    </w:p>
    <w:p>
      <w:pPr>
        <w:ind w:left="460" w:right="140"/>
        <w:spacing w:after="0" w:line="265" w:lineRule="auto"/>
        <w:rPr>
          <w:sz w:val="20"/>
          <w:szCs w:val="20"/>
          <w:color w:val="auto"/>
        </w:rPr>
      </w:pPr>
      <w:r>
        <w:rPr>
          <w:rFonts w:ascii="Arial" w:cs="Arial" w:eastAsia="Arial" w:hAnsi="Arial"/>
          <w:sz w:val="16"/>
          <w:szCs w:val="16"/>
          <w:color w:val="auto"/>
        </w:rPr>
        <w:t>options at the date of grant based on the Black-Scholes option pricing model using assumptions consistent with those used for stock options issued to employees, except that the contractual term used is the expected term.</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0800"/>
          </w:cols>
          <w:pgMar w:left="320" w:top="440" w:right="779" w:bottom="1440" w:gutter="0" w:footer="0" w:header="0"/>
        </w:sectPr>
      </w:pPr>
    </w:p>
    <w:bookmarkStart w:id="260" w:name="page261"/>
    <w:bookmarkEnd w:id="2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80"/>
        <w:spacing w:after="0" w:line="251" w:lineRule="auto"/>
        <w:rPr>
          <w:sz w:val="20"/>
          <w:szCs w:val="20"/>
          <w:color w:val="auto"/>
        </w:rPr>
      </w:pPr>
      <w:r>
        <w:rPr>
          <w:rFonts w:ascii="Arial" w:cs="Arial" w:eastAsia="Arial" w:hAnsi="Arial"/>
          <w:sz w:val="16"/>
          <w:szCs w:val="16"/>
          <w:color w:val="auto"/>
        </w:rPr>
        <w:t>Expense is recorded as services are provided by the non-employee. As of December 31, 2020, the 4,201,935 outstanding options were comprised of 3,327,095 options granted to employees and 874,840 options granted to non-employees. As of December 31, 2019, the 3,473,757 outstanding options were comprised of 2,437,852 options granted to employees and 1,035,905 options granted to non-employees. During the years ended December 31, 2020 and 2019, the Company granted 19,360 and 29,040 shares to non-employees, respectively. Expense related to stock options issued to non-employees was $419,000 and $1.7 million for the years ended December 31, 2020 and 2019, respectively.</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Performance-based awards</w:t>
      </w:r>
    </w:p>
    <w:p>
      <w:pPr>
        <w:spacing w:after="0" w:line="124" w:lineRule="exact"/>
        <w:rPr>
          <w:sz w:val="20"/>
          <w:szCs w:val="20"/>
          <w:color w:val="auto"/>
        </w:rPr>
      </w:pPr>
    </w:p>
    <w:p>
      <w:pPr>
        <w:ind w:left="460" w:right="20"/>
        <w:spacing w:after="0" w:line="253" w:lineRule="auto"/>
        <w:rPr>
          <w:sz w:val="20"/>
          <w:szCs w:val="20"/>
          <w:color w:val="auto"/>
        </w:rPr>
      </w:pPr>
      <w:r>
        <w:rPr>
          <w:rFonts w:ascii="Arial" w:cs="Arial" w:eastAsia="Arial" w:hAnsi="Arial"/>
          <w:sz w:val="16"/>
          <w:szCs w:val="16"/>
          <w:color w:val="auto"/>
        </w:rPr>
        <w:t>During 2018, the Board approved performance-based stock options for two employees with vesting based on the attainment of certain performance conditions during the years ended December 31, 2019 and 2018. Performance conditions were not met in either year. Therefore, no expense related to redeemable stock options was recorded related to these performance-based awards during the year ended December 31, 2019, and they were cancelled as of December 31, 2019.</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13—Income taxes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components of income before income taxes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0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4"/>
          </w:tcPr>
          <w:p>
            <w:pPr>
              <w:ind w:left="100"/>
              <w:spacing w:after="0"/>
              <w:rPr>
                <w:sz w:val="20"/>
                <w:szCs w:val="20"/>
                <w:color w:val="auto"/>
              </w:rPr>
            </w:pPr>
            <w:r>
              <w:rPr>
                <w:rFonts w:ascii="Arial" w:cs="Arial" w:eastAsia="Arial" w:hAnsi="Arial"/>
                <w:sz w:val="16"/>
                <w:szCs w:val="16"/>
                <w:b w:val="1"/>
                <w:bCs w:val="1"/>
                <w:color w:val="auto"/>
              </w:rPr>
              <w:t>Year ended December 31,</w:t>
            </w:r>
          </w:p>
        </w:tc>
      </w:tr>
      <w:tr>
        <w:trPr>
          <w:trHeight w:val="208"/>
        </w:trPr>
        <w:tc>
          <w:tcPr>
            <w:tcW w:w="50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18"/>
                <w:szCs w:val="18"/>
                <w:color w:val="auto"/>
              </w:rPr>
            </w:pPr>
          </w:p>
        </w:tc>
      </w:tr>
      <w:tr>
        <w:trPr>
          <w:trHeight w:val="183"/>
        </w:trPr>
        <w:tc>
          <w:tcPr>
            <w:tcW w:w="50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U.S. income before taxes</w:t>
            </w:r>
          </w:p>
        </w:tc>
        <w:tc>
          <w:tcPr>
            <w:tcW w:w="318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58"/>
              <w:spacing w:after="0" w:line="183" w:lineRule="exact"/>
              <w:rPr>
                <w:sz w:val="20"/>
                <w:szCs w:val="20"/>
                <w:color w:val="auto"/>
              </w:rPr>
            </w:pPr>
            <w:r>
              <w:rPr>
                <w:rFonts w:ascii="Arial" w:cs="Arial" w:eastAsia="Arial" w:hAnsi="Arial"/>
                <w:sz w:val="16"/>
                <w:szCs w:val="16"/>
                <w:color w:val="auto"/>
              </w:rPr>
              <w:t>27,577</w:t>
            </w:r>
          </w:p>
        </w:tc>
        <w:tc>
          <w:tcPr>
            <w:tcW w:w="460" w:type="dxa"/>
            <w:vAlign w:val="bottom"/>
            <w:shd w:val="clear" w:color="auto" w:fill="CCEEFF"/>
          </w:tcPr>
          <w:p>
            <w:pPr>
              <w:jc w:val="right"/>
              <w:ind w:right="38"/>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126,145</w:t>
            </w:r>
          </w:p>
        </w:tc>
        <w:tc>
          <w:tcPr>
            <w:tcW w:w="40" w:type="dxa"/>
            <w:vAlign w:val="bottom"/>
            <w:shd w:val="clear" w:color="auto" w:fill="CCEEFF"/>
          </w:tcPr>
          <w:p>
            <w:pPr>
              <w:spacing w:after="0"/>
              <w:rPr>
                <w:sz w:val="15"/>
                <w:szCs w:val="15"/>
                <w:color w:val="auto"/>
              </w:rPr>
            </w:pPr>
          </w:p>
        </w:tc>
      </w:tr>
      <w:tr>
        <w:trPr>
          <w:trHeight w:val="196"/>
        </w:trPr>
        <w:tc>
          <w:tcPr>
            <w:tcW w:w="5000" w:type="dxa"/>
            <w:vAlign w:val="bottom"/>
          </w:tcPr>
          <w:p>
            <w:pPr>
              <w:spacing w:after="0"/>
              <w:rPr>
                <w:sz w:val="20"/>
                <w:szCs w:val="20"/>
                <w:color w:val="auto"/>
              </w:rPr>
            </w:pPr>
            <w:r>
              <w:rPr>
                <w:rFonts w:ascii="Arial" w:cs="Arial" w:eastAsia="Arial" w:hAnsi="Arial"/>
                <w:sz w:val="16"/>
                <w:szCs w:val="16"/>
                <w:color w:val="auto"/>
              </w:rPr>
              <w:t>Foreign income before taxes</w:t>
            </w:r>
          </w:p>
        </w:tc>
        <w:tc>
          <w:tcPr>
            <w:tcW w:w="2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55</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40" w:type="dxa"/>
            <w:vAlign w:val="bottom"/>
          </w:tcPr>
          <w:p>
            <w:pPr>
              <w:spacing w:after="0"/>
              <w:rPr>
                <w:sz w:val="17"/>
                <w:szCs w:val="17"/>
                <w:color w:val="auto"/>
              </w:rPr>
            </w:pPr>
          </w:p>
        </w:tc>
      </w:tr>
      <w:tr>
        <w:trPr>
          <w:trHeight w:val="190"/>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3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27,632</w:t>
            </w:r>
          </w:p>
        </w:tc>
        <w:tc>
          <w:tcPr>
            <w:tcW w:w="4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126,244</w:t>
            </w:r>
          </w:p>
        </w:tc>
        <w:tc>
          <w:tcPr>
            <w:tcW w:w="40" w:type="dxa"/>
            <w:vAlign w:val="bottom"/>
            <w:shd w:val="clear" w:color="auto" w:fill="CCEEFF"/>
          </w:tcPr>
          <w:p>
            <w:pPr>
              <w:spacing w:after="0"/>
              <w:rPr>
                <w:sz w:val="16"/>
                <w:szCs w:val="16"/>
                <w:color w:val="auto"/>
              </w:rPr>
            </w:pPr>
          </w:p>
        </w:tc>
      </w:tr>
      <w:tr>
        <w:trPr>
          <w:trHeight w:val="20"/>
        </w:trPr>
        <w:tc>
          <w:tcPr>
            <w:tcW w:w="8180" w:type="dxa"/>
            <w:vAlign w:val="bottom"/>
            <w:tcBorders>
              <w:bottom w:val="single" w:sz="8" w:color="auto"/>
            </w:tcBorders>
            <w:gridSpan w:val="3"/>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7"/>
        </w:trPr>
        <w:tc>
          <w:tcPr>
            <w:tcW w:w="8180" w:type="dxa"/>
            <w:vAlign w:val="bottom"/>
            <w:gridSpan w:val="3"/>
          </w:tcPr>
          <w:p>
            <w:pPr>
              <w:spacing w:after="0"/>
              <w:rPr>
                <w:sz w:val="20"/>
                <w:szCs w:val="20"/>
                <w:color w:val="auto"/>
              </w:rPr>
            </w:pPr>
            <w:r>
              <w:rPr>
                <w:rFonts w:ascii="Arial" w:cs="Arial" w:eastAsia="Arial" w:hAnsi="Arial"/>
                <w:sz w:val="16"/>
                <w:szCs w:val="16"/>
                <w:color w:val="auto"/>
              </w:rPr>
              <w:t>Income tax expense for the years ended December 31, 2020 and 2019 consists of the following (in thousands):</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66040</wp:posOffset>
            </wp:positionV>
            <wp:extent cx="6569075" cy="158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6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2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Year ended December 31,</w:t>
            </w:r>
          </w:p>
        </w:tc>
      </w:tr>
      <w:tr>
        <w:trPr>
          <w:trHeight w:val="208"/>
        </w:trPr>
        <w:tc>
          <w:tcPr>
            <w:tcW w:w="362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3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r>
      <w:tr>
        <w:trPr>
          <w:trHeight w:val="43"/>
        </w:trPr>
        <w:tc>
          <w:tcPr>
            <w:tcW w:w="3620" w:type="dxa"/>
            <w:vAlign w:val="bottom"/>
          </w:tcPr>
          <w:p>
            <w:pPr>
              <w:spacing w:after="0"/>
              <w:rPr>
                <w:sz w:val="3"/>
                <w:szCs w:val="3"/>
                <w:color w:val="auto"/>
              </w:rPr>
            </w:pPr>
          </w:p>
        </w:tc>
        <w:tc>
          <w:tcPr>
            <w:tcW w:w="3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0"/>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Current:</w:t>
            </w:r>
          </w:p>
        </w:tc>
        <w:tc>
          <w:tcPr>
            <w:tcW w:w="3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3620" w:type="dxa"/>
            <w:vAlign w:val="bottom"/>
          </w:tcPr>
          <w:p>
            <w:pPr>
              <w:ind w:left="200"/>
              <w:spacing w:after="0"/>
              <w:rPr>
                <w:sz w:val="20"/>
                <w:szCs w:val="20"/>
                <w:color w:val="auto"/>
              </w:rPr>
            </w:pPr>
            <w:r>
              <w:rPr>
                <w:rFonts w:ascii="Arial" w:cs="Arial" w:eastAsia="Arial" w:hAnsi="Arial"/>
                <w:sz w:val="16"/>
                <w:szCs w:val="16"/>
                <w:color w:val="auto"/>
              </w:rPr>
              <w:t>Federal</w:t>
            </w:r>
          </w:p>
        </w:tc>
        <w:tc>
          <w:tcPr>
            <w:tcW w:w="3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0"/>
        </w:trPr>
        <w:tc>
          <w:tcPr>
            <w:tcW w:w="3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State</w:t>
            </w:r>
          </w:p>
        </w:tc>
        <w:tc>
          <w:tcPr>
            <w:tcW w:w="3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6"/>
                <w:szCs w:val="16"/>
                <w:color w:val="auto"/>
              </w:rPr>
            </w:pPr>
          </w:p>
        </w:tc>
      </w:tr>
      <w:tr>
        <w:trPr>
          <w:trHeight w:val="196"/>
        </w:trPr>
        <w:tc>
          <w:tcPr>
            <w:tcW w:w="3620" w:type="dxa"/>
            <w:vAlign w:val="bottom"/>
          </w:tcPr>
          <w:p>
            <w:pPr>
              <w:ind w:left="200"/>
              <w:spacing w:after="0"/>
              <w:rPr>
                <w:sz w:val="20"/>
                <w:szCs w:val="20"/>
                <w:color w:val="auto"/>
              </w:rPr>
            </w:pPr>
            <w:r>
              <w:rPr>
                <w:rFonts w:ascii="Arial" w:cs="Arial" w:eastAsia="Arial" w:hAnsi="Arial"/>
                <w:sz w:val="16"/>
                <w:szCs w:val="16"/>
                <w:color w:val="auto"/>
              </w:rPr>
              <w:t>Foreign</w:t>
            </w:r>
          </w:p>
        </w:tc>
        <w:tc>
          <w:tcPr>
            <w:tcW w:w="36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r>
      <w:tr>
        <w:trPr>
          <w:trHeight w:val="190"/>
        </w:trPr>
        <w:tc>
          <w:tcPr>
            <w:tcW w:w="3620" w:type="dxa"/>
            <w:vAlign w:val="bottom"/>
            <w:shd w:val="clear" w:color="auto" w:fill="CCEEFF"/>
          </w:tcPr>
          <w:p>
            <w:pPr>
              <w:spacing w:after="0"/>
              <w:rPr>
                <w:sz w:val="16"/>
                <w:szCs w:val="16"/>
                <w:color w:val="auto"/>
              </w:rPr>
            </w:pPr>
          </w:p>
        </w:tc>
        <w:tc>
          <w:tcPr>
            <w:tcW w:w="36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6"/>
                <w:szCs w:val="16"/>
                <w:color w:val="auto"/>
              </w:rPr>
            </w:pPr>
          </w:p>
        </w:tc>
      </w:tr>
      <w:tr>
        <w:trPr>
          <w:trHeight w:val="259"/>
        </w:trPr>
        <w:tc>
          <w:tcPr>
            <w:tcW w:w="3620" w:type="dxa"/>
            <w:vAlign w:val="bottom"/>
          </w:tcPr>
          <w:p>
            <w:pPr>
              <w:spacing w:after="0"/>
              <w:rPr>
                <w:sz w:val="20"/>
                <w:szCs w:val="20"/>
                <w:color w:val="auto"/>
              </w:rPr>
            </w:pPr>
            <w:r>
              <w:rPr>
                <w:rFonts w:ascii="Arial" w:cs="Arial" w:eastAsia="Arial" w:hAnsi="Arial"/>
                <w:sz w:val="16"/>
                <w:szCs w:val="16"/>
                <w:color w:val="auto"/>
              </w:rPr>
              <w:t>Deferred:</w:t>
            </w:r>
          </w:p>
        </w:tc>
        <w:tc>
          <w:tcPr>
            <w:tcW w:w="3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0"/>
        </w:trPr>
        <w:tc>
          <w:tcPr>
            <w:tcW w:w="3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Federal</w:t>
            </w:r>
          </w:p>
        </w:tc>
        <w:tc>
          <w:tcPr>
            <w:tcW w:w="3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(7,179)</w:t>
            </w:r>
          </w:p>
        </w:tc>
        <w:tc>
          <w:tcPr>
            <w:tcW w:w="1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(6,909)</w:t>
            </w:r>
          </w:p>
        </w:tc>
      </w:tr>
      <w:tr>
        <w:trPr>
          <w:trHeight w:val="190"/>
        </w:trPr>
        <w:tc>
          <w:tcPr>
            <w:tcW w:w="3620" w:type="dxa"/>
            <w:vAlign w:val="bottom"/>
          </w:tcPr>
          <w:p>
            <w:pPr>
              <w:ind w:left="200"/>
              <w:spacing w:after="0"/>
              <w:rPr>
                <w:sz w:val="20"/>
                <w:szCs w:val="20"/>
                <w:color w:val="auto"/>
              </w:rPr>
            </w:pPr>
            <w:r>
              <w:rPr>
                <w:rFonts w:ascii="Arial" w:cs="Arial" w:eastAsia="Arial" w:hAnsi="Arial"/>
                <w:sz w:val="16"/>
                <w:szCs w:val="16"/>
                <w:color w:val="auto"/>
              </w:rPr>
              <w:t>State</w:t>
            </w: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(2,642)</w:t>
            </w:r>
          </w:p>
        </w:tc>
        <w:tc>
          <w:tcPr>
            <w:tcW w:w="136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(2,283)</w:t>
            </w:r>
          </w:p>
        </w:tc>
      </w:tr>
      <w:tr>
        <w:trPr>
          <w:trHeight w:val="190"/>
        </w:trPr>
        <w:tc>
          <w:tcPr>
            <w:tcW w:w="3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w:t>
            </w:r>
          </w:p>
        </w:tc>
        <w:tc>
          <w:tcPr>
            <w:tcW w:w="36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r>
      <w:tr>
        <w:trPr>
          <w:trHeight w:val="201"/>
        </w:trPr>
        <w:tc>
          <w:tcPr>
            <w:tcW w:w="36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(9,821)</w:t>
            </w:r>
          </w:p>
        </w:tc>
        <w:tc>
          <w:tcPr>
            <w:tcW w:w="13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(9,192)</w:t>
            </w:r>
          </w:p>
        </w:tc>
      </w:tr>
      <w:tr>
        <w:trPr>
          <w:trHeight w:val="190"/>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Change in valuation allowance</w:t>
            </w:r>
          </w:p>
        </w:tc>
        <w:tc>
          <w:tcPr>
            <w:tcW w:w="3660" w:type="dxa"/>
            <w:vAlign w:val="bottom"/>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9,821</w:t>
            </w:r>
          </w:p>
        </w:tc>
        <w:tc>
          <w:tcPr>
            <w:tcW w:w="136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9,192</w:t>
            </w:r>
          </w:p>
        </w:tc>
        <w:tc>
          <w:tcPr>
            <w:tcW w:w="100" w:type="dxa"/>
            <w:vAlign w:val="bottom"/>
            <w:shd w:val="clear" w:color="auto" w:fill="CCEEFF"/>
          </w:tcPr>
          <w:p>
            <w:pPr>
              <w:spacing w:after="0"/>
              <w:rPr>
                <w:sz w:val="16"/>
                <w:szCs w:val="16"/>
                <w:color w:val="auto"/>
              </w:rPr>
            </w:pPr>
          </w:p>
        </w:tc>
      </w:tr>
      <w:tr>
        <w:trPr>
          <w:trHeight w:val="207"/>
        </w:trPr>
        <w:tc>
          <w:tcPr>
            <w:tcW w:w="3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Income tax expense</w:t>
            </w:r>
          </w:p>
        </w:tc>
        <w:tc>
          <w:tcPr>
            <w:tcW w:w="39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36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r>
      <w:tr>
        <w:trPr>
          <w:trHeight w:val="334"/>
        </w:trPr>
        <w:tc>
          <w:tcPr>
            <w:tcW w:w="3620" w:type="dxa"/>
            <w:vAlign w:val="bottom"/>
          </w:tcPr>
          <w:p>
            <w:pPr>
              <w:spacing w:after="0"/>
              <w:rPr>
                <w:sz w:val="24"/>
                <w:szCs w:val="24"/>
                <w:color w:val="auto"/>
              </w:rPr>
            </w:pPr>
          </w:p>
        </w:tc>
        <w:tc>
          <w:tcPr>
            <w:tcW w:w="3900" w:type="dxa"/>
            <w:vAlign w:val="bottom"/>
            <w:gridSpan w:val="2"/>
          </w:tcPr>
          <w:p>
            <w:pPr>
              <w:jc w:val="right"/>
              <w:ind w:right="2180"/>
              <w:spacing w:after="0"/>
              <w:rPr>
                <w:sz w:val="20"/>
                <w:szCs w:val="20"/>
                <w:color w:val="auto"/>
              </w:rPr>
            </w:pPr>
            <w:r>
              <w:rPr>
                <w:rFonts w:ascii="Arial" w:cs="Arial" w:eastAsia="Arial" w:hAnsi="Arial"/>
                <w:sz w:val="16"/>
                <w:szCs w:val="16"/>
                <w:color w:val="auto"/>
              </w:rPr>
              <w:t>F-35</w:t>
            </w: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800"/>
          </w:cols>
          <w:pgMar w:left="320" w:top="441" w:right="779" w:bottom="1440" w:gutter="0" w:footer="0" w:header="0"/>
        </w:sectPr>
      </w:pPr>
    </w:p>
    <w:bookmarkStart w:id="261" w:name="page262"/>
    <w:bookmarkEnd w:id="2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significant components that comprised the Company’s net deferred taxes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800" w:type="dxa"/>
            <w:vAlign w:val="bottom"/>
            <w:gridSpan w:val="3"/>
          </w:tcPr>
          <w:p>
            <w:pPr>
              <w:ind w:left="2420"/>
              <w:spacing w:after="0"/>
              <w:rPr>
                <w:sz w:val="20"/>
                <w:szCs w:val="20"/>
                <w:color w:val="auto"/>
              </w:rPr>
            </w:pPr>
            <w:r>
              <w:rPr>
                <w:rFonts w:ascii="Arial" w:cs="Arial" w:eastAsia="Arial" w:hAnsi="Arial"/>
                <w:sz w:val="16"/>
                <w:szCs w:val="16"/>
                <w:b w:val="1"/>
                <w:bCs w:val="1"/>
                <w:color w:val="auto"/>
              </w:rPr>
              <w:t>December 31,</w:t>
            </w:r>
          </w:p>
        </w:tc>
        <w:tc>
          <w:tcPr>
            <w:tcW w:w="1440" w:type="dxa"/>
            <w:vAlign w:val="bottom"/>
            <w:gridSpan w:val="3"/>
          </w:tcPr>
          <w:p>
            <w:pPr>
              <w:ind w:left="260"/>
              <w:spacing w:after="0"/>
              <w:rPr>
                <w:sz w:val="20"/>
                <w:szCs w:val="20"/>
                <w:color w:val="auto"/>
              </w:rPr>
            </w:pPr>
            <w:r>
              <w:rPr>
                <w:rFonts w:ascii="Arial" w:cs="Arial" w:eastAsia="Arial" w:hAnsi="Arial"/>
                <w:sz w:val="16"/>
                <w:szCs w:val="16"/>
                <w:b w:val="1"/>
                <w:bCs w:val="1"/>
                <w:color w:val="auto"/>
              </w:rPr>
              <w:t>December 31,</w:t>
            </w:r>
          </w:p>
        </w:tc>
      </w:tr>
      <w:tr>
        <w:trPr>
          <w:trHeight w:val="207"/>
        </w:trPr>
        <w:tc>
          <w:tcPr>
            <w:tcW w:w="51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r>
      <w:tr>
        <w:trPr>
          <w:trHeight w:val="43"/>
        </w:trPr>
        <w:tc>
          <w:tcPr>
            <w:tcW w:w="51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0"/>
        </w:trPr>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2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5100" w:type="dxa"/>
            <w:vAlign w:val="bottom"/>
          </w:tcPr>
          <w:p>
            <w:pPr>
              <w:ind w:left="200"/>
              <w:spacing w:after="0"/>
              <w:rPr>
                <w:sz w:val="20"/>
                <w:szCs w:val="20"/>
                <w:color w:val="auto"/>
              </w:rPr>
            </w:pPr>
            <w:r>
              <w:rPr>
                <w:rFonts w:ascii="Arial" w:cs="Arial" w:eastAsia="Arial" w:hAnsi="Arial"/>
                <w:sz w:val="16"/>
                <w:szCs w:val="16"/>
                <w:color w:val="auto"/>
              </w:rPr>
              <w:t>Net operating loss</w:t>
            </w:r>
          </w:p>
        </w:tc>
        <w:tc>
          <w:tcPr>
            <w:tcW w:w="2720" w:type="dxa"/>
            <w:vAlign w:val="bottom"/>
            <w:gridSpan w:val="2"/>
          </w:tcPr>
          <w:p>
            <w:pPr>
              <w:ind w:left="24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8"/>
              <w:spacing w:after="0"/>
              <w:rPr>
                <w:sz w:val="20"/>
                <w:szCs w:val="20"/>
                <w:color w:val="auto"/>
              </w:rPr>
            </w:pPr>
            <w:r>
              <w:rPr>
                <w:rFonts w:ascii="Arial" w:cs="Arial" w:eastAsia="Arial" w:hAnsi="Arial"/>
                <w:sz w:val="16"/>
                <w:szCs w:val="16"/>
                <w:color w:val="auto"/>
              </w:rPr>
              <w:t>52,138</w:t>
            </w:r>
          </w:p>
        </w:tc>
        <w:tc>
          <w:tcPr>
            <w:tcW w:w="560" w:type="dxa"/>
            <w:vAlign w:val="bottom"/>
          </w:tcPr>
          <w:p>
            <w:pPr>
              <w:ind w:left="2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43,277</w:t>
            </w:r>
          </w:p>
        </w:tc>
        <w:tc>
          <w:tcPr>
            <w:tcW w:w="100" w:type="dxa"/>
            <w:vAlign w:val="bottom"/>
          </w:tcPr>
          <w:p>
            <w:pPr>
              <w:spacing w:after="0"/>
              <w:rPr>
                <w:sz w:val="16"/>
                <w:szCs w:val="16"/>
                <w:color w:val="auto"/>
              </w:rPr>
            </w:pPr>
          </w:p>
        </w:tc>
      </w:tr>
      <w:tr>
        <w:trPr>
          <w:trHeight w:val="190"/>
        </w:trPr>
        <w:tc>
          <w:tcPr>
            <w:tcW w:w="5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w:t>
            </w:r>
          </w:p>
        </w:tc>
        <w:tc>
          <w:tcPr>
            <w:tcW w:w="2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134</w:t>
            </w:r>
          </w:p>
        </w:tc>
        <w:tc>
          <w:tcPr>
            <w:tcW w:w="5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6"/>
                <w:szCs w:val="16"/>
                <w:color w:val="auto"/>
              </w:rPr>
            </w:pPr>
          </w:p>
        </w:tc>
      </w:tr>
      <w:tr>
        <w:trPr>
          <w:trHeight w:val="190"/>
        </w:trPr>
        <w:tc>
          <w:tcPr>
            <w:tcW w:w="510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218"/>
              <w:spacing w:after="0"/>
              <w:rPr>
                <w:sz w:val="20"/>
                <w:szCs w:val="20"/>
                <w:color w:val="auto"/>
              </w:rPr>
            </w:pPr>
            <w:r>
              <w:rPr>
                <w:rFonts w:ascii="Arial" w:cs="Arial" w:eastAsia="Arial" w:hAnsi="Arial"/>
                <w:sz w:val="16"/>
                <w:szCs w:val="16"/>
                <w:color w:val="auto"/>
              </w:rPr>
              <w:t>2,297</w:t>
            </w:r>
          </w:p>
        </w:tc>
        <w:tc>
          <w:tcPr>
            <w:tcW w:w="5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1,986</w:t>
            </w:r>
          </w:p>
        </w:tc>
        <w:tc>
          <w:tcPr>
            <w:tcW w:w="100" w:type="dxa"/>
            <w:vAlign w:val="bottom"/>
          </w:tcPr>
          <w:p>
            <w:pPr>
              <w:spacing w:after="0"/>
              <w:rPr>
                <w:sz w:val="16"/>
                <w:szCs w:val="16"/>
                <w:color w:val="auto"/>
              </w:rPr>
            </w:pPr>
          </w:p>
        </w:tc>
      </w:tr>
      <w:tr>
        <w:trPr>
          <w:trHeight w:val="190"/>
        </w:trPr>
        <w:tc>
          <w:tcPr>
            <w:tcW w:w="5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Research and development credit</w:t>
            </w:r>
          </w:p>
        </w:tc>
        <w:tc>
          <w:tcPr>
            <w:tcW w:w="2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6,663</w:t>
            </w:r>
          </w:p>
        </w:tc>
        <w:tc>
          <w:tcPr>
            <w:tcW w:w="5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5,314</w:t>
            </w:r>
          </w:p>
        </w:tc>
        <w:tc>
          <w:tcPr>
            <w:tcW w:w="100" w:type="dxa"/>
            <w:vAlign w:val="bottom"/>
            <w:shd w:val="clear" w:color="auto" w:fill="CCEEFF"/>
          </w:tcPr>
          <w:p>
            <w:pPr>
              <w:spacing w:after="0"/>
              <w:rPr>
                <w:sz w:val="16"/>
                <w:szCs w:val="16"/>
                <w:color w:val="auto"/>
              </w:rPr>
            </w:pPr>
          </w:p>
        </w:tc>
      </w:tr>
      <w:tr>
        <w:trPr>
          <w:trHeight w:val="190"/>
        </w:trPr>
        <w:tc>
          <w:tcPr>
            <w:tcW w:w="5100" w:type="dxa"/>
            <w:vAlign w:val="bottom"/>
          </w:tcPr>
          <w:p>
            <w:pPr>
              <w:ind w:left="200"/>
              <w:spacing w:after="0"/>
              <w:rPr>
                <w:sz w:val="20"/>
                <w:szCs w:val="20"/>
                <w:color w:val="auto"/>
              </w:rPr>
            </w:pPr>
            <w:r>
              <w:rPr>
                <w:rFonts w:ascii="Arial" w:cs="Arial" w:eastAsia="Arial" w:hAnsi="Arial"/>
                <w:sz w:val="16"/>
                <w:szCs w:val="16"/>
                <w:color w:val="auto"/>
              </w:rPr>
              <w:t>Right-of-use liability</w:t>
            </w:r>
          </w:p>
        </w:tc>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218"/>
              <w:spacing w:after="0"/>
              <w:rPr>
                <w:sz w:val="20"/>
                <w:szCs w:val="20"/>
                <w:color w:val="auto"/>
              </w:rPr>
            </w:pPr>
            <w:r>
              <w:rPr>
                <w:rFonts w:ascii="Arial" w:cs="Arial" w:eastAsia="Arial" w:hAnsi="Arial"/>
                <w:sz w:val="16"/>
                <w:szCs w:val="16"/>
                <w:color w:val="auto"/>
              </w:rPr>
              <w:t>1,585</w:t>
            </w:r>
          </w:p>
        </w:tc>
        <w:tc>
          <w:tcPr>
            <w:tcW w:w="5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1,112</w:t>
            </w:r>
          </w:p>
        </w:tc>
        <w:tc>
          <w:tcPr>
            <w:tcW w:w="100" w:type="dxa"/>
            <w:vAlign w:val="bottom"/>
          </w:tcPr>
          <w:p>
            <w:pPr>
              <w:spacing w:after="0"/>
              <w:rPr>
                <w:sz w:val="16"/>
                <w:szCs w:val="16"/>
                <w:color w:val="auto"/>
              </w:rPr>
            </w:pPr>
          </w:p>
        </w:tc>
      </w:tr>
      <w:tr>
        <w:trPr>
          <w:trHeight w:val="190"/>
        </w:trPr>
        <w:tc>
          <w:tcPr>
            <w:tcW w:w="5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w:t>
            </w:r>
          </w:p>
        </w:tc>
        <w:tc>
          <w:tcPr>
            <w:tcW w:w="2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298</w:t>
            </w:r>
          </w:p>
        </w:tc>
        <w:tc>
          <w:tcPr>
            <w:tcW w:w="5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6"/>
                <w:szCs w:val="16"/>
                <w:color w:val="auto"/>
              </w:rPr>
            </w:pPr>
          </w:p>
        </w:tc>
      </w:tr>
      <w:tr>
        <w:trPr>
          <w:trHeight w:val="196"/>
        </w:trPr>
        <w:tc>
          <w:tcPr>
            <w:tcW w:w="5100" w:type="dxa"/>
            <w:vAlign w:val="bottom"/>
          </w:tcPr>
          <w:p>
            <w:pPr>
              <w:ind w:left="200"/>
              <w:spacing w:after="0"/>
              <w:rPr>
                <w:sz w:val="20"/>
                <w:szCs w:val="20"/>
                <w:color w:val="auto"/>
              </w:rPr>
            </w:pPr>
            <w:r>
              <w:rPr>
                <w:rFonts w:ascii="Arial" w:cs="Arial" w:eastAsia="Arial" w:hAnsi="Arial"/>
                <w:sz w:val="16"/>
                <w:szCs w:val="16"/>
                <w:color w:val="auto"/>
              </w:rPr>
              <w:t>Other</w:t>
            </w:r>
          </w:p>
        </w:tc>
        <w:tc>
          <w:tcPr>
            <w:tcW w:w="2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rPr>
              <w:t>740</w:t>
            </w:r>
          </w:p>
        </w:tc>
        <w:tc>
          <w:tcPr>
            <w:tcW w:w="5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1,841</w:t>
            </w:r>
          </w:p>
        </w:tc>
        <w:tc>
          <w:tcPr>
            <w:tcW w:w="100" w:type="dxa"/>
            <w:vAlign w:val="bottom"/>
          </w:tcPr>
          <w:p>
            <w:pPr>
              <w:spacing w:after="0"/>
              <w:rPr>
                <w:sz w:val="17"/>
                <w:szCs w:val="17"/>
                <w:color w:val="auto"/>
              </w:rPr>
            </w:pPr>
          </w:p>
        </w:tc>
      </w:tr>
      <w:tr>
        <w:trPr>
          <w:trHeight w:val="190"/>
        </w:trPr>
        <w:tc>
          <w:tcPr>
            <w:tcW w:w="51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Gross deferred tax assets</w:t>
            </w:r>
          </w:p>
        </w:tc>
        <w:tc>
          <w:tcPr>
            <w:tcW w:w="2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63,855</w:t>
            </w:r>
          </w:p>
        </w:tc>
        <w:tc>
          <w:tcPr>
            <w:tcW w:w="5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53,796</w:t>
            </w:r>
          </w:p>
        </w:tc>
        <w:tc>
          <w:tcPr>
            <w:tcW w:w="100" w:type="dxa"/>
            <w:vAlign w:val="bottom"/>
            <w:shd w:val="clear" w:color="auto" w:fill="CCEEFF"/>
          </w:tcPr>
          <w:p>
            <w:pPr>
              <w:spacing w:after="0"/>
              <w:rPr>
                <w:sz w:val="16"/>
                <w:szCs w:val="16"/>
                <w:color w:val="auto"/>
              </w:rPr>
            </w:pPr>
          </w:p>
        </w:tc>
      </w:tr>
      <w:tr>
        <w:trPr>
          <w:trHeight w:val="196"/>
        </w:trPr>
        <w:tc>
          <w:tcPr>
            <w:tcW w:w="5100" w:type="dxa"/>
            <w:vAlign w:val="bottom"/>
          </w:tcPr>
          <w:p>
            <w:pPr>
              <w:spacing w:after="0"/>
              <w:rPr>
                <w:sz w:val="20"/>
                <w:szCs w:val="20"/>
                <w:color w:val="auto"/>
              </w:rPr>
            </w:pPr>
            <w:r>
              <w:rPr>
                <w:rFonts w:ascii="Arial" w:cs="Arial" w:eastAsia="Arial" w:hAnsi="Arial"/>
                <w:sz w:val="16"/>
                <w:szCs w:val="16"/>
                <w:color w:val="auto"/>
              </w:rPr>
              <w:t>Less: valuation allowance</w:t>
            </w:r>
          </w:p>
        </w:tc>
        <w:tc>
          <w:tcPr>
            <w:tcW w:w="2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158"/>
              <w:spacing w:after="0"/>
              <w:rPr>
                <w:sz w:val="20"/>
                <w:szCs w:val="20"/>
                <w:color w:val="auto"/>
              </w:rPr>
            </w:pPr>
            <w:r>
              <w:rPr>
                <w:rFonts w:ascii="Arial" w:cs="Arial" w:eastAsia="Arial" w:hAnsi="Arial"/>
                <w:sz w:val="16"/>
                <w:szCs w:val="16"/>
                <w:color w:val="auto"/>
              </w:rPr>
              <w:t>(62,366)</w:t>
            </w:r>
          </w:p>
        </w:tc>
        <w:tc>
          <w:tcPr>
            <w:tcW w:w="56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(52,545)</w:t>
            </w:r>
          </w:p>
        </w:tc>
      </w:tr>
      <w:tr>
        <w:trPr>
          <w:trHeight w:val="190"/>
        </w:trPr>
        <w:tc>
          <w:tcPr>
            <w:tcW w:w="51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net deferred tax assets</w:t>
            </w:r>
          </w:p>
        </w:tc>
        <w:tc>
          <w:tcPr>
            <w:tcW w:w="242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rPr>
              <w:t>1,489</w:t>
            </w:r>
          </w:p>
        </w:tc>
        <w:tc>
          <w:tcPr>
            <w:tcW w:w="5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100" w:type="dxa"/>
            <w:vAlign w:val="bottom"/>
            <w:shd w:val="clear" w:color="auto" w:fill="CCEEFF"/>
          </w:tcPr>
          <w:p>
            <w:pPr>
              <w:spacing w:after="0"/>
              <w:rPr>
                <w:sz w:val="16"/>
                <w:szCs w:val="16"/>
                <w:color w:val="auto"/>
              </w:rPr>
            </w:pPr>
          </w:p>
        </w:tc>
      </w:tr>
      <w:tr>
        <w:trPr>
          <w:trHeight w:val="254"/>
        </w:trPr>
        <w:tc>
          <w:tcPr>
            <w:tcW w:w="510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2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0"/>
        </w:trPr>
        <w:tc>
          <w:tcPr>
            <w:tcW w:w="5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Right-of-use asset</w:t>
            </w:r>
          </w:p>
        </w:tc>
        <w:tc>
          <w:tcPr>
            <w:tcW w:w="2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(1,489)</w:t>
            </w:r>
          </w:p>
        </w:tc>
        <w:tc>
          <w:tcPr>
            <w:tcW w:w="5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(1,251)</w:t>
            </w:r>
          </w:p>
        </w:tc>
      </w:tr>
      <w:tr>
        <w:trPr>
          <w:trHeight w:val="207"/>
        </w:trPr>
        <w:tc>
          <w:tcPr>
            <w:tcW w:w="510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Net deferred tax assets</w:t>
            </w:r>
          </w:p>
        </w:tc>
        <w:tc>
          <w:tcPr>
            <w:tcW w:w="242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bl>
    <w:p>
      <w:pPr>
        <w:spacing w:after="0" w:line="104" w:lineRule="exact"/>
        <w:rPr>
          <w:sz w:val="20"/>
          <w:szCs w:val="20"/>
          <w:color w:val="auto"/>
        </w:rPr>
      </w:pPr>
    </w:p>
    <w:p>
      <w:pPr>
        <w:ind w:left="460" w:right="140"/>
        <w:spacing w:after="0" w:line="265" w:lineRule="auto"/>
        <w:rPr>
          <w:sz w:val="20"/>
          <w:szCs w:val="20"/>
          <w:color w:val="auto"/>
        </w:rPr>
      </w:pPr>
      <w:r>
        <w:rPr>
          <w:rFonts w:ascii="Arial" w:cs="Arial" w:eastAsia="Arial" w:hAnsi="Arial"/>
          <w:sz w:val="16"/>
          <w:szCs w:val="16"/>
          <w:color w:val="auto"/>
        </w:rPr>
        <w:t>A reconciliation of the provision for income taxes with the expected income tax computed by applying the federal statutory income tax rate to loss before provision for income taxes was calculated as follows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53975</wp:posOffset>
            </wp:positionV>
            <wp:extent cx="6569075" cy="158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 2020</w:t>
            </w:r>
          </w:p>
        </w:tc>
        <w:tc>
          <w:tcPr>
            <w:tcW w:w="300" w:type="dxa"/>
            <w:vAlign w:val="bottom"/>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 2019</w:t>
            </w:r>
          </w:p>
        </w:tc>
        <w:tc>
          <w:tcPr>
            <w:tcW w:w="100" w:type="dxa"/>
            <w:vAlign w:val="bottom"/>
          </w:tcPr>
          <w:p>
            <w:pPr>
              <w:spacing w:after="0"/>
              <w:rPr>
                <w:sz w:val="18"/>
                <w:szCs w:val="18"/>
                <w:color w:val="auto"/>
              </w:rPr>
            </w:pPr>
          </w:p>
        </w:tc>
      </w:tr>
      <w:tr>
        <w:trPr>
          <w:trHeight w:val="208"/>
        </w:trPr>
        <w:tc>
          <w:tcPr>
            <w:tcW w:w="66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Rate</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Amount</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Rate</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Amount</w:t>
            </w:r>
          </w:p>
        </w:tc>
      </w:tr>
      <w:tr>
        <w:trPr>
          <w:trHeight w:val="183"/>
        </w:trPr>
        <w:tc>
          <w:tcPr>
            <w:tcW w:w="66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Income tax provision at the federal statutory tax rate</w:t>
            </w:r>
          </w:p>
        </w:tc>
        <w:tc>
          <w:tcPr>
            <w:tcW w:w="760" w:type="dxa"/>
            <w:vAlign w:val="bottom"/>
            <w:shd w:val="clear" w:color="auto" w:fill="CCEEFF"/>
          </w:tcPr>
          <w:p>
            <w:pPr>
              <w:jc w:val="right"/>
              <w:ind w:right="38"/>
              <w:spacing w:after="0" w:line="183" w:lineRule="exact"/>
              <w:rPr>
                <w:sz w:val="20"/>
                <w:szCs w:val="20"/>
                <w:color w:val="auto"/>
              </w:rPr>
            </w:pPr>
            <w:r>
              <w:rPr>
                <w:rFonts w:ascii="Arial" w:cs="Arial" w:eastAsia="Arial" w:hAnsi="Arial"/>
                <w:sz w:val="16"/>
                <w:szCs w:val="16"/>
                <w:color w:val="auto"/>
              </w:rPr>
              <w:t>21.0%</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5,793</w:t>
            </w: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8"/>
              <w:spacing w:after="0" w:line="183" w:lineRule="exact"/>
              <w:rPr>
                <w:sz w:val="20"/>
                <w:szCs w:val="20"/>
                <w:color w:val="auto"/>
              </w:rPr>
            </w:pPr>
            <w:r>
              <w:rPr>
                <w:rFonts w:ascii="Arial" w:cs="Arial" w:eastAsia="Arial" w:hAnsi="Arial"/>
                <w:sz w:val="16"/>
                <w:szCs w:val="16"/>
                <w:color w:val="auto"/>
              </w:rPr>
              <w:t>21.0%</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26,519</w:t>
            </w:r>
          </w:p>
        </w:tc>
        <w:tc>
          <w:tcPr>
            <w:tcW w:w="100" w:type="dxa"/>
            <w:vAlign w:val="bottom"/>
            <w:shd w:val="clear" w:color="auto" w:fill="CCEEFF"/>
          </w:tcPr>
          <w:p>
            <w:pPr>
              <w:spacing w:after="0"/>
              <w:rPr>
                <w:sz w:val="15"/>
                <w:szCs w:val="15"/>
                <w:color w:val="auto"/>
              </w:rPr>
            </w:pPr>
          </w:p>
        </w:tc>
      </w:tr>
      <w:tr>
        <w:trPr>
          <w:trHeight w:val="190"/>
        </w:trPr>
        <w:tc>
          <w:tcPr>
            <w:tcW w:w="6660" w:type="dxa"/>
            <w:vAlign w:val="bottom"/>
          </w:tcPr>
          <w:p>
            <w:pPr>
              <w:spacing w:after="0"/>
              <w:rPr>
                <w:sz w:val="20"/>
                <w:szCs w:val="20"/>
                <w:color w:val="auto"/>
              </w:rPr>
            </w:pPr>
            <w:r>
              <w:rPr>
                <w:rFonts w:ascii="Arial" w:cs="Arial" w:eastAsia="Arial" w:hAnsi="Arial"/>
                <w:sz w:val="16"/>
                <w:szCs w:val="16"/>
                <w:color w:val="auto"/>
              </w:rPr>
              <w:t>State taxes, net of federal benefit</w:t>
            </w:r>
          </w:p>
        </w:tc>
        <w:tc>
          <w:tcPr>
            <w:tcW w:w="760" w:type="dxa"/>
            <w:vAlign w:val="bottom"/>
          </w:tcPr>
          <w:p>
            <w:pPr>
              <w:jc w:val="right"/>
              <w:ind w:right="38"/>
              <w:spacing w:after="0"/>
              <w:rPr>
                <w:sz w:val="20"/>
                <w:szCs w:val="20"/>
                <w:color w:val="auto"/>
              </w:rPr>
            </w:pPr>
            <w:r>
              <w:rPr>
                <w:rFonts w:ascii="Arial" w:cs="Arial" w:eastAsia="Arial" w:hAnsi="Arial"/>
                <w:sz w:val="16"/>
                <w:szCs w:val="16"/>
                <w:color w:val="auto"/>
              </w:rPr>
              <w:t>-5.3%</w:t>
            </w:r>
          </w:p>
        </w:tc>
        <w:tc>
          <w:tcPr>
            <w:tcW w:w="24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(1,468)</w:t>
            </w:r>
          </w:p>
        </w:tc>
        <w:tc>
          <w:tcPr>
            <w:tcW w:w="760" w:type="dxa"/>
            <w:vAlign w:val="bottom"/>
          </w:tcPr>
          <w:p>
            <w:pPr>
              <w:jc w:val="right"/>
              <w:ind w:right="38"/>
              <w:spacing w:after="0"/>
              <w:rPr>
                <w:sz w:val="20"/>
                <w:szCs w:val="20"/>
                <w:color w:val="auto"/>
              </w:rPr>
            </w:pPr>
            <w:r>
              <w:rPr>
                <w:rFonts w:ascii="Arial" w:cs="Arial" w:eastAsia="Arial" w:hAnsi="Arial"/>
                <w:sz w:val="16"/>
                <w:szCs w:val="16"/>
                <w:color w:val="auto"/>
              </w:rPr>
              <w:t>-0.9%</w:t>
            </w:r>
          </w:p>
        </w:tc>
        <w:tc>
          <w:tcPr>
            <w:tcW w:w="24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(1,075)</w:t>
            </w:r>
          </w:p>
        </w:tc>
      </w:tr>
      <w:tr>
        <w:trPr>
          <w:trHeight w:val="190"/>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credits</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-4.7%</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(1,306)</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-1.9%</w:t>
            </w:r>
          </w:p>
        </w:tc>
        <w:tc>
          <w:tcPr>
            <w:tcW w:w="2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(2,342)</w:t>
            </w:r>
          </w:p>
        </w:tc>
      </w:tr>
      <w:tr>
        <w:trPr>
          <w:trHeight w:val="190"/>
        </w:trPr>
        <w:tc>
          <w:tcPr>
            <w:tcW w:w="666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760" w:type="dxa"/>
            <w:vAlign w:val="bottom"/>
          </w:tcPr>
          <w:p>
            <w:pPr>
              <w:jc w:val="right"/>
              <w:ind w:right="38"/>
              <w:spacing w:after="0"/>
              <w:rPr>
                <w:sz w:val="20"/>
                <w:szCs w:val="20"/>
                <w:color w:val="auto"/>
              </w:rPr>
            </w:pPr>
            <w:r>
              <w:rPr>
                <w:rFonts w:ascii="Arial" w:cs="Arial" w:eastAsia="Arial" w:hAnsi="Arial"/>
                <w:sz w:val="16"/>
                <w:szCs w:val="16"/>
                <w:color w:val="auto"/>
              </w:rPr>
              <w:t>0.4%</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122</w:t>
            </w:r>
          </w:p>
        </w:tc>
        <w:tc>
          <w:tcPr>
            <w:tcW w:w="300" w:type="dxa"/>
            <w:vAlign w:val="bottom"/>
          </w:tcPr>
          <w:p>
            <w:pPr>
              <w:spacing w:after="0"/>
              <w:rPr>
                <w:sz w:val="16"/>
                <w:szCs w:val="16"/>
                <w:color w:val="auto"/>
              </w:rPr>
            </w:pPr>
          </w:p>
        </w:tc>
        <w:tc>
          <w:tcPr>
            <w:tcW w:w="760" w:type="dxa"/>
            <w:vAlign w:val="bottom"/>
          </w:tcPr>
          <w:p>
            <w:pPr>
              <w:jc w:val="right"/>
              <w:ind w:right="38"/>
              <w:spacing w:after="0"/>
              <w:rPr>
                <w:sz w:val="20"/>
                <w:szCs w:val="20"/>
                <w:color w:val="auto"/>
              </w:rPr>
            </w:pPr>
            <w:r>
              <w:rPr>
                <w:rFonts w:ascii="Arial" w:cs="Arial" w:eastAsia="Arial" w:hAnsi="Arial"/>
                <w:sz w:val="16"/>
                <w:szCs w:val="16"/>
                <w:color w:val="auto"/>
              </w:rPr>
              <w:t>0.2%</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6"/>
                <w:szCs w:val="16"/>
                <w:color w:val="auto"/>
              </w:rPr>
            </w:pPr>
          </w:p>
        </w:tc>
      </w:tr>
      <w:tr>
        <w:trPr>
          <w:trHeight w:val="190"/>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Other non-deductible permanent items</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-47.9%</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(13,204)</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-28.3%</w:t>
            </w:r>
          </w:p>
        </w:tc>
        <w:tc>
          <w:tcPr>
            <w:tcW w:w="2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(35,662)</w:t>
            </w:r>
          </w:p>
        </w:tc>
      </w:tr>
      <w:tr>
        <w:trPr>
          <w:trHeight w:val="190"/>
        </w:trPr>
        <w:tc>
          <w:tcPr>
            <w:tcW w:w="6660" w:type="dxa"/>
            <w:vAlign w:val="bottom"/>
          </w:tcPr>
          <w:p>
            <w:pPr>
              <w:spacing w:after="0"/>
              <w:rPr>
                <w:sz w:val="20"/>
                <w:szCs w:val="20"/>
                <w:color w:val="auto"/>
              </w:rPr>
            </w:pPr>
            <w:r>
              <w:rPr>
                <w:rFonts w:ascii="Arial" w:cs="Arial" w:eastAsia="Arial" w:hAnsi="Arial"/>
                <w:sz w:val="16"/>
                <w:szCs w:val="16"/>
                <w:color w:val="auto"/>
              </w:rPr>
              <w:t>Section 382 limitation and credit expiration</w:t>
            </w:r>
          </w:p>
        </w:tc>
        <w:tc>
          <w:tcPr>
            <w:tcW w:w="760" w:type="dxa"/>
            <w:vAlign w:val="bottom"/>
          </w:tcPr>
          <w:p>
            <w:pPr>
              <w:jc w:val="right"/>
              <w:ind w:right="38"/>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426</w:t>
            </w:r>
          </w:p>
        </w:tc>
        <w:tc>
          <w:tcPr>
            <w:tcW w:w="300" w:type="dxa"/>
            <w:vAlign w:val="bottom"/>
          </w:tcPr>
          <w:p>
            <w:pPr>
              <w:spacing w:after="0"/>
              <w:rPr>
                <w:sz w:val="16"/>
                <w:szCs w:val="16"/>
                <w:color w:val="auto"/>
              </w:rPr>
            </w:pPr>
          </w:p>
        </w:tc>
        <w:tc>
          <w:tcPr>
            <w:tcW w:w="760" w:type="dxa"/>
            <w:vAlign w:val="bottom"/>
          </w:tcPr>
          <w:p>
            <w:pPr>
              <w:jc w:val="right"/>
              <w:ind w:right="38"/>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2,959</w:t>
            </w:r>
          </w:p>
        </w:tc>
        <w:tc>
          <w:tcPr>
            <w:tcW w:w="100" w:type="dxa"/>
            <w:vAlign w:val="bottom"/>
          </w:tcPr>
          <w:p>
            <w:pPr>
              <w:spacing w:after="0"/>
              <w:rPr>
                <w:sz w:val="16"/>
                <w:szCs w:val="16"/>
                <w:color w:val="auto"/>
              </w:rPr>
            </w:pPr>
          </w:p>
        </w:tc>
      </w:tr>
      <w:tr>
        <w:trPr>
          <w:trHeight w:val="190"/>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-0.5%</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(127)</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0.2%</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6"/>
                <w:szCs w:val="16"/>
                <w:color w:val="auto"/>
              </w:rPr>
            </w:pPr>
          </w:p>
        </w:tc>
      </w:tr>
      <w:tr>
        <w:trPr>
          <w:trHeight w:val="196"/>
        </w:trPr>
        <w:tc>
          <w:tcPr>
            <w:tcW w:w="6660" w:type="dxa"/>
            <w:vAlign w:val="bottom"/>
          </w:tcPr>
          <w:p>
            <w:pPr>
              <w:spacing w:after="0"/>
              <w:rPr>
                <w:sz w:val="20"/>
                <w:szCs w:val="20"/>
                <w:color w:val="auto"/>
              </w:rPr>
            </w:pPr>
            <w:r>
              <w:rPr>
                <w:rFonts w:ascii="Arial" w:cs="Arial" w:eastAsia="Arial" w:hAnsi="Arial"/>
                <w:sz w:val="16"/>
                <w:szCs w:val="16"/>
                <w:color w:val="auto"/>
              </w:rPr>
              <w:t>Change in valuation allowance</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35.6%</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9,821</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7.3%</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9,192</w:t>
            </w:r>
          </w:p>
        </w:tc>
        <w:tc>
          <w:tcPr>
            <w:tcW w:w="100" w:type="dxa"/>
            <w:vAlign w:val="bottom"/>
          </w:tcPr>
          <w:p>
            <w:pPr>
              <w:spacing w:after="0"/>
              <w:rPr>
                <w:sz w:val="17"/>
                <w:szCs w:val="17"/>
                <w:color w:val="auto"/>
              </w:rPr>
            </w:pPr>
          </w:p>
        </w:tc>
      </w:tr>
      <w:tr>
        <w:trPr>
          <w:trHeight w:val="190"/>
        </w:trPr>
        <w:tc>
          <w:tcPr>
            <w:tcW w:w="6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Provision for income taxes</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0.1%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0.0%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6"/>
                <w:szCs w:val="16"/>
                <w:color w:val="auto"/>
              </w:rPr>
            </w:pP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right="40"/>
        <w:spacing w:after="0" w:line="251" w:lineRule="auto"/>
        <w:rPr>
          <w:sz w:val="20"/>
          <w:szCs w:val="20"/>
          <w:color w:val="auto"/>
        </w:rPr>
      </w:pPr>
      <w:r>
        <w:rPr>
          <w:rFonts w:ascii="Arial" w:cs="Arial" w:eastAsia="Arial" w:hAnsi="Arial"/>
          <w:sz w:val="16"/>
          <w:szCs w:val="16"/>
          <w:color w:val="auto"/>
        </w:rPr>
        <w:t>The tax effects of items that give rise to significant portions of deferred tax assets are primarily net operating loss carryforwards. The Company evaluates the recoverability of deferred tax assets and assesses all available positive and negative evidence to estimate if sufficient future taxable income will be generated to use the existing deferred tax assets. Based on the weight of all the evidence, including a history of operating losses and the Company’s ability to generate future taxable income to realize these assets, a full valuation allowance has been recorded to offset the net deferred tax asset as realization of such asset is uncertain. The Company’s valuation allowance increased by $9.8 million in 2020.</w:t>
      </w:r>
    </w:p>
    <w:p>
      <w:pPr>
        <w:spacing w:after="0" w:line="280" w:lineRule="exact"/>
        <w:rPr>
          <w:sz w:val="20"/>
          <w:szCs w:val="20"/>
          <w:color w:val="auto"/>
        </w:rPr>
      </w:pPr>
    </w:p>
    <w:p>
      <w:pPr>
        <w:ind w:left="460" w:right="120"/>
        <w:spacing w:after="0" w:line="253" w:lineRule="auto"/>
        <w:rPr>
          <w:sz w:val="20"/>
          <w:szCs w:val="20"/>
          <w:color w:val="auto"/>
        </w:rPr>
      </w:pPr>
      <w:r>
        <w:rPr>
          <w:rFonts w:ascii="Arial" w:cs="Arial" w:eastAsia="Arial" w:hAnsi="Arial"/>
          <w:sz w:val="16"/>
          <w:szCs w:val="16"/>
          <w:color w:val="auto"/>
        </w:rPr>
        <w:t>As of December 31, 2020, the Company had federal net operating loss carryforwards of $230,218,711 and state net operating loss carryforwards of $68,778,139 which may be available to offset future taxable income for tax purposes. Of the $230,218,711 in federal NOLs, $109,268,399 will not expire and will be able to offset 80% of taxable income in future years. Of the $68,778,139 in state NOLs, $11,322,562 will not expire and will be able to offset 80% of taxable income in future years. The remaining federal NOL carryforwards will begin to expire</w:t>
      </w:r>
    </w:p>
    <w:p>
      <w:pPr>
        <w:spacing w:after="0" w:line="124"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0800"/>
          </w:cols>
          <w:pgMar w:left="320" w:top="441" w:right="779" w:bottom="1440" w:gutter="0" w:footer="0" w:header="0"/>
        </w:sectPr>
      </w:pPr>
    </w:p>
    <w:bookmarkStart w:id="262" w:name="page263"/>
    <w:bookmarkEnd w:id="2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40"/>
        <w:spacing w:after="0" w:line="255" w:lineRule="auto"/>
        <w:rPr>
          <w:sz w:val="20"/>
          <w:szCs w:val="20"/>
          <w:color w:val="auto"/>
        </w:rPr>
      </w:pPr>
      <w:r>
        <w:rPr>
          <w:rFonts w:ascii="Arial" w:cs="Arial" w:eastAsia="Arial" w:hAnsi="Arial"/>
          <w:sz w:val="16"/>
          <w:szCs w:val="16"/>
          <w:color w:val="auto"/>
        </w:rPr>
        <w:t>between 2021 and 2037, and the remaining state NOL carryforwards will expire between 2028 and 2040. In addition, the Company also had federal credit carry forwards of $3,875,373, net of Section 382 limitations, and state credit carry forwards of $6,340,004 as of December 31, 2020, which may be available to offset future tax liabilities. The federal credits will expire between 2037 and 2040, and the state credits do not expire.</w:t>
      </w:r>
    </w:p>
    <w:p>
      <w:pPr>
        <w:spacing w:after="0" w:line="276" w:lineRule="exact"/>
        <w:rPr>
          <w:sz w:val="20"/>
          <w:szCs w:val="20"/>
          <w:color w:val="auto"/>
        </w:rPr>
      </w:pPr>
    </w:p>
    <w:p>
      <w:pPr>
        <w:ind w:left="460" w:right="160"/>
        <w:spacing w:after="0" w:line="252" w:lineRule="auto"/>
        <w:rPr>
          <w:sz w:val="20"/>
          <w:szCs w:val="20"/>
          <w:color w:val="auto"/>
        </w:rPr>
      </w:pPr>
      <w:r>
        <w:rPr>
          <w:rFonts w:ascii="Arial" w:cs="Arial" w:eastAsia="Arial" w:hAnsi="Arial"/>
          <w:sz w:val="16"/>
          <w:szCs w:val="16"/>
          <w:color w:val="auto"/>
        </w:rPr>
        <w:t>On March 27, 2020, the Coronavirus Aid, Relief, and Economic Security Act (CARES Act) was enacted in response to the COVID-19 pandemic. The CARES Act, among other things, permits NOL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Due to the Company’s history of net operating losses, the CARES Act is not expected to have a material impact on the Company’s consolidated financial statements.</w:t>
      </w:r>
    </w:p>
    <w:p>
      <w:pPr>
        <w:spacing w:after="0" w:line="86" w:lineRule="exact"/>
        <w:rPr>
          <w:sz w:val="20"/>
          <w:szCs w:val="20"/>
          <w:color w:val="auto"/>
        </w:rPr>
      </w:pPr>
    </w:p>
    <w:p>
      <w:pPr>
        <w:ind w:left="460" w:right="200"/>
        <w:spacing w:after="0" w:line="248" w:lineRule="auto"/>
        <w:rPr>
          <w:sz w:val="20"/>
          <w:szCs w:val="20"/>
          <w:color w:val="auto"/>
        </w:rPr>
      </w:pPr>
      <w:r>
        <w:rPr>
          <w:rFonts w:ascii="Arial" w:cs="Arial" w:eastAsia="Arial" w:hAnsi="Arial"/>
          <w:sz w:val="16"/>
          <w:szCs w:val="16"/>
          <w:color w:val="auto"/>
        </w:rPr>
        <w:t>On December 27, 2020, the United States enacted the Consolidated Appropriations Act, 2021 (the Appropriations Act). Included in the tax provisions are a number of items directly related to COVID-19 relief such as a provision allowing recipients of Paycheck Protection Program</w:t>
      </w:r>
    </w:p>
    <w:p>
      <w:pPr>
        <w:ind w:left="460" w:right="160" w:hanging="9"/>
        <w:spacing w:after="0" w:line="265" w:lineRule="auto"/>
        <w:tabs>
          <w:tab w:leader="none" w:pos="94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loans to deduct associated costs and an extension and significant expansion of the employee retention credit originally enacted in the CARES Act. There was no material impact to the Company from the provisions of the Appropriations Act in 2020.</w:t>
      </w:r>
    </w:p>
    <w:p>
      <w:pPr>
        <w:spacing w:after="0" w:line="75" w:lineRule="exact"/>
        <w:rPr>
          <w:sz w:val="20"/>
          <w:szCs w:val="20"/>
          <w:color w:val="auto"/>
        </w:rPr>
      </w:pPr>
    </w:p>
    <w:p>
      <w:pPr>
        <w:ind w:left="460" w:right="20"/>
        <w:spacing w:after="0" w:line="256" w:lineRule="auto"/>
        <w:rPr>
          <w:sz w:val="20"/>
          <w:szCs w:val="20"/>
          <w:color w:val="auto"/>
        </w:rPr>
      </w:pPr>
      <w:r>
        <w:rPr>
          <w:rFonts w:ascii="Arial" w:cs="Arial" w:eastAsia="Arial" w:hAnsi="Arial"/>
          <w:sz w:val="16"/>
          <w:szCs w:val="16"/>
          <w:color w:val="auto"/>
        </w:rPr>
        <w:t>On June 29, 2020, the state of California enacted Assembly Bill No. 85 (AB 85) suspending California net operating loss utilization and imposing a cap on the amount of business incentive tax credits companies can utilize, effective for tax years 2020, 2021 and 2022. There was no material impact from the provisions of AB 85 in 2020.</w:t>
      </w:r>
    </w:p>
    <w:p>
      <w:pPr>
        <w:spacing w:after="0" w:line="83" w:lineRule="exact"/>
        <w:rPr>
          <w:sz w:val="20"/>
          <w:szCs w:val="20"/>
          <w:color w:val="auto"/>
        </w:rPr>
      </w:pPr>
    </w:p>
    <w:p>
      <w:pPr>
        <w:ind w:left="460" w:right="40"/>
        <w:spacing w:after="0" w:line="251" w:lineRule="auto"/>
        <w:rPr>
          <w:sz w:val="20"/>
          <w:szCs w:val="20"/>
          <w:color w:val="auto"/>
        </w:rPr>
      </w:pPr>
      <w:r>
        <w:rPr>
          <w:rFonts w:ascii="Arial" w:cs="Arial" w:eastAsia="Arial" w:hAnsi="Arial"/>
          <w:sz w:val="16"/>
          <w:szCs w:val="16"/>
          <w:color w:val="auto"/>
        </w:rPr>
        <w:t>Utilization of the net operating loss carryforwards may be subject to substantial annual limitation due to ownership change limitations that may have occurred or that could occur in the future, as required by Section 382 of the Internal Revenue Code of 1986, as amended (the “Code”), as well as similar state provisions. These ownership changes may limit the amount of net operating loss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or public groups.</w:t>
      </w:r>
    </w:p>
    <w:p>
      <w:pPr>
        <w:spacing w:after="0" w:line="88" w:lineRule="exact"/>
        <w:rPr>
          <w:sz w:val="20"/>
          <w:szCs w:val="20"/>
          <w:color w:val="auto"/>
        </w:rPr>
      </w:pPr>
    </w:p>
    <w:p>
      <w:pPr>
        <w:ind w:left="460" w:right="120"/>
        <w:spacing w:after="0" w:line="250" w:lineRule="auto"/>
        <w:rPr>
          <w:sz w:val="20"/>
          <w:szCs w:val="20"/>
          <w:color w:val="auto"/>
        </w:rPr>
      </w:pPr>
      <w:r>
        <w:rPr>
          <w:rFonts w:ascii="Arial" w:cs="Arial" w:eastAsia="Arial" w:hAnsi="Arial"/>
          <w:sz w:val="16"/>
          <w:szCs w:val="16"/>
          <w:color w:val="auto"/>
        </w:rPr>
        <w:t>During 2019, the Company completed a preliminary study to assess whether an ownership change has occurred. The results of the preliminary study were extended through December 31, 2019. Based upon the preliminary study, the Company determined that it was more likely than not an ownership change had occurred during 2017, causing the annual utilization of the net operating loss and credit carryforwards to be limited. At December 31, 2019, the Company reduced the deferred tax assets related to the net operating loss and credit carryforwards generated through the date of the ownership change, reflecting the result of the annual limitations on the utilization of those attributes. Due to the existence of the valuation allowance, the reduction of the deferred tax assets with respect to the NOL and credit carryforwards had no impact on the Company’s effective tax rate.</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changes occurred in the amount of unrecognized tax benefits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2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Year ended December 31,</w:t>
            </w:r>
          </w:p>
        </w:tc>
      </w:tr>
      <w:tr>
        <w:trPr>
          <w:trHeight w:val="208"/>
        </w:trPr>
        <w:tc>
          <w:tcPr>
            <w:tcW w:w="42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2020</w:t>
            </w:r>
          </w:p>
        </w:tc>
        <w:tc>
          <w:tcPr>
            <w:tcW w:w="7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r>
      <w:tr>
        <w:trPr>
          <w:trHeight w:val="183"/>
        </w:trPr>
        <w:tc>
          <w:tcPr>
            <w:tcW w:w="42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Beginning balance of unrecognized tax benefits</w:t>
            </w:r>
          </w:p>
        </w:tc>
        <w:tc>
          <w:tcPr>
            <w:tcW w:w="3540" w:type="dxa"/>
            <w:vAlign w:val="bottom"/>
            <w:gridSpan w:val="2"/>
            <w:shd w:val="clear" w:color="auto" w:fill="CCEEFF"/>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78"/>
              <w:spacing w:after="0" w:line="183" w:lineRule="exact"/>
              <w:rPr>
                <w:sz w:val="20"/>
                <w:szCs w:val="20"/>
                <w:color w:val="auto"/>
              </w:rPr>
            </w:pPr>
            <w:r>
              <w:rPr>
                <w:rFonts w:ascii="Arial" w:cs="Arial" w:eastAsia="Arial" w:hAnsi="Arial"/>
                <w:sz w:val="16"/>
                <w:szCs w:val="16"/>
                <w:color w:val="auto"/>
              </w:rPr>
              <w:t>2,056</w:t>
            </w:r>
          </w:p>
        </w:tc>
        <w:tc>
          <w:tcPr>
            <w:tcW w:w="780" w:type="dxa"/>
            <w:vAlign w:val="bottom"/>
            <w:shd w:val="clear" w:color="auto" w:fill="CCEEFF"/>
          </w:tcPr>
          <w:p>
            <w:pPr>
              <w:jc w:val="right"/>
              <w:ind w:right="138"/>
              <w:spacing w:after="0" w:line="183"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2,116</w:t>
            </w:r>
          </w:p>
        </w:tc>
        <w:tc>
          <w:tcPr>
            <w:tcW w:w="100" w:type="dxa"/>
            <w:vAlign w:val="bottom"/>
            <w:shd w:val="clear" w:color="auto" w:fill="CCEEFF"/>
          </w:tcPr>
          <w:p>
            <w:pPr>
              <w:spacing w:after="0"/>
              <w:rPr>
                <w:sz w:val="15"/>
                <w:szCs w:val="15"/>
                <w:color w:val="auto"/>
              </w:rPr>
            </w:pPr>
          </w:p>
        </w:tc>
      </w:tr>
      <w:tr>
        <w:trPr>
          <w:trHeight w:val="190"/>
        </w:trPr>
        <w:tc>
          <w:tcPr>
            <w:tcW w:w="4220" w:type="dxa"/>
            <w:vAlign w:val="bottom"/>
          </w:tcPr>
          <w:p>
            <w:pPr>
              <w:spacing w:after="0"/>
              <w:rPr>
                <w:sz w:val="20"/>
                <w:szCs w:val="20"/>
                <w:color w:val="auto"/>
              </w:rPr>
            </w:pPr>
            <w:r>
              <w:rPr>
                <w:rFonts w:ascii="Arial" w:cs="Arial" w:eastAsia="Arial" w:hAnsi="Arial"/>
                <w:sz w:val="16"/>
                <w:szCs w:val="16"/>
                <w:color w:val="auto"/>
              </w:rPr>
              <w:t>Additions for current year tax positions</w:t>
            </w:r>
          </w:p>
        </w:tc>
        <w:tc>
          <w:tcPr>
            <w:tcW w:w="3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378"/>
              <w:spacing w:after="0"/>
              <w:rPr>
                <w:sz w:val="20"/>
                <w:szCs w:val="20"/>
                <w:color w:val="auto"/>
              </w:rPr>
            </w:pPr>
            <w:r>
              <w:rPr>
                <w:rFonts w:ascii="Arial" w:cs="Arial" w:eastAsia="Arial" w:hAnsi="Arial"/>
                <w:sz w:val="16"/>
                <w:szCs w:val="16"/>
                <w:color w:val="auto"/>
              </w:rPr>
              <w:t>486</w:t>
            </w:r>
          </w:p>
        </w:tc>
        <w:tc>
          <w:tcPr>
            <w:tcW w:w="7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6"/>
                <w:szCs w:val="16"/>
                <w:color w:val="auto"/>
              </w:rPr>
            </w:pPr>
          </w:p>
        </w:tc>
      </w:tr>
      <w:tr>
        <w:trPr>
          <w:trHeight w:val="190"/>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Reductions for prior year tax positions</w:t>
            </w:r>
          </w:p>
        </w:tc>
        <w:tc>
          <w:tcPr>
            <w:tcW w:w="3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78"/>
              <w:spacing w:after="0"/>
              <w:rPr>
                <w:sz w:val="20"/>
                <w:szCs w:val="20"/>
                <w:color w:val="auto"/>
              </w:rPr>
            </w:pPr>
            <w:r>
              <w:rPr>
                <w:rFonts w:ascii="Arial" w:cs="Arial" w:eastAsia="Arial" w:hAnsi="Arial"/>
                <w:sz w:val="16"/>
                <w:szCs w:val="16"/>
                <w:color w:val="auto"/>
              </w:rPr>
              <w:t>12</w:t>
            </w:r>
          </w:p>
        </w:tc>
        <w:tc>
          <w:tcPr>
            <w:tcW w:w="7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(676)</w:t>
            </w:r>
          </w:p>
        </w:tc>
      </w:tr>
      <w:tr>
        <w:trPr>
          <w:trHeight w:val="20"/>
        </w:trPr>
        <w:tc>
          <w:tcPr>
            <w:tcW w:w="42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Ending balance</w:t>
            </w:r>
          </w:p>
        </w:tc>
        <w:tc>
          <w:tcPr>
            <w:tcW w:w="3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color w:val="auto"/>
              </w:rPr>
              <w:t>2,554</w:t>
            </w:r>
          </w:p>
        </w:tc>
        <w:tc>
          <w:tcPr>
            <w:tcW w:w="78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2,055</w:t>
            </w:r>
          </w:p>
        </w:tc>
        <w:tc>
          <w:tcPr>
            <w:tcW w:w="100" w:type="dxa"/>
            <w:vAlign w:val="bottom"/>
          </w:tcPr>
          <w:p>
            <w:pPr>
              <w:spacing w:after="0"/>
              <w:rPr>
                <w:sz w:val="17"/>
                <w:szCs w:val="17"/>
                <w:color w:val="auto"/>
              </w:rPr>
            </w:pPr>
          </w:p>
        </w:tc>
      </w:tr>
      <w:tr>
        <w:trPr>
          <w:trHeight w:val="334"/>
        </w:trPr>
        <w:tc>
          <w:tcPr>
            <w:tcW w:w="4220" w:type="dxa"/>
            <w:vAlign w:val="bottom"/>
          </w:tcPr>
          <w:p>
            <w:pPr>
              <w:spacing w:after="0"/>
              <w:rPr>
                <w:sz w:val="24"/>
                <w:szCs w:val="24"/>
                <w:color w:val="auto"/>
              </w:rPr>
            </w:pPr>
          </w:p>
        </w:tc>
        <w:tc>
          <w:tcPr>
            <w:tcW w:w="3540" w:type="dxa"/>
            <w:vAlign w:val="bottom"/>
            <w:gridSpan w:val="2"/>
          </w:tcPr>
          <w:p>
            <w:pPr>
              <w:jc w:val="right"/>
              <w:ind w:right="2420"/>
              <w:spacing w:after="0"/>
              <w:rPr>
                <w:sz w:val="20"/>
                <w:szCs w:val="20"/>
                <w:color w:val="auto"/>
              </w:rPr>
            </w:pPr>
            <w:r>
              <w:rPr>
                <w:rFonts w:ascii="Arial" w:cs="Arial" w:eastAsia="Arial" w:hAnsi="Arial"/>
                <w:sz w:val="16"/>
                <w:szCs w:val="16"/>
                <w:color w:val="auto"/>
              </w:rPr>
              <w:t>F-37</w:t>
            </w: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800"/>
          </w:cols>
          <w:pgMar w:left="320" w:top="441" w:right="779" w:bottom="1440" w:gutter="0" w:footer="0" w:header="0"/>
        </w:sectPr>
      </w:pPr>
    </w:p>
    <w:bookmarkStart w:id="263" w:name="page264"/>
    <w:bookmarkEnd w:id="2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140"/>
        <w:spacing w:after="0" w:line="256" w:lineRule="auto"/>
        <w:rPr>
          <w:sz w:val="20"/>
          <w:szCs w:val="20"/>
          <w:color w:val="auto"/>
        </w:rPr>
      </w:pPr>
      <w:r>
        <w:rPr>
          <w:rFonts w:ascii="Arial" w:cs="Arial" w:eastAsia="Arial" w:hAnsi="Arial"/>
          <w:sz w:val="16"/>
          <w:szCs w:val="16"/>
          <w:color w:val="auto"/>
        </w:rPr>
        <w:t>None of the unrecognized tax benefits, if recognized, would impact the annual effective rate, due to the valuation allowance. The Company’s unrecognized tax benefits are recorded as a reduction in deferred tax assets. The Company does not expect any significant increases or decreases to the Company’s unrecognized tax benefits within the next 12 months.</w:t>
      </w:r>
    </w:p>
    <w:p>
      <w:pPr>
        <w:spacing w:after="0" w:line="83"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The Company is subject to U.S. federal and various states income taxes. The federal returns for tax years 2017 through 2020 remain open to examination and the state returns remain subject to examination for tax years 2016 through 2020. Carryforward attributes that were generated in years where the statute of limitations is closed may still be adjusted upon examination by the Internal Revenue Service or other respective tax authorities. All other state jurisdictions remain open to examination.</w:t>
      </w:r>
    </w:p>
    <w:p>
      <w:pPr>
        <w:spacing w:after="0" w:line="86" w:lineRule="exact"/>
        <w:rPr>
          <w:sz w:val="20"/>
          <w:szCs w:val="20"/>
          <w:color w:val="auto"/>
        </w:rPr>
      </w:pPr>
    </w:p>
    <w:p>
      <w:pPr>
        <w:ind w:left="460" w:right="80"/>
        <w:spacing w:after="0" w:line="251" w:lineRule="auto"/>
        <w:rPr>
          <w:sz w:val="20"/>
          <w:szCs w:val="20"/>
          <w:color w:val="auto"/>
        </w:rPr>
      </w:pPr>
      <w:r>
        <w:rPr>
          <w:rFonts w:ascii="Arial" w:cs="Arial" w:eastAsia="Arial" w:hAnsi="Arial"/>
          <w:sz w:val="16"/>
          <w:szCs w:val="16"/>
          <w:color w:val="auto"/>
        </w:rPr>
        <w:t>Prior to the adoption of ASU 2019-12 in 2019, intraperiod tax allocation rules required the Company to allocate the provision for income taxes between continuing operations and other categories of earnings, such as other comprehensive income. In periods in which the Company had a year-to-date pre-tax loss from continuing operations and pre-tax income in other categories of earnings, such as other comprehensive income, the tax provision was allocated to the other categories of earnings. The Company then recorded a related tax benefit in continuing operations. However, with the adoption of ASU 2019-12 in 2019, the Company is no longer required to allocate the tax provision to the other categories of earnings and related benefit to continuing operations under these circumstances.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14—Notes receivable for redeemable common stock</w:t>
      </w:r>
    </w:p>
    <w:p>
      <w:pPr>
        <w:spacing w:after="0" w:line="133"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color w:val="auto"/>
        </w:rPr>
        <w:t>During 2016 and 2017, the Company entered into or renewed full recourse promissory notes with former or current Board Members and certain other parties with an aggregate principal of $693,000, which included unpaid principal and accrued interest thereon. The notes bear interest at 7%, compounded annually. The initial maturity of the notes was amended to extend the maturity dates into 2021 and 2022 in exchange for payments totaling $105,000. Common stock was originally issued as consideration for the promissory notes and is being held as collateral. As of December 31, 2020 and 2019, accrued interest was $110,000 and $162,000, respectively.</w:t>
      </w:r>
    </w:p>
    <w:p>
      <w:pPr>
        <w:spacing w:after="0" w:line="86" w:lineRule="exact"/>
        <w:rPr>
          <w:sz w:val="20"/>
          <w:szCs w:val="20"/>
          <w:color w:val="auto"/>
        </w:rPr>
      </w:pPr>
    </w:p>
    <w:p>
      <w:pPr>
        <w:ind w:left="460" w:right="200"/>
        <w:spacing w:after="0" w:line="265" w:lineRule="auto"/>
        <w:rPr>
          <w:sz w:val="20"/>
          <w:szCs w:val="20"/>
          <w:color w:val="auto"/>
        </w:rPr>
      </w:pPr>
      <w:r>
        <w:rPr>
          <w:rFonts w:ascii="Arial" w:cs="Arial" w:eastAsia="Arial" w:hAnsi="Arial"/>
          <w:sz w:val="16"/>
          <w:szCs w:val="16"/>
          <w:color w:val="auto"/>
        </w:rPr>
        <w:t>The promissory notes and outstanding interest thereon are reported as a component of temporary equity in the accompanying consolidated balance sheets and statements of redeemable common stock, stock options, preferred stock and stockholders’ deficit.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15—Leases</w:t>
      </w:r>
    </w:p>
    <w:p>
      <w:pPr>
        <w:spacing w:after="0" w:line="117" w:lineRule="exact"/>
        <w:rPr>
          <w:sz w:val="20"/>
          <w:szCs w:val="20"/>
          <w:color w:val="auto"/>
        </w:rPr>
      </w:pPr>
    </w:p>
    <w:p>
      <w:pPr>
        <w:ind w:left="460"/>
        <w:spacing w:after="0" w:line="254" w:lineRule="auto"/>
        <w:rPr>
          <w:sz w:val="20"/>
          <w:szCs w:val="20"/>
          <w:color w:val="auto"/>
        </w:rPr>
      </w:pPr>
      <w:r>
        <w:rPr>
          <w:rFonts w:ascii="Arial" w:cs="Arial" w:eastAsia="Arial" w:hAnsi="Arial"/>
          <w:sz w:val="16"/>
          <w:szCs w:val="16"/>
          <w:color w:val="auto"/>
        </w:rPr>
        <w:t xml:space="preserve">In February 2016, the Financial Accounting Standards Board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its subsequent related amendments (collectively referred to as “ASC 842”), which requires that lessees recognize a right-to-use asset and related lease liability for all significant finance and operating leases not considered short-term leases (less than 12 months) and specifies where in the consolidated statement of cash flows the related lease payments are to be presented. It also changes the definition of a lease and expands the disclosure requirements of lease arrangements. The Company early adopted this standard on January 1, 2019 and elected the modified retrospective method for all lease arrangements at the beginning of the period of adoption. Results for reporting periods beginning on or after January 1, 2019 are presented under ASC 842.</w:t>
      </w:r>
    </w:p>
    <w:p>
      <w:pPr>
        <w:spacing w:after="0" w:line="86" w:lineRule="exact"/>
        <w:rPr>
          <w:sz w:val="20"/>
          <w:szCs w:val="20"/>
          <w:color w:val="auto"/>
        </w:rPr>
      </w:pPr>
    </w:p>
    <w:p>
      <w:pPr>
        <w:ind w:left="460" w:right="40"/>
        <w:spacing w:after="0" w:line="253" w:lineRule="auto"/>
        <w:rPr>
          <w:sz w:val="20"/>
          <w:szCs w:val="20"/>
          <w:color w:val="auto"/>
        </w:rPr>
      </w:pPr>
      <w:r>
        <w:rPr>
          <w:rFonts w:ascii="Arial" w:cs="Arial" w:eastAsia="Arial" w:hAnsi="Arial"/>
          <w:sz w:val="16"/>
          <w:szCs w:val="16"/>
          <w:color w:val="auto"/>
        </w:rPr>
        <w:t>For leases that commenced before the effective date of ASC 842, the Company did not elect the three practical expedients permitted within ASC 842 but re-evaluated prior conclusions about lease identification, lease classification and initial direct costs. A cumulative adjustment for the adoption of ASC 842 has been recorded in the accompanying statement of redeemable common stock, stock options, preferred stock and stockholder’s deficit as of January 1, 2019 in the amount of $37,000. The Company elected the hindsight practical expedient,</w:t>
      </w:r>
    </w:p>
    <w:p>
      <w:pPr>
        <w:spacing w:after="0" w:line="1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0800"/>
          </w:cols>
          <w:pgMar w:left="320" w:top="441" w:right="779" w:bottom="1440" w:gutter="0" w:footer="0" w:header="0"/>
        </w:sectPr>
      </w:pPr>
    </w:p>
    <w:bookmarkStart w:id="264" w:name="page265"/>
    <w:bookmarkEnd w:id="2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40"/>
        <w:spacing w:after="0" w:line="248" w:lineRule="auto"/>
        <w:rPr>
          <w:sz w:val="20"/>
          <w:szCs w:val="20"/>
          <w:color w:val="auto"/>
        </w:rPr>
      </w:pPr>
      <w:r>
        <w:rPr>
          <w:rFonts w:ascii="Arial" w:cs="Arial" w:eastAsia="Arial" w:hAnsi="Arial"/>
          <w:sz w:val="16"/>
          <w:szCs w:val="16"/>
          <w:color w:val="auto"/>
        </w:rPr>
        <w:t>which permits the use of hindsight when determining the lease term and impairment of right-of-use assets. Further, the Company elected a short-term lease exception policy, permitting the Company not to apply the recognition requirements of this standard to short-term leases (i.e., leases with 12 months or less). The Company has accounted for lease and non-lease components separately. As a result of adopting ASC 842 as of January 1, 2019, the Company recorded an operating lease right-of-use asset of $5.3 million and related operating lease liability of $5.9 million primarily related to facilities and certain equipment, based on the present value of the future lease payments on the date of adoption. The Company also recorded a finance lease right-of-use asset of $317,000 and related debt liability of $315,000 on the date of adoption. Adopting ASC 842 did not have a material impact on the Company’s consolidated statements of operations and cash flows.</w:t>
      </w:r>
    </w:p>
    <w:p>
      <w:pPr>
        <w:jc w:val="both"/>
        <w:ind w:left="460" w:right="160"/>
        <w:spacing w:after="0" w:line="256" w:lineRule="auto"/>
        <w:rPr>
          <w:sz w:val="20"/>
          <w:szCs w:val="20"/>
          <w:color w:val="auto"/>
        </w:rPr>
      </w:pPr>
      <w:r>
        <w:rPr>
          <w:rFonts w:ascii="Arial" w:cs="Arial" w:eastAsia="Arial" w:hAnsi="Arial"/>
          <w:sz w:val="16"/>
          <w:szCs w:val="16"/>
          <w:color w:val="auto"/>
        </w:rPr>
        <w:t>The Company has operating and finance leases for facilities and certain equipment. Leases with an initial term of 12 months or less are not recorded on the consolidated balance sheets. Lease expense for operating leases is recognized on a straight-line basis over the lease term. The Company does not combine lease and non-lease components in the recognition of lease expense.</w:t>
      </w:r>
    </w:p>
    <w:p>
      <w:pPr>
        <w:spacing w:after="0" w:line="83" w:lineRule="exact"/>
        <w:rPr>
          <w:sz w:val="20"/>
          <w:szCs w:val="20"/>
          <w:color w:val="auto"/>
        </w:rPr>
      </w:pPr>
    </w:p>
    <w:p>
      <w:pPr>
        <w:ind w:left="460" w:right="320"/>
        <w:spacing w:after="0" w:line="253" w:lineRule="auto"/>
        <w:rPr>
          <w:sz w:val="20"/>
          <w:szCs w:val="20"/>
          <w:color w:val="auto"/>
        </w:rPr>
      </w:pPr>
      <w:r>
        <w:rPr>
          <w:rFonts w:ascii="Arial" w:cs="Arial" w:eastAsia="Arial" w:hAnsi="Arial"/>
          <w:sz w:val="16"/>
          <w:szCs w:val="16"/>
          <w:color w:val="auto"/>
        </w:rPr>
        <w:t>The Company’s leases have remaining non-cancelable lease terms of approximately 1 year to 6 years, some of which include options to extend the leases for up to 10 years. The exercise of lease renewal options is at the Company’s sole discretion. The Company recognizes rent expense for minimum lease payments on a straight-line basis over the expected lease term, including rent holidays, rent escalation clause and/or cancelable option periods where failure to exercise such options would result in an economic penalty.</w:t>
      </w:r>
    </w:p>
    <w:p>
      <w:pPr>
        <w:spacing w:after="0" w:line="86" w:lineRule="exact"/>
        <w:rPr>
          <w:sz w:val="20"/>
          <w:szCs w:val="20"/>
          <w:color w:val="auto"/>
        </w:rPr>
      </w:pPr>
    </w:p>
    <w:p>
      <w:pPr>
        <w:jc w:val="both"/>
        <w:ind w:left="460" w:right="720"/>
        <w:spacing w:after="0" w:line="256" w:lineRule="auto"/>
        <w:rPr>
          <w:sz w:val="20"/>
          <w:szCs w:val="20"/>
          <w:color w:val="auto"/>
        </w:rPr>
      </w:pPr>
      <w:r>
        <w:rPr>
          <w:rFonts w:ascii="Arial" w:cs="Arial" w:eastAsia="Arial" w:hAnsi="Arial"/>
          <w:sz w:val="16"/>
          <w:szCs w:val="16"/>
          <w:color w:val="auto"/>
        </w:rPr>
        <w:t>As of December 31, 2020 and 2019, the Company held three leases for office, manufacturing and warehouse facilities in Aliso Viejo, California. The three leases are for 19,680, 42,106 and 48,036 square feet and expire on March 31, 2023, September 30, 2024 and January 31, 2026, respectively. For one of the facilities operating leases, the lessor provided $900,000 in tenant allowances.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lease balances within the consolidated balance sheets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380" w:type="dxa"/>
            <w:vAlign w:val="bottom"/>
            <w:gridSpan w:val="3"/>
          </w:tcPr>
          <w:p>
            <w:pPr>
              <w:ind w:left="1040"/>
              <w:spacing w:after="0"/>
              <w:rPr>
                <w:sz w:val="20"/>
                <w:szCs w:val="20"/>
                <w:color w:val="auto"/>
              </w:rPr>
            </w:pPr>
            <w:r>
              <w:rPr>
                <w:rFonts w:ascii="Arial" w:cs="Arial" w:eastAsia="Arial" w:hAnsi="Arial"/>
                <w:sz w:val="16"/>
                <w:szCs w:val="16"/>
                <w:b w:val="1"/>
                <w:bCs w:val="1"/>
                <w:color w:val="auto"/>
              </w:rPr>
              <w:t>December 31,</w:t>
            </w:r>
          </w:p>
        </w:tc>
        <w:tc>
          <w:tcPr>
            <w:tcW w:w="1380" w:type="dxa"/>
            <w:vAlign w:val="bottom"/>
            <w:gridSpan w:val="3"/>
          </w:tcPr>
          <w:p>
            <w:pPr>
              <w:ind w:left="2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7"/>
        </w:trPr>
        <w:tc>
          <w:tcPr>
            <w:tcW w:w="2160" w:type="dxa"/>
            <w:vAlign w:val="bottom"/>
            <w:gridSpan w:val="2"/>
          </w:tcPr>
          <w:p>
            <w:pPr>
              <w:spacing w:after="0"/>
              <w:rPr>
                <w:sz w:val="20"/>
                <w:szCs w:val="20"/>
                <w:color w:val="auto"/>
              </w:rPr>
            </w:pPr>
            <w:r>
              <w:rPr>
                <w:rFonts w:ascii="Arial" w:cs="Arial" w:eastAsia="Arial" w:hAnsi="Arial"/>
                <w:sz w:val="16"/>
                <w:szCs w:val="16"/>
                <w:b w:val="1"/>
                <w:bCs w:val="1"/>
                <w:color w:val="auto"/>
              </w:rPr>
              <w:t>Leases</w:t>
            </w:r>
          </w:p>
        </w:tc>
        <w:tc>
          <w:tcPr>
            <w:tcW w:w="4420" w:type="dxa"/>
            <w:vAlign w:val="bottom"/>
          </w:tcPr>
          <w:p>
            <w:pPr>
              <w:ind w:left="720"/>
              <w:spacing w:after="0"/>
              <w:rPr>
                <w:sz w:val="20"/>
                <w:szCs w:val="20"/>
                <w:color w:val="auto"/>
              </w:rPr>
            </w:pPr>
            <w:r>
              <w:rPr>
                <w:rFonts w:ascii="Arial" w:cs="Arial" w:eastAsia="Arial" w:hAnsi="Arial"/>
                <w:sz w:val="16"/>
                <w:szCs w:val="16"/>
                <w:b w:val="1"/>
                <w:bCs w:val="1"/>
                <w:color w:val="auto"/>
              </w:rPr>
              <w:t>Classification</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178"/>
              <w:spacing w:after="0"/>
              <w:rPr>
                <w:sz w:val="20"/>
                <w:szCs w:val="20"/>
                <w:color w:val="auto"/>
              </w:rPr>
            </w:pPr>
            <w:r>
              <w:rPr>
                <w:rFonts w:ascii="Arial" w:cs="Arial" w:eastAsia="Arial" w:hAnsi="Arial"/>
                <w:sz w:val="16"/>
                <w:szCs w:val="16"/>
                <w:b w:val="1"/>
                <w:bCs w:val="1"/>
                <w:color w:val="auto"/>
              </w:rPr>
              <w:t>2020</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2140" w:type="dxa"/>
            <w:vAlign w:val="bottom"/>
            <w:tcBorders>
              <w:top w:val="single" w:sz="8" w:color="auto"/>
            </w:tcBorders>
          </w:tcPr>
          <w:p>
            <w:pPr>
              <w:spacing w:after="0"/>
              <w:rPr>
                <w:sz w:val="3"/>
                <w:szCs w:val="3"/>
                <w:color w:val="auto"/>
              </w:rPr>
            </w:pPr>
          </w:p>
        </w:tc>
        <w:tc>
          <w:tcPr>
            <w:tcW w:w="442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4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60" w:type="dxa"/>
            <w:vAlign w:val="bottom"/>
            <w:gridSpan w:val="2"/>
          </w:tcPr>
          <w:p>
            <w:pPr>
              <w:spacing w:after="0"/>
              <w:rPr>
                <w:sz w:val="20"/>
                <w:szCs w:val="20"/>
                <w:color w:val="auto"/>
              </w:rPr>
            </w:pPr>
            <w:r>
              <w:rPr>
                <w:rFonts w:ascii="Arial" w:cs="Arial" w:eastAsia="Arial" w:hAnsi="Arial"/>
                <w:sz w:val="16"/>
                <w:szCs w:val="16"/>
                <w:color w:val="auto"/>
              </w:rPr>
              <w:t>Operating</w:t>
            </w:r>
          </w:p>
        </w:tc>
        <w:tc>
          <w:tcPr>
            <w:tcW w:w="4420" w:type="dxa"/>
            <w:vAlign w:val="bottom"/>
          </w:tcPr>
          <w:p>
            <w:pPr>
              <w:ind w:left="720"/>
              <w:spacing w:after="0"/>
              <w:rPr>
                <w:sz w:val="20"/>
                <w:szCs w:val="20"/>
                <w:color w:val="auto"/>
              </w:rPr>
            </w:pPr>
            <w:r>
              <w:rPr>
                <w:rFonts w:ascii="Arial" w:cs="Arial" w:eastAsia="Arial" w:hAnsi="Arial"/>
                <w:sz w:val="16"/>
                <w:szCs w:val="16"/>
                <w:color w:val="auto"/>
              </w:rPr>
              <w:t>Operating leases right-of-use assets</w:t>
            </w:r>
          </w:p>
        </w:tc>
        <w:tc>
          <w:tcPr>
            <w:tcW w:w="142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8"/>
              <w:spacing w:after="0"/>
              <w:rPr>
                <w:sz w:val="20"/>
                <w:szCs w:val="20"/>
                <w:color w:val="auto"/>
              </w:rPr>
            </w:pPr>
            <w:r>
              <w:rPr>
                <w:rFonts w:ascii="Arial" w:cs="Arial" w:eastAsia="Arial" w:hAnsi="Arial"/>
                <w:sz w:val="16"/>
                <w:szCs w:val="16"/>
                <w:color w:val="auto"/>
              </w:rPr>
              <w:t>5,319</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4,392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6"/>
                <w:szCs w:val="16"/>
                <w:color w:val="auto"/>
              </w:rPr>
              <w:t>Finance</w:t>
            </w:r>
          </w:p>
        </w:tc>
        <w:tc>
          <w:tcPr>
            <w:tcW w:w="44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Property and equipment, net</w:t>
            </w:r>
          </w:p>
        </w:tc>
        <w:tc>
          <w:tcPr>
            <w:tcW w:w="104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58</w:t>
            </w:r>
          </w:p>
        </w:tc>
        <w:tc>
          <w:tcPr>
            <w:tcW w:w="6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60" w:type="dxa"/>
            <w:vAlign w:val="bottom"/>
            <w:gridSpan w:val="2"/>
          </w:tcPr>
          <w:p>
            <w:pPr>
              <w:spacing w:after="0"/>
              <w:rPr>
                <w:sz w:val="20"/>
                <w:szCs w:val="20"/>
                <w:color w:val="auto"/>
              </w:rPr>
            </w:pPr>
            <w:r>
              <w:rPr>
                <w:rFonts w:ascii="Arial" w:cs="Arial" w:eastAsia="Arial" w:hAnsi="Arial"/>
                <w:sz w:val="16"/>
                <w:szCs w:val="16"/>
                <w:color w:val="auto"/>
              </w:rPr>
              <w:t>Total lease assets</w:t>
            </w:r>
          </w:p>
        </w:tc>
        <w:tc>
          <w:tcPr>
            <w:tcW w:w="4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5,377</w:t>
            </w:r>
          </w:p>
        </w:tc>
        <w:tc>
          <w:tcPr>
            <w:tcW w:w="6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5"/>
                <w:szCs w:val="5"/>
                <w:color w:val="auto"/>
              </w:rPr>
            </w:pPr>
          </w:p>
        </w:tc>
        <w:tc>
          <w:tcPr>
            <w:tcW w:w="2140" w:type="dxa"/>
            <w:vAlign w:val="bottom"/>
          </w:tcPr>
          <w:p>
            <w:pPr>
              <w:spacing w:after="0"/>
              <w:rPr>
                <w:sz w:val="5"/>
                <w:szCs w:val="5"/>
                <w:color w:val="auto"/>
              </w:rPr>
            </w:pPr>
          </w:p>
        </w:tc>
        <w:tc>
          <w:tcPr>
            <w:tcW w:w="44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4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160" w:type="dxa"/>
            <w:vAlign w:val="bottom"/>
            <w:gridSpan w:val="2"/>
          </w:tcPr>
          <w:p>
            <w:pPr>
              <w:spacing w:after="0"/>
              <w:rPr>
                <w:sz w:val="20"/>
                <w:szCs w:val="20"/>
                <w:color w:val="auto"/>
              </w:rPr>
            </w:pPr>
            <w:r>
              <w:rPr>
                <w:rFonts w:ascii="Arial" w:cs="Arial" w:eastAsia="Arial" w:hAnsi="Arial"/>
                <w:sz w:val="16"/>
                <w:szCs w:val="16"/>
                <w:color w:val="auto"/>
              </w:rPr>
              <w:t>Current</w:t>
            </w:r>
          </w:p>
        </w:tc>
        <w:tc>
          <w:tcPr>
            <w:tcW w:w="4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w:t>
            </w:r>
          </w:p>
        </w:tc>
        <w:tc>
          <w:tcPr>
            <w:tcW w:w="44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Lease liabilities</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1,247</w:t>
            </w:r>
          </w:p>
        </w:tc>
        <w:tc>
          <w:tcPr>
            <w:tcW w:w="6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40" w:type="dxa"/>
            <w:vAlign w:val="bottom"/>
          </w:tcPr>
          <w:p>
            <w:pPr>
              <w:ind w:left="180"/>
              <w:spacing w:after="0"/>
              <w:rPr>
                <w:sz w:val="20"/>
                <w:szCs w:val="20"/>
                <w:color w:val="auto"/>
              </w:rPr>
            </w:pPr>
            <w:r>
              <w:rPr>
                <w:rFonts w:ascii="Arial" w:cs="Arial" w:eastAsia="Arial" w:hAnsi="Arial"/>
                <w:sz w:val="16"/>
                <w:szCs w:val="16"/>
                <w:color w:val="auto"/>
              </w:rPr>
              <w:t>Finance</w:t>
            </w:r>
          </w:p>
        </w:tc>
        <w:tc>
          <w:tcPr>
            <w:tcW w:w="4420" w:type="dxa"/>
            <w:vAlign w:val="bottom"/>
          </w:tcPr>
          <w:p>
            <w:pPr>
              <w:ind w:left="720"/>
              <w:spacing w:after="0"/>
              <w:rPr>
                <w:sz w:val="20"/>
                <w:szCs w:val="20"/>
                <w:color w:val="auto"/>
              </w:rPr>
            </w:pPr>
            <w:r>
              <w:rPr>
                <w:rFonts w:ascii="Arial" w:cs="Arial" w:eastAsia="Arial" w:hAnsi="Arial"/>
                <w:sz w:val="16"/>
                <w:szCs w:val="16"/>
                <w:color w:val="auto"/>
              </w:rPr>
              <w:t>Lease liabilities</w:t>
            </w: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ind w:right="178"/>
              <w:spacing w:after="0"/>
              <w:rPr>
                <w:sz w:val="20"/>
                <w:szCs w:val="20"/>
                <w:color w:val="auto"/>
              </w:rPr>
            </w:pPr>
            <w:r>
              <w:rPr>
                <w:rFonts w:ascii="Arial" w:cs="Arial" w:eastAsia="Arial" w:hAnsi="Arial"/>
                <w:sz w:val="16"/>
                <w:szCs w:val="16"/>
                <w:color w:val="auto"/>
              </w:rPr>
              <w:t>27</w:t>
            </w:r>
          </w:p>
        </w:tc>
        <w:tc>
          <w:tcPr>
            <w:tcW w:w="6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2160" w:type="dxa"/>
            <w:vAlign w:val="bottom"/>
            <w:gridSpan w:val="2"/>
          </w:tcPr>
          <w:p>
            <w:pPr>
              <w:spacing w:after="0"/>
              <w:rPr>
                <w:sz w:val="4"/>
                <w:szCs w:val="4"/>
                <w:color w:val="auto"/>
              </w:rPr>
            </w:pPr>
          </w:p>
        </w:tc>
        <w:tc>
          <w:tcPr>
            <w:tcW w:w="44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6"/>
                <w:szCs w:val="16"/>
                <w:color w:val="auto"/>
              </w:rPr>
              <w:t>Noncurrent</w:t>
            </w:r>
          </w:p>
        </w:tc>
        <w:tc>
          <w:tcPr>
            <w:tcW w:w="4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40" w:type="dxa"/>
            <w:vAlign w:val="bottom"/>
          </w:tcPr>
          <w:p>
            <w:pPr>
              <w:ind w:left="180"/>
              <w:spacing w:after="0"/>
              <w:rPr>
                <w:sz w:val="20"/>
                <w:szCs w:val="20"/>
                <w:color w:val="auto"/>
              </w:rPr>
            </w:pPr>
            <w:r>
              <w:rPr>
                <w:rFonts w:ascii="Arial" w:cs="Arial" w:eastAsia="Arial" w:hAnsi="Arial"/>
                <w:sz w:val="16"/>
                <w:szCs w:val="16"/>
                <w:color w:val="auto"/>
              </w:rPr>
              <w:t>Operating</w:t>
            </w:r>
          </w:p>
        </w:tc>
        <w:tc>
          <w:tcPr>
            <w:tcW w:w="4420" w:type="dxa"/>
            <w:vAlign w:val="bottom"/>
          </w:tcPr>
          <w:p>
            <w:pPr>
              <w:ind w:left="720"/>
              <w:spacing w:after="0"/>
              <w:rPr>
                <w:sz w:val="20"/>
                <w:szCs w:val="20"/>
                <w:color w:val="auto"/>
              </w:rPr>
            </w:pPr>
            <w:r>
              <w:rPr>
                <w:rFonts w:ascii="Arial" w:cs="Arial" w:eastAsia="Arial" w:hAnsi="Arial"/>
                <w:sz w:val="16"/>
                <w:szCs w:val="16"/>
                <w:color w:val="auto"/>
              </w:rPr>
              <w:t>Long-term lease liabilities</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178"/>
              <w:spacing w:after="0"/>
              <w:rPr>
                <w:sz w:val="20"/>
                <w:szCs w:val="20"/>
                <w:color w:val="auto"/>
              </w:rPr>
            </w:pPr>
            <w:r>
              <w:rPr>
                <w:rFonts w:ascii="Arial" w:cs="Arial" w:eastAsia="Arial" w:hAnsi="Arial"/>
                <w:sz w:val="16"/>
                <w:szCs w:val="16"/>
                <w:color w:val="auto"/>
              </w:rPr>
              <w:t>5,042</w:t>
            </w:r>
          </w:p>
        </w:tc>
        <w:tc>
          <w:tcPr>
            <w:tcW w:w="6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4,472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w:t>
            </w:r>
          </w:p>
        </w:tc>
        <w:tc>
          <w:tcPr>
            <w:tcW w:w="44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Long-term lease liabilities</w:t>
            </w:r>
          </w:p>
        </w:tc>
        <w:tc>
          <w:tcPr>
            <w:tcW w:w="104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37</w:t>
            </w:r>
          </w:p>
        </w:tc>
        <w:tc>
          <w:tcPr>
            <w:tcW w:w="6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Total lease liabilities</w:t>
            </w:r>
          </w:p>
        </w:tc>
        <w:tc>
          <w:tcPr>
            <w:tcW w:w="4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10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6,353</w:t>
            </w:r>
          </w:p>
        </w:tc>
        <w:tc>
          <w:tcPr>
            <w:tcW w:w="6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460" w:right="740"/>
        <w:spacing w:after="0" w:line="265" w:lineRule="auto"/>
        <w:rPr>
          <w:sz w:val="20"/>
          <w:szCs w:val="20"/>
          <w:color w:val="auto"/>
        </w:rPr>
      </w:pPr>
      <w:r>
        <w:rPr>
          <w:rFonts w:ascii="Arial" w:cs="Arial" w:eastAsia="Arial" w:hAnsi="Arial"/>
          <w:sz w:val="16"/>
          <w:szCs w:val="16"/>
          <w:color w:val="auto"/>
        </w:rPr>
        <w:t>As the implicit rates in the Company’s leases were not readily available, the incremental borrowing rate was determined based upon information available at the lease commencement date in determining the present value of future lease payments.</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0800"/>
          </w:cols>
          <w:pgMar w:left="320" w:top="440" w:right="779" w:bottom="1440" w:gutter="0" w:footer="0" w:header="0"/>
        </w:sectPr>
      </w:pPr>
    </w:p>
    <w:bookmarkStart w:id="265" w:name="page266"/>
    <w:bookmarkEnd w:id="2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2020 and 2019, the components of operating and finance lease expenses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800" w:type="dxa"/>
            <w:vAlign w:val="bottom"/>
            <w:gridSpan w:val="2"/>
          </w:tcPr>
          <w:p>
            <w:pPr>
              <w:ind w:left="400"/>
              <w:spacing w:after="0"/>
              <w:rPr>
                <w:sz w:val="20"/>
                <w:szCs w:val="20"/>
                <w:color w:val="auto"/>
              </w:rPr>
            </w:pPr>
            <w:r>
              <w:rPr>
                <w:rFonts w:ascii="Arial" w:cs="Arial" w:eastAsia="Arial" w:hAnsi="Arial"/>
                <w:sz w:val="16"/>
                <w:szCs w:val="16"/>
                <w:b w:val="1"/>
                <w:bCs w:val="1"/>
                <w:color w:val="auto"/>
              </w:rPr>
              <w:t>December 31,</w:t>
            </w:r>
          </w:p>
        </w:tc>
        <w:tc>
          <w:tcPr>
            <w:tcW w:w="1460" w:type="dxa"/>
            <w:vAlign w:val="bottom"/>
            <w:gridSpan w:val="3"/>
          </w:tcPr>
          <w:p>
            <w:pPr>
              <w:ind w:left="340"/>
              <w:spacing w:after="0"/>
              <w:rPr>
                <w:sz w:val="20"/>
                <w:szCs w:val="20"/>
                <w:color w:val="auto"/>
              </w:rPr>
            </w:pPr>
            <w:r>
              <w:rPr>
                <w:rFonts w:ascii="Arial" w:cs="Arial" w:eastAsia="Arial" w:hAnsi="Arial"/>
                <w:sz w:val="16"/>
                <w:szCs w:val="16"/>
                <w:b w:val="1"/>
                <w:bCs w:val="1"/>
                <w:color w:val="auto"/>
              </w:rPr>
              <w:t>December 31,</w:t>
            </w:r>
          </w:p>
        </w:tc>
      </w:tr>
      <w:tr>
        <w:trPr>
          <w:trHeight w:val="207"/>
        </w:trPr>
        <w:tc>
          <w:tcPr>
            <w:tcW w:w="2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Lease cost</w:t>
            </w:r>
          </w:p>
        </w:tc>
        <w:tc>
          <w:tcPr>
            <w:tcW w:w="492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Classification</w:t>
            </w:r>
          </w:p>
        </w:tc>
        <w:tc>
          <w:tcPr>
            <w:tcW w:w="7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2020</w:t>
            </w:r>
          </w:p>
        </w:tc>
        <w:tc>
          <w:tcPr>
            <w:tcW w:w="7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18"/>
                <w:szCs w:val="18"/>
                <w:color w:val="auto"/>
              </w:rPr>
            </w:pPr>
          </w:p>
        </w:tc>
      </w:tr>
      <w:tr>
        <w:trPr>
          <w:trHeight w:val="183"/>
        </w:trPr>
        <w:tc>
          <w:tcPr>
            <w:tcW w:w="21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Operating lease cost</w:t>
            </w:r>
          </w:p>
        </w:tc>
        <w:tc>
          <w:tcPr>
            <w:tcW w:w="4920" w:type="dxa"/>
            <w:vAlign w:val="bottom"/>
            <w:shd w:val="clear" w:color="auto" w:fill="CCEEFF"/>
          </w:tcPr>
          <w:p>
            <w:pPr>
              <w:ind w:left="680"/>
              <w:spacing w:after="0" w:line="183" w:lineRule="exact"/>
              <w:rPr>
                <w:sz w:val="20"/>
                <w:szCs w:val="20"/>
                <w:color w:val="auto"/>
              </w:rPr>
            </w:pPr>
            <w:r>
              <w:rPr>
                <w:rFonts w:ascii="Arial" w:cs="Arial" w:eastAsia="Arial" w:hAnsi="Arial"/>
                <w:sz w:val="16"/>
                <w:szCs w:val="16"/>
                <w:color w:val="auto"/>
              </w:rPr>
              <w:t>Cost of goods sold</w:t>
            </w:r>
          </w:p>
        </w:tc>
        <w:tc>
          <w:tcPr>
            <w:tcW w:w="780" w:type="dxa"/>
            <w:vAlign w:val="bottom"/>
            <w:shd w:val="clear" w:color="auto" w:fill="CCEEFF"/>
          </w:tcPr>
          <w:p>
            <w:pPr>
              <w:ind w:left="40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38"/>
              <w:spacing w:after="0" w:line="183" w:lineRule="exact"/>
              <w:rPr>
                <w:sz w:val="20"/>
                <w:szCs w:val="20"/>
                <w:color w:val="auto"/>
              </w:rPr>
            </w:pPr>
            <w:r>
              <w:rPr>
                <w:rFonts w:ascii="Arial" w:cs="Arial" w:eastAsia="Arial" w:hAnsi="Arial"/>
                <w:sz w:val="16"/>
                <w:szCs w:val="16"/>
                <w:color w:val="auto"/>
              </w:rPr>
              <w:t>13</w:t>
            </w:r>
          </w:p>
        </w:tc>
        <w:tc>
          <w:tcPr>
            <w:tcW w:w="70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15</w:t>
            </w:r>
          </w:p>
        </w:tc>
        <w:tc>
          <w:tcPr>
            <w:tcW w:w="40" w:type="dxa"/>
            <w:vAlign w:val="bottom"/>
            <w:shd w:val="clear" w:color="auto" w:fill="CCEEFF"/>
          </w:tcPr>
          <w:p>
            <w:pPr>
              <w:spacing w:after="0"/>
              <w:rPr>
                <w:sz w:val="15"/>
                <w:szCs w:val="15"/>
                <w:color w:val="auto"/>
              </w:rPr>
            </w:pPr>
          </w:p>
        </w:tc>
      </w:tr>
      <w:tr>
        <w:trPr>
          <w:trHeight w:val="190"/>
        </w:trPr>
        <w:tc>
          <w:tcPr>
            <w:tcW w:w="2160" w:type="dxa"/>
            <w:vAlign w:val="bottom"/>
          </w:tcPr>
          <w:p>
            <w:pPr>
              <w:spacing w:after="0"/>
              <w:rPr>
                <w:sz w:val="16"/>
                <w:szCs w:val="16"/>
                <w:color w:val="auto"/>
              </w:rPr>
            </w:pPr>
          </w:p>
        </w:tc>
        <w:tc>
          <w:tcPr>
            <w:tcW w:w="4920" w:type="dxa"/>
            <w:vAlign w:val="bottom"/>
          </w:tcPr>
          <w:p>
            <w:pPr>
              <w:ind w:left="680"/>
              <w:spacing w:after="0"/>
              <w:rPr>
                <w:sz w:val="20"/>
                <w:szCs w:val="20"/>
                <w:color w:val="auto"/>
              </w:rPr>
            </w:pPr>
            <w:r>
              <w:rPr>
                <w:rFonts w:ascii="Arial" w:cs="Arial" w:eastAsia="Arial" w:hAnsi="Arial"/>
                <w:sz w:val="16"/>
                <w:szCs w:val="16"/>
                <w:color w:val="auto"/>
              </w:rPr>
              <w:t>Research and development</w:t>
            </w:r>
          </w:p>
        </w:tc>
        <w:tc>
          <w:tcPr>
            <w:tcW w:w="780" w:type="dxa"/>
            <w:vAlign w:val="bottom"/>
          </w:tcPr>
          <w:p>
            <w:pPr>
              <w:spacing w:after="0"/>
              <w:rPr>
                <w:sz w:val="16"/>
                <w:szCs w:val="16"/>
                <w:color w:val="auto"/>
              </w:rPr>
            </w:pPr>
          </w:p>
        </w:tc>
        <w:tc>
          <w:tcPr>
            <w:tcW w:w="1020" w:type="dxa"/>
            <w:vAlign w:val="bottom"/>
          </w:tcPr>
          <w:p>
            <w:pPr>
              <w:jc w:val="right"/>
              <w:ind w:right="238"/>
              <w:spacing w:after="0"/>
              <w:rPr>
                <w:sz w:val="20"/>
                <w:szCs w:val="20"/>
                <w:color w:val="auto"/>
              </w:rPr>
            </w:pPr>
            <w:r>
              <w:rPr>
                <w:rFonts w:ascii="Arial" w:cs="Arial" w:eastAsia="Arial" w:hAnsi="Arial"/>
                <w:sz w:val="16"/>
                <w:szCs w:val="16"/>
                <w:color w:val="auto"/>
              </w:rPr>
              <w:t>180</w:t>
            </w:r>
          </w:p>
        </w:tc>
        <w:tc>
          <w:tcPr>
            <w:tcW w:w="7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6"/>
                <w:szCs w:val="16"/>
                <w:color w:val="auto"/>
              </w:rPr>
            </w:pPr>
          </w:p>
        </w:tc>
      </w:tr>
      <w:tr>
        <w:trPr>
          <w:trHeight w:val="190"/>
        </w:trPr>
        <w:tc>
          <w:tcPr>
            <w:tcW w:w="2160" w:type="dxa"/>
            <w:vAlign w:val="bottom"/>
            <w:shd w:val="clear" w:color="auto" w:fill="CCEEFF"/>
          </w:tcPr>
          <w:p>
            <w:pPr>
              <w:spacing w:after="0"/>
              <w:rPr>
                <w:sz w:val="16"/>
                <w:szCs w:val="16"/>
                <w:color w:val="auto"/>
              </w:rPr>
            </w:pPr>
          </w:p>
        </w:tc>
        <w:tc>
          <w:tcPr>
            <w:tcW w:w="4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Selling, general and administrative expenses</w:t>
            </w: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1,544</w:t>
            </w:r>
          </w:p>
        </w:tc>
        <w:tc>
          <w:tcPr>
            <w:tcW w:w="7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40" w:type="dxa"/>
            <w:vAlign w:val="bottom"/>
            <w:shd w:val="clear" w:color="auto" w:fill="CCEEFF"/>
          </w:tcPr>
          <w:p>
            <w:pPr>
              <w:spacing w:after="0"/>
              <w:rPr>
                <w:sz w:val="16"/>
                <w:szCs w:val="16"/>
                <w:color w:val="auto"/>
              </w:rPr>
            </w:pPr>
          </w:p>
        </w:tc>
      </w:tr>
      <w:tr>
        <w:trPr>
          <w:trHeight w:val="295"/>
        </w:trPr>
        <w:tc>
          <w:tcPr>
            <w:tcW w:w="2160" w:type="dxa"/>
            <w:vAlign w:val="bottom"/>
          </w:tcPr>
          <w:p>
            <w:pPr>
              <w:spacing w:after="0"/>
              <w:rPr>
                <w:sz w:val="20"/>
                <w:szCs w:val="20"/>
                <w:color w:val="auto"/>
              </w:rPr>
            </w:pPr>
            <w:r>
              <w:rPr>
                <w:rFonts w:ascii="Arial" w:cs="Arial" w:eastAsia="Arial" w:hAnsi="Arial"/>
                <w:sz w:val="16"/>
                <w:szCs w:val="16"/>
                <w:color w:val="auto"/>
              </w:rPr>
              <w:t>Finance lease cost</w:t>
            </w:r>
          </w:p>
        </w:tc>
        <w:tc>
          <w:tcPr>
            <w:tcW w:w="4920" w:type="dxa"/>
            <w:vAlign w:val="bottom"/>
          </w:tcPr>
          <w:p>
            <w:pPr>
              <w:ind w:left="680"/>
              <w:spacing w:after="0"/>
              <w:rPr>
                <w:sz w:val="20"/>
                <w:szCs w:val="20"/>
                <w:color w:val="auto"/>
              </w:rPr>
            </w:pPr>
            <w:r>
              <w:rPr>
                <w:rFonts w:ascii="Arial" w:cs="Arial" w:eastAsia="Arial" w:hAnsi="Arial"/>
                <w:sz w:val="16"/>
                <w:szCs w:val="16"/>
                <w:color w:val="auto"/>
              </w:rPr>
              <w:t>Amortization of right-of-use asset included in</w:t>
            </w: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7"/>
        </w:trPr>
        <w:tc>
          <w:tcPr>
            <w:tcW w:w="2160" w:type="dxa"/>
            <w:vAlign w:val="bottom"/>
          </w:tcPr>
          <w:p>
            <w:pPr>
              <w:spacing w:after="0"/>
              <w:rPr>
                <w:sz w:val="16"/>
                <w:szCs w:val="16"/>
                <w:color w:val="auto"/>
              </w:rPr>
            </w:pPr>
          </w:p>
        </w:tc>
        <w:tc>
          <w:tcPr>
            <w:tcW w:w="4920" w:type="dxa"/>
            <w:vAlign w:val="bottom"/>
          </w:tcPr>
          <w:p>
            <w:pPr>
              <w:ind w:left="680"/>
              <w:spacing w:after="0"/>
              <w:rPr>
                <w:sz w:val="20"/>
                <w:szCs w:val="20"/>
                <w:color w:val="auto"/>
              </w:rPr>
            </w:pPr>
            <w:r>
              <w:rPr>
                <w:rFonts w:ascii="Arial" w:cs="Arial" w:eastAsia="Arial" w:hAnsi="Arial"/>
                <w:sz w:val="16"/>
                <w:szCs w:val="16"/>
                <w:color w:val="auto"/>
              </w:rPr>
              <w:t>Research and development expenses</w:t>
            </w:r>
          </w:p>
        </w:tc>
        <w:tc>
          <w:tcPr>
            <w:tcW w:w="780" w:type="dxa"/>
            <w:vAlign w:val="bottom"/>
          </w:tcPr>
          <w:p>
            <w:pPr>
              <w:spacing w:after="0"/>
              <w:rPr>
                <w:sz w:val="16"/>
                <w:szCs w:val="16"/>
                <w:color w:val="auto"/>
              </w:rPr>
            </w:pPr>
          </w:p>
        </w:tc>
        <w:tc>
          <w:tcPr>
            <w:tcW w:w="1020" w:type="dxa"/>
            <w:vAlign w:val="bottom"/>
          </w:tcPr>
          <w:p>
            <w:pPr>
              <w:jc w:val="right"/>
              <w:ind w:right="238"/>
              <w:spacing w:after="0"/>
              <w:rPr>
                <w:sz w:val="20"/>
                <w:szCs w:val="20"/>
                <w:color w:val="auto"/>
              </w:rPr>
            </w:pPr>
            <w:r>
              <w:rPr>
                <w:rFonts w:ascii="Arial" w:cs="Arial" w:eastAsia="Arial" w:hAnsi="Arial"/>
                <w:sz w:val="16"/>
                <w:szCs w:val="16"/>
                <w:color w:val="auto"/>
              </w:rPr>
              <w:t>115</w:t>
            </w:r>
          </w:p>
        </w:tc>
        <w:tc>
          <w:tcPr>
            <w:tcW w:w="7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149</w:t>
            </w:r>
          </w:p>
        </w:tc>
        <w:tc>
          <w:tcPr>
            <w:tcW w:w="40" w:type="dxa"/>
            <w:vAlign w:val="bottom"/>
          </w:tcPr>
          <w:p>
            <w:pPr>
              <w:spacing w:after="0"/>
              <w:rPr>
                <w:sz w:val="16"/>
                <w:szCs w:val="16"/>
                <w:color w:val="auto"/>
              </w:rPr>
            </w:pPr>
          </w:p>
        </w:tc>
      </w:tr>
      <w:tr>
        <w:trPr>
          <w:trHeight w:val="193"/>
        </w:trPr>
        <w:tc>
          <w:tcPr>
            <w:tcW w:w="2160" w:type="dxa"/>
            <w:vAlign w:val="bottom"/>
            <w:shd w:val="clear" w:color="auto" w:fill="CCEEFF"/>
          </w:tcPr>
          <w:p>
            <w:pPr>
              <w:spacing w:after="0"/>
              <w:rPr>
                <w:sz w:val="16"/>
                <w:szCs w:val="16"/>
                <w:color w:val="auto"/>
              </w:rPr>
            </w:pPr>
          </w:p>
        </w:tc>
        <w:tc>
          <w:tcPr>
            <w:tcW w:w="4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right-of-use asset included in Selling,</w:t>
            </w: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7"/>
        </w:trPr>
        <w:tc>
          <w:tcPr>
            <w:tcW w:w="2160" w:type="dxa"/>
            <w:vAlign w:val="bottom"/>
            <w:shd w:val="clear" w:color="auto" w:fill="CCEEFF"/>
          </w:tcPr>
          <w:p>
            <w:pPr>
              <w:spacing w:after="0"/>
              <w:rPr>
                <w:sz w:val="16"/>
                <w:szCs w:val="16"/>
                <w:color w:val="auto"/>
              </w:rPr>
            </w:pPr>
          </w:p>
        </w:tc>
        <w:tc>
          <w:tcPr>
            <w:tcW w:w="4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general and administrative expenses</w:t>
            </w: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44</w:t>
            </w:r>
          </w:p>
        </w:tc>
        <w:tc>
          <w:tcPr>
            <w:tcW w:w="7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40" w:type="dxa"/>
            <w:vAlign w:val="bottom"/>
            <w:shd w:val="clear" w:color="auto" w:fill="CCEEFF"/>
          </w:tcPr>
          <w:p>
            <w:pPr>
              <w:spacing w:after="0"/>
              <w:rPr>
                <w:sz w:val="16"/>
                <w:szCs w:val="16"/>
                <w:color w:val="auto"/>
              </w:rPr>
            </w:pPr>
          </w:p>
        </w:tc>
      </w:tr>
      <w:tr>
        <w:trPr>
          <w:trHeight w:val="303"/>
        </w:trPr>
        <w:tc>
          <w:tcPr>
            <w:tcW w:w="2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Finance lease cost</w:t>
            </w:r>
          </w:p>
        </w:tc>
        <w:tc>
          <w:tcPr>
            <w:tcW w:w="49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Interest expense</w:t>
            </w:r>
          </w:p>
        </w:tc>
        <w:tc>
          <w:tcPr>
            <w:tcW w:w="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14</w:t>
            </w: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40" w:type="dxa"/>
            <w:vAlign w:val="bottom"/>
          </w:tcPr>
          <w:p>
            <w:pPr>
              <w:spacing w:after="0"/>
              <w:rPr>
                <w:sz w:val="24"/>
                <w:szCs w:val="24"/>
                <w:color w:val="auto"/>
              </w:rPr>
            </w:pPr>
          </w:p>
        </w:tc>
      </w:tr>
    </w:tbl>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Maturities of the Company’s operating and finance lease liabilities as of December 31, 2020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Operating</w:t>
            </w:r>
          </w:p>
        </w:tc>
        <w:tc>
          <w:tcPr>
            <w:tcW w:w="940" w:type="dxa"/>
            <w:vAlign w:val="bottom"/>
            <w:gridSpan w:val="3"/>
          </w:tcPr>
          <w:p>
            <w:pPr>
              <w:ind w:left="260"/>
              <w:spacing w:after="0"/>
              <w:rPr>
                <w:sz w:val="20"/>
                <w:szCs w:val="20"/>
                <w:color w:val="auto"/>
              </w:rPr>
            </w:pPr>
            <w:r>
              <w:rPr>
                <w:rFonts w:ascii="Arial" w:cs="Arial" w:eastAsia="Arial" w:hAnsi="Arial"/>
                <w:sz w:val="16"/>
                <w:szCs w:val="16"/>
                <w:b w:val="1"/>
                <w:bCs w:val="1"/>
                <w:color w:val="auto"/>
              </w:rPr>
              <w:t>Finance</w:t>
            </w:r>
          </w:p>
        </w:tc>
      </w:tr>
      <w:tr>
        <w:trPr>
          <w:trHeight w:val="207"/>
        </w:trPr>
        <w:tc>
          <w:tcPr>
            <w:tcW w:w="5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 ending December 31,</w:t>
            </w:r>
          </w:p>
        </w:tc>
        <w:tc>
          <w:tcPr>
            <w:tcW w:w="3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leases</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leases</w:t>
            </w:r>
          </w:p>
        </w:tc>
      </w:tr>
      <w:tr>
        <w:trPr>
          <w:trHeight w:val="183"/>
        </w:trPr>
        <w:tc>
          <w:tcPr>
            <w:tcW w:w="5200" w:type="dxa"/>
            <w:vAlign w:val="bottom"/>
            <w:shd w:val="clear" w:color="auto" w:fill="CCEEFF"/>
          </w:tcPr>
          <w:p>
            <w:pPr>
              <w:jc w:val="right"/>
              <w:ind w:right="4358"/>
              <w:spacing w:after="0" w:line="183" w:lineRule="exact"/>
              <w:rPr>
                <w:sz w:val="20"/>
                <w:szCs w:val="20"/>
                <w:color w:val="auto"/>
              </w:rPr>
            </w:pPr>
            <w:r>
              <w:rPr>
                <w:rFonts w:ascii="Arial" w:cs="Arial" w:eastAsia="Arial" w:hAnsi="Arial"/>
                <w:sz w:val="16"/>
                <w:szCs w:val="16"/>
                <w:color w:val="auto"/>
              </w:rPr>
              <w:t>2021</w:t>
            </w:r>
          </w:p>
        </w:tc>
        <w:tc>
          <w:tcPr>
            <w:tcW w:w="3340" w:type="dxa"/>
            <w:vAlign w:val="bottom"/>
            <w:gridSpan w:val="2"/>
            <w:shd w:val="clear" w:color="auto" w:fill="CCEEFF"/>
          </w:tcPr>
          <w:p>
            <w:pPr>
              <w:ind w:left="3140"/>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78"/>
              <w:spacing w:after="0" w:line="183" w:lineRule="exact"/>
              <w:rPr>
                <w:sz w:val="20"/>
                <w:szCs w:val="20"/>
                <w:color w:val="auto"/>
              </w:rPr>
            </w:pPr>
            <w:r>
              <w:rPr>
                <w:rFonts w:ascii="Arial" w:cs="Arial" w:eastAsia="Arial" w:hAnsi="Arial"/>
                <w:sz w:val="16"/>
                <w:szCs w:val="16"/>
                <w:color w:val="auto"/>
              </w:rPr>
              <w:t>1,849</w:t>
            </w:r>
          </w:p>
        </w:tc>
        <w:tc>
          <w:tcPr>
            <w:tcW w:w="360" w:type="dxa"/>
            <w:vAlign w:val="bottom"/>
            <w:shd w:val="clear" w:color="auto" w:fill="CCEEFF"/>
          </w:tcPr>
          <w:p>
            <w:pPr>
              <w:ind w:left="260"/>
              <w:spacing w:after="0" w:line="183" w:lineRule="exact"/>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32</w:t>
            </w:r>
          </w:p>
        </w:tc>
        <w:tc>
          <w:tcPr>
            <w:tcW w:w="40" w:type="dxa"/>
            <w:vAlign w:val="bottom"/>
            <w:shd w:val="clear" w:color="auto" w:fill="CCEEFF"/>
          </w:tcPr>
          <w:p>
            <w:pPr>
              <w:spacing w:after="0"/>
              <w:rPr>
                <w:sz w:val="15"/>
                <w:szCs w:val="15"/>
                <w:color w:val="auto"/>
              </w:rPr>
            </w:pPr>
          </w:p>
        </w:tc>
      </w:tr>
      <w:tr>
        <w:trPr>
          <w:trHeight w:val="190"/>
        </w:trPr>
        <w:tc>
          <w:tcPr>
            <w:tcW w:w="5200" w:type="dxa"/>
            <w:vAlign w:val="bottom"/>
          </w:tcPr>
          <w:p>
            <w:pPr>
              <w:jc w:val="right"/>
              <w:ind w:right="4358"/>
              <w:spacing w:after="0"/>
              <w:rPr>
                <w:sz w:val="20"/>
                <w:szCs w:val="20"/>
                <w:color w:val="auto"/>
              </w:rPr>
            </w:pPr>
            <w:r>
              <w:rPr>
                <w:rFonts w:ascii="Arial" w:cs="Arial" w:eastAsia="Arial" w:hAnsi="Arial"/>
                <w:sz w:val="16"/>
                <w:szCs w:val="16"/>
                <w:color w:val="auto"/>
              </w:rPr>
              <w:t>2022</w:t>
            </w:r>
          </w:p>
        </w:tc>
        <w:tc>
          <w:tcPr>
            <w:tcW w:w="3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78"/>
              <w:spacing w:after="0"/>
              <w:rPr>
                <w:sz w:val="20"/>
                <w:szCs w:val="20"/>
                <w:color w:val="auto"/>
              </w:rPr>
            </w:pPr>
            <w:r>
              <w:rPr>
                <w:rFonts w:ascii="Arial" w:cs="Arial" w:eastAsia="Arial" w:hAnsi="Arial"/>
                <w:sz w:val="16"/>
                <w:szCs w:val="16"/>
                <w:color w:val="auto"/>
              </w:rPr>
              <w:t>1,881</w:t>
            </w:r>
          </w:p>
        </w:tc>
        <w:tc>
          <w:tcPr>
            <w:tcW w:w="3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w:t>
            </w:r>
          </w:p>
        </w:tc>
        <w:tc>
          <w:tcPr>
            <w:tcW w:w="40" w:type="dxa"/>
            <w:vAlign w:val="bottom"/>
          </w:tcPr>
          <w:p>
            <w:pPr>
              <w:spacing w:after="0"/>
              <w:rPr>
                <w:sz w:val="16"/>
                <w:szCs w:val="16"/>
                <w:color w:val="auto"/>
              </w:rPr>
            </w:pPr>
          </w:p>
        </w:tc>
      </w:tr>
      <w:tr>
        <w:trPr>
          <w:trHeight w:val="190"/>
        </w:trPr>
        <w:tc>
          <w:tcPr>
            <w:tcW w:w="5200" w:type="dxa"/>
            <w:vAlign w:val="bottom"/>
            <w:shd w:val="clear" w:color="auto" w:fill="CCEEFF"/>
          </w:tcPr>
          <w:p>
            <w:pPr>
              <w:jc w:val="right"/>
              <w:ind w:right="4358"/>
              <w:spacing w:after="0"/>
              <w:rPr>
                <w:sz w:val="20"/>
                <w:szCs w:val="20"/>
                <w:color w:val="auto"/>
              </w:rPr>
            </w:pPr>
            <w:r>
              <w:rPr>
                <w:rFonts w:ascii="Arial" w:cs="Arial" w:eastAsia="Arial" w:hAnsi="Arial"/>
                <w:sz w:val="16"/>
                <w:szCs w:val="16"/>
                <w:color w:val="auto"/>
              </w:rPr>
              <w:t>2023</w:t>
            </w:r>
          </w:p>
        </w:tc>
        <w:tc>
          <w:tcPr>
            <w:tcW w:w="3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1,682</w:t>
            </w: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0" w:type="dxa"/>
            <w:vAlign w:val="bottom"/>
            <w:shd w:val="clear" w:color="auto" w:fill="CCEEFF"/>
          </w:tcPr>
          <w:p>
            <w:pPr>
              <w:spacing w:after="0"/>
              <w:rPr>
                <w:sz w:val="16"/>
                <w:szCs w:val="16"/>
                <w:color w:val="auto"/>
              </w:rPr>
            </w:pPr>
          </w:p>
        </w:tc>
      </w:tr>
      <w:tr>
        <w:trPr>
          <w:trHeight w:val="190"/>
        </w:trPr>
        <w:tc>
          <w:tcPr>
            <w:tcW w:w="5200" w:type="dxa"/>
            <w:vAlign w:val="bottom"/>
          </w:tcPr>
          <w:p>
            <w:pPr>
              <w:jc w:val="right"/>
              <w:ind w:right="4358"/>
              <w:spacing w:after="0"/>
              <w:rPr>
                <w:sz w:val="20"/>
                <w:szCs w:val="20"/>
                <w:color w:val="auto"/>
              </w:rPr>
            </w:pPr>
            <w:r>
              <w:rPr>
                <w:rFonts w:ascii="Arial" w:cs="Arial" w:eastAsia="Arial" w:hAnsi="Arial"/>
                <w:sz w:val="16"/>
                <w:szCs w:val="16"/>
                <w:color w:val="auto"/>
              </w:rPr>
              <w:t>2024</w:t>
            </w:r>
          </w:p>
        </w:tc>
        <w:tc>
          <w:tcPr>
            <w:tcW w:w="3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78"/>
              <w:spacing w:after="0"/>
              <w:rPr>
                <w:sz w:val="20"/>
                <w:szCs w:val="20"/>
                <w:color w:val="auto"/>
              </w:rPr>
            </w:pPr>
            <w:r>
              <w:rPr>
                <w:rFonts w:ascii="Arial" w:cs="Arial" w:eastAsia="Arial" w:hAnsi="Arial"/>
                <w:sz w:val="16"/>
                <w:szCs w:val="16"/>
                <w:color w:val="auto"/>
              </w:rPr>
              <w:t>1,456</w:t>
            </w:r>
          </w:p>
        </w:tc>
        <w:tc>
          <w:tcPr>
            <w:tcW w:w="36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0"/>
        </w:trPr>
        <w:tc>
          <w:tcPr>
            <w:tcW w:w="5200" w:type="dxa"/>
            <w:vAlign w:val="bottom"/>
            <w:shd w:val="clear" w:color="auto" w:fill="CCEEFF"/>
          </w:tcPr>
          <w:p>
            <w:pPr>
              <w:jc w:val="right"/>
              <w:ind w:right="4358"/>
              <w:spacing w:after="0"/>
              <w:rPr>
                <w:sz w:val="20"/>
                <w:szCs w:val="20"/>
                <w:color w:val="auto"/>
              </w:rPr>
            </w:pPr>
            <w:r>
              <w:rPr>
                <w:rFonts w:ascii="Arial" w:cs="Arial" w:eastAsia="Arial" w:hAnsi="Arial"/>
                <w:sz w:val="16"/>
                <w:szCs w:val="16"/>
                <w:color w:val="auto"/>
              </w:rPr>
              <w:t>2025</w:t>
            </w:r>
          </w:p>
        </w:tc>
        <w:tc>
          <w:tcPr>
            <w:tcW w:w="3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951</w:t>
            </w:r>
          </w:p>
        </w:tc>
        <w:tc>
          <w:tcPr>
            <w:tcW w:w="3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196"/>
        </w:trPr>
        <w:tc>
          <w:tcPr>
            <w:tcW w:w="5200" w:type="dxa"/>
            <w:vAlign w:val="bottom"/>
          </w:tcPr>
          <w:p>
            <w:pPr>
              <w:spacing w:after="0"/>
              <w:rPr>
                <w:sz w:val="20"/>
                <w:szCs w:val="20"/>
                <w:color w:val="auto"/>
              </w:rPr>
            </w:pPr>
            <w:r>
              <w:rPr>
                <w:rFonts w:ascii="Arial" w:cs="Arial" w:eastAsia="Arial" w:hAnsi="Arial"/>
                <w:sz w:val="16"/>
                <w:szCs w:val="16"/>
                <w:color w:val="auto"/>
              </w:rPr>
              <w:t>Thereafter</w:t>
            </w:r>
          </w:p>
        </w:tc>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78"/>
              <w:spacing w:after="0"/>
              <w:rPr>
                <w:sz w:val="20"/>
                <w:szCs w:val="20"/>
                <w:color w:val="auto"/>
              </w:rPr>
            </w:pPr>
            <w:r>
              <w:rPr>
                <w:rFonts w:ascii="Arial" w:cs="Arial" w:eastAsia="Arial" w:hAnsi="Arial"/>
                <w:sz w:val="16"/>
                <w:szCs w:val="16"/>
                <w:color w:val="auto"/>
              </w:rPr>
              <w:t>79</w:t>
            </w:r>
          </w:p>
        </w:tc>
        <w:tc>
          <w:tcPr>
            <w:tcW w:w="36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0"/>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Total lease payments</w:t>
            </w:r>
          </w:p>
        </w:tc>
        <w:tc>
          <w:tcPr>
            <w:tcW w:w="31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7,898</w:t>
            </w:r>
          </w:p>
        </w:tc>
        <w:tc>
          <w:tcPr>
            <w:tcW w:w="3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40" w:type="dxa"/>
            <w:vAlign w:val="bottom"/>
            <w:shd w:val="clear" w:color="auto" w:fill="CCEEFF"/>
          </w:tcPr>
          <w:p>
            <w:pPr>
              <w:spacing w:after="0"/>
              <w:rPr>
                <w:sz w:val="16"/>
                <w:szCs w:val="16"/>
                <w:color w:val="auto"/>
              </w:rPr>
            </w:pPr>
          </w:p>
        </w:tc>
      </w:tr>
      <w:tr>
        <w:trPr>
          <w:trHeight w:val="196"/>
        </w:trPr>
        <w:tc>
          <w:tcPr>
            <w:tcW w:w="5200" w:type="dxa"/>
            <w:vAlign w:val="bottom"/>
          </w:tcPr>
          <w:p>
            <w:pPr>
              <w:jc w:val="right"/>
              <w:ind w:right="3318"/>
              <w:spacing w:after="0"/>
              <w:rPr>
                <w:sz w:val="20"/>
                <w:szCs w:val="20"/>
                <w:color w:val="auto"/>
              </w:rPr>
            </w:pPr>
            <w:r>
              <w:rPr>
                <w:rFonts w:ascii="Arial" w:cs="Arial" w:eastAsia="Arial" w:hAnsi="Arial"/>
                <w:sz w:val="16"/>
                <w:szCs w:val="16"/>
                <w:color w:val="auto"/>
              </w:rPr>
              <w:t>Less: imputed interest</w:t>
            </w:r>
          </w:p>
        </w:tc>
        <w:tc>
          <w:tcPr>
            <w:tcW w:w="3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1,608</w:t>
            </w:r>
          </w:p>
        </w:tc>
        <w:tc>
          <w:tcPr>
            <w:tcW w:w="3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7"/>
                <w:szCs w:val="17"/>
                <w:color w:val="auto"/>
              </w:rPr>
            </w:pPr>
          </w:p>
        </w:tc>
      </w:tr>
      <w:tr>
        <w:trPr>
          <w:trHeight w:val="190"/>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Total lease liabilities</w:t>
            </w:r>
          </w:p>
        </w:tc>
        <w:tc>
          <w:tcPr>
            <w:tcW w:w="3340" w:type="dxa"/>
            <w:vAlign w:val="bottom"/>
            <w:gridSpan w:val="2"/>
            <w:shd w:val="clear" w:color="auto" w:fill="CCEEFF"/>
          </w:tcPr>
          <w:p>
            <w:pPr>
              <w:ind w:left="3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6,290</w:t>
            </w:r>
          </w:p>
        </w:tc>
        <w:tc>
          <w:tcPr>
            <w:tcW w:w="360" w:type="dxa"/>
            <w:vAlign w:val="bottom"/>
            <w:shd w:val="clear" w:color="auto" w:fill="CCEEFF"/>
          </w:tcPr>
          <w:p>
            <w:pPr>
              <w:ind w:left="260"/>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40" w:type="dxa"/>
            <w:vAlign w:val="bottom"/>
            <w:shd w:val="clear" w:color="auto" w:fill="CCEEFF"/>
          </w:tcPr>
          <w:p>
            <w:pPr>
              <w:spacing w:after="0"/>
              <w:rPr>
                <w:sz w:val="16"/>
                <w:szCs w:val="16"/>
                <w:color w:val="auto"/>
              </w:rPr>
            </w:pP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right="120"/>
        <w:spacing w:after="0" w:line="265" w:lineRule="auto"/>
        <w:rPr>
          <w:sz w:val="20"/>
          <w:szCs w:val="20"/>
          <w:color w:val="auto"/>
        </w:rPr>
      </w:pPr>
      <w:r>
        <w:rPr>
          <w:rFonts w:ascii="Arial" w:cs="Arial" w:eastAsia="Arial" w:hAnsi="Arial"/>
          <w:sz w:val="16"/>
          <w:szCs w:val="16"/>
          <w:color w:val="auto"/>
        </w:rPr>
        <w:t>The weighted average remaining lease term and weighted average discount rate used to determine lease liabilities related to the Company’s operating and finance leases as of December 31, 2020 and 2019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53975</wp:posOffset>
            </wp:positionV>
            <wp:extent cx="6569075" cy="1587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420" w:type="dxa"/>
            <w:vAlign w:val="bottom"/>
          </w:tcPr>
          <w:p>
            <w:pPr>
              <w:jc w:val="right"/>
              <w:ind w:right="218"/>
              <w:spacing w:after="0"/>
              <w:rPr>
                <w:sz w:val="20"/>
                <w:szCs w:val="20"/>
                <w:color w:val="auto"/>
              </w:rPr>
            </w:pPr>
            <w:r>
              <w:rPr>
                <w:rFonts w:ascii="Arial" w:cs="Arial" w:eastAsia="Arial" w:hAnsi="Arial"/>
                <w:sz w:val="16"/>
                <w:szCs w:val="16"/>
                <w:b w:val="1"/>
                <w:bCs w:val="1"/>
                <w:color w:val="auto"/>
              </w:rPr>
              <w:t>December 31,</w:t>
            </w:r>
          </w:p>
        </w:tc>
        <w:tc>
          <w:tcPr>
            <w:tcW w:w="1420" w:type="dxa"/>
            <w:vAlign w:val="bottom"/>
            <w:gridSpan w:val="2"/>
          </w:tcPr>
          <w:p>
            <w:pPr>
              <w:ind w:left="300"/>
              <w:spacing w:after="0"/>
              <w:rPr>
                <w:sz w:val="20"/>
                <w:szCs w:val="20"/>
                <w:color w:val="auto"/>
              </w:rPr>
            </w:pPr>
            <w:r>
              <w:rPr>
                <w:rFonts w:ascii="Arial" w:cs="Arial" w:eastAsia="Arial" w:hAnsi="Arial"/>
                <w:sz w:val="16"/>
                <w:szCs w:val="16"/>
                <w:b w:val="1"/>
                <w:bCs w:val="1"/>
                <w:color w:val="auto"/>
              </w:rPr>
              <w:t>December 31,</w:t>
            </w:r>
          </w:p>
        </w:tc>
      </w:tr>
      <w:tr>
        <w:trPr>
          <w:trHeight w:val="207"/>
        </w:trPr>
        <w:tc>
          <w:tcPr>
            <w:tcW w:w="55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Lease term and discount rate</w:t>
            </w:r>
          </w:p>
        </w:tc>
        <w:tc>
          <w:tcPr>
            <w:tcW w:w="342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2020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18"/>
                <w:szCs w:val="18"/>
                <w:color w:val="auto"/>
              </w:rPr>
            </w:pPr>
          </w:p>
        </w:tc>
      </w:tr>
      <w:tr>
        <w:trPr>
          <w:trHeight w:val="43"/>
        </w:trPr>
        <w:tc>
          <w:tcPr>
            <w:tcW w:w="55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90"/>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remaining lease term (years)</w:t>
            </w:r>
          </w:p>
        </w:tc>
        <w:tc>
          <w:tcPr>
            <w:tcW w:w="3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0"/>
        </w:trPr>
        <w:tc>
          <w:tcPr>
            <w:tcW w:w="5500" w:type="dxa"/>
            <w:vAlign w:val="bottom"/>
          </w:tcPr>
          <w:p>
            <w:pPr>
              <w:ind w:left="200"/>
              <w:spacing w:after="0"/>
              <w:rPr>
                <w:sz w:val="20"/>
                <w:szCs w:val="20"/>
                <w:color w:val="auto"/>
              </w:rPr>
            </w:pPr>
            <w:r>
              <w:rPr>
                <w:rFonts w:ascii="Arial" w:cs="Arial" w:eastAsia="Arial" w:hAnsi="Arial"/>
                <w:sz w:val="16"/>
                <w:szCs w:val="16"/>
                <w:color w:val="auto"/>
              </w:rPr>
              <w:t>Operating leases</w:t>
            </w:r>
          </w:p>
        </w:tc>
        <w:tc>
          <w:tcPr>
            <w:tcW w:w="3420" w:type="dxa"/>
            <w:vAlign w:val="bottom"/>
          </w:tcPr>
          <w:p>
            <w:pPr>
              <w:jc w:val="right"/>
              <w:ind w:right="218"/>
              <w:spacing w:after="0"/>
              <w:rPr>
                <w:sz w:val="20"/>
                <w:szCs w:val="20"/>
                <w:color w:val="auto"/>
              </w:rPr>
            </w:pPr>
            <w:r>
              <w:rPr>
                <w:rFonts w:ascii="Arial" w:cs="Arial" w:eastAsia="Arial" w:hAnsi="Arial"/>
                <w:sz w:val="16"/>
                <w:szCs w:val="16"/>
                <w:color w:val="auto"/>
              </w:rPr>
              <w:t>4.21</w:t>
            </w:r>
          </w:p>
        </w:tc>
        <w:tc>
          <w:tcPr>
            <w:tcW w:w="1380" w:type="dxa"/>
            <w:vAlign w:val="bottom"/>
          </w:tcPr>
          <w:p>
            <w:pPr>
              <w:jc w:val="right"/>
              <w:spacing w:after="0"/>
              <w:rPr>
                <w:sz w:val="20"/>
                <w:szCs w:val="20"/>
                <w:color w:val="auto"/>
              </w:rPr>
            </w:pPr>
            <w:r>
              <w:rPr>
                <w:rFonts w:ascii="Arial" w:cs="Arial" w:eastAsia="Arial" w:hAnsi="Arial"/>
                <w:sz w:val="16"/>
                <w:szCs w:val="16"/>
                <w:color w:val="auto"/>
              </w:rPr>
              <w:t>4.87</w:t>
            </w:r>
          </w:p>
        </w:tc>
        <w:tc>
          <w:tcPr>
            <w:tcW w:w="40" w:type="dxa"/>
            <w:vAlign w:val="bottom"/>
          </w:tcPr>
          <w:p>
            <w:pPr>
              <w:spacing w:after="0"/>
              <w:rPr>
                <w:sz w:val="16"/>
                <w:szCs w:val="16"/>
                <w:color w:val="auto"/>
              </w:rPr>
            </w:pPr>
          </w:p>
        </w:tc>
      </w:tr>
      <w:tr>
        <w:trPr>
          <w:trHeight w:val="190"/>
        </w:trPr>
        <w:tc>
          <w:tcPr>
            <w:tcW w:w="5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Finance leases</w:t>
            </w:r>
          </w:p>
        </w:tc>
        <w:tc>
          <w:tcPr>
            <w:tcW w:w="342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2.42</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40" w:type="dxa"/>
            <w:vAlign w:val="bottom"/>
            <w:shd w:val="clear" w:color="auto" w:fill="CCEEFF"/>
          </w:tcPr>
          <w:p>
            <w:pPr>
              <w:spacing w:after="0"/>
              <w:rPr>
                <w:sz w:val="16"/>
                <w:szCs w:val="16"/>
                <w:color w:val="auto"/>
              </w:rPr>
            </w:pPr>
          </w:p>
        </w:tc>
      </w:tr>
      <w:tr>
        <w:trPr>
          <w:trHeight w:val="254"/>
        </w:trPr>
        <w:tc>
          <w:tcPr>
            <w:tcW w:w="5500" w:type="dxa"/>
            <w:vAlign w:val="bottom"/>
          </w:tcPr>
          <w:p>
            <w:pPr>
              <w:spacing w:after="0"/>
              <w:rPr>
                <w:sz w:val="20"/>
                <w:szCs w:val="20"/>
                <w:color w:val="auto"/>
              </w:rPr>
            </w:pPr>
            <w:r>
              <w:rPr>
                <w:rFonts w:ascii="Arial" w:cs="Arial" w:eastAsia="Arial" w:hAnsi="Arial"/>
                <w:sz w:val="16"/>
                <w:szCs w:val="16"/>
                <w:color w:val="auto"/>
              </w:rPr>
              <w:t>Weighted average discount rate</w:t>
            </w:r>
          </w:p>
        </w:tc>
        <w:tc>
          <w:tcPr>
            <w:tcW w:w="3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90"/>
        </w:trPr>
        <w:tc>
          <w:tcPr>
            <w:tcW w:w="5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leases</w:t>
            </w:r>
          </w:p>
        </w:tc>
        <w:tc>
          <w:tcPr>
            <w:tcW w:w="342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10.5%</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40" w:type="dxa"/>
            <w:vAlign w:val="bottom"/>
            <w:shd w:val="clear" w:color="auto" w:fill="CCEEFF"/>
          </w:tcPr>
          <w:p>
            <w:pPr>
              <w:spacing w:after="0"/>
              <w:rPr>
                <w:sz w:val="16"/>
                <w:szCs w:val="16"/>
                <w:color w:val="auto"/>
              </w:rPr>
            </w:pPr>
          </w:p>
        </w:tc>
      </w:tr>
      <w:tr>
        <w:trPr>
          <w:trHeight w:val="201"/>
        </w:trPr>
        <w:tc>
          <w:tcPr>
            <w:tcW w:w="55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Finance leases</w:t>
            </w:r>
          </w:p>
        </w:tc>
        <w:tc>
          <w:tcPr>
            <w:tcW w:w="342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rPr>
              <w:t>10.5%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40" w:type="dxa"/>
            <w:vAlign w:val="bottom"/>
          </w:tcPr>
          <w:p>
            <w:pPr>
              <w:spacing w:after="0"/>
              <w:rPr>
                <w:sz w:val="17"/>
                <w:szCs w:val="17"/>
                <w:color w:val="auto"/>
              </w:rPr>
            </w:pPr>
          </w:p>
        </w:tc>
      </w:tr>
    </w:tbl>
    <w:p>
      <w:pPr>
        <w:spacing w:after="0" w:line="173"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16—Commitments and contingencies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Letter of credit</w:t>
      </w:r>
    </w:p>
    <w:p>
      <w:pPr>
        <w:spacing w:after="0" w:line="124" w:lineRule="exact"/>
        <w:rPr>
          <w:sz w:val="20"/>
          <w:szCs w:val="20"/>
          <w:color w:val="auto"/>
        </w:rPr>
      </w:pPr>
    </w:p>
    <w:p>
      <w:pPr>
        <w:ind w:left="460" w:right="200"/>
        <w:spacing w:after="0" w:line="265" w:lineRule="auto"/>
        <w:rPr>
          <w:sz w:val="20"/>
          <w:szCs w:val="20"/>
          <w:color w:val="auto"/>
        </w:rPr>
      </w:pPr>
      <w:r>
        <w:rPr>
          <w:rFonts w:ascii="Arial" w:cs="Arial" w:eastAsia="Arial" w:hAnsi="Arial"/>
          <w:sz w:val="16"/>
          <w:szCs w:val="16"/>
          <w:color w:val="auto"/>
        </w:rPr>
        <w:t>The Company has a standby letter of credit, expiring September 30, 2024, issued by a financial institution as required security for one operating lease. The aggregate amount of the letter of credit was $360,000 and $570,000 as of December 31, 2020 and 2019, respectively.</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0800"/>
          </w:cols>
          <w:pgMar w:left="320" w:top="440" w:right="779" w:bottom="1440" w:gutter="0" w:footer="0" w:header="0"/>
        </w:sectPr>
      </w:pPr>
    </w:p>
    <w:bookmarkStart w:id="266" w:name="page267"/>
    <w:bookmarkEnd w:id="2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Legal matters</w:t>
      </w:r>
    </w:p>
    <w:p>
      <w:pPr>
        <w:spacing w:after="0" w:line="124"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From time-to-time, the Company may be involved in certain legal proceedings or regulatory matters arising in the ordinary course of business, including without limitation, actions with respect to intellectual property, employment, regulatory, product liability and contractual matters. In connection with these proceedings or matters, the Company regularly assesses the probability and amount (or range) of possible issues based on the developments in these proceedings or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 At December 31, 2020 and 2019, there were no legal proceedings, regulatory matters, or other disputes or claims for which a material loss was considered probable or for which the amount (or range) of loss was reasonably estimable. However, regardless of the outcome, legal proceedings, regulatory matters, and other disputes and claims can have an adverse impact on the Company because of legal costs, diversion of management time and resources, and other factors.</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Special redemption of equity instruments</w:t>
      </w:r>
    </w:p>
    <w:p>
      <w:pPr>
        <w:spacing w:after="0" w:line="124" w:lineRule="exact"/>
        <w:rPr>
          <w:sz w:val="20"/>
          <w:szCs w:val="20"/>
          <w:color w:val="auto"/>
        </w:rPr>
      </w:pPr>
    </w:p>
    <w:p>
      <w:pPr>
        <w:ind w:left="460" w:right="40"/>
        <w:spacing w:after="0" w:line="250" w:lineRule="auto"/>
        <w:rPr>
          <w:sz w:val="20"/>
          <w:szCs w:val="20"/>
          <w:color w:val="auto"/>
        </w:rPr>
      </w:pPr>
      <w:r>
        <w:rPr>
          <w:rFonts w:ascii="Arial" w:cs="Arial" w:eastAsia="Arial" w:hAnsi="Arial"/>
          <w:sz w:val="16"/>
          <w:szCs w:val="16"/>
          <w:color w:val="auto"/>
        </w:rPr>
        <w:t>The Company committed to redeem all common and preferred stock, preferred stock warrants and stock options in the event that the Series W Warrant was exercised using the funds provided by the Warrant Holder. On March 31, 2021, the Series W Warrant expired; therefore, the Special Redemption had no effect and is unenforceable by the various equity holders. As of December 31, 2020, management believed the exercise of the Warrant, and therefore the Special Redemption, was not probable. Management believed that the estimates used to value the equity instruments were based upon reasonable assumptions about the likelihood as to the occurrence, timing and financial forecast of the Company upon the expected exercise of the Series W Warrant and that the accompanying consolidated financial statements represent fairly in all material respects the impact on the Company as of and for the years ended December 31, 2020 and 2019.</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Accrued compensation</w:t>
      </w:r>
    </w:p>
    <w:p>
      <w:pPr>
        <w:spacing w:after="0" w:line="124" w:lineRule="exact"/>
        <w:rPr>
          <w:sz w:val="20"/>
          <w:szCs w:val="20"/>
          <w:color w:val="auto"/>
        </w:rPr>
      </w:pPr>
    </w:p>
    <w:p>
      <w:pPr>
        <w:ind w:left="460" w:right="100"/>
        <w:spacing w:after="0" w:line="251" w:lineRule="auto"/>
        <w:rPr>
          <w:sz w:val="20"/>
          <w:szCs w:val="20"/>
          <w:color w:val="auto"/>
        </w:rPr>
      </w:pPr>
      <w:r>
        <w:rPr>
          <w:rFonts w:ascii="Arial" w:cs="Arial" w:eastAsia="Arial" w:hAnsi="Arial"/>
          <w:sz w:val="16"/>
          <w:szCs w:val="16"/>
          <w:color w:val="auto"/>
        </w:rPr>
        <w:t xml:space="preserve">As of December 31, 2019, the Company recorded accrued compensation of $2.6 million related to bonuses contingent upon a change of control in connection with the exercise of the Series W Warrant. Unrecognized compensation expense related to these contingent bonuses was $795,000 as of December 31, 2019. Amounts were included in long-term accrued compensation for the year ended December 31, 2019 on the accompanying consolidated balance sheets. In March 2021, the Series W warrant expired unexercised (see Note 17). In accordance with ASC 855, </w:t>
      </w:r>
      <w:r>
        <w:rPr>
          <w:rFonts w:ascii="Arial" w:cs="Arial" w:eastAsia="Arial" w:hAnsi="Arial"/>
          <w:sz w:val="16"/>
          <w:szCs w:val="16"/>
          <w:i w:val="1"/>
          <w:iCs w:val="1"/>
          <w:color w:val="auto"/>
        </w:rPr>
        <w:t>Subsequent Events</w:t>
      </w:r>
      <w:r>
        <w:rPr>
          <w:rFonts w:ascii="Arial" w:cs="Arial" w:eastAsia="Arial" w:hAnsi="Arial"/>
          <w:sz w:val="16"/>
          <w:szCs w:val="16"/>
          <w:color w:val="auto"/>
        </w:rPr>
        <w:t>, this is a recognizable subsequent event as it relates to this estimated accrued compensation and, accordingly, the liability balance for the year ended December 31, 2020 was derecognized.</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17—Subsequent events</w:t>
      </w:r>
    </w:p>
    <w:p>
      <w:pPr>
        <w:spacing w:after="0" w:line="133" w:lineRule="exact"/>
        <w:rPr>
          <w:sz w:val="20"/>
          <w:szCs w:val="20"/>
          <w:color w:val="auto"/>
        </w:rPr>
      </w:pPr>
    </w:p>
    <w:p>
      <w:pPr>
        <w:ind w:left="460" w:right="140"/>
        <w:spacing w:after="0" w:line="256" w:lineRule="auto"/>
        <w:rPr>
          <w:sz w:val="20"/>
          <w:szCs w:val="20"/>
          <w:color w:val="auto"/>
        </w:rPr>
      </w:pPr>
      <w:r>
        <w:rPr>
          <w:rFonts w:ascii="Arial" w:cs="Arial" w:eastAsia="Arial" w:hAnsi="Arial"/>
          <w:sz w:val="16"/>
          <w:szCs w:val="16"/>
          <w:color w:val="auto"/>
        </w:rPr>
        <w:t>For purposes of the financial statements as of December 31, 2020 and the year then ended, the Company evaluated subsequent events for recognition and measurement purposes through May 14, 2021, the date the consolidated financial statements were issued. Except as described below, the Company has concluded that no events or transactions have occurred that require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29, 2021, the Company made a $5 million additional draw on its Term Loan for general corporate purposes.</w:t>
      </w:r>
    </w:p>
    <w:p>
      <w:pPr>
        <w:spacing w:after="0" w:line="146"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0760"/>
          </w:cols>
          <w:pgMar w:left="320" w:top="441" w:right="819" w:bottom="1440" w:gutter="0" w:footer="0" w:header="0"/>
        </w:sectPr>
      </w:pPr>
    </w:p>
    <w:bookmarkStart w:id="267" w:name="page268"/>
    <w:bookmarkEnd w:id="2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40"/>
        <w:spacing w:after="0" w:line="265" w:lineRule="auto"/>
        <w:rPr>
          <w:sz w:val="20"/>
          <w:szCs w:val="20"/>
          <w:color w:val="auto"/>
        </w:rPr>
      </w:pPr>
      <w:r>
        <w:rPr>
          <w:rFonts w:ascii="Arial" w:cs="Arial" w:eastAsia="Arial" w:hAnsi="Arial"/>
          <w:sz w:val="16"/>
          <w:szCs w:val="16"/>
          <w:color w:val="auto"/>
        </w:rPr>
        <w:t>On March 31, 2021, the Warrant to purchase Series W common stock terminated at 11:59 p.m. Central Time as the Strategic Partner did not provide notice of exercise of the Warrant to purchase Series W common stock.</w:t>
      </w:r>
    </w:p>
    <w:p>
      <w:pPr>
        <w:spacing w:after="0" w:line="75"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On July 22, 2021, the Company’s Board of Directors approved an amendment to the Company’s Articles of Incorporation to effect a reverse split of shares of the Company’s common stock, excluding Series G and Series W common stock, and convertible preferred stock on a 1-for-10.33 basis (the “Reverse Stock Split”). The par values of the common stock and convertible preferred stock were not adjusted as a result of the Reverse Stock Split. All references to common stock, excluding Series G and Series W common stock, options to purchase common stock, convertible preferred stock, share data, per share data and related information contained in the consolidated financial statements have been retrospectively adjusted to reflect the effect of the Reverse Stock Split for all periods presented. The Reverse Stock Split was effected on July 23, 2021.</w:t>
      </w:r>
    </w:p>
    <w:p>
      <w:pPr>
        <w:spacing w:after="0" w:line="129"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0720"/>
          </w:cols>
          <w:pgMar w:left="320" w:top="441" w:right="859" w:bottom="1440" w:gutter="0" w:footer="0" w:header="0"/>
        </w:sectPr>
      </w:pPr>
    </w:p>
    <w:bookmarkStart w:id="268" w:name="page269"/>
    <w:bookmarkEnd w:id="2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RxSight, Inc.</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76835</wp:posOffset>
            </wp:positionV>
            <wp:extent cx="6569075" cy="158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74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 except number of shares and per share amounts)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March 31,</w:t>
            </w:r>
          </w:p>
        </w:tc>
        <w:tc>
          <w:tcPr>
            <w:tcW w:w="1400" w:type="dxa"/>
            <w:vAlign w:val="bottom"/>
            <w:gridSpan w:val="4"/>
          </w:tcPr>
          <w:p>
            <w:pPr>
              <w:ind w:left="2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83"/>
        </w:trPr>
        <w:tc>
          <w:tcPr>
            <w:tcW w:w="74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rPr>
              <w:t>(Unaudited)</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7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748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24,385</w:t>
            </w:r>
          </w:p>
        </w:tc>
        <w:tc>
          <w:tcPr>
            <w:tcW w:w="2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39,997</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54,981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Inventories, net of reserves of $316 and $121, respectively</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9,760</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8,288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Prepaid and other current assets</w:t>
            </w:r>
          </w:p>
        </w:tc>
        <w:tc>
          <w:tcPr>
            <w:tcW w:w="2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77,844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Property and equipment, net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12,838</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Operating leases right-of-use assets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5,038</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6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Total assets</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96,291</w:t>
            </w:r>
          </w:p>
        </w:tc>
        <w:tc>
          <w:tcPr>
            <w:tcW w:w="2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100,677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480" w:type="dxa"/>
            <w:vAlign w:val="bottom"/>
            <w:gridSpan w:val="2"/>
          </w:tcPr>
          <w:p>
            <w:pPr>
              <w:spacing w:after="0"/>
              <w:rPr>
                <w:sz w:val="20"/>
                <w:szCs w:val="20"/>
                <w:color w:val="auto"/>
              </w:rPr>
            </w:pPr>
            <w:r>
              <w:rPr>
                <w:rFonts w:ascii="Arial" w:cs="Arial" w:eastAsia="Arial" w:hAnsi="Arial"/>
                <w:sz w:val="16"/>
                <w:szCs w:val="16"/>
                <w:b w:val="1"/>
                <w:bCs w:val="1"/>
                <w:color w:val="auto"/>
              </w:rPr>
              <w:t>Liabilities, redeemable common stock, stock options, convertible preferred stock and</w:t>
            </w:r>
          </w:p>
        </w:tc>
        <w:tc>
          <w:tcPr>
            <w:tcW w:w="2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tcPr>
          <w:p>
            <w:pPr>
              <w:ind w:left="180"/>
              <w:spacing w:after="0"/>
              <w:rPr>
                <w:sz w:val="20"/>
                <w:szCs w:val="20"/>
                <w:color w:val="auto"/>
              </w:rPr>
            </w:pPr>
            <w:r>
              <w:rPr>
                <w:rFonts w:ascii="Arial" w:cs="Arial" w:eastAsia="Arial" w:hAnsi="Arial"/>
                <w:sz w:val="16"/>
                <w:szCs w:val="16"/>
                <w:b w:val="1"/>
                <w:bCs w:val="1"/>
                <w:color w:val="auto"/>
              </w:rPr>
              <w:t>stockholders’ deficit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748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4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1,861</w:t>
            </w:r>
          </w:p>
        </w:tc>
        <w:tc>
          <w:tcPr>
            <w:tcW w:w="260" w:type="dxa"/>
            <w:vAlign w:val="bottom"/>
          </w:tcPr>
          <w:p>
            <w:pPr>
              <w:spacing w:after="0"/>
              <w:rPr>
                <w:sz w:val="16"/>
                <w:szCs w:val="16"/>
                <w:color w:val="auto"/>
              </w:rPr>
            </w:pP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3,679</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Warrant liability</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Lease liabilities</w:t>
            </w:r>
          </w:p>
        </w:tc>
        <w:tc>
          <w:tcPr>
            <w:tcW w:w="2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6,857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Long-term warrant liability</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3,828</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80" w:type="dxa"/>
            <w:vAlign w:val="bottom"/>
            <w:gridSpan w:val="2"/>
          </w:tcPr>
          <w:p>
            <w:pPr>
              <w:spacing w:after="0"/>
              <w:rPr>
                <w:sz w:val="20"/>
                <w:szCs w:val="20"/>
                <w:color w:val="auto"/>
              </w:rPr>
            </w:pPr>
            <w:r>
              <w:rPr>
                <w:rFonts w:ascii="Arial" w:cs="Arial" w:eastAsia="Arial" w:hAnsi="Arial"/>
                <w:sz w:val="16"/>
                <w:szCs w:val="16"/>
                <w:color w:val="auto"/>
              </w:rPr>
              <w:t>Long-term lease liabilities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4,733</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5,079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Term loan, net</w:t>
            </w:r>
          </w:p>
        </w:tc>
        <w:tc>
          <w:tcPr>
            <w:tcW w:w="2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29,472</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24,399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44,890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5"/>
                <w:szCs w:val="5"/>
                <w:color w:val="auto"/>
              </w:rPr>
            </w:pPr>
          </w:p>
        </w:tc>
        <w:tc>
          <w:tcPr>
            <w:tcW w:w="7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w:t>
            </w:r>
            <w:r>
              <w:rPr>
                <w:rFonts w:ascii="Arial" w:cs="Arial" w:eastAsia="Arial" w:hAnsi="Arial"/>
                <w:sz w:val="16"/>
                <w:szCs w:val="16"/>
                <w:i w:val="1"/>
                <w:iCs w:val="1"/>
                <w:color w:val="auto"/>
              </w:rPr>
              <w:t>Note 12)</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7480" w:type="dxa"/>
            <w:vAlign w:val="bottom"/>
            <w:gridSpan w:val="2"/>
          </w:tcPr>
          <w:p>
            <w:pPr>
              <w:spacing w:after="0"/>
              <w:rPr>
                <w:sz w:val="20"/>
                <w:szCs w:val="20"/>
                <w:color w:val="auto"/>
              </w:rPr>
            </w:pPr>
            <w:r>
              <w:rPr>
                <w:rFonts w:ascii="Arial" w:cs="Arial" w:eastAsia="Arial" w:hAnsi="Arial"/>
                <w:sz w:val="16"/>
                <w:szCs w:val="16"/>
                <w:color w:val="auto"/>
              </w:rPr>
              <w:t>Redeemable common stock:</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$0.001 par value, 24,545,966 shares authorized, 3,813,450 shares issued and</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outstanding as of December 31, 2020</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80,780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Notes receivable for common stock issued</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Redeemable stock options</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53,085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7480" w:type="dxa"/>
            <w:vAlign w:val="bottom"/>
            <w:gridSpan w:val="2"/>
          </w:tcPr>
          <w:p>
            <w:pPr>
              <w:spacing w:after="0"/>
              <w:rPr>
                <w:sz w:val="20"/>
                <w:szCs w:val="20"/>
                <w:color w:val="auto"/>
              </w:rPr>
            </w:pPr>
            <w:r>
              <w:rPr>
                <w:rFonts w:ascii="Arial" w:cs="Arial" w:eastAsia="Arial" w:hAnsi="Arial"/>
                <w:sz w:val="16"/>
                <w:szCs w:val="16"/>
                <w:color w:val="auto"/>
              </w:rPr>
              <w:t>Convertible preferred stock:</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 $0.001 par value, 16,572,792 shares authorized, 14,376,272 shares issued and</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outstanding as of March 31, 2021 and December 31, 2020 (redeemable), respectively</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353,300</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353,300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7480" w:type="dxa"/>
            <w:vAlign w:val="bottom"/>
            <w:gridSpan w:val="2"/>
          </w:tcPr>
          <w:p>
            <w:pPr>
              <w:spacing w:after="0"/>
              <w:rPr>
                <w:sz w:val="20"/>
                <w:szCs w:val="20"/>
                <w:color w:val="auto"/>
              </w:rPr>
            </w:pPr>
            <w:r>
              <w:rPr>
                <w:rFonts w:ascii="Arial" w:cs="Arial" w:eastAsia="Arial" w:hAnsi="Arial"/>
                <w:sz w:val="16"/>
                <w:szCs w:val="16"/>
                <w:color w:val="auto"/>
              </w:rPr>
              <w:t>Stockholders’ deficit:</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$0.001 par value, 24,545,966 shares authorized, 4,093,995 shares issued and</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outstanding as of March 31, 2021</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136,307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3"/>
        </w:trPr>
        <w:tc>
          <w:tcPr>
            <w:tcW w:w="748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Notes receivable for common stock issued</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(817)</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Series G common stock, $0.001 par value, 1 share authorized and outstanding as of March 31,</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60" w:type="dxa"/>
            <w:vAlign w:val="bottom"/>
          </w:tcPr>
          <w:p>
            <w:pPr>
              <w:ind w:left="380"/>
              <w:spacing w:after="0"/>
              <w:rPr>
                <w:sz w:val="20"/>
                <w:szCs w:val="20"/>
                <w:color w:val="auto"/>
              </w:rPr>
            </w:pPr>
            <w:r>
              <w:rPr>
                <w:rFonts w:ascii="Arial" w:cs="Arial" w:eastAsia="Arial" w:hAnsi="Arial"/>
                <w:sz w:val="16"/>
                <w:szCs w:val="16"/>
                <w:color w:val="auto"/>
              </w:rPr>
              <w:t>2021 and December 31, 2020</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Series W common stock, $0.001 par value, 1 share authorized and no shares outstanding as of</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March 31, 2021 and December 31, 2020</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deficit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(437,393)</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(430,588)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7460" w:type="dxa"/>
            <w:vAlign w:val="bottom"/>
          </w:tcPr>
          <w:p>
            <w:pPr>
              <w:ind w:left="380"/>
              <w:spacing w:after="0"/>
              <w:rPr>
                <w:sz w:val="20"/>
                <w:szCs w:val="20"/>
                <w:color w:val="auto"/>
              </w:rPr>
            </w:pPr>
            <w:r>
              <w:rPr>
                <w:rFonts w:ascii="Arial" w:cs="Arial" w:eastAsia="Arial" w:hAnsi="Arial"/>
                <w:sz w:val="16"/>
                <w:szCs w:val="16"/>
                <w:color w:val="auto"/>
              </w:rPr>
              <w:t>Total stockholders’ deficit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(301,899)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(430,591)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liabilities, redeemable common stock, stock options, convertible preferred stock and</w:t>
            </w:r>
          </w:p>
        </w:tc>
        <w:tc>
          <w:tcPr>
            <w:tcW w:w="2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stockholders’ deficit</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96,291</w:t>
            </w:r>
          </w:p>
        </w:tc>
        <w:tc>
          <w:tcPr>
            <w:tcW w:w="2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100,677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See accompanying notes.</w:t>
      </w:r>
    </w:p>
    <w:p>
      <w:pPr>
        <w:spacing w:after="0" w:line="145"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0800"/>
          </w:cols>
          <w:pgMar w:left="320" w:top="441" w:right="779" w:bottom="1440" w:gutter="0" w:footer="0" w:header="0"/>
        </w:sectPr>
      </w:pPr>
    </w:p>
    <w:bookmarkStart w:id="269" w:name="page270"/>
    <w:bookmarkEnd w:id="2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RxSight, Inc.</w:t>
      </w:r>
    </w:p>
    <w:p>
      <w:pPr>
        <w:spacing w:after="0" w:line="48" w:lineRule="exact"/>
        <w:rPr>
          <w:sz w:val="20"/>
          <w:szCs w:val="20"/>
          <w:color w:val="auto"/>
        </w:rPr>
      </w:pPr>
    </w:p>
    <w:p>
      <w:pPr>
        <w:ind w:left="460" w:right="80"/>
        <w:spacing w:after="0" w:line="261" w:lineRule="auto"/>
        <w:rPr>
          <w:sz w:val="20"/>
          <w:szCs w:val="20"/>
          <w:color w:val="auto"/>
        </w:rPr>
      </w:pPr>
      <w:r>
        <w:rPr>
          <w:rFonts w:ascii="Arial" w:cs="Arial" w:eastAsia="Arial" w:hAnsi="Arial"/>
          <w:sz w:val="30"/>
          <w:szCs w:val="30"/>
          <w:b w:val="1"/>
          <w:bCs w:val="1"/>
          <w:color w:val="auto"/>
        </w:rPr>
        <w:t>Condensed consolidated statements of operations and comprehensive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20320</wp:posOffset>
            </wp:positionV>
            <wp:extent cx="6569075" cy="158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59"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6"/>
          </w:tcPr>
          <w:p>
            <w:pPr>
              <w:jc w:val="center"/>
              <w:ind w:left="358"/>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7"/>
        </w:trPr>
        <w:tc>
          <w:tcPr>
            <w:tcW w:w="73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per share amounts)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183"/>
        </w:trPr>
        <w:tc>
          <w:tcPr>
            <w:tcW w:w="73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2021</w:t>
            </w:r>
          </w:p>
        </w:tc>
        <w:tc>
          <w:tcPr>
            <w:tcW w:w="32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3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Sales</w:t>
            </w:r>
          </w:p>
        </w:tc>
        <w:tc>
          <w:tcPr>
            <w:tcW w:w="7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3,484</w:t>
            </w:r>
          </w:p>
        </w:tc>
        <w:tc>
          <w:tcPr>
            <w:tcW w:w="3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center"/>
              <w:ind w:left="178"/>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2,888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320" w:type="dxa"/>
            <w:vAlign w:val="bottom"/>
          </w:tcPr>
          <w:p>
            <w:pPr>
              <w:spacing w:after="0"/>
              <w:rPr>
                <w:sz w:val="20"/>
                <w:szCs w:val="20"/>
                <w:color w:val="auto"/>
              </w:rPr>
            </w:pPr>
            <w:r>
              <w:rPr>
                <w:rFonts w:ascii="Arial" w:cs="Arial" w:eastAsia="Arial" w:hAnsi="Arial"/>
                <w:sz w:val="16"/>
                <w:szCs w:val="16"/>
                <w:color w:val="auto"/>
              </w:rPr>
              <w:t>Cost of sales</w:t>
            </w:r>
          </w:p>
        </w:tc>
        <w:tc>
          <w:tcPr>
            <w:tcW w:w="6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2,365</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6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7320" w:type="dxa"/>
            <w:vAlign w:val="bottom"/>
          </w:tcPr>
          <w:p>
            <w:pPr>
              <w:spacing w:after="0"/>
              <w:rPr>
                <w:sz w:val="20"/>
                <w:szCs w:val="20"/>
                <w:color w:val="auto"/>
              </w:rPr>
            </w:pPr>
            <w:r>
              <w:rPr>
                <w:rFonts w:ascii="Arial" w:cs="Arial" w:eastAsia="Arial" w:hAnsi="Arial"/>
                <w:sz w:val="16"/>
                <w:szCs w:val="16"/>
                <w:color w:val="auto"/>
              </w:rPr>
              <w:t>Operating expenses:</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Selling, general and administrative</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5,611</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2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6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6,643</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3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operating expenses</w:t>
            </w:r>
          </w:p>
        </w:tc>
        <w:tc>
          <w:tcPr>
            <w:tcW w:w="6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12,254</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320" w:type="dxa"/>
            <w:vAlign w:val="bottom"/>
          </w:tcPr>
          <w:p>
            <w:pPr>
              <w:ind w:left="400"/>
              <w:spacing w:after="0"/>
              <w:rPr>
                <w:sz w:val="20"/>
                <w:szCs w:val="20"/>
                <w:color w:val="auto"/>
              </w:rPr>
            </w:pPr>
            <w:r>
              <w:rPr>
                <w:rFonts w:ascii="Arial" w:cs="Arial" w:eastAsia="Arial" w:hAnsi="Arial"/>
                <w:sz w:val="16"/>
                <w:szCs w:val="16"/>
                <w:color w:val="auto"/>
              </w:rPr>
              <w:t>Loss from operations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(11,135)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(9,397)</w:t>
            </w:r>
          </w:p>
        </w:tc>
        <w:tc>
          <w:tcPr>
            <w:tcW w:w="0" w:type="dxa"/>
            <w:vAlign w:val="bottom"/>
          </w:tcPr>
          <w:p>
            <w:pPr>
              <w:spacing w:after="0"/>
              <w:rPr>
                <w:sz w:val="1"/>
                <w:szCs w:val="1"/>
                <w:color w:val="auto"/>
              </w:rPr>
            </w:pPr>
          </w:p>
        </w:tc>
      </w:tr>
      <w:tr>
        <w:trPr>
          <w:trHeight w:val="53"/>
        </w:trPr>
        <w:tc>
          <w:tcPr>
            <w:tcW w:w="7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320" w:type="dxa"/>
            <w:vAlign w:val="bottom"/>
          </w:tcPr>
          <w:p>
            <w:pPr>
              <w:ind w:left="200"/>
              <w:spacing w:after="0"/>
              <w:rPr>
                <w:sz w:val="20"/>
                <w:szCs w:val="20"/>
                <w:color w:val="auto"/>
              </w:rPr>
            </w:pPr>
            <w:r>
              <w:rPr>
                <w:rFonts w:ascii="Arial" w:cs="Arial" w:eastAsia="Arial" w:hAnsi="Arial"/>
                <w:sz w:val="16"/>
                <w:szCs w:val="16"/>
                <w:color w:val="auto"/>
              </w:rPr>
              <w:t>Change in fair value of warrants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(7,407)</w:t>
            </w:r>
          </w:p>
        </w:tc>
        <w:tc>
          <w:tcPr>
            <w:tcW w:w="0" w:type="dxa"/>
            <w:vAlign w:val="bottom"/>
          </w:tcPr>
          <w:p>
            <w:pPr>
              <w:spacing w:after="0"/>
              <w:rPr>
                <w:sz w:val="1"/>
                <w:szCs w:val="1"/>
                <w:color w:val="auto"/>
              </w:rPr>
            </w:pPr>
          </w:p>
        </w:tc>
      </w:tr>
      <w:tr>
        <w:trPr>
          <w:trHeight w:val="190"/>
        </w:trPr>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Expiration of warrant</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5,018</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732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(698)</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0"/>
        </w:trPr>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and other income</w:t>
            </w:r>
          </w:p>
        </w:tc>
        <w:tc>
          <w:tcPr>
            <w:tcW w:w="6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20" w:type="dxa"/>
            <w:vAlign w:val="bottom"/>
          </w:tcPr>
          <w:p>
            <w:pPr>
              <w:ind w:left="400"/>
              <w:spacing w:after="0"/>
              <w:rPr>
                <w:sz w:val="20"/>
                <w:szCs w:val="20"/>
                <w:color w:val="auto"/>
              </w:rPr>
            </w:pPr>
            <w:r>
              <w:rPr>
                <w:rFonts w:ascii="Arial" w:cs="Arial" w:eastAsia="Arial" w:hAnsi="Arial"/>
                <w:sz w:val="16"/>
                <w:szCs w:val="16"/>
                <w:color w:val="auto"/>
              </w:rPr>
              <w:t>Loss before income taxes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(6,798)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(16,497)</w:t>
            </w:r>
          </w:p>
        </w:tc>
        <w:tc>
          <w:tcPr>
            <w:tcW w:w="0" w:type="dxa"/>
            <w:vAlign w:val="bottom"/>
          </w:tcPr>
          <w:p>
            <w:pPr>
              <w:spacing w:after="0"/>
              <w:rPr>
                <w:sz w:val="1"/>
                <w:szCs w:val="1"/>
                <w:color w:val="auto"/>
              </w:rPr>
            </w:pPr>
          </w:p>
        </w:tc>
      </w:tr>
      <w:tr>
        <w:trPr>
          <w:trHeight w:val="19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6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20" w:type="dxa"/>
            <w:vAlign w:val="bottom"/>
          </w:tcPr>
          <w:p>
            <w:pPr>
              <w:ind w:left="400"/>
              <w:spacing w:after="0"/>
              <w:rPr>
                <w:sz w:val="20"/>
                <w:szCs w:val="20"/>
                <w:color w:val="auto"/>
              </w:rPr>
            </w:pPr>
            <w:r>
              <w:rPr>
                <w:rFonts w:ascii="Arial" w:cs="Arial" w:eastAsia="Arial" w:hAnsi="Arial"/>
                <w:sz w:val="16"/>
                <w:szCs w:val="16"/>
                <w:color w:val="auto"/>
              </w:rPr>
              <w:t>Net loss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(6,805)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(16,502)</w:t>
            </w:r>
          </w:p>
        </w:tc>
        <w:tc>
          <w:tcPr>
            <w:tcW w:w="0" w:type="dxa"/>
            <w:vAlign w:val="bottom"/>
          </w:tcPr>
          <w:p>
            <w:pPr>
              <w:spacing w:after="0"/>
              <w:rPr>
                <w:sz w:val="1"/>
                <w:szCs w:val="1"/>
                <w:color w:val="auto"/>
              </w:rPr>
            </w:pPr>
          </w:p>
        </w:tc>
      </w:tr>
      <w:tr>
        <w:trPr>
          <w:trHeight w:val="19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Accretion to redemption value of redeemable preferred stock and redeemable stock options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(4,246)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tcPr>
          <w:p>
            <w:pPr>
              <w:ind w:left="400"/>
              <w:spacing w:after="0"/>
              <w:rPr>
                <w:sz w:val="20"/>
                <w:szCs w:val="20"/>
                <w:color w:val="auto"/>
              </w:rPr>
            </w:pPr>
            <w:r>
              <w:rPr>
                <w:rFonts w:ascii="Arial" w:cs="Arial" w:eastAsia="Arial" w:hAnsi="Arial"/>
                <w:sz w:val="16"/>
                <w:szCs w:val="16"/>
                <w:color w:val="auto"/>
              </w:rPr>
              <w:t>Net loss attributable to common stockholders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(6,805)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(20,748)</w:t>
            </w:r>
          </w:p>
        </w:tc>
        <w:tc>
          <w:tcPr>
            <w:tcW w:w="0" w:type="dxa"/>
            <w:vAlign w:val="bottom"/>
          </w:tcPr>
          <w:p>
            <w:pPr>
              <w:spacing w:after="0"/>
              <w:rPr>
                <w:sz w:val="1"/>
                <w:szCs w:val="1"/>
                <w:color w:val="auto"/>
              </w:rPr>
            </w:pPr>
          </w:p>
        </w:tc>
      </w:tr>
      <w:tr>
        <w:trPr>
          <w:trHeight w:val="53"/>
        </w:trPr>
        <w:tc>
          <w:tcPr>
            <w:tcW w:w="7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320" w:type="dxa"/>
            <w:vAlign w:val="bottom"/>
          </w:tcPr>
          <w:p>
            <w:pPr>
              <w:ind w:left="200"/>
              <w:spacing w:after="0"/>
              <w:rPr>
                <w:sz w:val="20"/>
                <w:szCs w:val="20"/>
                <w:color w:val="auto"/>
              </w:rPr>
            </w:pPr>
            <w:r>
              <w:rPr>
                <w:rFonts w:ascii="Arial" w:cs="Arial" w:eastAsia="Arial" w:hAnsi="Arial"/>
                <w:sz w:val="16"/>
                <w:szCs w:val="16"/>
                <w:color w:val="auto"/>
              </w:rPr>
              <w:t>Unrealized gain on short-term investments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 currency translation loss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7320" w:type="dxa"/>
            <w:vAlign w:val="bottom"/>
          </w:tcPr>
          <w:p>
            <w:pPr>
              <w:spacing w:after="0"/>
              <w:rPr>
                <w:sz w:val="20"/>
                <w:szCs w:val="20"/>
                <w:color w:val="auto"/>
              </w:rPr>
            </w:pPr>
            <w:r>
              <w:rPr>
                <w:rFonts w:ascii="Arial" w:cs="Arial" w:eastAsia="Arial" w:hAnsi="Arial"/>
                <w:sz w:val="16"/>
                <w:szCs w:val="16"/>
                <w:color w:val="auto"/>
              </w:rPr>
              <w:t>Total other comprehensive income</w:t>
            </w:r>
          </w:p>
        </w:tc>
        <w:tc>
          <w:tcPr>
            <w:tcW w:w="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Comprehensive loss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(6,802)</w:t>
            </w:r>
          </w:p>
        </w:tc>
        <w:tc>
          <w:tcPr>
            <w:tcW w:w="360" w:type="dxa"/>
            <w:vAlign w:val="bottom"/>
            <w:gridSpan w:val="2"/>
            <w:shd w:val="clear" w:color="auto" w:fill="CCEEFF"/>
          </w:tcPr>
          <w:p>
            <w:pPr>
              <w:jc w:val="center"/>
              <w:ind w:left="178"/>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(16,426)</w:t>
            </w:r>
          </w:p>
        </w:tc>
        <w:tc>
          <w:tcPr>
            <w:tcW w:w="0" w:type="dxa"/>
            <w:vAlign w:val="bottom"/>
          </w:tcPr>
          <w:p>
            <w:pPr>
              <w:spacing w:after="0"/>
              <w:rPr>
                <w:sz w:val="1"/>
                <w:szCs w:val="1"/>
                <w:color w:val="auto"/>
              </w:rPr>
            </w:pPr>
          </w:p>
        </w:tc>
      </w:tr>
      <w:tr>
        <w:trPr>
          <w:trHeight w:val="259"/>
        </w:trPr>
        <w:tc>
          <w:tcPr>
            <w:tcW w:w="7320" w:type="dxa"/>
            <w:vAlign w:val="bottom"/>
          </w:tcPr>
          <w:p>
            <w:pPr>
              <w:spacing w:after="0"/>
              <w:rPr>
                <w:sz w:val="20"/>
                <w:szCs w:val="20"/>
                <w:color w:val="auto"/>
              </w:rPr>
            </w:pPr>
            <w:r>
              <w:rPr>
                <w:rFonts w:ascii="Arial" w:cs="Arial" w:eastAsia="Arial" w:hAnsi="Arial"/>
                <w:sz w:val="16"/>
                <w:szCs w:val="16"/>
                <w:color w:val="auto"/>
              </w:rPr>
              <w:t>Net loss per share:</w:t>
            </w:r>
          </w:p>
        </w:tc>
        <w:tc>
          <w:tcPr>
            <w:tcW w:w="6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Attributable to redeemable common stock, basic and diluted</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center"/>
              <w:ind w:left="178"/>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190"/>
        </w:trPr>
        <w:tc>
          <w:tcPr>
            <w:tcW w:w="7320" w:type="dxa"/>
            <w:vAlign w:val="bottom"/>
          </w:tcPr>
          <w:p>
            <w:pPr>
              <w:ind w:left="200"/>
              <w:spacing w:after="0"/>
              <w:rPr>
                <w:sz w:val="20"/>
                <w:szCs w:val="20"/>
                <w:color w:val="auto"/>
              </w:rPr>
            </w:pPr>
            <w:r>
              <w:rPr>
                <w:rFonts w:ascii="Arial" w:cs="Arial" w:eastAsia="Arial" w:hAnsi="Arial"/>
                <w:sz w:val="16"/>
                <w:szCs w:val="16"/>
                <w:color w:val="auto"/>
              </w:rPr>
              <w:t>Attributable to Series G common stock, basic and diluted</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(0.16)</w:t>
            </w:r>
          </w:p>
        </w:tc>
        <w:tc>
          <w:tcPr>
            <w:tcW w:w="360" w:type="dxa"/>
            <w:vAlign w:val="bottom"/>
            <w:gridSpan w:val="2"/>
          </w:tcPr>
          <w:p>
            <w:pPr>
              <w:jc w:val="center"/>
              <w:ind w:left="178"/>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190"/>
        </w:trPr>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Attributable to common stock, basic and diluted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(1.70)</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7320" w:type="dxa"/>
            <w:vAlign w:val="bottom"/>
          </w:tcPr>
          <w:p>
            <w:pPr>
              <w:spacing w:after="0"/>
              <w:rPr>
                <w:sz w:val="20"/>
                <w:szCs w:val="20"/>
                <w:color w:val="auto"/>
              </w:rPr>
            </w:pPr>
            <w:r>
              <w:rPr>
                <w:rFonts w:ascii="Arial" w:cs="Arial" w:eastAsia="Arial" w:hAnsi="Arial"/>
                <w:sz w:val="16"/>
                <w:szCs w:val="16"/>
                <w:color w:val="auto"/>
              </w:rPr>
              <w:t>Weighted-average shares used in computing net loss per share:</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Attributable to redeemable common stock, basic and diluted</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3,570,417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320" w:type="dxa"/>
            <w:vAlign w:val="bottom"/>
          </w:tcPr>
          <w:p>
            <w:pPr>
              <w:ind w:left="200"/>
              <w:spacing w:after="0"/>
              <w:rPr>
                <w:sz w:val="20"/>
                <w:szCs w:val="20"/>
                <w:color w:val="auto"/>
              </w:rPr>
            </w:pPr>
            <w:r>
              <w:rPr>
                <w:rFonts w:ascii="Arial" w:cs="Arial" w:eastAsia="Arial" w:hAnsi="Arial"/>
                <w:sz w:val="16"/>
                <w:szCs w:val="16"/>
                <w:color w:val="auto"/>
              </w:rPr>
              <w:t>Attributable to Series G common stock, basic and diluted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Attributable to common stock, basic and diluted</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3,996,173</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See accompanying notes.</w:t>
      </w:r>
    </w:p>
    <w:p>
      <w:pPr>
        <w:spacing w:after="0" w:line="145"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F-44</w:t>
      </w:r>
    </w:p>
    <w:p>
      <w:pPr>
        <w:sectPr>
          <w:pgSz w:w="11900" w:h="16838" w:orient="portrait"/>
          <w:cols w:equalWidth="0" w:num="1">
            <w:col w:w="10800"/>
          </w:cols>
          <w:pgMar w:left="320" w:top="441" w:right="779" w:bottom="1440" w:gutter="0" w:footer="0" w:header="0"/>
        </w:sectPr>
      </w:pPr>
    </w:p>
    <w:bookmarkStart w:id="270" w:name="page271"/>
    <w:bookmarkEnd w:id="2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RxSight, Inc.</w:t>
      </w:r>
    </w:p>
    <w:p>
      <w:pPr>
        <w:spacing w:after="0" w:line="48" w:lineRule="exact"/>
        <w:rPr>
          <w:sz w:val="20"/>
          <w:szCs w:val="20"/>
          <w:color w:val="auto"/>
        </w:rPr>
      </w:pPr>
    </w:p>
    <w:p>
      <w:pPr>
        <w:jc w:val="both"/>
        <w:ind w:left="460" w:right="760"/>
        <w:spacing w:after="0" w:line="254" w:lineRule="auto"/>
        <w:rPr>
          <w:sz w:val="20"/>
          <w:szCs w:val="20"/>
          <w:color w:val="auto"/>
        </w:rPr>
      </w:pPr>
      <w:r>
        <w:rPr>
          <w:rFonts w:ascii="Arial" w:cs="Arial" w:eastAsia="Arial" w:hAnsi="Arial"/>
          <w:sz w:val="30"/>
          <w:szCs w:val="30"/>
          <w:b w:val="1"/>
          <w:bCs w:val="1"/>
          <w:color w:val="auto"/>
        </w:rPr>
        <w:t>Condensed consolidated statements of redeemable common stock, stock options, convertible preferred stock and stockholders’ deficit (unaudited)</w:t>
      </w:r>
    </w:p>
    <w:p>
      <w:pPr>
        <w:spacing w:after="0" w:line="60"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0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80" w:type="dxa"/>
            <w:vAlign w:val="bottom"/>
            <w:tcBorders>
              <w:top w:val="single" w:sz="8" w:color="auto"/>
              <w:right w:val="single" w:sz="8" w:color="auto"/>
            </w:tcBorders>
            <w:gridSpan w:val="3"/>
          </w:tcPr>
          <w:p>
            <w:pPr>
              <w:jc w:val="right"/>
              <w:ind w:right="200"/>
              <w:spacing w:after="0"/>
              <w:rPr>
                <w:sz w:val="20"/>
                <w:szCs w:val="20"/>
                <w:color w:val="auto"/>
              </w:rPr>
            </w:pPr>
            <w:r>
              <w:rPr>
                <w:rFonts w:ascii="Arial" w:cs="Arial" w:eastAsia="Arial" w:hAnsi="Arial"/>
                <w:sz w:val="13"/>
                <w:szCs w:val="13"/>
                <w:b w:val="1"/>
                <w:bCs w:val="1"/>
                <w:color w:val="auto"/>
              </w:rPr>
              <w:t>Redeemable</w:t>
            </w: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116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rPr>
              <w:t>Redeemable</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Borders>
              <w:right w:val="single" w:sz="8" w:color="auto"/>
            </w:tcBorders>
            <w:gridSpan w:val="3"/>
          </w:tcPr>
          <w:p>
            <w:pPr>
              <w:jc w:val="right"/>
              <w:ind w:right="200"/>
              <w:spacing w:after="0" w:line="139" w:lineRule="exact"/>
              <w:rPr>
                <w:sz w:val="20"/>
                <w:szCs w:val="20"/>
                <w:color w:val="auto"/>
              </w:rPr>
            </w:pPr>
            <w:r>
              <w:rPr>
                <w:rFonts w:ascii="Arial" w:cs="Arial" w:eastAsia="Arial" w:hAnsi="Arial"/>
                <w:sz w:val="13"/>
                <w:szCs w:val="13"/>
                <w:b w:val="1"/>
                <w:bCs w:val="1"/>
                <w:color w:val="auto"/>
              </w:rPr>
              <w:t>Convertible</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40" w:type="dxa"/>
            <w:vAlign w:val="bottom"/>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160" w:type="dxa"/>
            <w:vAlign w:val="bottom"/>
            <w:gridSpan w:val="2"/>
          </w:tcPr>
          <w:p>
            <w:pPr>
              <w:jc w:val="right"/>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92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Notes</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3"/>
                <w:szCs w:val="13"/>
                <w:b w:val="1"/>
                <w:bCs w:val="1"/>
                <w:color w:val="auto"/>
              </w:rPr>
              <w:t>preferred stock</w:t>
            </w:r>
          </w:p>
        </w:tc>
        <w:tc>
          <w:tcPr>
            <w:tcW w:w="4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040" w:type="dxa"/>
            <w:vAlign w:val="bottom"/>
            <w:vMerge w:val="continue"/>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040" w:type="dxa"/>
            <w:vAlign w:val="bottom"/>
          </w:tcPr>
          <w:p>
            <w:pPr>
              <w:spacing w:after="0" w:line="139" w:lineRule="exact"/>
              <w:rPr>
                <w:sz w:val="20"/>
                <w:szCs w:val="20"/>
                <w:color w:val="auto"/>
              </w:rPr>
            </w:pPr>
            <w:r>
              <w:rPr>
                <w:rFonts w:ascii="Arial" w:cs="Arial" w:eastAsia="Arial" w:hAnsi="Arial"/>
                <w:sz w:val="13"/>
                <w:szCs w:val="13"/>
                <w:b w:val="1"/>
                <w:bCs w:val="1"/>
                <w:color w:val="auto"/>
              </w:rPr>
              <w:t>except</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17"/>
              <w:spacing w:after="0" w:line="139" w:lineRule="exact"/>
              <w:rPr>
                <w:sz w:val="20"/>
                <w:szCs w:val="20"/>
                <w:color w:val="auto"/>
              </w:rPr>
            </w:pPr>
            <w:r>
              <w:rPr>
                <w:rFonts w:ascii="Arial" w:cs="Arial" w:eastAsia="Arial" w:hAnsi="Arial"/>
                <w:sz w:val="13"/>
                <w:szCs w:val="13"/>
                <w:b w:val="1"/>
                <w:bCs w:val="1"/>
                <w:color w:val="auto"/>
                <w:w w:val="96"/>
              </w:rPr>
              <w:t>receivable for</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ind w:right="17"/>
              <w:spacing w:after="0" w:line="139" w:lineRule="exact"/>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2"/>
                <w:szCs w:val="12"/>
                <w:color w:val="auto"/>
              </w:rPr>
            </w:pPr>
          </w:p>
        </w:tc>
        <w:tc>
          <w:tcPr>
            <w:tcW w:w="920" w:type="dxa"/>
            <w:vAlign w:val="bottom"/>
          </w:tcPr>
          <w:p>
            <w:pPr>
              <w:jc w:val="right"/>
              <w:ind w:right="17"/>
              <w:spacing w:after="0" w:line="139" w:lineRule="exact"/>
              <w:rPr>
                <w:sz w:val="20"/>
                <w:szCs w:val="20"/>
                <w:color w:val="auto"/>
              </w:rPr>
            </w:pPr>
            <w:r>
              <w:rPr>
                <w:rFonts w:ascii="Arial" w:cs="Arial" w:eastAsia="Arial" w:hAnsi="Arial"/>
                <w:sz w:val="13"/>
                <w:szCs w:val="13"/>
                <w:b w:val="1"/>
                <w:bCs w:val="1"/>
                <w:color w:val="auto"/>
              </w:rPr>
              <w:t>other</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100"/>
              <w:spacing w:after="0" w:line="13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9"/>
        </w:trPr>
        <w:tc>
          <w:tcPr>
            <w:tcW w:w="1040" w:type="dxa"/>
            <w:vAlign w:val="bottom"/>
          </w:tcPr>
          <w:p>
            <w:pPr>
              <w:spacing w:after="0" w:line="139" w:lineRule="exact"/>
              <w:rPr>
                <w:sz w:val="20"/>
                <w:szCs w:val="20"/>
                <w:color w:val="auto"/>
              </w:rPr>
            </w:pPr>
            <w:r>
              <w:rPr>
                <w:rFonts w:ascii="Arial" w:cs="Arial" w:eastAsia="Arial" w:hAnsi="Arial"/>
                <w:sz w:val="13"/>
                <w:szCs w:val="13"/>
                <w:b w:val="1"/>
                <w:bCs w:val="1"/>
                <w:color w:val="auto"/>
              </w:rPr>
              <w:t>number of</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2"/>
          </w:tcPr>
          <w:p>
            <w:pPr>
              <w:jc w:val="right"/>
              <w:ind w:right="17"/>
              <w:spacing w:after="0" w:line="139" w:lineRule="exact"/>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2"/>
                <w:szCs w:val="12"/>
                <w:color w:val="auto"/>
              </w:rPr>
            </w:pPr>
          </w:p>
        </w:tc>
        <w:tc>
          <w:tcPr>
            <w:tcW w:w="900" w:type="dxa"/>
            <w:vAlign w:val="bottom"/>
          </w:tcPr>
          <w:p>
            <w:pPr>
              <w:jc w:val="right"/>
              <w:ind w:right="77"/>
              <w:spacing w:after="0" w:line="139" w:lineRule="exact"/>
              <w:rPr>
                <w:sz w:val="20"/>
                <w:szCs w:val="20"/>
                <w:color w:val="auto"/>
              </w:rPr>
            </w:pPr>
            <w:r>
              <w:rPr>
                <w:rFonts w:ascii="Arial" w:cs="Arial" w:eastAsia="Arial" w:hAnsi="Arial"/>
                <w:sz w:val="13"/>
                <w:szCs w:val="13"/>
                <w:b w:val="1"/>
                <w:bCs w:val="1"/>
                <w:color w:val="auto"/>
                <w:w w:val="96"/>
              </w:rPr>
              <w:t>Redeemable</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
              <w:spacing w:after="0" w:line="139" w:lineRule="exact"/>
              <w:rPr>
                <w:sz w:val="20"/>
                <w:szCs w:val="20"/>
                <w:color w:val="auto"/>
              </w:rPr>
            </w:pPr>
            <w:r>
              <w:rPr>
                <w:rFonts w:ascii="Arial" w:cs="Arial" w:eastAsia="Arial" w:hAnsi="Arial"/>
                <w:sz w:val="13"/>
                <w:szCs w:val="13"/>
                <w:b w:val="1"/>
                <w:bCs w:val="1"/>
                <w:color w:val="auto"/>
              </w:rPr>
              <w:t>paid-</w:t>
            </w:r>
          </w:p>
        </w:tc>
        <w:tc>
          <w:tcPr>
            <w:tcW w:w="2960" w:type="dxa"/>
            <w:vAlign w:val="bottom"/>
            <w:gridSpan w:val="7"/>
          </w:tcPr>
          <w:p>
            <w:pPr>
              <w:jc w:val="right"/>
              <w:ind w:right="100"/>
              <w:spacing w:after="0" w:line="139" w:lineRule="exact"/>
              <w:rPr>
                <w:sz w:val="20"/>
                <w:szCs w:val="20"/>
                <w:color w:val="auto"/>
              </w:rPr>
            </w:pPr>
            <w:r>
              <w:rPr>
                <w:rFonts w:ascii="Arial" w:cs="Arial" w:eastAsia="Arial" w:hAnsi="Arial"/>
                <w:sz w:val="13"/>
                <w:szCs w:val="13"/>
                <w:b w:val="1"/>
                <w:bCs w:val="1"/>
                <w:color w:val="auto"/>
              </w:rPr>
              <w:t>comprehensive  Accumulated  stockholders’</w:t>
            </w:r>
          </w:p>
        </w:tc>
        <w:tc>
          <w:tcPr>
            <w:tcW w:w="0" w:type="dxa"/>
            <w:vAlign w:val="bottom"/>
          </w:tcPr>
          <w:p>
            <w:pPr>
              <w:spacing w:after="0"/>
              <w:rPr>
                <w:sz w:val="1"/>
                <w:szCs w:val="1"/>
                <w:color w:val="auto"/>
              </w:rPr>
            </w:pPr>
          </w:p>
        </w:tc>
      </w:tr>
      <w:tr>
        <w:trPr>
          <w:trHeight w:val="156"/>
        </w:trPr>
        <w:tc>
          <w:tcPr>
            <w:tcW w:w="10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shares)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issued</w:t>
            </w: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stock options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780" w:type="dxa"/>
            <w:vAlign w:val="bottom"/>
            <w:tcBorders>
              <w:bottom w:val="single" w:sz="8" w:color="auto"/>
              <w:right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Amount</w:t>
            </w:r>
          </w:p>
        </w:tc>
        <w:tc>
          <w:tcPr>
            <w:tcW w:w="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Shares</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5"/>
              </w:rPr>
              <w:t>in capital</w:t>
            </w: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7"/>
              </w:rPr>
              <w:t>(loss) income</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deficit</w:t>
            </w: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31"/>
        </w:trPr>
        <w:tc>
          <w:tcPr>
            <w:tcW w:w="1040" w:type="dxa"/>
            <w:vAlign w:val="bottom"/>
            <w:shd w:val="clear" w:color="auto" w:fill="CCEEFF"/>
          </w:tcPr>
          <w:p>
            <w:pPr>
              <w:spacing w:after="0" w:line="132" w:lineRule="exact"/>
              <w:rPr>
                <w:sz w:val="20"/>
                <w:szCs w:val="20"/>
                <w:color w:val="auto"/>
              </w:rPr>
            </w:pPr>
            <w:r>
              <w:rPr>
                <w:rFonts w:ascii="Arial" w:cs="Arial" w:eastAsia="Arial" w:hAnsi="Arial"/>
                <w:sz w:val="13"/>
                <w:szCs w:val="13"/>
                <w:color w:val="auto"/>
              </w:rPr>
              <w:t>Balance at</w:t>
            </w:r>
          </w:p>
        </w:tc>
        <w:tc>
          <w:tcPr>
            <w:tcW w:w="6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040" w:type="dxa"/>
            <w:vAlign w:val="bottom"/>
            <w:shd w:val="clear" w:color="auto" w:fill="CCEEFF"/>
          </w:tcPr>
          <w:p>
            <w:pPr>
              <w:ind w:left="200"/>
              <w:spacing w:after="0" w:line="139" w:lineRule="exact"/>
              <w:rPr>
                <w:sz w:val="20"/>
                <w:szCs w:val="20"/>
                <w:color w:val="auto"/>
              </w:rPr>
            </w:pPr>
            <w:r>
              <w:rPr>
                <w:rFonts w:ascii="Arial" w:cs="Arial" w:eastAsia="Arial" w:hAnsi="Arial"/>
                <w:sz w:val="13"/>
                <w:szCs w:val="13"/>
                <w:color w:val="auto"/>
              </w:rPr>
              <w:t>December 31,</w:t>
            </w: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shd w:val="clear" w:color="auto" w:fill="CCEEFF"/>
          </w:tcPr>
          <w:p>
            <w:pPr>
              <w:ind w:left="200"/>
              <w:spacing w:after="0" w:line="140" w:lineRule="exact"/>
              <w:rPr>
                <w:sz w:val="20"/>
                <w:szCs w:val="20"/>
                <w:color w:val="auto"/>
              </w:rPr>
            </w:pPr>
            <w:r>
              <w:rPr>
                <w:rFonts w:ascii="Arial" w:cs="Arial" w:eastAsia="Arial" w:hAnsi="Arial"/>
                <w:sz w:val="13"/>
                <w:szCs w:val="13"/>
                <w:color w:val="auto"/>
              </w:rPr>
              <w:t>2019</w:t>
            </w:r>
          </w:p>
        </w:tc>
        <w:tc>
          <w:tcPr>
            <w:tcW w:w="6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3,563,884</w:t>
            </w:r>
          </w:p>
        </w:tc>
        <w:tc>
          <w:tcPr>
            <w:tcW w:w="5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98"/>
              </w:rPr>
              <w:t>$ 56,422</w:t>
            </w: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(855)</w:t>
            </w:r>
          </w:p>
        </w:tc>
        <w:tc>
          <w:tcPr>
            <w:tcW w:w="120" w:type="dxa"/>
            <w:vAlign w:val="bottom"/>
            <w:shd w:val="clear" w:color="auto" w:fill="CCEEFF"/>
          </w:tcPr>
          <w:p>
            <w:pPr>
              <w:ind w:left="40"/>
              <w:spacing w:after="0" w:line="140" w:lineRule="exact"/>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77"/>
              <w:spacing w:after="0" w:line="140" w:lineRule="exact"/>
              <w:rPr>
                <w:sz w:val="20"/>
                <w:szCs w:val="20"/>
                <w:color w:val="auto"/>
              </w:rPr>
            </w:pPr>
            <w:r>
              <w:rPr>
                <w:rFonts w:ascii="Arial" w:cs="Arial" w:eastAsia="Arial" w:hAnsi="Arial"/>
                <w:sz w:val="13"/>
                <w:szCs w:val="13"/>
                <w:color w:val="auto"/>
              </w:rPr>
              <w:t>59,631</w:t>
            </w: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98"/>
              </w:rPr>
              <w:t>14,374,455</w:t>
            </w: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96"/>
              </w:rPr>
              <w:t>$ 327,581</w:t>
            </w:r>
          </w:p>
        </w:tc>
        <w:tc>
          <w:tcPr>
            <w:tcW w:w="180" w:type="dxa"/>
            <w:vAlign w:val="bottom"/>
            <w:tcBorders>
              <w:right w:val="single" w:sz="8" w:color="auto"/>
            </w:tcBorders>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w:t>
            </w:r>
          </w:p>
        </w:tc>
        <w:tc>
          <w:tcPr>
            <w:tcW w:w="240" w:type="dxa"/>
            <w:vAlign w:val="bottom"/>
            <w:shd w:val="clear" w:color="auto" w:fill="CCEEFF"/>
          </w:tcPr>
          <w:p>
            <w:pPr>
              <w:jc w:val="right"/>
              <w:ind w:right="77"/>
              <w:spacing w:after="0" w:line="140"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46</w:t>
            </w:r>
          </w:p>
        </w:tc>
        <w:tc>
          <w:tcPr>
            <w:tcW w:w="220" w:type="dxa"/>
            <w:vAlign w:val="bottom"/>
            <w:shd w:val="clear" w:color="auto" w:fill="CCEEFF"/>
          </w:tcPr>
          <w:p>
            <w:pPr>
              <w:jc w:val="right"/>
              <w:ind w:right="37"/>
              <w:spacing w:after="0" w:line="140"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(419,855)</w:t>
            </w:r>
          </w:p>
        </w:tc>
        <w:tc>
          <w:tcPr>
            <w:tcW w:w="260" w:type="dxa"/>
            <w:vAlign w:val="bottom"/>
            <w:shd w:val="clear" w:color="auto" w:fill="CCEEFF"/>
          </w:tcPr>
          <w:p>
            <w:pPr>
              <w:jc w:val="right"/>
              <w:ind w:right="77"/>
              <w:spacing w:after="0" w:line="140"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(419,809)</w:t>
            </w:r>
          </w:p>
        </w:tc>
        <w:tc>
          <w:tcPr>
            <w:tcW w:w="0" w:type="dxa"/>
            <w:vAlign w:val="bottom"/>
          </w:tcPr>
          <w:p>
            <w:pPr>
              <w:spacing w:after="0"/>
              <w:rPr>
                <w:sz w:val="1"/>
                <w:szCs w:val="1"/>
                <w:color w:val="auto"/>
              </w:rPr>
            </w:pPr>
          </w:p>
        </w:tc>
      </w:tr>
      <w:tr>
        <w:trPr>
          <w:trHeight w:val="139"/>
        </w:trPr>
        <w:tc>
          <w:tcPr>
            <w:tcW w:w="1040" w:type="dxa"/>
            <w:vAlign w:val="bottom"/>
          </w:tcPr>
          <w:p>
            <w:pPr>
              <w:spacing w:after="0" w:line="139" w:lineRule="exact"/>
              <w:rPr>
                <w:sz w:val="20"/>
                <w:szCs w:val="20"/>
                <w:color w:val="auto"/>
              </w:rPr>
            </w:pPr>
            <w:r>
              <w:rPr>
                <w:rFonts w:ascii="Arial" w:cs="Arial" w:eastAsia="Arial" w:hAnsi="Arial"/>
                <w:sz w:val="13"/>
                <w:szCs w:val="13"/>
                <w:color w:val="auto"/>
              </w:rPr>
              <w:t>Exercise of stock</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tcPr>
          <w:p>
            <w:pPr>
              <w:ind w:left="200"/>
              <w:spacing w:after="0" w:line="140" w:lineRule="exact"/>
              <w:rPr>
                <w:sz w:val="20"/>
                <w:szCs w:val="20"/>
                <w:color w:val="auto"/>
              </w:rPr>
            </w:pPr>
            <w:r>
              <w:rPr>
                <w:rFonts w:ascii="Arial" w:cs="Arial" w:eastAsia="Arial" w:hAnsi="Arial"/>
                <w:sz w:val="13"/>
                <w:szCs w:val="13"/>
                <w:color w:val="auto"/>
              </w:rPr>
              <w:t>options</w:t>
            </w:r>
          </w:p>
        </w:tc>
        <w:tc>
          <w:tcPr>
            <w:tcW w:w="640" w:type="dxa"/>
            <w:vAlign w:val="bottom"/>
          </w:tcPr>
          <w:p>
            <w:pPr>
              <w:jc w:val="right"/>
              <w:spacing w:after="0" w:line="140" w:lineRule="exact"/>
              <w:rPr>
                <w:sz w:val="20"/>
                <w:szCs w:val="20"/>
                <w:color w:val="auto"/>
              </w:rPr>
            </w:pPr>
            <w:r>
              <w:rPr>
                <w:rFonts w:ascii="Arial" w:cs="Arial" w:eastAsia="Arial" w:hAnsi="Arial"/>
                <w:sz w:val="13"/>
                <w:szCs w:val="13"/>
                <w:color w:val="auto"/>
              </w:rPr>
              <w:t>11,351</w:t>
            </w:r>
          </w:p>
        </w:tc>
        <w:tc>
          <w:tcPr>
            <w:tcW w:w="520" w:type="dxa"/>
            <w:vAlign w:val="bottom"/>
          </w:tcPr>
          <w:p>
            <w:pPr>
              <w:jc w:val="right"/>
              <w:spacing w:after="0" w:line="140" w:lineRule="exact"/>
              <w:rPr>
                <w:sz w:val="20"/>
                <w:szCs w:val="20"/>
                <w:color w:val="auto"/>
              </w:rPr>
            </w:pPr>
            <w:r>
              <w:rPr>
                <w:rFonts w:ascii="Arial" w:cs="Arial" w:eastAsia="Arial" w:hAnsi="Arial"/>
                <w:sz w:val="13"/>
                <w:szCs w:val="13"/>
                <w:color w:val="auto"/>
              </w:rPr>
              <w:t>303</w:t>
            </w:r>
          </w:p>
        </w:tc>
        <w:tc>
          <w:tcPr>
            <w:tcW w:w="140" w:type="dxa"/>
            <w:vAlign w:val="bottom"/>
          </w:tcPr>
          <w:p>
            <w:pPr>
              <w:spacing w:after="0"/>
              <w:rPr>
                <w:sz w:val="12"/>
                <w:szCs w:val="12"/>
                <w:color w:val="auto"/>
              </w:rPr>
            </w:pPr>
          </w:p>
        </w:tc>
        <w:tc>
          <w:tcPr>
            <w:tcW w:w="92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00" w:type="dxa"/>
            <w:vAlign w:val="bottom"/>
          </w:tcPr>
          <w:p>
            <w:pPr>
              <w:jc w:val="right"/>
              <w:ind w:right="37"/>
              <w:spacing w:after="0" w:line="140" w:lineRule="exact"/>
              <w:rPr>
                <w:sz w:val="20"/>
                <w:szCs w:val="20"/>
                <w:color w:val="auto"/>
              </w:rPr>
            </w:pPr>
            <w:r>
              <w:rPr>
                <w:rFonts w:ascii="Arial" w:cs="Arial" w:eastAsia="Arial" w:hAnsi="Arial"/>
                <w:sz w:val="13"/>
                <w:szCs w:val="13"/>
                <w:color w:val="auto"/>
              </w:rPr>
              <w:t>(257)</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gridSpan w:val="2"/>
          </w:tcPr>
          <w:p>
            <w:pPr>
              <w:jc w:val="right"/>
              <w:ind w:right="200"/>
              <w:spacing w:after="0" w:line="140"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6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28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2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72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10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Stock-based</w:t>
            </w: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shd w:val="clear" w:color="auto" w:fill="CCEEFF"/>
          </w:tcPr>
          <w:p>
            <w:pPr>
              <w:ind w:left="200"/>
              <w:spacing w:after="0" w:line="139" w:lineRule="exact"/>
              <w:rPr>
                <w:sz w:val="20"/>
                <w:szCs w:val="20"/>
                <w:color w:val="auto"/>
              </w:rPr>
            </w:pPr>
            <w:r>
              <w:rPr>
                <w:rFonts w:ascii="Arial" w:cs="Arial" w:eastAsia="Arial" w:hAnsi="Arial"/>
                <w:sz w:val="13"/>
                <w:szCs w:val="13"/>
                <w:color w:val="auto"/>
              </w:rPr>
              <w:t>compensation</w:t>
            </w: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shd w:val="clear" w:color="auto" w:fill="CCEEFF"/>
          </w:tcPr>
          <w:p>
            <w:pPr>
              <w:ind w:left="200"/>
              <w:spacing w:after="0" w:line="140" w:lineRule="exact"/>
              <w:rPr>
                <w:sz w:val="20"/>
                <w:szCs w:val="20"/>
                <w:color w:val="auto"/>
              </w:rPr>
            </w:pPr>
            <w:r>
              <w:rPr>
                <w:rFonts w:ascii="Arial" w:cs="Arial" w:eastAsia="Arial" w:hAnsi="Arial"/>
                <w:sz w:val="13"/>
                <w:szCs w:val="13"/>
                <w:color w:val="auto"/>
              </w:rPr>
              <w:t>expense</w:t>
            </w:r>
          </w:p>
        </w:tc>
        <w:tc>
          <w:tcPr>
            <w:tcW w:w="6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7"/>
              <w:spacing w:after="0" w:line="140"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gridSpan w:val="2"/>
            <w:shd w:val="clear" w:color="auto" w:fill="CCEEFF"/>
          </w:tcPr>
          <w:p>
            <w:pPr>
              <w:jc w:val="right"/>
              <w:ind w:right="200"/>
              <w:spacing w:after="0" w:line="140"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623</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623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tcPr>
          <w:p>
            <w:pPr>
              <w:spacing w:after="0" w:line="139" w:lineRule="exact"/>
              <w:rPr>
                <w:sz w:val="20"/>
                <w:szCs w:val="20"/>
                <w:color w:val="auto"/>
              </w:rPr>
            </w:pPr>
            <w:r>
              <w:rPr>
                <w:rFonts w:ascii="Arial" w:cs="Arial" w:eastAsia="Arial" w:hAnsi="Arial"/>
                <w:sz w:val="13"/>
                <w:szCs w:val="13"/>
                <w:color w:val="auto"/>
              </w:rPr>
              <w:t>Accretion to</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tcPr>
          <w:p>
            <w:pPr>
              <w:ind w:left="200"/>
              <w:spacing w:after="0" w:line="139" w:lineRule="exact"/>
              <w:rPr>
                <w:sz w:val="20"/>
                <w:szCs w:val="20"/>
                <w:color w:val="auto"/>
              </w:rPr>
            </w:pPr>
            <w:r>
              <w:rPr>
                <w:rFonts w:ascii="Arial" w:cs="Arial" w:eastAsia="Arial" w:hAnsi="Arial"/>
                <w:sz w:val="13"/>
                <w:szCs w:val="13"/>
                <w:color w:val="auto"/>
              </w:rPr>
              <w:t>redemption</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tcPr>
          <w:p>
            <w:pPr>
              <w:ind w:left="200"/>
              <w:spacing w:after="0" w:line="139" w:lineRule="exact"/>
              <w:rPr>
                <w:sz w:val="20"/>
                <w:szCs w:val="20"/>
                <w:color w:val="auto"/>
              </w:rPr>
            </w:pPr>
            <w:r>
              <w:rPr>
                <w:rFonts w:ascii="Arial" w:cs="Arial" w:eastAsia="Arial" w:hAnsi="Arial"/>
                <w:sz w:val="13"/>
                <w:szCs w:val="13"/>
                <w:color w:val="auto"/>
              </w:rPr>
              <w:t>value of</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tcPr>
          <w:p>
            <w:pPr>
              <w:ind w:left="200"/>
              <w:spacing w:after="0" w:line="139" w:lineRule="exact"/>
              <w:rPr>
                <w:sz w:val="20"/>
                <w:szCs w:val="20"/>
                <w:color w:val="auto"/>
              </w:rPr>
            </w:pPr>
            <w:r>
              <w:rPr>
                <w:rFonts w:ascii="Arial" w:cs="Arial" w:eastAsia="Arial" w:hAnsi="Arial"/>
                <w:sz w:val="13"/>
                <w:szCs w:val="13"/>
                <w:color w:val="auto"/>
              </w:rPr>
              <w:t>redeemable</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tcPr>
          <w:p>
            <w:pPr>
              <w:ind w:left="200"/>
              <w:spacing w:after="0" w:line="140" w:lineRule="exact"/>
              <w:rPr>
                <w:sz w:val="20"/>
                <w:szCs w:val="20"/>
                <w:color w:val="auto"/>
              </w:rPr>
            </w:pPr>
            <w:r>
              <w:rPr>
                <w:rFonts w:ascii="Arial" w:cs="Arial" w:eastAsia="Arial" w:hAnsi="Arial"/>
                <w:sz w:val="13"/>
                <w:szCs w:val="13"/>
                <w:color w:val="auto"/>
              </w:rPr>
              <w:t>stock options</w:t>
            </w:r>
          </w:p>
        </w:tc>
        <w:tc>
          <w:tcPr>
            <w:tcW w:w="64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2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00" w:type="dxa"/>
            <w:vAlign w:val="bottom"/>
          </w:tcPr>
          <w:p>
            <w:pPr>
              <w:jc w:val="right"/>
              <w:ind w:right="37"/>
              <w:spacing w:after="0" w:line="140" w:lineRule="exact"/>
              <w:rPr>
                <w:sz w:val="20"/>
                <w:szCs w:val="20"/>
                <w:color w:val="auto"/>
              </w:rPr>
            </w:pPr>
            <w:r>
              <w:rPr>
                <w:rFonts w:ascii="Arial" w:cs="Arial" w:eastAsia="Arial" w:hAnsi="Arial"/>
                <w:sz w:val="13"/>
                <w:szCs w:val="13"/>
                <w:color w:val="auto"/>
              </w:rPr>
              <w:t>(2,924)</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gridSpan w:val="2"/>
          </w:tcPr>
          <w:p>
            <w:pPr>
              <w:jc w:val="right"/>
              <w:ind w:right="200"/>
              <w:spacing w:after="0" w:line="140"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6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28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2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tcPr>
          <w:p>
            <w:pPr>
              <w:jc w:val="right"/>
              <w:ind w:right="17"/>
              <w:spacing w:after="0" w:line="140" w:lineRule="exact"/>
              <w:rPr>
                <w:sz w:val="20"/>
                <w:szCs w:val="20"/>
                <w:color w:val="auto"/>
              </w:rPr>
            </w:pPr>
            <w:r>
              <w:rPr>
                <w:rFonts w:ascii="Arial" w:cs="Arial" w:eastAsia="Arial" w:hAnsi="Arial"/>
                <w:sz w:val="13"/>
                <w:szCs w:val="13"/>
                <w:color w:val="auto"/>
              </w:rPr>
              <w:t>2,924</w:t>
            </w:r>
          </w:p>
        </w:tc>
        <w:tc>
          <w:tcPr>
            <w:tcW w:w="260" w:type="dxa"/>
            <w:vAlign w:val="bottom"/>
          </w:tcPr>
          <w:p>
            <w:pPr>
              <w:spacing w:after="0"/>
              <w:rPr>
                <w:sz w:val="12"/>
                <w:szCs w:val="12"/>
                <w:color w:val="auto"/>
              </w:rPr>
            </w:pPr>
          </w:p>
        </w:tc>
        <w:tc>
          <w:tcPr>
            <w:tcW w:w="640" w:type="dxa"/>
            <w:vAlign w:val="bottom"/>
          </w:tcPr>
          <w:p>
            <w:pPr>
              <w:jc w:val="right"/>
              <w:spacing w:after="0" w:line="140" w:lineRule="exact"/>
              <w:rPr>
                <w:sz w:val="20"/>
                <w:szCs w:val="20"/>
                <w:color w:val="auto"/>
              </w:rPr>
            </w:pPr>
            <w:r>
              <w:rPr>
                <w:rFonts w:ascii="Arial" w:cs="Arial" w:eastAsia="Arial" w:hAnsi="Arial"/>
                <w:sz w:val="13"/>
                <w:szCs w:val="13"/>
                <w:color w:val="auto"/>
              </w:rPr>
              <w:t>2,924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Accretion to</w:t>
            </w: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shd w:val="clear" w:color="auto" w:fill="CCEEFF"/>
          </w:tcPr>
          <w:p>
            <w:pPr>
              <w:ind w:left="200"/>
              <w:spacing w:after="0" w:line="139" w:lineRule="exact"/>
              <w:rPr>
                <w:sz w:val="20"/>
                <w:szCs w:val="20"/>
                <w:color w:val="auto"/>
              </w:rPr>
            </w:pPr>
            <w:r>
              <w:rPr>
                <w:rFonts w:ascii="Arial" w:cs="Arial" w:eastAsia="Arial" w:hAnsi="Arial"/>
                <w:sz w:val="13"/>
                <w:szCs w:val="13"/>
                <w:color w:val="auto"/>
              </w:rPr>
              <w:t>redemption</w:t>
            </w: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shd w:val="clear" w:color="auto" w:fill="CCEEFF"/>
          </w:tcPr>
          <w:p>
            <w:pPr>
              <w:ind w:left="200"/>
              <w:spacing w:after="0" w:line="139" w:lineRule="exact"/>
              <w:rPr>
                <w:sz w:val="20"/>
                <w:szCs w:val="20"/>
                <w:color w:val="auto"/>
              </w:rPr>
            </w:pPr>
            <w:r>
              <w:rPr>
                <w:rFonts w:ascii="Arial" w:cs="Arial" w:eastAsia="Arial" w:hAnsi="Arial"/>
                <w:sz w:val="13"/>
                <w:szCs w:val="13"/>
                <w:color w:val="auto"/>
              </w:rPr>
              <w:t>value of</w:t>
            </w: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shd w:val="clear" w:color="auto" w:fill="CCEEFF"/>
          </w:tcPr>
          <w:p>
            <w:pPr>
              <w:ind w:left="200"/>
              <w:spacing w:after="0" w:line="139" w:lineRule="exact"/>
              <w:rPr>
                <w:sz w:val="20"/>
                <w:szCs w:val="20"/>
                <w:color w:val="auto"/>
              </w:rPr>
            </w:pPr>
            <w:r>
              <w:rPr>
                <w:rFonts w:ascii="Arial" w:cs="Arial" w:eastAsia="Arial" w:hAnsi="Arial"/>
                <w:sz w:val="13"/>
                <w:szCs w:val="13"/>
                <w:color w:val="auto"/>
              </w:rPr>
              <w:t>redeemable</w:t>
            </w: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shd w:val="clear" w:color="auto" w:fill="CCEEFF"/>
          </w:tcPr>
          <w:p>
            <w:pPr>
              <w:ind w:left="200"/>
              <w:spacing w:after="0" w:line="140" w:lineRule="exact"/>
              <w:rPr>
                <w:sz w:val="20"/>
                <w:szCs w:val="20"/>
                <w:color w:val="auto"/>
              </w:rPr>
            </w:pPr>
            <w:r>
              <w:rPr>
                <w:rFonts w:ascii="Arial" w:cs="Arial" w:eastAsia="Arial" w:hAnsi="Arial"/>
                <w:sz w:val="13"/>
                <w:szCs w:val="13"/>
                <w:color w:val="auto"/>
              </w:rPr>
              <w:t>stock</w:t>
            </w:r>
          </w:p>
        </w:tc>
        <w:tc>
          <w:tcPr>
            <w:tcW w:w="6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3,493</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7"/>
              <w:spacing w:after="0" w:line="140"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7,170</w:t>
            </w:r>
          </w:p>
        </w:tc>
        <w:tc>
          <w:tcPr>
            <w:tcW w:w="1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(623)</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(10,040)</w:t>
            </w: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(10,663)</w:t>
            </w:r>
          </w:p>
        </w:tc>
        <w:tc>
          <w:tcPr>
            <w:tcW w:w="0" w:type="dxa"/>
            <w:vAlign w:val="bottom"/>
          </w:tcPr>
          <w:p>
            <w:pPr>
              <w:spacing w:after="0"/>
              <w:rPr>
                <w:sz w:val="1"/>
                <w:szCs w:val="1"/>
                <w:color w:val="auto"/>
              </w:rPr>
            </w:pPr>
          </w:p>
        </w:tc>
      </w:tr>
      <w:tr>
        <w:trPr>
          <w:trHeight w:val="139"/>
        </w:trPr>
        <w:tc>
          <w:tcPr>
            <w:tcW w:w="1040" w:type="dxa"/>
            <w:vAlign w:val="bottom"/>
          </w:tcPr>
          <w:p>
            <w:pPr>
              <w:spacing w:after="0" w:line="139" w:lineRule="exact"/>
              <w:rPr>
                <w:sz w:val="20"/>
                <w:szCs w:val="20"/>
                <w:color w:val="auto"/>
              </w:rPr>
            </w:pPr>
            <w:r>
              <w:rPr>
                <w:rFonts w:ascii="Arial" w:cs="Arial" w:eastAsia="Arial" w:hAnsi="Arial"/>
                <w:sz w:val="13"/>
                <w:szCs w:val="13"/>
                <w:color w:val="auto"/>
              </w:rPr>
              <w:t>Unrealized gain</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tcPr>
          <w:p>
            <w:pPr>
              <w:ind w:left="200"/>
              <w:spacing w:after="0" w:line="139" w:lineRule="exact"/>
              <w:rPr>
                <w:sz w:val="20"/>
                <w:szCs w:val="20"/>
                <w:color w:val="auto"/>
              </w:rPr>
            </w:pPr>
            <w:r>
              <w:rPr>
                <w:rFonts w:ascii="Arial" w:cs="Arial" w:eastAsia="Arial" w:hAnsi="Arial"/>
                <w:sz w:val="13"/>
                <w:szCs w:val="13"/>
                <w:color w:val="auto"/>
              </w:rPr>
              <w:t>on short-term</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tcPr>
          <w:p>
            <w:pPr>
              <w:ind w:left="200"/>
              <w:spacing w:after="0" w:line="139" w:lineRule="exact"/>
              <w:rPr>
                <w:sz w:val="20"/>
                <w:szCs w:val="20"/>
                <w:color w:val="auto"/>
              </w:rPr>
            </w:pPr>
            <w:r>
              <w:rPr>
                <w:rFonts w:ascii="Arial" w:cs="Arial" w:eastAsia="Arial" w:hAnsi="Arial"/>
                <w:sz w:val="13"/>
                <w:szCs w:val="13"/>
                <w:color w:val="auto"/>
              </w:rPr>
              <w:t>investments</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tcPr>
          <w:p>
            <w:pPr>
              <w:ind w:left="200"/>
              <w:spacing w:after="0" w:line="139" w:lineRule="exact"/>
              <w:rPr>
                <w:sz w:val="20"/>
                <w:szCs w:val="20"/>
                <w:color w:val="auto"/>
              </w:rPr>
            </w:pPr>
            <w:r>
              <w:rPr>
                <w:rFonts w:ascii="Arial" w:cs="Arial" w:eastAsia="Arial" w:hAnsi="Arial"/>
                <w:sz w:val="13"/>
                <w:szCs w:val="13"/>
                <w:color w:val="auto"/>
              </w:rPr>
              <w:t>and cash</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tcPr>
          <w:p>
            <w:pPr>
              <w:ind w:left="200"/>
              <w:spacing w:after="0" w:line="139" w:lineRule="exact"/>
              <w:rPr>
                <w:sz w:val="20"/>
                <w:szCs w:val="20"/>
                <w:color w:val="auto"/>
              </w:rPr>
            </w:pPr>
            <w:r>
              <w:rPr>
                <w:rFonts w:ascii="Arial" w:cs="Arial" w:eastAsia="Arial" w:hAnsi="Arial"/>
                <w:sz w:val="13"/>
                <w:szCs w:val="13"/>
                <w:color w:val="auto"/>
              </w:rPr>
              <w:t>equivalents,</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tcPr>
          <w:p>
            <w:pPr>
              <w:ind w:left="200"/>
              <w:spacing w:after="0" w:line="140" w:lineRule="exact"/>
              <w:rPr>
                <w:sz w:val="20"/>
                <w:szCs w:val="20"/>
                <w:color w:val="auto"/>
              </w:rPr>
            </w:pPr>
            <w:r>
              <w:rPr>
                <w:rFonts w:ascii="Arial" w:cs="Arial" w:eastAsia="Arial" w:hAnsi="Arial"/>
                <w:sz w:val="13"/>
                <w:szCs w:val="13"/>
                <w:color w:val="auto"/>
              </w:rPr>
              <w:t>net of tax</w:t>
            </w:r>
          </w:p>
        </w:tc>
        <w:tc>
          <w:tcPr>
            <w:tcW w:w="64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2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00" w:type="dxa"/>
            <w:vAlign w:val="bottom"/>
          </w:tcPr>
          <w:p>
            <w:pPr>
              <w:jc w:val="right"/>
              <w:ind w:right="77"/>
              <w:spacing w:after="0" w:line="140"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gridSpan w:val="2"/>
          </w:tcPr>
          <w:p>
            <w:pPr>
              <w:jc w:val="right"/>
              <w:ind w:right="200"/>
              <w:spacing w:after="0" w:line="140"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6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28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20" w:type="dxa"/>
            <w:vAlign w:val="bottom"/>
          </w:tcPr>
          <w:p>
            <w:pPr>
              <w:jc w:val="right"/>
              <w:ind w:right="17"/>
              <w:spacing w:after="0" w:line="140" w:lineRule="exact"/>
              <w:rPr>
                <w:sz w:val="20"/>
                <w:szCs w:val="20"/>
                <w:color w:val="auto"/>
              </w:rPr>
            </w:pPr>
            <w:r>
              <w:rPr>
                <w:rFonts w:ascii="Arial" w:cs="Arial" w:eastAsia="Arial" w:hAnsi="Arial"/>
                <w:sz w:val="13"/>
                <w:szCs w:val="13"/>
                <w:color w:val="auto"/>
              </w:rPr>
              <w:t>77</w:t>
            </w:r>
          </w:p>
        </w:tc>
        <w:tc>
          <w:tcPr>
            <w:tcW w:w="220" w:type="dxa"/>
            <w:vAlign w:val="bottom"/>
          </w:tcPr>
          <w:p>
            <w:pPr>
              <w:spacing w:after="0"/>
              <w:rPr>
                <w:sz w:val="12"/>
                <w:szCs w:val="12"/>
                <w:color w:val="auto"/>
              </w:rPr>
            </w:pPr>
          </w:p>
        </w:tc>
        <w:tc>
          <w:tcPr>
            <w:tcW w:w="70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640" w:type="dxa"/>
            <w:vAlign w:val="bottom"/>
          </w:tcPr>
          <w:p>
            <w:pPr>
              <w:jc w:val="right"/>
              <w:spacing w:after="0" w:line="140" w:lineRule="exact"/>
              <w:rPr>
                <w:sz w:val="20"/>
                <w:szCs w:val="20"/>
                <w:color w:val="auto"/>
              </w:rPr>
            </w:pPr>
            <w:r>
              <w:rPr>
                <w:rFonts w:ascii="Arial" w:cs="Arial" w:eastAsia="Arial" w:hAnsi="Arial"/>
                <w:sz w:val="13"/>
                <w:szCs w:val="13"/>
                <w:color w:val="auto"/>
              </w:rPr>
              <w:t>77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Foreign currency</w:t>
            </w: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shd w:val="clear" w:color="auto" w:fill="CCEEFF"/>
          </w:tcPr>
          <w:p>
            <w:pPr>
              <w:ind w:left="200"/>
              <w:spacing w:after="0" w:line="139" w:lineRule="exact"/>
              <w:rPr>
                <w:sz w:val="20"/>
                <w:szCs w:val="20"/>
                <w:color w:val="auto"/>
              </w:rPr>
            </w:pPr>
            <w:r>
              <w:rPr>
                <w:rFonts w:ascii="Arial" w:cs="Arial" w:eastAsia="Arial" w:hAnsi="Arial"/>
                <w:sz w:val="13"/>
                <w:szCs w:val="13"/>
                <w:color w:val="auto"/>
              </w:rPr>
              <w:t>translation</w:t>
            </w: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shd w:val="clear" w:color="auto" w:fill="CCEEFF"/>
          </w:tcPr>
          <w:p>
            <w:pPr>
              <w:ind w:left="200"/>
              <w:spacing w:after="0" w:line="140" w:lineRule="exact"/>
              <w:rPr>
                <w:sz w:val="20"/>
                <w:szCs w:val="20"/>
                <w:color w:val="auto"/>
              </w:rPr>
            </w:pPr>
            <w:r>
              <w:rPr>
                <w:rFonts w:ascii="Arial" w:cs="Arial" w:eastAsia="Arial" w:hAnsi="Arial"/>
                <w:sz w:val="13"/>
                <w:szCs w:val="13"/>
                <w:color w:val="auto"/>
              </w:rPr>
              <w:t>adjustment</w:t>
            </w:r>
          </w:p>
        </w:tc>
        <w:tc>
          <w:tcPr>
            <w:tcW w:w="6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7"/>
              <w:spacing w:after="0" w:line="140"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gridSpan w:val="2"/>
            <w:shd w:val="clear" w:color="auto" w:fill="CCEEFF"/>
          </w:tcPr>
          <w:p>
            <w:pPr>
              <w:jc w:val="right"/>
              <w:ind w:right="200"/>
              <w:spacing w:after="0" w:line="140"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9"/>
        </w:trPr>
        <w:tc>
          <w:tcPr>
            <w:tcW w:w="1040" w:type="dxa"/>
            <w:vAlign w:val="bottom"/>
          </w:tcPr>
          <w:p>
            <w:pPr>
              <w:spacing w:after="0" w:line="139" w:lineRule="exact"/>
              <w:rPr>
                <w:sz w:val="20"/>
                <w:szCs w:val="20"/>
                <w:color w:val="auto"/>
              </w:rPr>
            </w:pPr>
            <w:r>
              <w:rPr>
                <w:rFonts w:ascii="Arial" w:cs="Arial" w:eastAsia="Arial" w:hAnsi="Arial"/>
                <w:sz w:val="13"/>
                <w:szCs w:val="13"/>
                <w:color w:val="auto"/>
              </w:rPr>
              <w:t>Change in notes</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tcPr>
          <w:p>
            <w:pPr>
              <w:ind w:left="200"/>
              <w:spacing w:after="0" w:line="139" w:lineRule="exact"/>
              <w:rPr>
                <w:sz w:val="20"/>
                <w:szCs w:val="20"/>
                <w:color w:val="auto"/>
              </w:rPr>
            </w:pPr>
            <w:r>
              <w:rPr>
                <w:rFonts w:ascii="Arial" w:cs="Arial" w:eastAsia="Arial" w:hAnsi="Arial"/>
                <w:sz w:val="13"/>
                <w:szCs w:val="13"/>
                <w:color w:val="auto"/>
              </w:rPr>
              <w:t>receivable for</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tcPr>
          <w:p>
            <w:pPr>
              <w:ind w:left="200"/>
              <w:spacing w:after="0" w:line="139" w:lineRule="exact"/>
              <w:rPr>
                <w:sz w:val="20"/>
                <w:szCs w:val="20"/>
                <w:color w:val="auto"/>
              </w:rPr>
            </w:pPr>
            <w:r>
              <w:rPr>
                <w:rFonts w:ascii="Arial" w:cs="Arial" w:eastAsia="Arial" w:hAnsi="Arial"/>
                <w:sz w:val="13"/>
                <w:szCs w:val="13"/>
                <w:color w:val="auto"/>
              </w:rPr>
              <w:t>common</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tcPr>
          <w:p>
            <w:pPr>
              <w:ind w:left="200"/>
              <w:spacing w:after="0" w:line="140" w:lineRule="exact"/>
              <w:rPr>
                <w:sz w:val="20"/>
                <w:szCs w:val="20"/>
                <w:color w:val="auto"/>
              </w:rPr>
            </w:pPr>
            <w:r>
              <w:rPr>
                <w:rFonts w:ascii="Arial" w:cs="Arial" w:eastAsia="Arial" w:hAnsi="Arial"/>
                <w:sz w:val="13"/>
                <w:szCs w:val="13"/>
                <w:color w:val="auto"/>
              </w:rPr>
              <w:t>stock issued</w:t>
            </w:r>
          </w:p>
        </w:tc>
        <w:tc>
          <w:tcPr>
            <w:tcW w:w="64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20" w:type="dxa"/>
            <w:vAlign w:val="bottom"/>
          </w:tcPr>
          <w:p>
            <w:pPr>
              <w:jc w:val="right"/>
              <w:ind w:right="17"/>
              <w:spacing w:after="0" w:line="140" w:lineRule="exact"/>
              <w:rPr>
                <w:sz w:val="20"/>
                <w:szCs w:val="20"/>
                <w:color w:val="auto"/>
              </w:rPr>
            </w:pPr>
            <w:r>
              <w:rPr>
                <w:rFonts w:ascii="Arial" w:cs="Arial" w:eastAsia="Arial" w:hAnsi="Arial"/>
                <w:sz w:val="13"/>
                <w:szCs w:val="13"/>
                <w:color w:val="auto"/>
              </w:rPr>
              <w:t>84</w:t>
            </w:r>
          </w:p>
        </w:tc>
        <w:tc>
          <w:tcPr>
            <w:tcW w:w="120" w:type="dxa"/>
            <w:vAlign w:val="bottom"/>
          </w:tcPr>
          <w:p>
            <w:pPr>
              <w:spacing w:after="0"/>
              <w:rPr>
                <w:sz w:val="12"/>
                <w:szCs w:val="12"/>
                <w:color w:val="auto"/>
              </w:rPr>
            </w:pPr>
          </w:p>
        </w:tc>
        <w:tc>
          <w:tcPr>
            <w:tcW w:w="900" w:type="dxa"/>
            <w:vAlign w:val="bottom"/>
          </w:tcPr>
          <w:p>
            <w:pPr>
              <w:jc w:val="right"/>
              <w:ind w:right="77"/>
              <w:spacing w:after="0" w:line="140"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gridSpan w:val="2"/>
          </w:tcPr>
          <w:p>
            <w:pPr>
              <w:jc w:val="right"/>
              <w:ind w:right="200"/>
              <w:spacing w:after="0" w:line="140"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6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28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2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72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10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Net loss</w:t>
            </w:r>
          </w:p>
        </w:tc>
        <w:tc>
          <w:tcPr>
            <w:tcW w:w="6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7"/>
              <w:spacing w:after="0" w:line="13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7"/>
              <w:spacing w:after="0" w:line="139"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3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7"/>
              <w:spacing w:after="0" w:line="13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(16,502)</w:t>
            </w: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(16,502)</w:t>
            </w:r>
          </w:p>
        </w:tc>
        <w:tc>
          <w:tcPr>
            <w:tcW w:w="0" w:type="dxa"/>
            <w:vAlign w:val="bottom"/>
          </w:tcPr>
          <w:p>
            <w:pPr>
              <w:spacing w:after="0"/>
              <w:rPr>
                <w:sz w:val="1"/>
                <w:szCs w:val="1"/>
                <w:color w:val="auto"/>
              </w:rPr>
            </w:pPr>
          </w:p>
        </w:tc>
      </w:tr>
      <w:tr>
        <w:trPr>
          <w:trHeight w:val="144"/>
        </w:trPr>
        <w:tc>
          <w:tcPr>
            <w:tcW w:w="1040" w:type="dxa"/>
            <w:vAlign w:val="bottom"/>
          </w:tcPr>
          <w:p>
            <w:pPr>
              <w:spacing w:after="0" w:line="144" w:lineRule="exact"/>
              <w:rPr>
                <w:sz w:val="20"/>
                <w:szCs w:val="20"/>
                <w:color w:val="auto"/>
              </w:rPr>
            </w:pPr>
            <w:r>
              <w:rPr>
                <w:rFonts w:ascii="Arial" w:cs="Arial" w:eastAsia="Arial" w:hAnsi="Arial"/>
                <w:sz w:val="13"/>
                <w:szCs w:val="13"/>
                <w:color w:val="auto"/>
              </w:rPr>
              <w:t>Balance at</w:t>
            </w:r>
          </w:p>
        </w:tc>
        <w:tc>
          <w:tcPr>
            <w:tcW w:w="6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tcPr>
          <w:p>
            <w:pPr>
              <w:ind w:left="200"/>
              <w:spacing w:after="0" w:line="139" w:lineRule="exact"/>
              <w:rPr>
                <w:sz w:val="20"/>
                <w:szCs w:val="20"/>
                <w:color w:val="auto"/>
              </w:rPr>
            </w:pPr>
            <w:r>
              <w:rPr>
                <w:rFonts w:ascii="Arial" w:cs="Arial" w:eastAsia="Arial" w:hAnsi="Arial"/>
                <w:sz w:val="13"/>
                <w:szCs w:val="13"/>
                <w:color w:val="auto"/>
              </w:rPr>
              <w:t>March 31,</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40" w:type="dxa"/>
            <w:vAlign w:val="bottom"/>
          </w:tcPr>
          <w:p>
            <w:pPr>
              <w:ind w:left="200"/>
              <w:spacing w:after="0" w:line="140" w:lineRule="exact"/>
              <w:rPr>
                <w:sz w:val="20"/>
                <w:szCs w:val="20"/>
                <w:color w:val="auto"/>
              </w:rPr>
            </w:pPr>
            <w:r>
              <w:rPr>
                <w:rFonts w:ascii="Arial" w:cs="Arial" w:eastAsia="Arial" w:hAnsi="Arial"/>
                <w:sz w:val="13"/>
                <w:szCs w:val="13"/>
                <w:color w:val="auto"/>
              </w:rPr>
              <w:t>2020</w:t>
            </w:r>
          </w:p>
        </w:tc>
        <w:tc>
          <w:tcPr>
            <w:tcW w:w="640" w:type="dxa"/>
            <w:vAlign w:val="bottom"/>
          </w:tcPr>
          <w:p>
            <w:pPr>
              <w:jc w:val="right"/>
              <w:spacing w:after="0" w:line="140" w:lineRule="exact"/>
              <w:rPr>
                <w:sz w:val="20"/>
                <w:szCs w:val="20"/>
                <w:color w:val="auto"/>
              </w:rPr>
            </w:pPr>
            <w:r>
              <w:rPr>
                <w:rFonts w:ascii="Arial" w:cs="Arial" w:eastAsia="Arial" w:hAnsi="Arial"/>
                <w:sz w:val="13"/>
                <w:szCs w:val="13"/>
                <w:color w:val="auto"/>
              </w:rPr>
              <w:t>3,575,235</w:t>
            </w:r>
          </w:p>
        </w:tc>
        <w:tc>
          <w:tcPr>
            <w:tcW w:w="520" w:type="dxa"/>
            <w:vAlign w:val="bottom"/>
          </w:tcPr>
          <w:p>
            <w:pPr>
              <w:jc w:val="right"/>
              <w:spacing w:after="0" w:line="140" w:lineRule="exact"/>
              <w:rPr>
                <w:sz w:val="20"/>
                <w:szCs w:val="20"/>
                <w:color w:val="auto"/>
              </w:rPr>
            </w:pPr>
            <w:r>
              <w:rPr>
                <w:rFonts w:ascii="Arial" w:cs="Arial" w:eastAsia="Arial" w:hAnsi="Arial"/>
                <w:sz w:val="13"/>
                <w:szCs w:val="13"/>
                <w:color w:val="auto"/>
                <w:w w:val="98"/>
              </w:rPr>
              <w:t>$ 60,218</w:t>
            </w:r>
          </w:p>
        </w:tc>
        <w:tc>
          <w:tcPr>
            <w:tcW w:w="14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40" w:lineRule="exact"/>
              <w:rPr>
                <w:sz w:val="20"/>
                <w:szCs w:val="20"/>
                <w:color w:val="auto"/>
              </w:rPr>
            </w:pPr>
            <w:r>
              <w:rPr>
                <w:rFonts w:ascii="Arial" w:cs="Arial" w:eastAsia="Arial" w:hAnsi="Arial"/>
                <w:sz w:val="13"/>
                <w:szCs w:val="13"/>
                <w:color w:val="auto"/>
              </w:rPr>
              <w:t>(771)</w:t>
            </w:r>
          </w:p>
        </w:tc>
        <w:tc>
          <w:tcPr>
            <w:tcW w:w="120" w:type="dxa"/>
            <w:vAlign w:val="bottom"/>
          </w:tcPr>
          <w:p>
            <w:pPr>
              <w:ind w:left="40"/>
              <w:spacing w:after="0" w:line="140" w:lineRule="exact"/>
              <w:rPr>
                <w:sz w:val="20"/>
                <w:szCs w:val="20"/>
                <w:color w:val="auto"/>
              </w:rPr>
            </w:pPr>
            <w:r>
              <w:rPr>
                <w:rFonts w:ascii="Arial" w:cs="Arial" w:eastAsia="Arial" w:hAnsi="Arial"/>
                <w:sz w:val="13"/>
                <w:szCs w:val="13"/>
                <w:color w:val="auto"/>
                <w:w w:val="82"/>
              </w:rPr>
              <w:t>$</w:t>
            </w:r>
          </w:p>
        </w:tc>
        <w:tc>
          <w:tcPr>
            <w:tcW w:w="900" w:type="dxa"/>
            <w:vAlign w:val="bottom"/>
          </w:tcPr>
          <w:p>
            <w:pPr>
              <w:jc w:val="right"/>
              <w:ind w:right="77"/>
              <w:spacing w:after="0" w:line="140" w:lineRule="exact"/>
              <w:rPr>
                <w:sz w:val="20"/>
                <w:szCs w:val="20"/>
                <w:color w:val="auto"/>
              </w:rPr>
            </w:pPr>
            <w:r>
              <w:rPr>
                <w:rFonts w:ascii="Arial" w:cs="Arial" w:eastAsia="Arial" w:hAnsi="Arial"/>
                <w:sz w:val="13"/>
                <w:szCs w:val="13"/>
                <w:color w:val="auto"/>
              </w:rPr>
              <w:t>56,450</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w w:val="98"/>
              </w:rPr>
              <w:t>14,374,455</w:t>
            </w:r>
          </w:p>
        </w:tc>
        <w:tc>
          <w:tcPr>
            <w:tcW w:w="600" w:type="dxa"/>
            <w:vAlign w:val="bottom"/>
          </w:tcPr>
          <w:p>
            <w:pPr>
              <w:jc w:val="right"/>
              <w:spacing w:after="0" w:line="140" w:lineRule="exact"/>
              <w:rPr>
                <w:sz w:val="20"/>
                <w:szCs w:val="20"/>
                <w:color w:val="auto"/>
              </w:rPr>
            </w:pPr>
            <w:r>
              <w:rPr>
                <w:rFonts w:ascii="Arial" w:cs="Arial" w:eastAsia="Arial" w:hAnsi="Arial"/>
                <w:sz w:val="13"/>
                <w:szCs w:val="13"/>
                <w:color w:val="auto"/>
                <w:w w:val="96"/>
              </w:rPr>
              <w:t>$ 334,751</w:t>
            </w:r>
          </w:p>
        </w:tc>
        <w:tc>
          <w:tcPr>
            <w:tcW w:w="180" w:type="dxa"/>
            <w:vAlign w:val="bottom"/>
            <w:tcBorders>
              <w:right w:val="single" w:sz="8" w:color="auto"/>
            </w:tcBorders>
          </w:tcPr>
          <w:p>
            <w:pPr>
              <w:spacing w:after="0"/>
              <w:rPr>
                <w:sz w:val="12"/>
                <w:szCs w:val="12"/>
                <w:color w:val="auto"/>
              </w:rPr>
            </w:pPr>
          </w:p>
        </w:tc>
        <w:tc>
          <w:tcPr>
            <w:tcW w:w="50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1</w:t>
            </w:r>
          </w:p>
        </w:tc>
        <w:tc>
          <w:tcPr>
            <w:tcW w:w="240" w:type="dxa"/>
            <w:vAlign w:val="bottom"/>
          </w:tcPr>
          <w:p>
            <w:pPr>
              <w:jc w:val="right"/>
              <w:ind w:right="77"/>
              <w:spacing w:after="0" w:line="140"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14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line="140" w:lineRule="exact"/>
              <w:rPr>
                <w:sz w:val="20"/>
                <w:szCs w:val="20"/>
                <w:color w:val="auto"/>
              </w:rPr>
            </w:pPr>
            <w:r>
              <w:rPr>
                <w:rFonts w:ascii="Arial" w:cs="Arial" w:eastAsia="Arial" w:hAnsi="Arial"/>
                <w:sz w:val="13"/>
                <w:szCs w:val="13"/>
                <w:color w:val="auto"/>
              </w:rPr>
              <w:t>—</w:t>
            </w:r>
          </w:p>
        </w:tc>
        <w:tc>
          <w:tcPr>
            <w:tcW w:w="140" w:type="dxa"/>
            <w:vAlign w:val="bottom"/>
          </w:tcPr>
          <w:p>
            <w:pPr>
              <w:jc w:val="right"/>
              <w:spacing w:after="0" w:line="140"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17"/>
              <w:spacing w:after="0" w:line="140" w:lineRule="exact"/>
              <w:rPr>
                <w:sz w:val="20"/>
                <w:szCs w:val="20"/>
                <w:color w:val="auto"/>
              </w:rPr>
            </w:pPr>
            <w:r>
              <w:rPr>
                <w:rFonts w:ascii="Arial" w:cs="Arial" w:eastAsia="Arial" w:hAnsi="Arial"/>
                <w:sz w:val="13"/>
                <w:szCs w:val="13"/>
                <w:color w:val="auto"/>
              </w:rPr>
              <w:t>122</w:t>
            </w:r>
          </w:p>
        </w:tc>
        <w:tc>
          <w:tcPr>
            <w:tcW w:w="220" w:type="dxa"/>
            <w:vAlign w:val="bottom"/>
          </w:tcPr>
          <w:p>
            <w:pPr>
              <w:jc w:val="right"/>
              <w:ind w:right="37"/>
              <w:spacing w:after="0" w:line="140"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0" w:lineRule="exact"/>
              <w:rPr>
                <w:sz w:val="20"/>
                <w:szCs w:val="20"/>
                <w:color w:val="auto"/>
              </w:rPr>
            </w:pPr>
            <w:r>
              <w:rPr>
                <w:rFonts w:ascii="Arial" w:cs="Arial" w:eastAsia="Arial" w:hAnsi="Arial"/>
                <w:sz w:val="13"/>
                <w:szCs w:val="13"/>
                <w:color w:val="auto"/>
              </w:rPr>
              <w:t>(443,473)</w:t>
            </w:r>
          </w:p>
        </w:tc>
        <w:tc>
          <w:tcPr>
            <w:tcW w:w="260" w:type="dxa"/>
            <w:vAlign w:val="bottom"/>
          </w:tcPr>
          <w:p>
            <w:pPr>
              <w:jc w:val="right"/>
              <w:ind w:right="77"/>
              <w:spacing w:after="0" w:line="140"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(443,351)</w:t>
            </w: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See accompanying notes.</w:t>
      </w:r>
    </w:p>
    <w:p>
      <w:pPr>
        <w:spacing w:after="0" w:line="14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0980"/>
          </w:cols>
          <w:pgMar w:left="320" w:top="440" w:right="599" w:bottom="1440" w:gutter="0" w:footer="0" w:header="0"/>
        </w:sectPr>
      </w:pPr>
    </w:p>
    <w:bookmarkStart w:id="271" w:name="page272"/>
    <w:bookmarkEnd w:id="2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4" w:lineRule="exact"/>
        <w:rPr>
          <w:sz w:val="20"/>
          <w:szCs w:val="20"/>
          <w:color w:val="auto"/>
        </w:rPr>
      </w:pPr>
    </w:p>
    <w:p>
      <w:pPr>
        <w:ind w:left="460"/>
        <w:spacing w:after="0"/>
        <w:rPr>
          <w:sz w:val="20"/>
          <w:szCs w:val="20"/>
          <w:color w:val="auto"/>
        </w:rPr>
      </w:pPr>
      <w:r>
        <w:rPr>
          <w:rFonts w:ascii="Arial" w:cs="Arial" w:eastAsia="Arial" w:hAnsi="Arial"/>
          <w:sz w:val="27"/>
          <w:szCs w:val="27"/>
          <w:b w:val="1"/>
          <w:bCs w:val="1"/>
          <w:color w:val="auto"/>
        </w:rPr>
        <w:t>RxSight, Inc.</w:t>
      </w:r>
    </w:p>
    <w:p>
      <w:pPr>
        <w:spacing w:after="0" w:line="40" w:lineRule="exact"/>
        <w:rPr>
          <w:sz w:val="20"/>
          <w:szCs w:val="20"/>
          <w:color w:val="auto"/>
        </w:rPr>
      </w:pPr>
    </w:p>
    <w:p>
      <w:pPr>
        <w:jc w:val="both"/>
        <w:ind w:left="460" w:right="1420"/>
        <w:spacing w:after="0" w:line="256" w:lineRule="auto"/>
        <w:rPr>
          <w:sz w:val="20"/>
          <w:szCs w:val="20"/>
          <w:color w:val="auto"/>
        </w:rPr>
      </w:pPr>
      <w:r>
        <w:rPr>
          <w:rFonts w:ascii="Arial" w:cs="Arial" w:eastAsia="Arial" w:hAnsi="Arial"/>
          <w:sz w:val="27"/>
          <w:szCs w:val="27"/>
          <w:b w:val="1"/>
          <w:bCs w:val="1"/>
          <w:color w:val="auto"/>
        </w:rPr>
        <w:t>Condensed consolidated statements of redeemable common stock, stock options, convertible preferred stock and stockholders’ deficit (unaudited)</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9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20" w:type="dxa"/>
            <w:vAlign w:val="bottom"/>
            <w:tcBorders>
              <w:top w:val="single" w:sz="8" w:color="auto"/>
              <w:right w:val="single" w:sz="8" w:color="auto"/>
            </w:tcBorders>
            <w:gridSpan w:val="3"/>
          </w:tcPr>
          <w:p>
            <w:pPr>
              <w:jc w:val="right"/>
              <w:ind w:right="220"/>
              <w:spacing w:after="0"/>
              <w:rPr>
                <w:sz w:val="20"/>
                <w:szCs w:val="20"/>
                <w:color w:val="auto"/>
              </w:rPr>
            </w:pPr>
            <w:r>
              <w:rPr>
                <w:rFonts w:ascii="Arial" w:cs="Arial" w:eastAsia="Arial" w:hAnsi="Arial"/>
                <w:sz w:val="13"/>
                <w:szCs w:val="13"/>
                <w:b w:val="1"/>
                <w:bCs w:val="1"/>
                <w:color w:val="auto"/>
              </w:rPr>
              <w:t>Convertible</w:t>
            </w:r>
          </w:p>
        </w:tc>
        <w:tc>
          <w:tcPr>
            <w:tcW w:w="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r>
      <w:tr>
        <w:trPr>
          <w:trHeight w:val="139"/>
        </w:trPr>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4"/>
          </w:tcPr>
          <w:p>
            <w:pPr>
              <w:jc w:val="right"/>
              <w:ind w:right="80"/>
              <w:spacing w:after="0" w:line="139" w:lineRule="exact"/>
              <w:rPr>
                <w:sz w:val="20"/>
                <w:szCs w:val="20"/>
                <w:color w:val="auto"/>
              </w:rPr>
            </w:pPr>
            <w:r>
              <w:rPr>
                <w:rFonts w:ascii="Arial" w:cs="Arial" w:eastAsia="Arial" w:hAnsi="Arial"/>
                <w:sz w:val="13"/>
                <w:szCs w:val="13"/>
                <w:b w:val="1"/>
                <w:bCs w:val="1"/>
                <w:color w:val="auto"/>
              </w:rPr>
              <w:t>Redeemable</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220"/>
              <w:spacing w:after="0" w:line="139" w:lineRule="exact"/>
              <w:rPr>
                <w:sz w:val="20"/>
                <w:szCs w:val="20"/>
                <w:color w:val="auto"/>
              </w:rPr>
            </w:pPr>
            <w:r>
              <w:rPr>
                <w:rFonts w:ascii="Arial" w:cs="Arial" w:eastAsia="Arial" w:hAnsi="Arial"/>
                <w:sz w:val="13"/>
                <w:szCs w:val="13"/>
                <w:b w:val="1"/>
                <w:bCs w:val="1"/>
                <w:color w:val="auto"/>
                <w:w w:val="94"/>
              </w:rPr>
              <w:t>preferred</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20"/>
              <w:spacing w:after="0" w:line="139" w:lineRule="exact"/>
              <w:rPr>
                <w:sz w:val="20"/>
                <w:szCs w:val="20"/>
                <w:color w:val="auto"/>
              </w:rPr>
            </w:pPr>
            <w:r>
              <w:rPr>
                <w:rFonts w:ascii="Arial" w:cs="Arial" w:eastAsia="Arial" w:hAnsi="Arial"/>
                <w:sz w:val="13"/>
                <w:szCs w:val="13"/>
                <w:b w:val="1"/>
                <w:bCs w:val="1"/>
                <w:color w:val="auto"/>
              </w:rPr>
              <w:t>Notes</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49"/>
        </w:trPr>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4"/>
          </w:tcPr>
          <w:p>
            <w:pPr>
              <w:jc w:val="right"/>
              <w:ind w:right="80"/>
              <w:spacing w:after="0" w:line="139" w:lineRule="exact"/>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220"/>
              <w:spacing w:after="0" w:line="139" w:lineRule="exact"/>
              <w:rPr>
                <w:sz w:val="20"/>
                <w:szCs w:val="20"/>
                <w:color w:val="auto"/>
              </w:rPr>
            </w:pPr>
            <w:r>
              <w:rPr>
                <w:rFonts w:ascii="Arial" w:cs="Arial" w:eastAsia="Arial" w:hAnsi="Arial"/>
                <w:sz w:val="13"/>
                <w:szCs w:val="13"/>
                <w:b w:val="1"/>
                <w:bCs w:val="1"/>
                <w:color w:val="auto"/>
              </w:rPr>
              <w:t>stock</w:t>
            </w:r>
          </w:p>
        </w:tc>
        <w:tc>
          <w:tcPr>
            <w:tcW w:w="20" w:type="dxa"/>
            <w:vAlign w:val="bottom"/>
          </w:tcPr>
          <w:p>
            <w:pPr>
              <w:spacing w:after="0"/>
              <w:rPr>
                <w:sz w:val="12"/>
                <w:szCs w:val="12"/>
                <w:color w:val="auto"/>
              </w:rPr>
            </w:pPr>
          </w:p>
        </w:tc>
        <w:tc>
          <w:tcPr>
            <w:tcW w:w="1140" w:type="dxa"/>
            <w:vAlign w:val="bottom"/>
            <w:gridSpan w:val="3"/>
          </w:tcPr>
          <w:p>
            <w:pPr>
              <w:jc w:val="right"/>
              <w:spacing w:after="0" w:line="139" w:lineRule="exact"/>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gridSpan w:val="2"/>
          </w:tcPr>
          <w:p>
            <w:pPr>
              <w:jc w:val="right"/>
              <w:ind w:right="20"/>
              <w:spacing w:after="0" w:line="139" w:lineRule="exact"/>
              <w:rPr>
                <w:sz w:val="20"/>
                <w:szCs w:val="20"/>
                <w:color w:val="auto"/>
              </w:rPr>
            </w:pPr>
            <w:r>
              <w:rPr>
                <w:rFonts w:ascii="Arial" w:cs="Arial" w:eastAsia="Arial" w:hAnsi="Arial"/>
                <w:sz w:val="13"/>
                <w:szCs w:val="13"/>
                <w:b w:val="1"/>
                <w:bCs w:val="1"/>
                <w:color w:val="auto"/>
              </w:rPr>
              <w:t>receivable</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10"/>
        </w:trPr>
        <w:tc>
          <w:tcPr>
            <w:tcW w:w="940" w:type="dxa"/>
            <w:vAlign w:val="bottom"/>
          </w:tcPr>
          <w:p>
            <w:pPr>
              <w:spacing w:after="0" w:line="110" w:lineRule="exact"/>
              <w:rPr>
                <w:sz w:val="20"/>
                <w:szCs w:val="20"/>
                <w:color w:val="auto"/>
              </w:rPr>
            </w:pPr>
            <w:r>
              <w:rPr>
                <w:rFonts w:ascii="Arial" w:cs="Arial" w:eastAsia="Arial" w:hAnsi="Arial"/>
                <w:sz w:val="12"/>
                <w:szCs w:val="12"/>
                <w:b w:val="1"/>
                <w:bCs w:val="1"/>
                <w:color w:val="auto"/>
              </w:rPr>
              <w:t>(In thousands,</w:t>
            </w:r>
          </w:p>
        </w:tc>
        <w:tc>
          <w:tcPr>
            <w:tcW w:w="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right"/>
              <w:ind w:right="20"/>
              <w:spacing w:after="0" w:line="110" w:lineRule="exact"/>
              <w:rPr>
                <w:sz w:val="20"/>
                <w:szCs w:val="20"/>
                <w:color w:val="auto"/>
              </w:rPr>
            </w:pPr>
            <w:r>
              <w:rPr>
                <w:rFonts w:ascii="Arial" w:cs="Arial" w:eastAsia="Arial" w:hAnsi="Arial"/>
                <w:sz w:val="12"/>
                <w:szCs w:val="12"/>
                <w:b w:val="1"/>
                <w:bCs w:val="1"/>
                <w:color w:val="auto"/>
              </w:rPr>
              <w:t>Notes</w:t>
            </w: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ind w:right="20"/>
              <w:spacing w:after="0" w:line="110" w:lineRule="exact"/>
              <w:rPr>
                <w:sz w:val="20"/>
                <w:szCs w:val="20"/>
                <w:color w:val="auto"/>
              </w:rPr>
            </w:pPr>
            <w:r>
              <w:rPr>
                <w:rFonts w:ascii="Arial" w:cs="Arial" w:eastAsia="Arial" w:hAnsi="Arial"/>
                <w:sz w:val="12"/>
                <w:szCs w:val="12"/>
                <w:b w:val="1"/>
                <w:bCs w:val="1"/>
                <w:color w:val="auto"/>
              </w:rPr>
              <w:t>for</w:t>
            </w:r>
          </w:p>
        </w:tc>
        <w:tc>
          <w:tcPr>
            <w:tcW w:w="140" w:type="dxa"/>
            <w:vAlign w:val="bottom"/>
          </w:tcPr>
          <w:p>
            <w:pPr>
              <w:spacing w:after="0"/>
              <w:rPr>
                <w:sz w:val="9"/>
                <w:szCs w:val="9"/>
                <w:color w:val="auto"/>
              </w:rPr>
            </w:pPr>
          </w:p>
        </w:tc>
        <w:tc>
          <w:tcPr>
            <w:tcW w:w="920" w:type="dxa"/>
            <w:vAlign w:val="bottom"/>
          </w:tcPr>
          <w:p>
            <w:pPr>
              <w:jc w:val="right"/>
              <w:ind w:right="20"/>
              <w:spacing w:after="0" w:line="110" w:lineRule="exact"/>
              <w:rPr>
                <w:sz w:val="20"/>
                <w:szCs w:val="20"/>
                <w:color w:val="auto"/>
              </w:rPr>
            </w:pPr>
            <w:r>
              <w:rPr>
                <w:rFonts w:ascii="Arial" w:cs="Arial" w:eastAsia="Arial" w:hAnsi="Arial"/>
                <w:sz w:val="12"/>
                <w:szCs w:val="12"/>
                <w:b w:val="1"/>
                <w:bCs w:val="1"/>
                <w:color w:val="auto"/>
              </w:rPr>
              <w:t>Accumulated</w:t>
            </w: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139"/>
        </w:trPr>
        <w:tc>
          <w:tcPr>
            <w:tcW w:w="940" w:type="dxa"/>
            <w:vAlign w:val="bottom"/>
          </w:tcPr>
          <w:p>
            <w:pPr>
              <w:spacing w:after="0" w:line="139" w:lineRule="exact"/>
              <w:rPr>
                <w:sz w:val="20"/>
                <w:szCs w:val="20"/>
                <w:color w:val="auto"/>
              </w:rPr>
            </w:pPr>
            <w:r>
              <w:rPr>
                <w:rFonts w:ascii="Arial" w:cs="Arial" w:eastAsia="Arial" w:hAnsi="Arial"/>
                <w:sz w:val="13"/>
                <w:szCs w:val="13"/>
                <w:b w:val="1"/>
                <w:bCs w:val="1"/>
                <w:color w:val="auto"/>
              </w:rPr>
              <w:t>except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20"/>
              <w:spacing w:after="0" w:line="139" w:lineRule="exact"/>
              <w:rPr>
                <w:sz w:val="20"/>
                <w:szCs w:val="20"/>
                <w:color w:val="auto"/>
              </w:rPr>
            </w:pPr>
            <w:r>
              <w:rPr>
                <w:rFonts w:ascii="Arial" w:cs="Arial" w:eastAsia="Arial" w:hAnsi="Arial"/>
                <w:sz w:val="13"/>
                <w:szCs w:val="13"/>
                <w:b w:val="1"/>
                <w:bCs w:val="1"/>
                <w:color w:val="auto"/>
                <w:w w:val="96"/>
              </w:rPr>
              <w:t>receivable for</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2"/>
                <w:szCs w:val="12"/>
                <w:color w:val="auto"/>
              </w:rPr>
            </w:pPr>
          </w:p>
        </w:tc>
        <w:tc>
          <w:tcPr>
            <w:tcW w:w="620" w:type="dxa"/>
            <w:vAlign w:val="bottom"/>
          </w:tcPr>
          <w:p>
            <w:pPr>
              <w:jc w:val="right"/>
              <w:ind w:right="20"/>
              <w:spacing w:after="0" w:line="139" w:lineRule="exact"/>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2"/>
                <w:szCs w:val="12"/>
                <w:color w:val="auto"/>
              </w:rPr>
            </w:pPr>
          </w:p>
        </w:tc>
        <w:tc>
          <w:tcPr>
            <w:tcW w:w="920" w:type="dxa"/>
            <w:vAlign w:val="bottom"/>
          </w:tcPr>
          <w:p>
            <w:pPr>
              <w:jc w:val="right"/>
              <w:ind w:right="20"/>
              <w:spacing w:after="0" w:line="139" w:lineRule="exact"/>
              <w:rPr>
                <w:sz w:val="20"/>
                <w:szCs w:val="20"/>
                <w:color w:val="auto"/>
              </w:rPr>
            </w:pPr>
            <w:r>
              <w:rPr>
                <w:rFonts w:ascii="Arial" w:cs="Arial" w:eastAsia="Arial" w:hAnsi="Arial"/>
                <w:sz w:val="13"/>
                <w:szCs w:val="13"/>
                <w:b w:val="1"/>
                <w:bCs w:val="1"/>
                <w:color w:val="auto"/>
              </w:rPr>
              <w:t>other</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39"/>
        </w:trPr>
        <w:tc>
          <w:tcPr>
            <w:tcW w:w="940" w:type="dxa"/>
            <w:vAlign w:val="bottom"/>
          </w:tcPr>
          <w:p>
            <w:pPr>
              <w:spacing w:after="0" w:line="139" w:lineRule="exact"/>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0"/>
              <w:spacing w:after="0" w:line="139" w:lineRule="exact"/>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2"/>
                <w:szCs w:val="12"/>
                <w:color w:val="auto"/>
              </w:rPr>
            </w:pPr>
          </w:p>
        </w:tc>
        <w:tc>
          <w:tcPr>
            <w:tcW w:w="880" w:type="dxa"/>
            <w:vAlign w:val="bottom"/>
          </w:tcPr>
          <w:p>
            <w:pPr>
              <w:jc w:val="right"/>
              <w:ind w:right="80"/>
              <w:spacing w:after="0" w:line="139" w:lineRule="exact"/>
              <w:rPr>
                <w:sz w:val="20"/>
                <w:szCs w:val="20"/>
                <w:color w:val="auto"/>
              </w:rPr>
            </w:pPr>
            <w:r>
              <w:rPr>
                <w:rFonts w:ascii="Arial" w:cs="Arial" w:eastAsia="Arial" w:hAnsi="Arial"/>
                <w:sz w:val="13"/>
                <w:szCs w:val="13"/>
                <w:b w:val="1"/>
                <w:bCs w:val="1"/>
                <w:color w:val="auto"/>
                <w:w w:val="93"/>
              </w:rPr>
              <w:t>Redeemable</w:t>
            </w: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paid-</w:t>
            </w:r>
          </w:p>
        </w:tc>
        <w:tc>
          <w:tcPr>
            <w:tcW w:w="120" w:type="dxa"/>
            <w:vAlign w:val="bottom"/>
          </w:tcPr>
          <w:p>
            <w:pPr>
              <w:spacing w:after="0"/>
              <w:rPr>
                <w:sz w:val="12"/>
                <w:szCs w:val="12"/>
                <w:color w:val="auto"/>
              </w:rPr>
            </w:pPr>
          </w:p>
        </w:tc>
        <w:tc>
          <w:tcPr>
            <w:tcW w:w="620" w:type="dxa"/>
            <w:vAlign w:val="bottom"/>
          </w:tcPr>
          <w:p>
            <w:pPr>
              <w:jc w:val="right"/>
              <w:ind w:right="20"/>
              <w:spacing w:after="0" w:line="139" w:lineRule="exact"/>
              <w:rPr>
                <w:sz w:val="20"/>
                <w:szCs w:val="20"/>
                <w:color w:val="auto"/>
              </w:rPr>
            </w:pPr>
            <w:r>
              <w:rPr>
                <w:rFonts w:ascii="Arial" w:cs="Arial" w:eastAsia="Arial" w:hAnsi="Arial"/>
                <w:sz w:val="13"/>
                <w:szCs w:val="13"/>
                <w:b w:val="1"/>
                <w:bCs w:val="1"/>
                <w:color w:val="auto"/>
              </w:rPr>
              <w:t>stock</w:t>
            </w:r>
          </w:p>
        </w:tc>
        <w:tc>
          <w:tcPr>
            <w:tcW w:w="1060" w:type="dxa"/>
            <w:vAlign w:val="bottom"/>
            <w:gridSpan w:val="2"/>
          </w:tcPr>
          <w:p>
            <w:pPr>
              <w:jc w:val="right"/>
              <w:ind w:right="20"/>
              <w:spacing w:after="0" w:line="139" w:lineRule="exact"/>
              <w:rPr>
                <w:sz w:val="20"/>
                <w:szCs w:val="20"/>
                <w:color w:val="auto"/>
              </w:rPr>
            </w:pPr>
            <w:r>
              <w:rPr>
                <w:rFonts w:ascii="Arial" w:cs="Arial" w:eastAsia="Arial" w:hAnsi="Arial"/>
                <w:sz w:val="13"/>
                <w:szCs w:val="13"/>
                <w:b w:val="1"/>
                <w:bCs w:val="1"/>
                <w:color w:val="auto"/>
              </w:rPr>
              <w:t>comprehensive</w:t>
            </w:r>
          </w:p>
        </w:tc>
        <w:tc>
          <w:tcPr>
            <w:tcW w:w="900" w:type="dxa"/>
            <w:vAlign w:val="bottom"/>
            <w:gridSpan w:val="2"/>
          </w:tcPr>
          <w:p>
            <w:pPr>
              <w:ind w:left="40"/>
              <w:spacing w:after="0" w:line="139" w:lineRule="exact"/>
              <w:rPr>
                <w:sz w:val="20"/>
                <w:szCs w:val="20"/>
                <w:color w:val="auto"/>
              </w:rPr>
            </w:pPr>
            <w:r>
              <w:rPr>
                <w:rFonts w:ascii="Arial" w:cs="Arial" w:eastAsia="Arial" w:hAnsi="Arial"/>
                <w:sz w:val="13"/>
                <w:szCs w:val="13"/>
                <w:b w:val="1"/>
                <w:bCs w:val="1"/>
                <w:color w:val="auto"/>
              </w:rPr>
              <w:t>Accumulated</w:t>
            </w:r>
          </w:p>
        </w:tc>
        <w:tc>
          <w:tcPr>
            <w:tcW w:w="600" w:type="dxa"/>
            <w:vAlign w:val="bottom"/>
            <w:gridSpan w:val="2"/>
          </w:tcPr>
          <w:p>
            <w:pPr>
              <w:ind w:left="60"/>
              <w:spacing w:after="0" w:line="139" w:lineRule="exact"/>
              <w:rPr>
                <w:sz w:val="20"/>
                <w:szCs w:val="20"/>
                <w:color w:val="auto"/>
              </w:rPr>
            </w:pPr>
            <w:r>
              <w:rPr>
                <w:rFonts w:ascii="Arial" w:cs="Arial" w:eastAsia="Arial" w:hAnsi="Arial"/>
                <w:sz w:val="13"/>
                <w:szCs w:val="13"/>
                <w:b w:val="1"/>
                <w:bCs w:val="1"/>
                <w:color w:val="auto"/>
                <w:w w:val="97"/>
              </w:rPr>
              <w:t>stockhol</w:t>
            </w:r>
          </w:p>
        </w:tc>
      </w:tr>
      <w:tr>
        <w:trPr>
          <w:trHeight w:val="156"/>
        </w:trPr>
        <w:tc>
          <w:tcPr>
            <w:tcW w:w="9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shares)</w:t>
            </w: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Shares</w:t>
            </w:r>
          </w:p>
        </w:tc>
        <w:tc>
          <w:tcPr>
            <w:tcW w:w="6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issued</w:t>
            </w: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stock options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780" w:type="dxa"/>
            <w:vAlign w:val="bottom"/>
            <w:tcBorders>
              <w:bottom w:val="single" w:sz="8" w:color="auto"/>
              <w:right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Amount</w:t>
            </w:r>
          </w:p>
        </w:tc>
        <w:tc>
          <w:tcPr>
            <w:tcW w:w="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5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in capital</w:t>
            </w: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issued</w:t>
            </w: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w w:val="97"/>
              </w:rPr>
              <w:t>(loss) income</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deficit</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w:t>
            </w:r>
          </w:p>
        </w:tc>
      </w:tr>
      <w:tr>
        <w:trPr>
          <w:trHeight w:val="114"/>
        </w:trPr>
        <w:tc>
          <w:tcPr>
            <w:tcW w:w="940" w:type="dxa"/>
            <w:vAlign w:val="bottom"/>
            <w:shd w:val="clear" w:color="auto" w:fill="CCEEFF"/>
          </w:tcPr>
          <w:p>
            <w:pPr>
              <w:spacing w:after="0" w:line="114" w:lineRule="exact"/>
              <w:rPr>
                <w:sz w:val="20"/>
                <w:szCs w:val="20"/>
                <w:color w:val="auto"/>
              </w:rPr>
            </w:pPr>
            <w:r>
              <w:rPr>
                <w:rFonts w:ascii="Arial" w:cs="Arial" w:eastAsia="Arial" w:hAnsi="Arial"/>
                <w:sz w:val="12"/>
                <w:szCs w:val="12"/>
                <w:color w:val="auto"/>
              </w:rPr>
              <w:t>Balance at</w:t>
            </w: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r>
      <w:tr>
        <w:trPr>
          <w:trHeight w:val="127"/>
        </w:trPr>
        <w:tc>
          <w:tcPr>
            <w:tcW w:w="940" w:type="dxa"/>
            <w:vAlign w:val="bottom"/>
            <w:shd w:val="clear" w:color="auto" w:fill="CCEEFF"/>
          </w:tcPr>
          <w:p>
            <w:pPr>
              <w:ind w:left="100"/>
              <w:spacing w:after="0" w:line="127" w:lineRule="exact"/>
              <w:rPr>
                <w:sz w:val="20"/>
                <w:szCs w:val="20"/>
                <w:color w:val="auto"/>
              </w:rPr>
            </w:pPr>
            <w:r>
              <w:rPr>
                <w:rFonts w:ascii="Arial" w:cs="Arial" w:eastAsia="Arial" w:hAnsi="Arial"/>
                <w:sz w:val="12"/>
                <w:szCs w:val="12"/>
                <w:color w:val="auto"/>
              </w:rPr>
              <w:t>December 31,</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r>
      <w:tr>
        <w:trPr>
          <w:trHeight w:val="132"/>
        </w:trPr>
        <w:tc>
          <w:tcPr>
            <w:tcW w:w="940" w:type="dxa"/>
            <w:vAlign w:val="bottom"/>
            <w:shd w:val="clear" w:color="auto" w:fill="CCEEFF"/>
          </w:tcPr>
          <w:p>
            <w:pPr>
              <w:ind w:left="100"/>
              <w:spacing w:after="0" w:line="133" w:lineRule="exact"/>
              <w:rPr>
                <w:sz w:val="20"/>
                <w:szCs w:val="20"/>
                <w:color w:val="auto"/>
              </w:rPr>
            </w:pPr>
            <w:r>
              <w:rPr>
                <w:rFonts w:ascii="Arial" w:cs="Arial" w:eastAsia="Arial" w:hAnsi="Arial"/>
                <w:sz w:val="12"/>
                <w:szCs w:val="12"/>
                <w:color w:val="auto"/>
              </w:rPr>
              <w:t>2020</w:t>
            </w:r>
          </w:p>
        </w:tc>
        <w:tc>
          <w:tcPr>
            <w:tcW w:w="72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3,813,450</w:t>
            </w:r>
          </w:p>
        </w:tc>
        <w:tc>
          <w:tcPr>
            <w:tcW w:w="1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80,780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(803)</w:t>
            </w:r>
          </w:p>
        </w:tc>
        <w:tc>
          <w:tcPr>
            <w:tcW w:w="120" w:type="dxa"/>
            <w:vAlign w:val="bottom"/>
            <w:shd w:val="clear" w:color="auto" w:fill="CCEEFF"/>
          </w:tcPr>
          <w:p>
            <w:pPr>
              <w:ind w:left="40"/>
              <w:spacing w:after="0" w:line="133" w:lineRule="exact"/>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53,085</w:t>
            </w: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9"/>
              </w:rPr>
              <w:t>14,376,272</w:t>
            </w: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$ 353,300</w:t>
            </w:r>
          </w:p>
        </w:tc>
        <w:tc>
          <w:tcPr>
            <w:tcW w:w="22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w:t>
            </w:r>
          </w:p>
        </w:tc>
        <w:tc>
          <w:tcPr>
            <w:tcW w:w="24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w:t>
            </w:r>
          </w:p>
        </w:tc>
        <w:tc>
          <w:tcPr>
            <w:tcW w:w="220" w:type="dxa"/>
            <w:vAlign w:val="bottom"/>
            <w:shd w:val="clear" w:color="auto" w:fill="CCEEFF"/>
          </w:tcPr>
          <w:p>
            <w:pPr>
              <w:ind w:left="40"/>
              <w:spacing w:after="0" w:line="133"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(430,588)</w:t>
            </w:r>
          </w:p>
        </w:tc>
        <w:tc>
          <w:tcPr>
            <w:tcW w:w="260" w:type="dxa"/>
            <w:vAlign w:val="bottom"/>
            <w:shd w:val="clear" w:color="auto" w:fill="CCEEFF"/>
          </w:tcPr>
          <w:p>
            <w:pPr>
              <w:ind w:left="40"/>
              <w:spacing w:after="0" w:line="133"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(43</w:t>
            </w:r>
          </w:p>
        </w:tc>
      </w:tr>
      <w:tr>
        <w:trPr>
          <w:trHeight w:val="121"/>
        </w:trPr>
        <w:tc>
          <w:tcPr>
            <w:tcW w:w="940" w:type="dxa"/>
            <w:vAlign w:val="bottom"/>
          </w:tcPr>
          <w:p>
            <w:pPr>
              <w:spacing w:after="0" w:line="121" w:lineRule="exact"/>
              <w:rPr>
                <w:sz w:val="20"/>
                <w:szCs w:val="20"/>
                <w:color w:val="auto"/>
              </w:rPr>
            </w:pPr>
            <w:r>
              <w:rPr>
                <w:rFonts w:ascii="Arial" w:cs="Arial" w:eastAsia="Arial" w:hAnsi="Arial"/>
                <w:sz w:val="12"/>
                <w:szCs w:val="12"/>
                <w:color w:val="auto"/>
              </w:rPr>
              <w:t>Exercise of stock</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32"/>
        </w:trPr>
        <w:tc>
          <w:tcPr>
            <w:tcW w:w="940" w:type="dxa"/>
            <w:vAlign w:val="bottom"/>
          </w:tcPr>
          <w:p>
            <w:pPr>
              <w:ind w:left="100"/>
              <w:spacing w:after="0" w:line="133" w:lineRule="exact"/>
              <w:rPr>
                <w:sz w:val="20"/>
                <w:szCs w:val="20"/>
                <w:color w:val="auto"/>
              </w:rPr>
            </w:pPr>
            <w:r>
              <w:rPr>
                <w:rFonts w:ascii="Arial" w:cs="Arial" w:eastAsia="Arial" w:hAnsi="Arial"/>
                <w:sz w:val="12"/>
                <w:szCs w:val="12"/>
                <w:color w:val="auto"/>
              </w:rPr>
              <w:t>options</w:t>
            </w:r>
          </w:p>
        </w:tc>
        <w:tc>
          <w:tcPr>
            <w:tcW w:w="72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280,545</w:t>
            </w:r>
          </w:p>
        </w:tc>
        <w:tc>
          <w:tcPr>
            <w:tcW w:w="12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2"/>
                <w:szCs w:val="12"/>
                <w:color w:val="auto"/>
              </w:rPr>
              <w:t>6,922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80" w:type="dxa"/>
            <w:vAlign w:val="bottom"/>
          </w:tcPr>
          <w:p>
            <w:pPr>
              <w:jc w:val="right"/>
              <w:ind w:right="40"/>
              <w:spacing w:after="0" w:line="133" w:lineRule="exact"/>
              <w:rPr>
                <w:sz w:val="20"/>
                <w:szCs w:val="20"/>
                <w:color w:val="auto"/>
              </w:rPr>
            </w:pPr>
            <w:r>
              <w:rPr>
                <w:rFonts w:ascii="Arial" w:cs="Arial" w:eastAsia="Arial" w:hAnsi="Arial"/>
                <w:sz w:val="12"/>
                <w:szCs w:val="12"/>
                <w:color w:val="auto"/>
              </w:rPr>
              <w:t>(5,715)</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780" w:type="dxa"/>
            <w:vAlign w:val="bottom"/>
            <w:tcBorders>
              <w:right w:val="single" w:sz="8" w:color="auto"/>
            </w:tcBorders>
            <w:gridSpan w:val="2"/>
          </w:tcPr>
          <w:p>
            <w:pPr>
              <w:jc w:val="right"/>
              <w:ind w:right="220"/>
              <w:spacing w:after="0" w:line="133"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2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92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68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21"/>
        </w:trPr>
        <w:tc>
          <w:tcPr>
            <w:tcW w:w="9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Stock-based</w:t>
            </w: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r>
      <w:tr>
        <w:trPr>
          <w:trHeight w:val="127"/>
        </w:trPr>
        <w:tc>
          <w:tcPr>
            <w:tcW w:w="940" w:type="dxa"/>
            <w:vAlign w:val="bottom"/>
            <w:shd w:val="clear" w:color="auto" w:fill="CCEEFF"/>
          </w:tcPr>
          <w:p>
            <w:pPr>
              <w:ind w:left="100"/>
              <w:spacing w:after="0" w:line="127" w:lineRule="exact"/>
              <w:rPr>
                <w:sz w:val="20"/>
                <w:szCs w:val="20"/>
                <w:color w:val="auto"/>
              </w:rPr>
            </w:pPr>
            <w:r>
              <w:rPr>
                <w:rFonts w:ascii="Arial" w:cs="Arial" w:eastAsia="Arial" w:hAnsi="Arial"/>
                <w:sz w:val="12"/>
                <w:szCs w:val="12"/>
                <w:color w:val="auto"/>
              </w:rPr>
              <w:t>compensation</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r>
      <w:tr>
        <w:trPr>
          <w:trHeight w:val="132"/>
        </w:trPr>
        <w:tc>
          <w:tcPr>
            <w:tcW w:w="940" w:type="dxa"/>
            <w:vAlign w:val="bottom"/>
            <w:shd w:val="clear" w:color="auto" w:fill="CCEEFF"/>
          </w:tcPr>
          <w:p>
            <w:pPr>
              <w:ind w:left="100"/>
              <w:spacing w:after="0" w:line="133" w:lineRule="exact"/>
              <w:rPr>
                <w:sz w:val="20"/>
                <w:szCs w:val="20"/>
                <w:color w:val="auto"/>
              </w:rPr>
            </w:pPr>
            <w:r>
              <w:rPr>
                <w:rFonts w:ascii="Arial" w:cs="Arial" w:eastAsia="Arial" w:hAnsi="Arial"/>
                <w:sz w:val="12"/>
                <w:szCs w:val="12"/>
                <w:color w:val="auto"/>
              </w:rPr>
              <w:t>expense</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780" w:type="dxa"/>
            <w:vAlign w:val="bottom"/>
            <w:tcBorders>
              <w:right w:val="single" w:sz="8" w:color="auto"/>
            </w:tcBorders>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1,239</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r>
      <w:tr>
        <w:trPr>
          <w:trHeight w:val="121"/>
        </w:trPr>
        <w:tc>
          <w:tcPr>
            <w:tcW w:w="940" w:type="dxa"/>
            <w:vAlign w:val="bottom"/>
          </w:tcPr>
          <w:p>
            <w:pPr>
              <w:spacing w:after="0" w:line="121" w:lineRule="exact"/>
              <w:rPr>
                <w:sz w:val="20"/>
                <w:szCs w:val="20"/>
                <w:color w:val="auto"/>
              </w:rPr>
            </w:pPr>
            <w:r>
              <w:rPr>
                <w:rFonts w:ascii="Arial" w:cs="Arial" w:eastAsia="Arial" w:hAnsi="Arial"/>
                <w:sz w:val="12"/>
                <w:szCs w:val="12"/>
                <w:color w:val="auto"/>
              </w:rPr>
              <w:t>Unrealized gain</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27"/>
        </w:trPr>
        <w:tc>
          <w:tcPr>
            <w:tcW w:w="940" w:type="dxa"/>
            <w:vAlign w:val="bottom"/>
          </w:tcPr>
          <w:p>
            <w:pPr>
              <w:ind w:left="100"/>
              <w:spacing w:after="0" w:line="127" w:lineRule="exact"/>
              <w:rPr>
                <w:sz w:val="20"/>
                <w:szCs w:val="20"/>
                <w:color w:val="auto"/>
              </w:rPr>
            </w:pPr>
            <w:r>
              <w:rPr>
                <w:rFonts w:ascii="Arial" w:cs="Arial" w:eastAsia="Arial" w:hAnsi="Arial"/>
                <w:sz w:val="12"/>
                <w:szCs w:val="12"/>
                <w:color w:val="auto"/>
              </w:rPr>
              <w:t>on short-term</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27"/>
        </w:trPr>
        <w:tc>
          <w:tcPr>
            <w:tcW w:w="940" w:type="dxa"/>
            <w:vAlign w:val="bottom"/>
          </w:tcPr>
          <w:p>
            <w:pPr>
              <w:ind w:left="100"/>
              <w:spacing w:after="0" w:line="127" w:lineRule="exact"/>
              <w:rPr>
                <w:sz w:val="20"/>
                <w:szCs w:val="20"/>
                <w:color w:val="auto"/>
              </w:rPr>
            </w:pPr>
            <w:r>
              <w:rPr>
                <w:rFonts w:ascii="Arial" w:cs="Arial" w:eastAsia="Arial" w:hAnsi="Arial"/>
                <w:sz w:val="12"/>
                <w:szCs w:val="12"/>
                <w:color w:val="auto"/>
              </w:rPr>
              <w:t>investments</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27"/>
        </w:trPr>
        <w:tc>
          <w:tcPr>
            <w:tcW w:w="940" w:type="dxa"/>
            <w:vAlign w:val="bottom"/>
          </w:tcPr>
          <w:p>
            <w:pPr>
              <w:ind w:left="100"/>
              <w:spacing w:after="0" w:line="127" w:lineRule="exact"/>
              <w:rPr>
                <w:sz w:val="20"/>
                <w:szCs w:val="20"/>
                <w:color w:val="auto"/>
              </w:rPr>
            </w:pPr>
            <w:r>
              <w:rPr>
                <w:rFonts w:ascii="Arial" w:cs="Arial" w:eastAsia="Arial" w:hAnsi="Arial"/>
                <w:sz w:val="12"/>
                <w:szCs w:val="12"/>
                <w:color w:val="auto"/>
              </w:rPr>
              <w:t>and cash</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27"/>
        </w:trPr>
        <w:tc>
          <w:tcPr>
            <w:tcW w:w="940" w:type="dxa"/>
            <w:vAlign w:val="bottom"/>
          </w:tcPr>
          <w:p>
            <w:pPr>
              <w:ind w:left="100"/>
              <w:spacing w:after="0" w:line="127" w:lineRule="exact"/>
              <w:rPr>
                <w:sz w:val="20"/>
                <w:szCs w:val="20"/>
                <w:color w:val="auto"/>
              </w:rPr>
            </w:pPr>
            <w:r>
              <w:rPr>
                <w:rFonts w:ascii="Arial" w:cs="Arial" w:eastAsia="Arial" w:hAnsi="Arial"/>
                <w:sz w:val="12"/>
                <w:szCs w:val="12"/>
                <w:color w:val="auto"/>
                <w:w w:val="97"/>
              </w:rPr>
              <w:t>equivalents, net</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2"/>
        </w:trPr>
        <w:tc>
          <w:tcPr>
            <w:tcW w:w="940" w:type="dxa"/>
            <w:vAlign w:val="bottom"/>
          </w:tcPr>
          <w:p>
            <w:pPr>
              <w:ind w:left="100"/>
              <w:spacing w:after="0" w:line="133" w:lineRule="exact"/>
              <w:rPr>
                <w:sz w:val="20"/>
                <w:szCs w:val="20"/>
                <w:color w:val="auto"/>
              </w:rPr>
            </w:pPr>
            <w:r>
              <w:rPr>
                <w:rFonts w:ascii="Arial" w:cs="Arial" w:eastAsia="Arial" w:hAnsi="Arial"/>
                <w:sz w:val="12"/>
                <w:szCs w:val="12"/>
                <w:color w:val="auto"/>
              </w:rPr>
              <w:t>of tax</w:t>
            </w:r>
          </w:p>
        </w:tc>
        <w:tc>
          <w:tcPr>
            <w:tcW w:w="40" w:type="dxa"/>
            <w:vAlign w:val="bottom"/>
          </w:tcPr>
          <w:p>
            <w:pPr>
              <w:spacing w:after="0"/>
              <w:rPr>
                <w:sz w:val="11"/>
                <w:szCs w:val="11"/>
                <w:color w:val="auto"/>
              </w:rPr>
            </w:pPr>
          </w:p>
        </w:tc>
        <w:tc>
          <w:tcPr>
            <w:tcW w:w="68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8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92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80" w:type="dxa"/>
            <w:vAlign w:val="bottom"/>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780" w:type="dxa"/>
            <w:vAlign w:val="bottom"/>
            <w:tcBorders>
              <w:right w:val="single" w:sz="8" w:color="auto"/>
            </w:tcBorders>
            <w:gridSpan w:val="2"/>
          </w:tcPr>
          <w:p>
            <w:pPr>
              <w:jc w:val="right"/>
              <w:ind w:right="220"/>
              <w:spacing w:after="0" w:line="133"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2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920" w:type="dxa"/>
            <w:vAlign w:val="bottom"/>
          </w:tcPr>
          <w:p>
            <w:pPr>
              <w:jc w:val="right"/>
              <w:ind w:right="20"/>
              <w:spacing w:after="0" w:line="133" w:lineRule="exact"/>
              <w:rPr>
                <w:sz w:val="20"/>
                <w:szCs w:val="20"/>
                <w:color w:val="auto"/>
              </w:rPr>
            </w:pPr>
            <w:r>
              <w:rPr>
                <w:rFonts w:ascii="Arial" w:cs="Arial" w:eastAsia="Arial" w:hAnsi="Arial"/>
                <w:sz w:val="12"/>
                <w:szCs w:val="12"/>
                <w:color w:val="auto"/>
              </w:rPr>
              <w:t>7</w:t>
            </w:r>
          </w:p>
        </w:tc>
        <w:tc>
          <w:tcPr>
            <w:tcW w:w="220" w:type="dxa"/>
            <w:vAlign w:val="bottom"/>
          </w:tcPr>
          <w:p>
            <w:pPr>
              <w:spacing w:after="0"/>
              <w:rPr>
                <w:sz w:val="11"/>
                <w:szCs w:val="11"/>
                <w:color w:val="auto"/>
              </w:rPr>
            </w:pPr>
          </w:p>
        </w:tc>
        <w:tc>
          <w:tcPr>
            <w:tcW w:w="68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21"/>
        </w:trPr>
        <w:tc>
          <w:tcPr>
            <w:tcW w:w="9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Foreign currency</w:t>
            </w: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r>
      <w:tr>
        <w:trPr>
          <w:trHeight w:val="127"/>
        </w:trPr>
        <w:tc>
          <w:tcPr>
            <w:tcW w:w="940" w:type="dxa"/>
            <w:vAlign w:val="bottom"/>
            <w:shd w:val="clear" w:color="auto" w:fill="CCEEFF"/>
          </w:tcPr>
          <w:p>
            <w:pPr>
              <w:ind w:left="100"/>
              <w:spacing w:after="0" w:line="127" w:lineRule="exact"/>
              <w:rPr>
                <w:sz w:val="20"/>
                <w:szCs w:val="20"/>
                <w:color w:val="auto"/>
              </w:rPr>
            </w:pPr>
            <w:r>
              <w:rPr>
                <w:rFonts w:ascii="Arial" w:cs="Arial" w:eastAsia="Arial" w:hAnsi="Arial"/>
                <w:sz w:val="12"/>
                <w:szCs w:val="12"/>
                <w:color w:val="auto"/>
              </w:rPr>
              <w:t>translation</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r>
      <w:tr>
        <w:trPr>
          <w:trHeight w:val="132"/>
        </w:trPr>
        <w:tc>
          <w:tcPr>
            <w:tcW w:w="940" w:type="dxa"/>
            <w:vAlign w:val="bottom"/>
            <w:shd w:val="clear" w:color="auto" w:fill="CCEEFF"/>
          </w:tcPr>
          <w:p>
            <w:pPr>
              <w:ind w:left="100"/>
              <w:spacing w:after="0" w:line="133" w:lineRule="exact"/>
              <w:rPr>
                <w:sz w:val="20"/>
                <w:szCs w:val="20"/>
                <w:color w:val="auto"/>
              </w:rPr>
            </w:pPr>
            <w:r>
              <w:rPr>
                <w:rFonts w:ascii="Arial" w:cs="Arial" w:eastAsia="Arial" w:hAnsi="Arial"/>
                <w:sz w:val="12"/>
                <w:szCs w:val="12"/>
                <w:color w:val="auto"/>
              </w:rPr>
              <w:t>adjustment</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780" w:type="dxa"/>
            <w:vAlign w:val="bottom"/>
            <w:tcBorders>
              <w:right w:val="single" w:sz="8" w:color="auto"/>
            </w:tcBorders>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r>
      <w:tr>
        <w:trPr>
          <w:trHeight w:val="121"/>
        </w:trPr>
        <w:tc>
          <w:tcPr>
            <w:tcW w:w="940" w:type="dxa"/>
            <w:vAlign w:val="bottom"/>
          </w:tcPr>
          <w:p>
            <w:pPr>
              <w:spacing w:after="0" w:line="121" w:lineRule="exact"/>
              <w:rPr>
                <w:sz w:val="20"/>
                <w:szCs w:val="20"/>
                <w:color w:val="auto"/>
              </w:rPr>
            </w:pPr>
            <w:r>
              <w:rPr>
                <w:rFonts w:ascii="Arial" w:cs="Arial" w:eastAsia="Arial" w:hAnsi="Arial"/>
                <w:sz w:val="12"/>
                <w:szCs w:val="12"/>
                <w:color w:val="auto"/>
              </w:rPr>
              <w:t>Change in notes</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27"/>
        </w:trPr>
        <w:tc>
          <w:tcPr>
            <w:tcW w:w="940" w:type="dxa"/>
            <w:vAlign w:val="bottom"/>
          </w:tcPr>
          <w:p>
            <w:pPr>
              <w:ind w:left="100"/>
              <w:spacing w:after="0" w:line="127" w:lineRule="exact"/>
              <w:rPr>
                <w:sz w:val="20"/>
                <w:szCs w:val="20"/>
                <w:color w:val="auto"/>
              </w:rPr>
            </w:pPr>
            <w:r>
              <w:rPr>
                <w:rFonts w:ascii="Arial" w:cs="Arial" w:eastAsia="Arial" w:hAnsi="Arial"/>
                <w:sz w:val="12"/>
                <w:szCs w:val="12"/>
                <w:color w:val="auto"/>
              </w:rPr>
              <w:t>receivable for</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27"/>
        </w:trPr>
        <w:tc>
          <w:tcPr>
            <w:tcW w:w="940" w:type="dxa"/>
            <w:vAlign w:val="bottom"/>
          </w:tcPr>
          <w:p>
            <w:pPr>
              <w:ind w:left="100"/>
              <w:spacing w:after="0" w:line="127" w:lineRule="exact"/>
              <w:rPr>
                <w:sz w:val="20"/>
                <w:szCs w:val="20"/>
                <w:color w:val="auto"/>
              </w:rPr>
            </w:pPr>
            <w:r>
              <w:rPr>
                <w:rFonts w:ascii="Arial" w:cs="Arial" w:eastAsia="Arial" w:hAnsi="Arial"/>
                <w:sz w:val="12"/>
                <w:szCs w:val="12"/>
                <w:color w:val="auto"/>
              </w:rPr>
              <w:t>common stock</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2"/>
        </w:trPr>
        <w:tc>
          <w:tcPr>
            <w:tcW w:w="940" w:type="dxa"/>
            <w:vAlign w:val="bottom"/>
          </w:tcPr>
          <w:p>
            <w:pPr>
              <w:ind w:left="100"/>
              <w:spacing w:after="0" w:line="133" w:lineRule="exact"/>
              <w:rPr>
                <w:sz w:val="20"/>
                <w:szCs w:val="20"/>
                <w:color w:val="auto"/>
              </w:rPr>
            </w:pPr>
            <w:r>
              <w:rPr>
                <w:rFonts w:ascii="Arial" w:cs="Arial" w:eastAsia="Arial" w:hAnsi="Arial"/>
                <w:sz w:val="12"/>
                <w:szCs w:val="12"/>
                <w:color w:val="auto"/>
              </w:rPr>
              <w:t>issued</w:t>
            </w:r>
          </w:p>
        </w:tc>
        <w:tc>
          <w:tcPr>
            <w:tcW w:w="40" w:type="dxa"/>
            <w:vAlign w:val="bottom"/>
          </w:tcPr>
          <w:p>
            <w:pPr>
              <w:spacing w:after="0"/>
              <w:rPr>
                <w:sz w:val="11"/>
                <w:szCs w:val="11"/>
                <w:color w:val="auto"/>
              </w:rPr>
            </w:pPr>
          </w:p>
        </w:tc>
        <w:tc>
          <w:tcPr>
            <w:tcW w:w="68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8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920" w:type="dxa"/>
            <w:vAlign w:val="bottom"/>
          </w:tcPr>
          <w:p>
            <w:pPr>
              <w:jc w:val="right"/>
              <w:spacing w:after="0" w:line="133" w:lineRule="exact"/>
              <w:rPr>
                <w:sz w:val="20"/>
                <w:szCs w:val="20"/>
                <w:color w:val="auto"/>
              </w:rPr>
            </w:pPr>
            <w:r>
              <w:rPr>
                <w:rFonts w:ascii="Arial" w:cs="Arial" w:eastAsia="Arial" w:hAnsi="Arial"/>
                <w:sz w:val="12"/>
                <w:szCs w:val="12"/>
                <w:color w:val="auto"/>
              </w:rPr>
              <w:t>(14)</w:t>
            </w:r>
          </w:p>
        </w:tc>
        <w:tc>
          <w:tcPr>
            <w:tcW w:w="120" w:type="dxa"/>
            <w:vAlign w:val="bottom"/>
          </w:tcPr>
          <w:p>
            <w:pPr>
              <w:spacing w:after="0"/>
              <w:rPr>
                <w:sz w:val="11"/>
                <w:szCs w:val="11"/>
                <w:color w:val="auto"/>
              </w:rPr>
            </w:pPr>
          </w:p>
        </w:tc>
        <w:tc>
          <w:tcPr>
            <w:tcW w:w="880" w:type="dxa"/>
            <w:vAlign w:val="bottom"/>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780" w:type="dxa"/>
            <w:vAlign w:val="bottom"/>
            <w:tcBorders>
              <w:right w:val="single" w:sz="8" w:color="auto"/>
            </w:tcBorders>
            <w:gridSpan w:val="2"/>
          </w:tcPr>
          <w:p>
            <w:pPr>
              <w:jc w:val="right"/>
              <w:ind w:right="220"/>
              <w:spacing w:after="0" w:line="133"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2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92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68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21"/>
        </w:trPr>
        <w:tc>
          <w:tcPr>
            <w:tcW w:w="9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Reclassification</w:t>
            </w: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r>
      <w:tr>
        <w:trPr>
          <w:trHeight w:val="127"/>
        </w:trPr>
        <w:tc>
          <w:tcPr>
            <w:tcW w:w="940" w:type="dxa"/>
            <w:vAlign w:val="bottom"/>
            <w:shd w:val="clear" w:color="auto" w:fill="CCEEFF"/>
          </w:tcPr>
          <w:p>
            <w:pPr>
              <w:ind w:left="100"/>
              <w:spacing w:after="0" w:line="127" w:lineRule="exact"/>
              <w:rPr>
                <w:sz w:val="20"/>
                <w:szCs w:val="20"/>
                <w:color w:val="auto"/>
              </w:rPr>
            </w:pPr>
            <w:r>
              <w:rPr>
                <w:rFonts w:ascii="Arial" w:cs="Arial" w:eastAsia="Arial" w:hAnsi="Arial"/>
                <w:sz w:val="12"/>
                <w:szCs w:val="12"/>
                <w:color w:val="auto"/>
              </w:rPr>
              <w:t>of 42,292,522</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r>
      <w:tr>
        <w:trPr>
          <w:trHeight w:val="127"/>
        </w:trPr>
        <w:tc>
          <w:tcPr>
            <w:tcW w:w="940" w:type="dxa"/>
            <w:vAlign w:val="bottom"/>
            <w:shd w:val="clear" w:color="auto" w:fill="CCEEFF"/>
          </w:tcPr>
          <w:p>
            <w:pPr>
              <w:ind w:left="100"/>
              <w:spacing w:after="0" w:line="127" w:lineRule="exact"/>
              <w:rPr>
                <w:sz w:val="20"/>
                <w:szCs w:val="20"/>
                <w:color w:val="auto"/>
              </w:rPr>
            </w:pPr>
            <w:r>
              <w:rPr>
                <w:rFonts w:ascii="Arial" w:cs="Arial" w:eastAsia="Arial" w:hAnsi="Arial"/>
                <w:sz w:val="12"/>
                <w:szCs w:val="12"/>
                <w:color w:val="auto"/>
              </w:rPr>
              <w:t>shares of</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r>
      <w:tr>
        <w:trPr>
          <w:trHeight w:val="127"/>
        </w:trPr>
        <w:tc>
          <w:tcPr>
            <w:tcW w:w="940" w:type="dxa"/>
            <w:vAlign w:val="bottom"/>
            <w:shd w:val="clear" w:color="auto" w:fill="CCEEFF"/>
          </w:tcPr>
          <w:p>
            <w:pPr>
              <w:ind w:left="100"/>
              <w:spacing w:after="0" w:line="127" w:lineRule="exact"/>
              <w:rPr>
                <w:sz w:val="20"/>
                <w:szCs w:val="20"/>
                <w:color w:val="auto"/>
              </w:rPr>
            </w:pPr>
            <w:r>
              <w:rPr>
                <w:rFonts w:ascii="Arial" w:cs="Arial" w:eastAsia="Arial" w:hAnsi="Arial"/>
                <w:sz w:val="12"/>
                <w:szCs w:val="12"/>
                <w:color w:val="auto"/>
              </w:rPr>
              <w:t>redeemable</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r>
      <w:tr>
        <w:trPr>
          <w:trHeight w:val="127"/>
        </w:trPr>
        <w:tc>
          <w:tcPr>
            <w:tcW w:w="940" w:type="dxa"/>
            <w:vAlign w:val="bottom"/>
            <w:shd w:val="clear" w:color="auto" w:fill="CCEEFF"/>
          </w:tcPr>
          <w:p>
            <w:pPr>
              <w:ind w:left="100"/>
              <w:spacing w:after="0" w:line="127" w:lineRule="exact"/>
              <w:rPr>
                <w:sz w:val="20"/>
                <w:szCs w:val="20"/>
                <w:color w:val="auto"/>
              </w:rPr>
            </w:pPr>
            <w:r>
              <w:rPr>
                <w:rFonts w:ascii="Arial" w:cs="Arial" w:eastAsia="Arial" w:hAnsi="Arial"/>
                <w:sz w:val="12"/>
                <w:szCs w:val="12"/>
                <w:color w:val="auto"/>
              </w:rPr>
              <w:t>common stock</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r>
      <w:tr>
        <w:trPr>
          <w:trHeight w:val="127"/>
        </w:trPr>
        <w:tc>
          <w:tcPr>
            <w:tcW w:w="940" w:type="dxa"/>
            <w:vAlign w:val="bottom"/>
            <w:shd w:val="clear" w:color="auto" w:fill="CCEEFF"/>
          </w:tcPr>
          <w:p>
            <w:pPr>
              <w:ind w:left="100"/>
              <w:spacing w:after="0" w:line="127" w:lineRule="exact"/>
              <w:rPr>
                <w:sz w:val="20"/>
                <w:szCs w:val="20"/>
                <w:color w:val="auto"/>
              </w:rPr>
            </w:pPr>
            <w:r>
              <w:rPr>
                <w:rFonts w:ascii="Arial" w:cs="Arial" w:eastAsia="Arial" w:hAnsi="Arial"/>
                <w:sz w:val="12"/>
                <w:szCs w:val="12"/>
                <w:color w:val="auto"/>
              </w:rPr>
              <w:t>to 42,292,522</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r>
      <w:tr>
        <w:trPr>
          <w:trHeight w:val="127"/>
        </w:trPr>
        <w:tc>
          <w:tcPr>
            <w:tcW w:w="940" w:type="dxa"/>
            <w:vAlign w:val="bottom"/>
            <w:shd w:val="clear" w:color="auto" w:fill="CCEEFF"/>
          </w:tcPr>
          <w:p>
            <w:pPr>
              <w:ind w:left="100"/>
              <w:spacing w:after="0" w:line="127" w:lineRule="exact"/>
              <w:rPr>
                <w:sz w:val="20"/>
                <w:szCs w:val="20"/>
                <w:color w:val="auto"/>
              </w:rPr>
            </w:pPr>
            <w:r>
              <w:rPr>
                <w:rFonts w:ascii="Arial" w:cs="Arial" w:eastAsia="Arial" w:hAnsi="Arial"/>
                <w:sz w:val="12"/>
                <w:szCs w:val="12"/>
                <w:color w:val="auto"/>
              </w:rPr>
              <w:t>shares of</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r>
      <w:tr>
        <w:trPr>
          <w:trHeight w:val="132"/>
        </w:trPr>
        <w:tc>
          <w:tcPr>
            <w:tcW w:w="940" w:type="dxa"/>
            <w:vAlign w:val="bottom"/>
            <w:shd w:val="clear" w:color="auto" w:fill="CCEEFF"/>
          </w:tcPr>
          <w:p>
            <w:pPr>
              <w:ind w:left="100"/>
              <w:spacing w:after="0" w:line="133" w:lineRule="exact"/>
              <w:rPr>
                <w:sz w:val="20"/>
                <w:szCs w:val="20"/>
                <w:color w:val="auto"/>
              </w:rPr>
            </w:pPr>
            <w:r>
              <w:rPr>
                <w:rFonts w:ascii="Arial" w:cs="Arial" w:eastAsia="Arial" w:hAnsi="Arial"/>
                <w:sz w:val="12"/>
                <w:szCs w:val="12"/>
                <w:color w:val="auto"/>
              </w:rPr>
              <w:t>common stock</w:t>
            </w:r>
          </w:p>
        </w:tc>
        <w:tc>
          <w:tcPr>
            <w:tcW w:w="7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(4,093,995)</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w w:val="93"/>
              </w:rPr>
              <w:t>(87,702)</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817</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780" w:type="dxa"/>
            <w:vAlign w:val="bottom"/>
            <w:tcBorders>
              <w:right w:val="single" w:sz="8" w:color="auto"/>
            </w:tcBorders>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4,093,995</w:t>
            </w: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87,698</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(817)</w:t>
            </w: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8</w:t>
            </w:r>
          </w:p>
        </w:tc>
      </w:tr>
      <w:tr>
        <w:trPr>
          <w:trHeight w:val="121"/>
        </w:trPr>
        <w:tc>
          <w:tcPr>
            <w:tcW w:w="940" w:type="dxa"/>
            <w:vAlign w:val="bottom"/>
          </w:tcPr>
          <w:p>
            <w:pPr>
              <w:spacing w:after="0" w:line="121" w:lineRule="exact"/>
              <w:rPr>
                <w:sz w:val="20"/>
                <w:szCs w:val="20"/>
                <w:color w:val="auto"/>
              </w:rPr>
            </w:pPr>
            <w:r>
              <w:rPr>
                <w:rFonts w:ascii="Arial" w:cs="Arial" w:eastAsia="Arial" w:hAnsi="Arial"/>
                <w:sz w:val="12"/>
                <w:szCs w:val="12"/>
                <w:color w:val="auto"/>
              </w:rPr>
              <w:t>Reclassification</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27"/>
        </w:trPr>
        <w:tc>
          <w:tcPr>
            <w:tcW w:w="940" w:type="dxa"/>
            <w:vAlign w:val="bottom"/>
          </w:tcPr>
          <w:p>
            <w:pPr>
              <w:ind w:left="100"/>
              <w:spacing w:after="0" w:line="127" w:lineRule="exact"/>
              <w:rPr>
                <w:sz w:val="20"/>
                <w:szCs w:val="20"/>
                <w:color w:val="auto"/>
              </w:rPr>
            </w:pPr>
            <w:r>
              <w:rPr>
                <w:rFonts w:ascii="Arial" w:cs="Arial" w:eastAsia="Arial" w:hAnsi="Arial"/>
                <w:sz w:val="12"/>
                <w:szCs w:val="12"/>
                <w:color w:val="auto"/>
              </w:rPr>
              <w:t>of redeemable</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27"/>
        </w:trPr>
        <w:tc>
          <w:tcPr>
            <w:tcW w:w="940" w:type="dxa"/>
            <w:vAlign w:val="bottom"/>
          </w:tcPr>
          <w:p>
            <w:pPr>
              <w:ind w:left="100"/>
              <w:spacing w:after="0" w:line="127" w:lineRule="exact"/>
              <w:rPr>
                <w:sz w:val="20"/>
                <w:szCs w:val="20"/>
                <w:color w:val="auto"/>
              </w:rPr>
            </w:pPr>
            <w:r>
              <w:rPr>
                <w:rFonts w:ascii="Arial" w:cs="Arial" w:eastAsia="Arial" w:hAnsi="Arial"/>
                <w:sz w:val="12"/>
                <w:szCs w:val="12"/>
                <w:color w:val="auto"/>
              </w:rPr>
              <w:t>common stock</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27"/>
        </w:trPr>
        <w:tc>
          <w:tcPr>
            <w:tcW w:w="940" w:type="dxa"/>
            <w:vAlign w:val="bottom"/>
          </w:tcPr>
          <w:p>
            <w:pPr>
              <w:ind w:left="100"/>
              <w:spacing w:after="0" w:line="127" w:lineRule="exact"/>
              <w:rPr>
                <w:sz w:val="20"/>
                <w:szCs w:val="20"/>
                <w:color w:val="auto"/>
              </w:rPr>
            </w:pPr>
            <w:r>
              <w:rPr>
                <w:rFonts w:ascii="Arial" w:cs="Arial" w:eastAsia="Arial" w:hAnsi="Arial"/>
                <w:sz w:val="12"/>
                <w:szCs w:val="12"/>
                <w:color w:val="auto"/>
              </w:rPr>
              <w:t>options to</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27"/>
        </w:trPr>
        <w:tc>
          <w:tcPr>
            <w:tcW w:w="940" w:type="dxa"/>
            <w:vAlign w:val="bottom"/>
          </w:tcPr>
          <w:p>
            <w:pPr>
              <w:ind w:left="100"/>
              <w:spacing w:after="0" w:line="127" w:lineRule="exact"/>
              <w:rPr>
                <w:sz w:val="20"/>
                <w:szCs w:val="20"/>
                <w:color w:val="auto"/>
              </w:rPr>
            </w:pPr>
            <w:r>
              <w:rPr>
                <w:rFonts w:ascii="Arial" w:cs="Arial" w:eastAsia="Arial" w:hAnsi="Arial"/>
                <w:sz w:val="12"/>
                <w:szCs w:val="12"/>
                <w:color w:val="auto"/>
              </w:rPr>
              <w:t>common stock</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2"/>
        </w:trPr>
        <w:tc>
          <w:tcPr>
            <w:tcW w:w="940" w:type="dxa"/>
            <w:vAlign w:val="bottom"/>
          </w:tcPr>
          <w:p>
            <w:pPr>
              <w:ind w:left="100"/>
              <w:spacing w:after="0" w:line="133" w:lineRule="exact"/>
              <w:rPr>
                <w:sz w:val="20"/>
                <w:szCs w:val="20"/>
                <w:color w:val="auto"/>
              </w:rPr>
            </w:pPr>
            <w:r>
              <w:rPr>
                <w:rFonts w:ascii="Arial" w:cs="Arial" w:eastAsia="Arial" w:hAnsi="Arial"/>
                <w:sz w:val="12"/>
                <w:szCs w:val="12"/>
                <w:color w:val="auto"/>
              </w:rPr>
              <w:t>options</w:t>
            </w:r>
          </w:p>
        </w:tc>
        <w:tc>
          <w:tcPr>
            <w:tcW w:w="40" w:type="dxa"/>
            <w:vAlign w:val="bottom"/>
          </w:tcPr>
          <w:p>
            <w:pPr>
              <w:spacing w:after="0"/>
              <w:rPr>
                <w:sz w:val="11"/>
                <w:szCs w:val="11"/>
                <w:color w:val="auto"/>
              </w:rPr>
            </w:pPr>
          </w:p>
        </w:tc>
        <w:tc>
          <w:tcPr>
            <w:tcW w:w="68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8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92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80" w:type="dxa"/>
            <w:vAlign w:val="bottom"/>
          </w:tcPr>
          <w:p>
            <w:pPr>
              <w:jc w:val="right"/>
              <w:ind w:right="40"/>
              <w:spacing w:after="0" w:line="133" w:lineRule="exact"/>
              <w:rPr>
                <w:sz w:val="20"/>
                <w:szCs w:val="20"/>
                <w:color w:val="auto"/>
              </w:rPr>
            </w:pPr>
            <w:r>
              <w:rPr>
                <w:rFonts w:ascii="Arial" w:cs="Arial" w:eastAsia="Arial" w:hAnsi="Arial"/>
                <w:sz w:val="12"/>
                <w:szCs w:val="12"/>
                <w:color w:val="auto"/>
              </w:rPr>
              <w:t>(47,370)</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780" w:type="dxa"/>
            <w:vAlign w:val="bottom"/>
            <w:tcBorders>
              <w:right w:val="single" w:sz="8" w:color="auto"/>
            </w:tcBorders>
            <w:gridSpan w:val="2"/>
          </w:tcPr>
          <w:p>
            <w:pPr>
              <w:jc w:val="right"/>
              <w:ind w:right="220"/>
              <w:spacing w:after="0" w:line="133"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47,370</w:t>
            </w:r>
          </w:p>
        </w:tc>
        <w:tc>
          <w:tcPr>
            <w:tcW w:w="120" w:type="dxa"/>
            <w:vAlign w:val="bottom"/>
          </w:tcPr>
          <w:p>
            <w:pPr>
              <w:spacing w:after="0"/>
              <w:rPr>
                <w:sz w:val="11"/>
                <w:szCs w:val="11"/>
                <w:color w:val="auto"/>
              </w:rPr>
            </w:pPr>
          </w:p>
        </w:tc>
        <w:tc>
          <w:tcPr>
            <w:tcW w:w="62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92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68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340" w:type="dxa"/>
            <w:vAlign w:val="bottom"/>
          </w:tcPr>
          <w:p>
            <w:pPr>
              <w:jc w:val="right"/>
              <w:spacing w:after="0" w:line="133" w:lineRule="exact"/>
              <w:rPr>
                <w:sz w:val="20"/>
                <w:szCs w:val="20"/>
                <w:color w:val="auto"/>
              </w:rPr>
            </w:pPr>
            <w:r>
              <w:rPr>
                <w:rFonts w:ascii="Arial" w:cs="Arial" w:eastAsia="Arial" w:hAnsi="Arial"/>
                <w:sz w:val="12"/>
                <w:szCs w:val="12"/>
                <w:color w:val="auto"/>
              </w:rPr>
              <w:t>4</w:t>
            </w:r>
          </w:p>
        </w:tc>
      </w:tr>
      <w:tr>
        <w:trPr>
          <w:trHeight w:val="127"/>
        </w:trPr>
        <w:tc>
          <w:tcPr>
            <w:tcW w:w="94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Net loss</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780" w:type="dxa"/>
            <w:vAlign w:val="bottom"/>
            <w:tcBorders>
              <w:right w:val="single" w:sz="8" w:color="auto"/>
            </w:tcBorders>
            <w:gridSpan w:val="2"/>
            <w:shd w:val="clear" w:color="auto" w:fill="CCEEFF"/>
          </w:tcPr>
          <w:p>
            <w:pPr>
              <w:jc w:val="right"/>
              <w:ind w:right="220"/>
              <w:spacing w:after="0" w:line="12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(6,805)</w:t>
            </w: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r>
      <w:tr>
        <w:trPr>
          <w:trHeight w:val="20"/>
        </w:trPr>
        <w:tc>
          <w:tcPr>
            <w:tcW w:w="9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94"/>
        </w:trPr>
        <w:tc>
          <w:tcPr>
            <w:tcW w:w="94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Balance at</w:t>
            </w:r>
          </w:p>
        </w:tc>
        <w:tc>
          <w:tcPr>
            <w:tcW w:w="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20" w:type="dxa"/>
            <w:vAlign w:val="bottom"/>
            <w:tcBorders>
              <w:right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r>
      <w:tr>
        <w:trPr>
          <w:trHeight w:val="132"/>
        </w:trPr>
        <w:tc>
          <w:tcPr>
            <w:tcW w:w="940" w:type="dxa"/>
            <w:vAlign w:val="bottom"/>
            <w:shd w:val="clear" w:color="auto" w:fill="CCEEFF"/>
          </w:tcPr>
          <w:p>
            <w:pPr>
              <w:ind w:left="100"/>
              <w:spacing w:after="0" w:line="133" w:lineRule="exact"/>
              <w:rPr>
                <w:sz w:val="20"/>
                <w:szCs w:val="20"/>
                <w:color w:val="auto"/>
              </w:rPr>
            </w:pPr>
            <w:r>
              <w:rPr>
                <w:rFonts w:ascii="Arial" w:cs="Arial" w:eastAsia="Arial" w:hAnsi="Arial"/>
                <w:sz w:val="12"/>
                <w:szCs w:val="12"/>
                <w:color w:val="auto"/>
                <w:w w:val="98"/>
              </w:rPr>
              <w:t>March 31, 2021</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ind w:left="40"/>
              <w:spacing w:after="0" w:line="133" w:lineRule="exact"/>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9"/>
              </w:rPr>
              <w:t>14,376,272</w:t>
            </w: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$ 353,300</w:t>
            </w:r>
          </w:p>
        </w:tc>
        <w:tc>
          <w:tcPr>
            <w:tcW w:w="22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4,093,996</w:t>
            </w:r>
          </w:p>
        </w:tc>
        <w:tc>
          <w:tcPr>
            <w:tcW w:w="24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w:t>
            </w:r>
          </w:p>
        </w:tc>
        <w:tc>
          <w:tcPr>
            <w:tcW w:w="1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136,307</w:t>
            </w:r>
          </w:p>
        </w:tc>
        <w:tc>
          <w:tcPr>
            <w:tcW w:w="1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(817)</w:t>
            </w:r>
          </w:p>
        </w:tc>
        <w:tc>
          <w:tcPr>
            <w:tcW w:w="1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ind w:left="40"/>
              <w:spacing w:after="0" w:line="133"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(437,393)</w:t>
            </w:r>
          </w:p>
        </w:tc>
        <w:tc>
          <w:tcPr>
            <w:tcW w:w="260" w:type="dxa"/>
            <w:vAlign w:val="bottom"/>
            <w:shd w:val="clear" w:color="auto" w:fill="CCEEFF"/>
          </w:tcPr>
          <w:p>
            <w:pPr>
              <w:ind w:left="40"/>
              <w:spacing w:after="0" w:line="133"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(30</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See accompanying notes.</w:t>
      </w:r>
    </w:p>
    <w:p>
      <w:pPr>
        <w:spacing w:after="0" w:line="14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F-46</w:t>
      </w:r>
    </w:p>
    <w:p>
      <w:pPr>
        <w:sectPr>
          <w:pgSz w:w="11900" w:h="16838" w:orient="portrait"/>
          <w:cols w:equalWidth="0" w:num="1">
            <w:col w:w="11340"/>
          </w:cols>
          <w:pgMar w:left="320" w:top="441" w:right="239" w:bottom="1440" w:gutter="0" w:footer="0" w:header="0"/>
        </w:sectPr>
      </w:pPr>
    </w:p>
    <w:bookmarkStart w:id="272" w:name="page273"/>
    <w:bookmarkEnd w:id="2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RxSight, Inc.</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76835</wp:posOffset>
            </wp:positionV>
            <wp:extent cx="6569075" cy="158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7"/>
          </w:tcPr>
          <w:p>
            <w:pPr>
              <w:jc w:val="right"/>
              <w:ind w:right="10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7"/>
        </w:trPr>
        <w:tc>
          <w:tcPr>
            <w:tcW w:w="8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183"/>
        </w:trPr>
        <w:tc>
          <w:tcPr>
            <w:tcW w:w="83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834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36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(6,805)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(16,502)</w:t>
            </w:r>
          </w:p>
        </w:tc>
        <w:tc>
          <w:tcPr>
            <w:tcW w:w="0" w:type="dxa"/>
            <w:vAlign w:val="bottom"/>
          </w:tcPr>
          <w:p>
            <w:pPr>
              <w:spacing w:after="0"/>
              <w:rPr>
                <w:sz w:val="1"/>
                <w:szCs w:val="1"/>
                <w:color w:val="auto"/>
              </w:rPr>
            </w:pPr>
          </w:p>
        </w:tc>
      </w:tr>
      <w:tr>
        <w:trPr>
          <w:trHeight w:val="53"/>
        </w:trPr>
        <w:tc>
          <w:tcPr>
            <w:tcW w:w="836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958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right-of-use lease assets</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tcPr>
          <w:p>
            <w:pPr>
              <w:ind w:left="180"/>
              <w:spacing w:after="0"/>
              <w:rPr>
                <w:sz w:val="20"/>
                <w:szCs w:val="20"/>
                <w:color w:val="auto"/>
              </w:rPr>
            </w:pPr>
            <w:r>
              <w:rPr>
                <w:rFonts w:ascii="Arial" w:cs="Arial" w:eastAsia="Arial" w:hAnsi="Arial"/>
                <w:sz w:val="16"/>
                <w:szCs w:val="16"/>
                <w:color w:val="auto"/>
              </w:rPr>
              <w:t>Amortization of debt issuance costs and premium</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fair value of warrants</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tcPr>
          <w:p>
            <w:pPr>
              <w:ind w:left="180"/>
              <w:spacing w:after="0"/>
              <w:rPr>
                <w:sz w:val="20"/>
                <w:szCs w:val="20"/>
                <w:color w:val="auto"/>
              </w:rPr>
            </w:pPr>
            <w:r>
              <w:rPr>
                <w:rFonts w:ascii="Arial" w:cs="Arial" w:eastAsia="Arial" w:hAnsi="Arial"/>
                <w:sz w:val="16"/>
                <w:szCs w:val="16"/>
                <w:color w:val="auto"/>
              </w:rPr>
              <w:t>Gain on expiration of warrant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(5,018)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discount on short-term investments</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1,239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Provision for excess and obsolete inventory</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tcPr>
          <w:p>
            <w:pPr>
              <w:ind w:left="180"/>
              <w:spacing w:after="0"/>
              <w:rPr>
                <w:sz w:val="20"/>
                <w:szCs w:val="20"/>
                <w:color w:val="auto"/>
              </w:rPr>
            </w:pPr>
            <w:r>
              <w:rPr>
                <w:rFonts w:ascii="Arial" w:cs="Arial" w:eastAsia="Arial" w:hAnsi="Arial"/>
                <w:sz w:val="16"/>
                <w:szCs w:val="16"/>
                <w:color w:val="auto"/>
              </w:rPr>
              <w:t>Change in operating assets and liabilities:</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tcPr>
          <w:p>
            <w:pPr>
              <w:ind w:left="380"/>
              <w:spacing w:after="0"/>
              <w:rPr>
                <w:sz w:val="20"/>
                <w:szCs w:val="20"/>
                <w:color w:val="auto"/>
              </w:rPr>
            </w:pPr>
            <w:r>
              <w:rPr>
                <w:rFonts w:ascii="Arial" w:cs="Arial" w:eastAsia="Arial" w:hAnsi="Arial"/>
                <w:sz w:val="16"/>
                <w:szCs w:val="16"/>
                <w:color w:val="auto"/>
              </w:rPr>
              <w:t>Inventories, net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(1,465)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(1,587)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Prepaid and other assets</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721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Accrued expenses and other liabilities</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340" w:type="dxa"/>
            <w:vAlign w:val="bottom"/>
          </w:tcPr>
          <w:p>
            <w:pPr>
              <w:ind w:left="580"/>
              <w:spacing w:after="0"/>
              <w:rPr>
                <w:sz w:val="20"/>
                <w:szCs w:val="20"/>
                <w:color w:val="auto"/>
              </w:rPr>
            </w:pPr>
            <w:r>
              <w:rPr>
                <w:rFonts w:ascii="Arial" w:cs="Arial" w:eastAsia="Arial" w:hAnsi="Arial"/>
                <w:sz w:val="16"/>
                <w:szCs w:val="16"/>
                <w:color w:val="auto"/>
              </w:rPr>
              <w:t>Net cash used in operating activities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(10,252)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(12,218)</w:t>
            </w: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5"/>
                <w:szCs w:val="5"/>
                <w:color w:val="auto"/>
              </w:rPr>
            </w:pPr>
          </w:p>
        </w:tc>
        <w:tc>
          <w:tcPr>
            <w:tcW w:w="8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360" w:type="dxa"/>
            <w:vAlign w:val="bottom"/>
            <w:gridSpan w:val="2"/>
          </w:tcPr>
          <w:p>
            <w:pPr>
              <w:spacing w:after="0"/>
              <w:rPr>
                <w:sz w:val="20"/>
                <w:szCs w:val="20"/>
                <w:color w:val="auto"/>
              </w:rPr>
            </w:pPr>
            <w:r>
              <w:rPr>
                <w:rFonts w:ascii="Arial" w:cs="Arial" w:eastAsia="Arial" w:hAnsi="Arial"/>
                <w:sz w:val="16"/>
                <w:szCs w:val="16"/>
                <w:color w:val="auto"/>
              </w:rPr>
              <w:t>Purchases of property and equipment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(498)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6"/>
                <w:szCs w:val="16"/>
                <w:color w:val="auto"/>
              </w:rPr>
              <w:t>Maturity of short-term investments</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360" w:type="dxa"/>
            <w:vAlign w:val="bottom"/>
            <w:gridSpan w:val="2"/>
          </w:tcPr>
          <w:p>
            <w:pPr>
              <w:spacing w:after="0"/>
              <w:rPr>
                <w:sz w:val="20"/>
                <w:szCs w:val="20"/>
                <w:color w:val="auto"/>
              </w:rPr>
            </w:pPr>
            <w:r>
              <w:rPr>
                <w:rFonts w:ascii="Arial" w:cs="Arial" w:eastAsia="Arial" w:hAnsi="Arial"/>
                <w:sz w:val="16"/>
                <w:szCs w:val="16"/>
                <w:color w:val="auto"/>
              </w:rPr>
              <w:t>Purchase of short-term investments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(4,999)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(9,927)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Net cash provided by investing activities</w:t>
            </w:r>
          </w:p>
        </w:tc>
        <w:tc>
          <w:tcPr>
            <w:tcW w:w="24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14,503</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24,225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8360" w:type="dxa"/>
            <w:vAlign w:val="bottom"/>
            <w:gridSpan w:val="2"/>
          </w:tcPr>
          <w:p>
            <w:pPr>
              <w:spacing w:after="0"/>
              <w:rPr>
                <w:sz w:val="20"/>
                <w:szCs w:val="20"/>
                <w:color w:val="auto"/>
              </w:rPr>
            </w:pPr>
            <w:r>
              <w:rPr>
                <w:rFonts w:ascii="Arial" w:cs="Arial" w:eastAsia="Arial" w:hAnsi="Arial"/>
                <w:sz w:val="16"/>
                <w:szCs w:val="16"/>
                <w:b w:val="1"/>
                <w:bCs w:val="1"/>
                <w:color w:val="auto"/>
              </w:rPr>
              <w:t>Financing Activities:</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term loan</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8360" w:type="dxa"/>
            <w:vAlign w:val="bottom"/>
            <w:gridSpan w:val="2"/>
          </w:tcPr>
          <w:p>
            <w:pPr>
              <w:spacing w:after="0"/>
              <w:rPr>
                <w:sz w:val="20"/>
                <w:szCs w:val="20"/>
                <w:color w:val="auto"/>
              </w:rPr>
            </w:pPr>
            <w:r>
              <w:rPr>
                <w:rFonts w:ascii="Arial" w:cs="Arial" w:eastAsia="Arial" w:hAnsi="Arial"/>
                <w:sz w:val="16"/>
                <w:szCs w:val="16"/>
                <w:color w:val="auto"/>
              </w:rPr>
              <w:t>Payments of debt issuance costs</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(40)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6"/>
                <w:szCs w:val="16"/>
                <w:color w:val="auto"/>
              </w:rPr>
              <w:t>Principal payments on finance lease liabilities</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90"/>
        </w:trPr>
        <w:tc>
          <w:tcPr>
            <w:tcW w:w="8360" w:type="dxa"/>
            <w:vAlign w:val="bottom"/>
            <w:gridSpan w:val="2"/>
          </w:tcPr>
          <w:p>
            <w:pPr>
              <w:spacing w:after="0"/>
              <w:rPr>
                <w:sz w:val="20"/>
                <w:szCs w:val="20"/>
                <w:color w:val="auto"/>
              </w:rPr>
            </w:pPr>
            <w:r>
              <w:rPr>
                <w:rFonts w:ascii="Arial" w:cs="Arial" w:eastAsia="Arial" w:hAnsi="Arial"/>
                <w:sz w:val="16"/>
                <w:szCs w:val="16"/>
                <w:color w:val="auto"/>
              </w:rPr>
              <w:t>Notes receivable for common stock issued</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exercise of stock options</w:t>
            </w:r>
          </w:p>
        </w:tc>
        <w:tc>
          <w:tcPr>
            <w:tcW w:w="2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40" w:type="dxa"/>
            <w:vAlign w:val="bottom"/>
          </w:tcPr>
          <w:p>
            <w:pPr>
              <w:ind w:left="580"/>
              <w:spacing w:after="0"/>
              <w:rPr>
                <w:sz w:val="20"/>
                <w:szCs w:val="20"/>
                <w:color w:val="auto"/>
              </w:rPr>
            </w:pPr>
            <w:r>
              <w:rPr>
                <w:rFonts w:ascii="Arial" w:cs="Arial" w:eastAsia="Arial" w:hAnsi="Arial"/>
                <w:sz w:val="16"/>
                <w:szCs w:val="16"/>
                <w:color w:val="auto"/>
              </w:rPr>
              <w:t>Net cash provided by financing activities</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Effect of foreign exchange rate on cash, cash equivalents and restricted cash</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40" w:type="dxa"/>
            <w:vAlign w:val="bottom"/>
          </w:tcPr>
          <w:p>
            <w:pPr>
              <w:ind w:left="580"/>
              <w:spacing w:after="0"/>
              <w:rPr>
                <w:sz w:val="20"/>
                <w:szCs w:val="20"/>
                <w:color w:val="auto"/>
              </w:rPr>
            </w:pPr>
            <w:r>
              <w:rPr>
                <w:rFonts w:ascii="Arial" w:cs="Arial" w:eastAsia="Arial" w:hAnsi="Arial"/>
                <w:sz w:val="16"/>
                <w:szCs w:val="16"/>
                <w:color w:val="auto"/>
              </w:rPr>
              <w:t>Net increase in cash, cash equivalents and restricted cash</w:t>
            </w: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10,391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cash equivalents and restricted cash—beginning of period</w:t>
            </w:r>
          </w:p>
        </w:tc>
        <w:tc>
          <w:tcPr>
            <w:tcW w:w="2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14,455</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360" w:type="dxa"/>
            <w:vAlign w:val="bottom"/>
            <w:gridSpan w:val="2"/>
          </w:tcPr>
          <w:p>
            <w:pPr>
              <w:spacing w:after="0"/>
              <w:rPr>
                <w:sz w:val="20"/>
                <w:szCs w:val="20"/>
                <w:color w:val="auto"/>
              </w:rPr>
            </w:pPr>
            <w:r>
              <w:rPr>
                <w:rFonts w:ascii="Arial" w:cs="Arial" w:eastAsia="Arial" w:hAnsi="Arial"/>
                <w:sz w:val="16"/>
                <w:szCs w:val="16"/>
                <w:b w:val="1"/>
                <w:bCs w:val="1"/>
                <w:color w:val="auto"/>
              </w:rPr>
              <w:t>Cash, cash equivalents and restricted cash—end of period</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24,846</w:t>
            </w:r>
          </w:p>
        </w:tc>
        <w:tc>
          <w:tcPr>
            <w:tcW w:w="1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20,911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vMerge w:val="restart"/>
          </w:tcPr>
          <w:p>
            <w:pPr>
              <w:spacing w:after="0"/>
              <w:rPr>
                <w:sz w:val="4"/>
                <w:szCs w:val="4"/>
                <w:color w:val="auto"/>
              </w:rPr>
            </w:pPr>
          </w:p>
        </w:tc>
        <w:tc>
          <w:tcPr>
            <w:tcW w:w="8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tcPr>
          <w:p>
            <w:pPr>
              <w:ind w:left="18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Operating cash flows from operating leases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tcPr>
          <w:p>
            <w:pPr>
              <w:ind w:left="180"/>
              <w:spacing w:after="0"/>
              <w:rPr>
                <w:sz w:val="20"/>
                <w:szCs w:val="20"/>
                <w:color w:val="auto"/>
              </w:rPr>
            </w:pPr>
            <w:r>
              <w:rPr>
                <w:rFonts w:ascii="Arial" w:cs="Arial" w:eastAsia="Arial" w:hAnsi="Arial"/>
                <w:sz w:val="16"/>
                <w:szCs w:val="16"/>
                <w:color w:val="auto"/>
              </w:rPr>
              <w:t>Cash paid for income taxes</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paid for interest on financing leases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340" w:type="dxa"/>
            <w:vAlign w:val="bottom"/>
          </w:tcPr>
          <w:p>
            <w:pPr>
              <w:ind w:left="180"/>
              <w:spacing w:after="0"/>
              <w:rPr>
                <w:sz w:val="20"/>
                <w:szCs w:val="20"/>
                <w:color w:val="auto"/>
              </w:rPr>
            </w:pPr>
            <w:r>
              <w:rPr>
                <w:rFonts w:ascii="Arial" w:cs="Arial" w:eastAsia="Arial" w:hAnsi="Arial"/>
                <w:sz w:val="16"/>
                <w:szCs w:val="16"/>
                <w:color w:val="auto"/>
              </w:rPr>
              <w:t>Cash paid for interest on term loan</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582</w:t>
            </w:r>
          </w:p>
        </w:tc>
        <w:tc>
          <w:tcPr>
            <w:tcW w:w="1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8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340" w:type="dxa"/>
            <w:vAlign w:val="bottom"/>
          </w:tcPr>
          <w:p>
            <w:pPr>
              <w:ind w:left="180"/>
              <w:spacing w:after="0"/>
              <w:rPr>
                <w:sz w:val="20"/>
                <w:szCs w:val="20"/>
                <w:color w:val="auto"/>
              </w:rPr>
            </w:pPr>
            <w:r>
              <w:rPr>
                <w:rFonts w:ascii="Arial" w:cs="Arial" w:eastAsia="Arial" w:hAnsi="Arial"/>
                <w:sz w:val="16"/>
                <w:szCs w:val="16"/>
                <w:color w:val="auto"/>
              </w:rPr>
              <w:t>Acquisition of property and equipment included in accounts payable and accrued expenses and other current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340" w:type="dxa"/>
            <w:vAlign w:val="bottom"/>
          </w:tcPr>
          <w:p>
            <w:pPr>
              <w:ind w:left="380"/>
              <w:spacing w:after="0"/>
              <w:rPr>
                <w:sz w:val="20"/>
                <w:szCs w:val="20"/>
                <w:color w:val="auto"/>
              </w:rPr>
            </w:pPr>
            <w:r>
              <w:rPr>
                <w:rFonts w:ascii="Arial" w:cs="Arial" w:eastAsia="Arial" w:hAnsi="Arial"/>
                <w:sz w:val="16"/>
                <w:szCs w:val="16"/>
                <w:color w:val="auto"/>
              </w:rPr>
              <w:t>liabilities</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Payment-in-kind interest income added to principal of notes receivable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tcPr>
          <w:p>
            <w:pPr>
              <w:ind w:left="180"/>
              <w:spacing w:after="0"/>
              <w:rPr>
                <w:sz w:val="20"/>
                <w:szCs w:val="20"/>
                <w:color w:val="auto"/>
              </w:rPr>
            </w:pPr>
            <w:r>
              <w:rPr>
                <w:rFonts w:ascii="Arial" w:cs="Arial" w:eastAsia="Arial" w:hAnsi="Arial"/>
                <w:sz w:val="16"/>
                <w:szCs w:val="16"/>
                <w:color w:val="auto"/>
              </w:rPr>
              <w:t>Reclassification of 4,093,995 shares of redeemable common stock to 4,093,995 shares of common stock</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87,702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Reclassification of redeemable common stock options to common stock options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47,370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See accompanying notes.</w:t>
      </w:r>
    </w:p>
    <w:p>
      <w:pPr>
        <w:spacing w:after="0" w:line="145"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10800"/>
          </w:cols>
          <w:pgMar w:left="320" w:top="441" w:right="779" w:bottom="1440" w:gutter="0" w:footer="0" w:header="0"/>
        </w:sectPr>
      </w:pPr>
    </w:p>
    <w:bookmarkStart w:id="273" w:name="page274"/>
    <w:bookmarkEnd w:id="2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1—Organization and Basis of Presentation</w:t>
      </w:r>
    </w:p>
    <w:p>
      <w:pPr>
        <w:spacing w:after="0" w:line="133"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RxSight</w:t>
      </w:r>
      <w:r>
        <w:rPr>
          <w:rFonts w:ascii="Arial" w:cs="Arial" w:eastAsia="Arial" w:hAnsi="Arial"/>
          <w:sz w:val="10"/>
          <w:szCs w:val="10"/>
          <w:color w:val="auto"/>
        </w:rPr>
        <w:t>TM</w:t>
      </w:r>
      <w:r>
        <w:rPr>
          <w:rFonts w:ascii="Arial" w:cs="Arial" w:eastAsia="Arial" w:hAnsi="Arial"/>
          <w:sz w:val="16"/>
          <w:szCs w:val="16"/>
          <w:color w:val="auto"/>
        </w:rPr>
        <w:t>, Inc. (the “Company”) is a California corporation headquartered in Aliso Viejo, California and has two wholly owned subsidiaries. One subsidiary is located in Amsterdam, Netherlands, with registered branches in the United Kingdom and Ireland (closed in 2020). The Netherlands entity also has a wholly owned subsidiary in Germany. A second subsidiary, closed in 2020, was located in Tijuana, Mexico. The Company is engaged in the research and development, manufacture and sale of light adjustable intraocular lenses used in cataract surgery along with capital equipment used with the lenses. The Company’s products, which include the light adjustable lens (“LAL”</w:t>
      </w:r>
      <w:r>
        <w:rPr>
          <w:rFonts w:ascii="Arial" w:cs="Arial" w:eastAsia="Arial" w:hAnsi="Arial"/>
          <w:sz w:val="10"/>
          <w:szCs w:val="10"/>
          <w:color w:val="auto"/>
        </w:rPr>
        <w:t>®</w:t>
      </w:r>
      <w:r>
        <w:rPr>
          <w:rFonts w:ascii="Arial" w:cs="Arial" w:eastAsia="Arial" w:hAnsi="Arial"/>
          <w:sz w:val="16"/>
          <w:szCs w:val="16"/>
          <w:color w:val="auto"/>
        </w:rPr>
        <w:t xml:space="preserve"> or “RxLAL”</w:t>
      </w:r>
      <w:r>
        <w:rPr>
          <w:rFonts w:ascii="Arial" w:cs="Arial" w:eastAsia="Arial" w:hAnsi="Arial"/>
          <w:sz w:val="10"/>
          <w:szCs w:val="10"/>
          <w:color w:val="auto"/>
        </w:rPr>
        <w:t>®</w:t>
      </w:r>
      <w:r>
        <w:rPr>
          <w:rFonts w:ascii="Arial" w:cs="Arial" w:eastAsia="Arial" w:hAnsi="Arial"/>
          <w:sz w:val="16"/>
          <w:szCs w:val="16"/>
          <w:color w:val="auto"/>
        </w:rPr>
        <w:t>) and a specially designed machine for delivering light to the eye, the Light Delivery Device (“LDD”), are approved by the United States (“U.S.”) Food and Drug Administration (“FDA”) for sale in the U.S. and have regulatory approval in the U.S and Europe. The Company began marketing its products in the U.S. during the second quarter of 2019 and in Europe during the third quarter of 2019. The RxLAL is a premium intraocular lens (“IOL”) which is partially reimbursable under Medicare. The Company competes with other IOLs in the premium market in the U.S. and Europe.</w:t>
      </w:r>
    </w:p>
    <w:p>
      <w:pPr>
        <w:spacing w:after="0" w:line="278" w:lineRule="exact"/>
        <w:rPr>
          <w:sz w:val="20"/>
          <w:szCs w:val="20"/>
          <w:color w:val="auto"/>
        </w:rPr>
      </w:pPr>
    </w:p>
    <w:p>
      <w:pPr>
        <w:ind w:left="460" w:right="80"/>
        <w:spacing w:after="0" w:line="256" w:lineRule="auto"/>
        <w:rPr>
          <w:sz w:val="20"/>
          <w:szCs w:val="20"/>
          <w:color w:val="auto"/>
        </w:rPr>
      </w:pPr>
      <w:r>
        <w:rPr>
          <w:rFonts w:ascii="Arial" w:cs="Arial" w:eastAsia="Arial" w:hAnsi="Arial"/>
          <w:sz w:val="16"/>
          <w:szCs w:val="16"/>
          <w:color w:val="auto"/>
        </w:rPr>
        <w:t>The accompanying financial statements include the accounts of RxSight, Inc. and its wholly owned subsidiaries, RxSight, B.V., located in the Netherlands, RxSight GmbH, located in Germany, and RxSight S de R.L. de C.V., located in Mexico. All significant inter-company balances and transactions have been eliminated in consolidation.</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financial statements have been prepared in accordance with United States generally accepted accounting principles, or U.S.</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GAAP.</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Liquidity and financial position</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2021, the Company has cash, cash equivalents and short-term investments of $64.4 million.</w:t>
      </w:r>
    </w:p>
    <w:p>
      <w:pPr>
        <w:spacing w:after="0" w:line="108"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The Company began generating revenue from its principal operations in 2019. The Company has a limited operating history, and the revenue and income potential of the Company’s business and market are unproven. The Company has experienced recurring net losses and negative cash flows from operating activities since its inception. For the three months ended March 31, 2021 and 2020, the Company incurred losses from operations of $11.1 million and $9.4 million, respectively. Due to the Company’s continuing research and development activities, the Company expects to continue to incur net operating losses into the foreseeable future. Successful transition to attaining profitable operations is dependent upon gaining market acceptance of the Company’s products and achieving a level of revenues adequate to support the Company’s cost structure.</w:t>
      </w:r>
    </w:p>
    <w:p>
      <w:pPr>
        <w:spacing w:after="0" w:line="91" w:lineRule="exact"/>
        <w:rPr>
          <w:sz w:val="20"/>
          <w:szCs w:val="20"/>
          <w:color w:val="auto"/>
        </w:rPr>
      </w:pPr>
    </w:p>
    <w:p>
      <w:pPr>
        <w:ind w:left="460" w:right="20"/>
        <w:spacing w:after="0" w:line="249" w:lineRule="auto"/>
        <w:rPr>
          <w:sz w:val="20"/>
          <w:szCs w:val="20"/>
          <w:color w:val="auto"/>
        </w:rPr>
      </w:pPr>
      <w:r>
        <w:rPr>
          <w:rFonts w:ascii="Arial" w:cs="Arial" w:eastAsia="Arial" w:hAnsi="Arial"/>
          <w:sz w:val="16"/>
          <w:szCs w:val="16"/>
          <w:color w:val="auto"/>
        </w:rPr>
        <w:t>The Company plans to continue to fund its losses from operations using its cash, cash equivalents and short-term investments as of March 31, 2021 and meet its capital funding needs through equity or debt financings, other third-party funding, collaborations, strategic alliances and licensing arrangements or a combination of these. If the Company raises additional funds by issuing equity securities, its stockholders may experience dilution. Any future debt financing into which the Company enters may impose additional covenants that restrict operations, including limitations on its ability to incur liens or additional debt, pay dividends, repurchase common stock, make certain investments or engage in certain merger, consolidation or asset sale transactions. Any debt financing or additional equity raise may contain terms that are not favorable to the Company or its stockholders. If the Company is required to enter into collaborations and other arrangements to address its liquidity needs, it may have to give up certain rights that limit its ability to develop and commercialize product candidates or may have other terms that are not favorable to the Company or its stockholders, which could materially and adversely affect its business and financial prospects. There can be no assurance that the Company will be able to obtain additional financing on acceptable terms, or at all. If the Company is not able to secure adequate additional funding, the Company may be forced to make reductions in</w:t>
      </w:r>
    </w:p>
    <w:p>
      <w:pPr>
        <w:spacing w:after="0" w:line="132"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F-48</w:t>
      </w:r>
    </w:p>
    <w:p>
      <w:pPr>
        <w:sectPr>
          <w:pgSz w:w="11900" w:h="16838" w:orient="portrait"/>
          <w:cols w:equalWidth="0" w:num="1">
            <w:col w:w="10740"/>
          </w:cols>
          <w:pgMar w:left="320" w:top="441" w:right="839" w:bottom="1440" w:gutter="0" w:footer="0" w:header="0"/>
        </w:sectPr>
      </w:pPr>
    </w:p>
    <w:bookmarkStart w:id="274" w:name="page275"/>
    <w:bookmarkEnd w:id="2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60"/>
        <w:spacing w:after="0" w:line="265" w:lineRule="auto"/>
        <w:rPr>
          <w:sz w:val="20"/>
          <w:szCs w:val="20"/>
          <w:color w:val="auto"/>
        </w:rPr>
      </w:pPr>
      <w:r>
        <w:rPr>
          <w:rFonts w:ascii="Arial" w:cs="Arial" w:eastAsia="Arial" w:hAnsi="Arial"/>
          <w:sz w:val="16"/>
          <w:szCs w:val="16"/>
          <w:color w:val="auto"/>
        </w:rPr>
        <w:t>spending, extend payment terms with suppliers, liquidate assets where possible and/or suspend or curtail planned programs. Any of these actions could materially harm the Company’s business, results of operations and future prospects.</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Unaudited interim financial statements</w:t>
      </w:r>
    </w:p>
    <w:p>
      <w:pPr>
        <w:spacing w:after="0" w:line="128"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The interim condensed consolidated balance sheet as of March 31, 2021, and the interim condensed consolidated statements of operations and comprehensive loss, redeemable common stock, stock options, convertible preferred stock and stockholders’ deficit and cash flows for the three months ended March 31, 2021 and 2020 are unaudited. These unaudited interim condensed consolidated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financial data and the other financial information disclosed in these notes to the condensed consolidated financial statements related to the three-month periods are also unaudited. The condensed consolidated results of operations for the three months ended March 31, 2021 are not necessarily indicative of the results to be expected for the year ending December 31, 2021 or for any other future annual or interim period. The condensed consolidated balance sheet as of December 31, 2020 included herein was derived from the audited financial statements as of that date. Certain information and footnote disclosures normally included in annual financial statements prepared in accordance with U.S. GAAP have been condensed consolidated or omitted. Therefore, these interim condensed consolidated financial statements should be read in conjunction with the Company’s audited financial statements included elsewhere in this prospectus.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COVID-19</w:t>
      </w:r>
    </w:p>
    <w:p>
      <w:pPr>
        <w:spacing w:after="0" w:line="128" w:lineRule="exact"/>
        <w:rPr>
          <w:sz w:val="20"/>
          <w:szCs w:val="20"/>
          <w:color w:val="auto"/>
        </w:rPr>
      </w:pPr>
    </w:p>
    <w:p>
      <w:pPr>
        <w:ind w:left="460" w:right="80"/>
        <w:spacing w:after="0" w:line="250" w:lineRule="auto"/>
        <w:rPr>
          <w:sz w:val="20"/>
          <w:szCs w:val="20"/>
          <w:color w:val="auto"/>
        </w:rPr>
      </w:pPr>
      <w:r>
        <w:rPr>
          <w:rFonts w:ascii="Arial" w:cs="Arial" w:eastAsia="Arial" w:hAnsi="Arial"/>
          <w:sz w:val="16"/>
          <w:szCs w:val="16"/>
          <w:color w:val="auto"/>
        </w:rPr>
        <w:t>The Company has been actively monitoring the novel coronavirus, or COVID-19, situation and its impact. In response to the pandemic, numerous state and local jurisdictions imposed “shelter-in-place” orders, quarantines and other restrictions. Starting in March 2020 in the United States, governmental authorities recommended, and in certain cases required, that elective, specialty and other procedures and appointments be suspended or canceled. Similarly, in March 2020, the governor of California, where the Company’s headquarters is located, issued “stay at home” orders limiting non-essential activities, travel and business operations. Such orders or restrictions resulted in reduced operations at the Company’s headquarters, slowdowns and delays, travel restrictions and cancellation of events. These orders and restrictions significantly decreased the number of procedures performed using the Company’s products during March and April 2020.</w:t>
      </w:r>
    </w:p>
    <w:p>
      <w:pPr>
        <w:spacing w:after="0" w:line="91"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In response to the impact of COVID-19, the Company implemented a variety of measures to help manage through the impact and position it to resume operations quickly and efficiently once these restrictions were lifted. These measures included: remote work as needed, suspension of non-essential travel, restrictions on in-person work-related meetings, the wearing of personal protective equipment, social distancing, increased facility cleaning and air purification in all of the Company’s buildings and daily health monitoring of all Company employees to prevent or contain COVID-19 exposure. In addition, the Company took steps to preserve liquidity, reduce expenses and monitor operations to mitigate the impact on its current and future financial condition. The impact of COVID-19 continues to change and cannot be predicted. As a result, the Company expects the pandemic could continue to negatively impact its business, financial condition and results of operations.</w:t>
      </w:r>
    </w:p>
    <w:p>
      <w:pPr>
        <w:spacing w:after="0" w:line="350"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2—Summary of accounting policies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28" w:lineRule="exact"/>
        <w:rPr>
          <w:sz w:val="20"/>
          <w:szCs w:val="20"/>
          <w:color w:val="auto"/>
        </w:rPr>
      </w:pPr>
    </w:p>
    <w:p>
      <w:pPr>
        <w:ind w:left="460" w:right="100"/>
        <w:spacing w:after="0" w:line="265"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informed estimates, judgments and assumptions that affect the reported amounts in the consolidated financial</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F-49</w:t>
      </w:r>
    </w:p>
    <w:p>
      <w:pPr>
        <w:sectPr>
          <w:pgSz w:w="11900" w:h="16838" w:orient="portrait"/>
          <w:cols w:equalWidth="0" w:num="1">
            <w:col w:w="10760"/>
          </w:cols>
          <w:pgMar w:left="320" w:top="440" w:right="819" w:bottom="1440" w:gutter="0" w:footer="0" w:header="0"/>
        </w:sectPr>
      </w:pPr>
    </w:p>
    <w:bookmarkStart w:id="275" w:name="page276"/>
    <w:bookmarkEnd w:id="2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0"/>
        <w:spacing w:after="0" w:line="251" w:lineRule="auto"/>
        <w:rPr>
          <w:sz w:val="20"/>
          <w:szCs w:val="20"/>
          <w:color w:val="auto"/>
        </w:rPr>
      </w:pPr>
      <w:r>
        <w:rPr>
          <w:rFonts w:ascii="Arial" w:cs="Arial" w:eastAsia="Arial" w:hAnsi="Arial"/>
          <w:sz w:val="16"/>
          <w:szCs w:val="16"/>
          <w:color w:val="auto"/>
        </w:rPr>
        <w:t>statements and disclosures in the accompanying notes as of the date of the accompanying consolidated financial statements. On an on-going basis, management evaluates the most critical estimates and assumptions for continued reasonableness. In particular, management makes estimates with respect to revenue recognition; valuation of the Company’s common stock, warrants and other equity awards; estimated timing of redemption of equity instruments, the realization of income tax assets and estimates of tax liabilities, and obsolete and slow-moving inventory. Actual results may differ materially from the estimates used in the preparation of the accompanying consolidated financial statements under different assumptions or conditions.</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Significant accounting policies</w:t>
      </w:r>
    </w:p>
    <w:p>
      <w:pPr>
        <w:spacing w:after="0" w:line="128" w:lineRule="exact"/>
        <w:rPr>
          <w:sz w:val="20"/>
          <w:szCs w:val="20"/>
          <w:color w:val="auto"/>
        </w:rPr>
      </w:pPr>
    </w:p>
    <w:p>
      <w:pPr>
        <w:ind w:left="460"/>
        <w:spacing w:after="0" w:line="256" w:lineRule="auto"/>
        <w:rPr>
          <w:sz w:val="20"/>
          <w:szCs w:val="20"/>
          <w:color w:val="auto"/>
        </w:rPr>
      </w:pPr>
      <w:r>
        <w:rPr>
          <w:rFonts w:ascii="Arial" w:cs="Arial" w:eastAsia="Arial" w:hAnsi="Arial"/>
          <w:sz w:val="16"/>
          <w:szCs w:val="16"/>
          <w:color w:val="auto"/>
        </w:rPr>
        <w:t>There have been no significant changes to the accounting policies during the three months ended March 31, 2021 as compared to the significant accounting policies described in Note 2 of the “Notes to Consolidated Financial Statements” in the Company’s audited consolidated financial statements included in the audited financial statements included elsewhere in this prospectus.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Cash equivalents</w:t>
      </w:r>
    </w:p>
    <w:p>
      <w:pPr>
        <w:spacing w:after="0" w:line="128" w:lineRule="exact"/>
        <w:rPr>
          <w:sz w:val="20"/>
          <w:szCs w:val="20"/>
          <w:color w:val="auto"/>
        </w:rPr>
      </w:pPr>
    </w:p>
    <w:p>
      <w:pPr>
        <w:jc w:val="both"/>
        <w:ind w:left="460" w:right="600"/>
        <w:spacing w:after="0" w:line="265" w:lineRule="auto"/>
        <w:rPr>
          <w:sz w:val="20"/>
          <w:szCs w:val="20"/>
          <w:color w:val="auto"/>
        </w:rPr>
      </w:pPr>
      <w:r>
        <w:rPr>
          <w:rFonts w:ascii="Arial" w:cs="Arial" w:eastAsia="Arial" w:hAnsi="Arial"/>
          <w:sz w:val="16"/>
          <w:szCs w:val="16"/>
          <w:color w:val="auto"/>
        </w:rPr>
        <w:t>Cash equivalents consist of investments in money market accounts. The Company considers all highly liquid investments with original maturities of three months or less at the date of purchase that can be liquidated without prior notice or penalty to be cash equivalents.</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Short-term investments</w:t>
      </w:r>
    </w:p>
    <w:p>
      <w:pPr>
        <w:spacing w:after="0" w:line="128" w:lineRule="exact"/>
        <w:rPr>
          <w:sz w:val="20"/>
          <w:szCs w:val="20"/>
          <w:color w:val="auto"/>
        </w:rPr>
      </w:pPr>
    </w:p>
    <w:p>
      <w:pPr>
        <w:ind w:left="460" w:right="60"/>
        <w:spacing w:after="0" w:line="249" w:lineRule="auto"/>
        <w:rPr>
          <w:sz w:val="20"/>
          <w:szCs w:val="20"/>
          <w:color w:val="auto"/>
        </w:rPr>
      </w:pPr>
      <w:r>
        <w:rPr>
          <w:rFonts w:ascii="Arial" w:cs="Arial" w:eastAsia="Arial" w:hAnsi="Arial"/>
          <w:sz w:val="16"/>
          <w:szCs w:val="16"/>
          <w:color w:val="auto"/>
        </w:rPr>
        <w:t>Short-term investments are classified based on the maturity date of the related securities. Based on the nature of the assets, the Company’s short-term investments, which are government securities, are classified as available-for-sale and are recorded at their estimated fair value as determined by prices for identical or similar securities at the balance sheet date. The Company’s short-term investments consist of Level 1 and Level 2 financial instruments in the fair value hierarchy. Unrealized gains and losses are recorded as a component of other comprehensive loss within stockholders’ deficit on the consolidated balance sheets. Realized gains and losses are included as other income (expense) in the accompanying consolidated statements of operations and comprehensive income. The cost basis for realized gains and losses on available-for-sale securities is determined on a specific identification basis. Management determines the appropriate classification of its investments at the time of purchase and reevaluates such determination at each balance sheet date. The Company periodically reviews its investments for unrealized losses other than credit losses and whenever events or changes in circumstances indicate that the carrying value of an asset may not be recoverable. In determining whether the carrying value is recoverable, management considers the following factors:</w:t>
      </w:r>
    </w:p>
    <w:p>
      <w:pPr>
        <w:spacing w:after="0" w:line="297" w:lineRule="exact"/>
        <w:rPr>
          <w:sz w:val="20"/>
          <w:szCs w:val="20"/>
          <w:color w:val="auto"/>
        </w:rPr>
      </w:pPr>
    </w:p>
    <w:p>
      <w:pPr>
        <w:ind w:left="660" w:hanging="209"/>
        <w:spacing w:after="0"/>
        <w:tabs>
          <w:tab w:leader="none" w:pos="6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whether the investment has been in a continuous realized loss position for over 12 months;</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duration to maturity of investments;</w:t>
      </w:r>
    </w:p>
    <w:p>
      <w:pPr>
        <w:spacing w:after="0" w:line="120" w:lineRule="exact"/>
        <w:rPr>
          <w:rFonts w:ascii="Arial" w:cs="Arial" w:eastAsia="Arial" w:hAnsi="Arial"/>
          <w:sz w:val="16"/>
          <w:szCs w:val="16"/>
          <w:color w:val="auto"/>
        </w:rPr>
      </w:pPr>
    </w:p>
    <w:p>
      <w:pPr>
        <w:ind w:left="660" w:right="420" w:hanging="209"/>
        <w:spacing w:after="0" w:line="265" w:lineRule="auto"/>
        <w:tabs>
          <w:tab w:leader="none" w:pos="6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intention and ability to hold the investment to maturity and if it is not more likely than not that we will be required to sell the investment before recovery of the amortized cost bases;</w:t>
      </w:r>
    </w:p>
    <w:p>
      <w:pPr>
        <w:spacing w:after="0" w:line="88" w:lineRule="exact"/>
        <w:rPr>
          <w:rFonts w:ascii="Arial" w:cs="Arial" w:eastAsia="Arial" w:hAnsi="Arial"/>
          <w:sz w:val="16"/>
          <w:szCs w:val="16"/>
          <w:color w:val="auto"/>
        </w:rPr>
      </w:pPr>
    </w:p>
    <w:p>
      <w:pPr>
        <w:ind w:left="660" w:hanging="209"/>
        <w:spacing w:after="0"/>
        <w:tabs>
          <w:tab w:leader="none" w:pos="6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credit rating, financial condition and near-term prospects of the issuer and</w:t>
      </w:r>
    </w:p>
    <w:p>
      <w:pPr>
        <w:spacing w:after="0" w:line="120" w:lineRule="exact"/>
        <w:rPr>
          <w:rFonts w:ascii="Arial" w:cs="Arial" w:eastAsia="Arial" w:hAnsi="Arial"/>
          <w:sz w:val="16"/>
          <w:szCs w:val="16"/>
          <w:color w:val="auto"/>
        </w:rPr>
      </w:pPr>
    </w:p>
    <w:p>
      <w:pPr>
        <w:ind w:left="660" w:hanging="209"/>
        <w:spacing w:after="0"/>
        <w:tabs>
          <w:tab w:leader="none" w:pos="6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type of investments made.</w:t>
      </w:r>
    </w:p>
    <w:p>
      <w:pPr>
        <w:spacing w:after="0" w:line="108" w:lineRule="exact"/>
        <w:rPr>
          <w:sz w:val="20"/>
          <w:szCs w:val="20"/>
          <w:color w:val="auto"/>
        </w:rPr>
      </w:pPr>
    </w:p>
    <w:p>
      <w:pPr>
        <w:ind w:left="460" w:right="40"/>
        <w:spacing w:after="0" w:line="253" w:lineRule="auto"/>
        <w:rPr>
          <w:sz w:val="20"/>
          <w:szCs w:val="20"/>
          <w:color w:val="auto"/>
        </w:rPr>
      </w:pPr>
      <w:r>
        <w:rPr>
          <w:rFonts w:ascii="Arial" w:cs="Arial" w:eastAsia="Arial" w:hAnsi="Arial"/>
          <w:sz w:val="16"/>
          <w:szCs w:val="16"/>
          <w:color w:val="auto"/>
        </w:rPr>
        <w:t>The Company had $7,000 and $77,000 of unrealized gains related to short-term investments as of March 31, 2021 and 2020, respectively. To date, the Company has not identified any unrealized losses other than credit losses for its short-term investments as determined by prices for identical or similar securities at the balance sheet date. The Company’s short-term investments consist of Level 1 and Level 2 financial instruments in the fair value hierarchy.</w:t>
      </w:r>
    </w:p>
    <w:p>
      <w:pPr>
        <w:spacing w:after="0" w:line="1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F-50</w:t>
      </w:r>
    </w:p>
    <w:p>
      <w:pPr>
        <w:sectPr>
          <w:pgSz w:w="11900" w:h="16838" w:orient="portrait"/>
          <w:cols w:equalWidth="0" w:num="1">
            <w:col w:w="10780"/>
          </w:cols>
          <w:pgMar w:left="320" w:top="441" w:right="799" w:bottom="1440" w:gutter="0" w:footer="0" w:header="0"/>
        </w:sectPr>
      </w:pPr>
    </w:p>
    <w:bookmarkStart w:id="276" w:name="page277"/>
    <w:bookmarkEnd w:id="2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28" w:lineRule="exact"/>
        <w:rPr>
          <w:sz w:val="20"/>
          <w:szCs w:val="20"/>
          <w:color w:val="auto"/>
        </w:rPr>
      </w:pPr>
    </w:p>
    <w:p>
      <w:pPr>
        <w:ind w:left="460" w:right="420"/>
        <w:spacing w:after="0" w:line="265" w:lineRule="auto"/>
        <w:rPr>
          <w:sz w:val="20"/>
          <w:szCs w:val="20"/>
          <w:color w:val="auto"/>
        </w:rPr>
      </w:pPr>
      <w:r>
        <w:rPr>
          <w:rFonts w:ascii="Arial" w:cs="Arial" w:eastAsia="Arial" w:hAnsi="Arial"/>
          <w:sz w:val="16"/>
          <w:szCs w:val="16"/>
          <w:color w:val="auto"/>
        </w:rPr>
        <w:t>The following table provides a reconciliation of cash and cash equivalents and restricted cash to the amount reported in the consolidated statement of cash flows for the three months ended March 31, 2021 and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53975</wp:posOffset>
            </wp:positionV>
            <wp:extent cx="6569075" cy="158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4"/>
          </w:tcPr>
          <w:p>
            <w:pPr>
              <w:ind w:left="480"/>
              <w:spacing w:after="0"/>
              <w:rPr>
                <w:sz w:val="20"/>
                <w:szCs w:val="20"/>
                <w:color w:val="auto"/>
              </w:rPr>
            </w:pPr>
            <w:r>
              <w:rPr>
                <w:rFonts w:ascii="Arial" w:cs="Arial" w:eastAsia="Arial" w:hAnsi="Arial"/>
                <w:sz w:val="16"/>
                <w:szCs w:val="16"/>
                <w:b w:val="1"/>
                <w:bCs w:val="1"/>
                <w:color w:val="auto"/>
              </w:rPr>
              <w:t>Three months ended March 31,</w:t>
            </w:r>
          </w:p>
        </w:tc>
      </w:tr>
      <w:tr>
        <w:trPr>
          <w:trHeight w:val="208"/>
        </w:trPr>
        <w:tc>
          <w:tcPr>
            <w:tcW w:w="67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2021</w:t>
            </w:r>
          </w:p>
        </w:tc>
        <w:tc>
          <w:tcPr>
            <w:tcW w:w="8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18"/>
                <w:szCs w:val="18"/>
                <w:color w:val="auto"/>
              </w:rPr>
            </w:pPr>
          </w:p>
        </w:tc>
      </w:tr>
      <w:tr>
        <w:trPr>
          <w:trHeight w:val="183"/>
        </w:trPr>
        <w:tc>
          <w:tcPr>
            <w:tcW w:w="67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Cash and cash equivalents</w:t>
            </w:r>
          </w:p>
        </w:tc>
        <w:tc>
          <w:tcPr>
            <w:tcW w:w="660" w:type="dxa"/>
            <w:vAlign w:val="bottom"/>
            <w:gridSpan w:val="2"/>
            <w:shd w:val="clear" w:color="auto" w:fill="CCEEFF"/>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38"/>
              <w:spacing w:after="0" w:line="183" w:lineRule="exact"/>
              <w:rPr>
                <w:sz w:val="20"/>
                <w:szCs w:val="20"/>
                <w:color w:val="auto"/>
              </w:rPr>
            </w:pPr>
            <w:r>
              <w:rPr>
                <w:rFonts w:ascii="Arial" w:cs="Arial" w:eastAsia="Arial" w:hAnsi="Arial"/>
                <w:sz w:val="16"/>
                <w:szCs w:val="16"/>
                <w:color w:val="auto"/>
              </w:rPr>
              <w:t>24,385</w:t>
            </w:r>
          </w:p>
        </w:tc>
        <w:tc>
          <w:tcPr>
            <w:tcW w:w="860" w:type="dxa"/>
            <w:vAlign w:val="bottom"/>
            <w:shd w:val="clear" w:color="auto" w:fill="CCEEFF"/>
          </w:tcPr>
          <w:p>
            <w:pPr>
              <w:jc w:val="right"/>
              <w:ind w:right="198"/>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20,039</w:t>
            </w:r>
          </w:p>
        </w:tc>
        <w:tc>
          <w:tcPr>
            <w:tcW w:w="40" w:type="dxa"/>
            <w:vAlign w:val="bottom"/>
            <w:shd w:val="clear" w:color="auto" w:fill="CCEEFF"/>
          </w:tcPr>
          <w:p>
            <w:pPr>
              <w:spacing w:after="0"/>
              <w:rPr>
                <w:sz w:val="15"/>
                <w:szCs w:val="15"/>
                <w:color w:val="auto"/>
              </w:rPr>
            </w:pPr>
          </w:p>
        </w:tc>
      </w:tr>
      <w:tr>
        <w:trPr>
          <w:trHeight w:val="196"/>
        </w:trPr>
        <w:tc>
          <w:tcPr>
            <w:tcW w:w="6720" w:type="dxa"/>
            <w:vAlign w:val="bottom"/>
          </w:tcPr>
          <w:p>
            <w:pPr>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color w:val="auto"/>
              </w:rPr>
              <w:t>461</w:t>
            </w:r>
          </w:p>
        </w:tc>
        <w:tc>
          <w:tcPr>
            <w:tcW w:w="8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w:t>
            </w:r>
          </w:p>
        </w:tc>
        <w:tc>
          <w:tcPr>
            <w:tcW w:w="40" w:type="dxa"/>
            <w:vAlign w:val="bottom"/>
          </w:tcPr>
          <w:p>
            <w:pPr>
              <w:spacing w:after="0"/>
              <w:rPr>
                <w:sz w:val="17"/>
                <w:szCs w:val="17"/>
                <w:color w:val="auto"/>
              </w:rPr>
            </w:pPr>
          </w:p>
        </w:tc>
      </w:tr>
      <w:tr>
        <w:trPr>
          <w:trHeight w:val="190"/>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in the consolidated statements of cash flows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38"/>
              <w:spacing w:after="0"/>
              <w:rPr>
                <w:sz w:val="20"/>
                <w:szCs w:val="20"/>
                <w:color w:val="auto"/>
              </w:rPr>
            </w:pPr>
            <w:r>
              <w:rPr>
                <w:rFonts w:ascii="Arial" w:cs="Arial" w:eastAsia="Arial" w:hAnsi="Arial"/>
                <w:sz w:val="16"/>
                <w:szCs w:val="16"/>
                <w:color w:val="auto"/>
              </w:rPr>
              <w:t>24,846</w:t>
            </w:r>
          </w:p>
        </w:tc>
        <w:tc>
          <w:tcPr>
            <w:tcW w:w="86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20,911</w:t>
            </w:r>
          </w:p>
        </w:tc>
        <w:tc>
          <w:tcPr>
            <w:tcW w:w="40" w:type="dxa"/>
            <w:vAlign w:val="bottom"/>
            <w:shd w:val="clear" w:color="auto" w:fill="CCEEFF"/>
          </w:tcPr>
          <w:p>
            <w:pPr>
              <w:spacing w:after="0"/>
              <w:rPr>
                <w:sz w:val="16"/>
                <w:szCs w:val="16"/>
                <w:color w:val="auto"/>
              </w:rPr>
            </w:pPr>
          </w:p>
        </w:tc>
      </w:tr>
      <w:tr>
        <w:trPr>
          <w:trHeight w:val="20"/>
        </w:trPr>
        <w:tc>
          <w:tcPr>
            <w:tcW w:w="6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Concentration of credit risk and other risks and uncertainties</w:t>
      </w:r>
    </w:p>
    <w:p>
      <w:pPr>
        <w:spacing w:after="0" w:line="128" w:lineRule="exact"/>
        <w:rPr>
          <w:sz w:val="20"/>
          <w:szCs w:val="20"/>
          <w:color w:val="auto"/>
        </w:rPr>
      </w:pPr>
    </w:p>
    <w:p>
      <w:pPr>
        <w:ind w:left="460" w:right="40"/>
        <w:spacing w:after="0" w:line="251" w:lineRule="auto"/>
        <w:rPr>
          <w:sz w:val="20"/>
          <w:szCs w:val="20"/>
          <w:color w:val="auto"/>
        </w:rPr>
      </w:pPr>
      <w:r>
        <w:rPr>
          <w:rFonts w:ascii="Arial" w:cs="Arial" w:eastAsia="Arial" w:hAnsi="Arial"/>
          <w:sz w:val="16"/>
          <w:szCs w:val="16"/>
          <w:color w:val="auto"/>
        </w:rPr>
        <w:t>Financial instruments which potentially subject the Company to concentration of credit risk consist primarily of cash, cash equivalents, short-term investments and accounts receivable. The Company’s policy is to invest cash in institutional money market funds and marketable securities of the U.S. government to limit the amount of credit exposure. The Company currently maintains a portfolio of cash equivalents and short-term investments in short-term money market funds and U.S. treasury bills. Additionally, the Company has established guidelines regarding diversification of its investments and their maturities, which are designed to maintain principal and maximize liquidity. The Company has not experienced material losses on cash equivalents and short-term investments.</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Accounts receivable</w:t>
      </w:r>
    </w:p>
    <w:p>
      <w:pPr>
        <w:spacing w:after="0" w:line="128" w:lineRule="exact"/>
        <w:rPr>
          <w:sz w:val="20"/>
          <w:szCs w:val="20"/>
          <w:color w:val="auto"/>
        </w:rPr>
      </w:pPr>
    </w:p>
    <w:p>
      <w:pPr>
        <w:jc w:val="both"/>
        <w:ind w:left="460" w:right="180"/>
        <w:spacing w:after="0" w:line="256" w:lineRule="auto"/>
        <w:rPr>
          <w:sz w:val="20"/>
          <w:szCs w:val="20"/>
          <w:color w:val="auto"/>
        </w:rPr>
      </w:pPr>
      <w:r>
        <w:rPr>
          <w:rFonts w:ascii="Arial" w:cs="Arial" w:eastAsia="Arial" w:hAnsi="Arial"/>
          <w:sz w:val="16"/>
          <w:szCs w:val="16"/>
          <w:color w:val="auto"/>
        </w:rPr>
        <w:t>As of December 31, 2020, the Company had one customer who individually accounted for approximately 35% of gross accounts receivable. After evaluation of the collectability of accounts receivable, the Company did not record an allowance for doubtful accounts as of March 31, 2021 and December 31, 2020.</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Inventories</w:t>
      </w:r>
    </w:p>
    <w:p>
      <w:pPr>
        <w:spacing w:after="0" w:line="128" w:lineRule="exact"/>
        <w:rPr>
          <w:sz w:val="20"/>
          <w:szCs w:val="20"/>
          <w:color w:val="auto"/>
        </w:rPr>
      </w:pPr>
    </w:p>
    <w:p>
      <w:pPr>
        <w:ind w:left="460" w:right="60"/>
        <w:spacing w:after="0" w:line="250" w:lineRule="auto"/>
        <w:rPr>
          <w:sz w:val="20"/>
          <w:szCs w:val="20"/>
          <w:color w:val="auto"/>
        </w:rPr>
      </w:pPr>
      <w:r>
        <w:rPr>
          <w:rFonts w:ascii="Arial" w:cs="Arial" w:eastAsia="Arial" w:hAnsi="Arial"/>
          <w:sz w:val="16"/>
          <w:szCs w:val="16"/>
          <w:color w:val="auto"/>
        </w:rPr>
        <w:t>Inventories consist of raw materials, work-in-process and finished goods. Raw materials are comprised of chemicals and parts used in the production of the Company lenses, injectors, and LDDs. Finished goods are comprised of lenses, injectors, accessories and LDDs. Inventories are valued at the lower of cost or net realizable value. Cost is computed using standard cost, which approximates actual cost on a first-in, first-out basis. The carrying value of inventories is reviewed for potential impairment whenever indicators suggest that the cost of inventories exceeds the carrying value and management adjusts the inventories to its net realizable value. The cost of finished goods and work-in-process is comprised of raw materials, direct labor, other direct costs and related production overhead to the extent that these costs do not exceed the net realizable value of the goods produced. The Company periodically reviews inventories for potential impairment and adjusts inventories for estimated losses from obsolescence, material expirations or unmarketable inventories and writes down the cost of inventories to net realizable value at the time such determinations are made.</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128" w:lineRule="exact"/>
        <w:rPr>
          <w:sz w:val="20"/>
          <w:szCs w:val="20"/>
          <w:color w:val="auto"/>
        </w:rPr>
      </w:pPr>
    </w:p>
    <w:p>
      <w:pPr>
        <w:ind w:left="460" w:right="140"/>
        <w:spacing w:after="0" w:line="252" w:lineRule="auto"/>
        <w:rPr>
          <w:sz w:val="20"/>
          <w:szCs w:val="20"/>
          <w:color w:val="auto"/>
        </w:rPr>
      </w:pPr>
      <w:r>
        <w:rPr>
          <w:rFonts w:ascii="Arial" w:cs="Arial" w:eastAsia="Arial" w:hAnsi="Arial"/>
          <w:sz w:val="16"/>
          <w:szCs w:val="16"/>
          <w:color w:val="auto"/>
        </w:rPr>
        <w:t>The Company uses fair value measurements to record fair value adjustments to certain assets and liabilities and to determine fair value disclosures. The Company’s financial instruments consist principally of cash, cash equivalents, short-term investments, accounts receivable, accounts payable, operating lease liabilities, warrant liabilities and a term loan. Fair value is measured as the price that would be received from the sale of an asset or paid to transfer a liability in the principal or most advantageous market for the asset or liability in an orderly transaction between market participants on the measurement date. Valuation techniques that are consistent</w:t>
      </w:r>
    </w:p>
    <w:p>
      <w:pPr>
        <w:spacing w:after="0" w:line="124"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F-51</w:t>
      </w:r>
    </w:p>
    <w:p>
      <w:pPr>
        <w:sectPr>
          <w:pgSz w:w="11900" w:h="16838" w:orient="portrait"/>
          <w:cols w:equalWidth="0" w:num="1">
            <w:col w:w="10800"/>
          </w:cols>
          <w:pgMar w:left="320" w:top="441" w:right="779" w:bottom="1440" w:gutter="0" w:footer="0" w:header="0"/>
        </w:sectPr>
      </w:pPr>
    </w:p>
    <w:bookmarkStart w:id="277" w:name="page278"/>
    <w:bookmarkEnd w:id="2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65" w:lineRule="auto"/>
        <w:rPr>
          <w:sz w:val="20"/>
          <w:szCs w:val="20"/>
          <w:color w:val="auto"/>
        </w:rPr>
      </w:pPr>
      <w:r>
        <w:rPr>
          <w:rFonts w:ascii="Arial" w:cs="Arial" w:eastAsia="Arial" w:hAnsi="Arial"/>
          <w:sz w:val="16"/>
          <w:szCs w:val="16"/>
          <w:color w:val="auto"/>
        </w:rPr>
        <w:t>with the market, income or cost approach are used to measure fair value. The fair value hierarchy prioritizes the inputs to valuation techniques used to measure fair value into three levels:</w:t>
      </w:r>
    </w:p>
    <w:p>
      <w:pPr>
        <w:spacing w:after="0" w:line="75" w:lineRule="exact"/>
        <w:rPr>
          <w:sz w:val="20"/>
          <w:szCs w:val="20"/>
          <w:color w:val="auto"/>
        </w:rPr>
      </w:pPr>
    </w:p>
    <w:p>
      <w:pPr>
        <w:ind w:left="660" w:right="140"/>
        <w:spacing w:after="0" w:line="265" w:lineRule="auto"/>
        <w:rPr>
          <w:sz w:val="20"/>
          <w:szCs w:val="20"/>
          <w:color w:val="auto"/>
        </w:rPr>
      </w:pPr>
      <w:r>
        <w:rPr>
          <w:rFonts w:ascii="Arial" w:cs="Arial" w:eastAsia="Arial" w:hAnsi="Arial"/>
          <w:sz w:val="16"/>
          <w:szCs w:val="16"/>
          <w:color w:val="auto"/>
        </w:rPr>
        <w:t>Level 1—Observable inputs such as unadjusted quoted prices in active markets that are accessible at the measurement date for identical unrestricted assets or liabilities.</w:t>
      </w:r>
    </w:p>
    <w:p>
      <w:pPr>
        <w:spacing w:after="0" w:line="75" w:lineRule="exact"/>
        <w:rPr>
          <w:sz w:val="20"/>
          <w:szCs w:val="20"/>
          <w:color w:val="auto"/>
        </w:rPr>
      </w:pPr>
    </w:p>
    <w:p>
      <w:pPr>
        <w:ind w:left="660" w:right="20"/>
        <w:spacing w:after="0" w:line="252" w:lineRule="auto"/>
        <w:rPr>
          <w:sz w:val="20"/>
          <w:szCs w:val="20"/>
          <w:color w:val="auto"/>
        </w:rPr>
      </w:pPr>
      <w:r>
        <w:rPr>
          <w:rFonts w:ascii="Arial" w:cs="Arial" w:eastAsia="Arial" w:hAnsi="Arial"/>
          <w:sz w:val="16"/>
          <w:szCs w:val="16"/>
          <w:color w:val="auto"/>
        </w:rPr>
        <w:t>Level 2—Inputs (other than quoted prices included in Level 1) that are either directly or indirectly observable for the asset or liability, for substantially the full term of the asset or liability,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w:t>
      </w:r>
    </w:p>
    <w:p>
      <w:pPr>
        <w:spacing w:after="0" w:line="86" w:lineRule="exact"/>
        <w:rPr>
          <w:sz w:val="20"/>
          <w:szCs w:val="20"/>
          <w:color w:val="auto"/>
        </w:rPr>
      </w:pPr>
    </w:p>
    <w:p>
      <w:pPr>
        <w:jc w:val="both"/>
        <w:ind w:left="660" w:right="40"/>
        <w:spacing w:after="0" w:line="248" w:lineRule="auto"/>
        <w:rPr>
          <w:sz w:val="20"/>
          <w:szCs w:val="20"/>
          <w:color w:val="auto"/>
        </w:rPr>
      </w:pPr>
      <w:r>
        <w:rPr>
          <w:rFonts w:ascii="Arial" w:cs="Arial" w:eastAsia="Arial" w:hAnsi="Arial"/>
          <w:sz w:val="16"/>
          <w:szCs w:val="16"/>
          <w:color w:val="auto"/>
        </w:rPr>
        <w:t>Level 3—One or more significant inputs that are unobservable and supported by little or no market activity and reflect the use of significant management judgment and assumptions. Level 3 assets and liabilities include those whose fair value measurements are determined using pricing models, discounted cash flow methodologies or similar valuation techniques and significant management judgment or estimation.</w:t>
      </w:r>
    </w:p>
    <w:p>
      <w:pPr>
        <w:ind w:left="660" w:right="280"/>
        <w:spacing w:after="0" w:line="265" w:lineRule="auto"/>
        <w:rPr>
          <w:sz w:val="20"/>
          <w:szCs w:val="20"/>
          <w:color w:val="auto"/>
        </w:rPr>
      </w:pPr>
      <w:r>
        <w:rPr>
          <w:rFonts w:ascii="Arial" w:cs="Arial" w:eastAsia="Arial" w:hAnsi="Arial"/>
          <w:sz w:val="16"/>
          <w:szCs w:val="16"/>
          <w:color w:val="auto"/>
        </w:rPr>
        <w:t>These include the Black-Scholes option-pricing model which uses inputs such as expected volatility, risk-free interest rate and expected term to determine fair market valuation.</w:t>
      </w:r>
    </w:p>
    <w:p>
      <w:pPr>
        <w:spacing w:after="0" w:line="75" w:lineRule="exact"/>
        <w:rPr>
          <w:sz w:val="20"/>
          <w:szCs w:val="20"/>
          <w:color w:val="auto"/>
        </w:rPr>
      </w:pPr>
    </w:p>
    <w:p>
      <w:pPr>
        <w:ind w:left="460" w:right="80"/>
        <w:spacing w:after="0" w:line="253" w:lineRule="auto"/>
        <w:rPr>
          <w:sz w:val="20"/>
          <w:szCs w:val="20"/>
          <w:color w:val="auto"/>
        </w:rPr>
      </w:pPr>
      <w:r>
        <w:rPr>
          <w:rFonts w:ascii="Arial" w:cs="Arial" w:eastAsia="Arial" w:hAnsi="Arial"/>
          <w:sz w:val="16"/>
          <w:szCs w:val="16"/>
          <w:color w:val="auto"/>
        </w:rPr>
        <w:t>Assets and liabilities are classified based on the lowest level of input that is significant to the fair value measurements. The Company reviews the fair value hierarchy classification at each reporting date.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w:t>
      </w:r>
    </w:p>
    <w:p>
      <w:pPr>
        <w:spacing w:after="0" w:line="86" w:lineRule="exact"/>
        <w:rPr>
          <w:sz w:val="20"/>
          <w:szCs w:val="20"/>
          <w:color w:val="auto"/>
        </w:rPr>
      </w:pPr>
    </w:p>
    <w:p>
      <w:pPr>
        <w:ind w:left="460" w:right="40"/>
        <w:spacing w:after="0" w:line="252" w:lineRule="auto"/>
        <w:rPr>
          <w:sz w:val="20"/>
          <w:szCs w:val="20"/>
          <w:color w:val="auto"/>
        </w:rPr>
      </w:pPr>
      <w:r>
        <w:rPr>
          <w:rFonts w:ascii="Arial" w:cs="Arial" w:eastAsia="Arial" w:hAnsi="Arial"/>
          <w:sz w:val="16"/>
          <w:szCs w:val="16"/>
          <w:color w:val="auto"/>
        </w:rPr>
        <w:t>Cash, cash equivalents, accounts receivable and accounts payable are carried at their estimated fair value because of the short-term nature of these assets and liabilities. The Company’s short-term investments in government securities are carried at fair value, determined based on publicly available quoted market prices for identical securities at the measurement date. The Company believes the fair values of its operating lease liabilities and term loan at March 31, 2021 and December 31, 2020 approximated their carrying values, based on the borrowing rates that were available for loans with similar terms as of that date.</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Warrants to purchase stock</w:t>
      </w:r>
    </w:p>
    <w:p>
      <w:pPr>
        <w:spacing w:after="0" w:line="128" w:lineRule="exact"/>
        <w:rPr>
          <w:sz w:val="20"/>
          <w:szCs w:val="20"/>
          <w:color w:val="auto"/>
        </w:rPr>
      </w:pPr>
    </w:p>
    <w:p>
      <w:pPr>
        <w:ind w:left="460" w:right="120"/>
        <w:spacing w:after="0" w:line="249" w:lineRule="auto"/>
        <w:rPr>
          <w:sz w:val="20"/>
          <w:szCs w:val="20"/>
          <w:color w:val="auto"/>
        </w:rPr>
      </w:pPr>
      <w:r>
        <w:rPr>
          <w:rFonts w:ascii="Arial" w:cs="Arial" w:eastAsia="Arial" w:hAnsi="Arial"/>
          <w:sz w:val="16"/>
          <w:szCs w:val="16"/>
          <w:color w:val="auto"/>
        </w:rPr>
        <w:t>The Company recognizes the freestanding warrants to purchase shares of convertible preferred stock as liabilities at fair value as these warrant instruments are embedded in contracts that may be cash settled. The convertible preferred stock warrants were issued for no cash consideration as detachable freestanding instruments but can be converted to convertible preferred stock at the holder’s option based on the exercise price of the warrant. However, the deemed liquidation provisions of the convertible preferred stock are considered contingent redemption provisions that are not solely within the control of the Company. Therefore, the convertible preferred stock is classified in temporary equity on the accompanying consolidated balance sheets, and the warrants to purchase the convertible preferred stock are classified as liabilities. The Company recognized a freestanding warrant to purchase a share of Series W common stock as a liability at fair value because this instrument was not indexed to the Company’s own stock as the settlement calculation incorporated variables other than those used to determine the fair value of a fixed-for-fixed forward or option on equity shares. The common stock warrant was issued for cash consideration as a freestanding instrument and could be converted to one share of common stock, Series W, at the holder’s option based on the exercise price of the warrant and prior to the expiration date of March 31, 2021.</w:t>
      </w:r>
    </w:p>
    <w:p>
      <w:pPr>
        <w:spacing w:after="0" w:line="94" w:lineRule="exact"/>
        <w:rPr>
          <w:sz w:val="20"/>
          <w:szCs w:val="20"/>
          <w:color w:val="auto"/>
        </w:rPr>
      </w:pPr>
    </w:p>
    <w:p>
      <w:pPr>
        <w:ind w:left="460" w:right="180"/>
        <w:spacing w:after="0" w:line="265" w:lineRule="auto"/>
        <w:rPr>
          <w:sz w:val="20"/>
          <w:szCs w:val="20"/>
          <w:color w:val="auto"/>
        </w:rPr>
      </w:pPr>
      <w:r>
        <w:rPr>
          <w:rFonts w:ascii="Arial" w:cs="Arial" w:eastAsia="Arial" w:hAnsi="Arial"/>
          <w:sz w:val="16"/>
          <w:szCs w:val="16"/>
          <w:color w:val="auto"/>
        </w:rPr>
        <w:t>The warrants were recorded on the accompanying consolidated balance sheets at their fair value on the date of issuance and are subject to re-measurement to fair value at each balance sheet date. Changes in fair value are</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F-52</w:t>
      </w:r>
    </w:p>
    <w:p>
      <w:pPr>
        <w:sectPr>
          <w:pgSz w:w="11900" w:h="16838" w:orient="portrait"/>
          <w:cols w:equalWidth="0" w:num="1">
            <w:col w:w="10800"/>
          </w:cols>
          <w:pgMar w:left="320" w:top="441" w:right="779" w:bottom="1440" w:gutter="0" w:footer="0" w:header="0"/>
        </w:sectPr>
      </w:pPr>
    </w:p>
    <w:bookmarkStart w:id="278" w:name="page279"/>
    <w:bookmarkEnd w:id="2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recognized as a component of other income (expense), net in the accompanying condensed consolidated statements of operations and comprehensive loss. Upon issuance of the Series W common stock warrant, the Company engaged valuation specialists to assist with determining its fair value using a Monte Carlo simulation approach. In addition, the Company engaged the valuation specialists to derive an estimated fair value of the preferred stock warrants using a probability weighted expected return model/option pricing model (“PWERM/OPM”) hybrid valuation model. The Company will continue to adjust the warrant liabilities for changes in fair value until the earlier of the exercise or expiration of the warrants, the completion of a deemed liquidation event, or the conversion of convertible preferred stock into common stock or until the holders of the convertible preferred stock can no longer trigger a deemed liquidation event. Pursuant to the terms of the preferred stock warrants, upon the conversion of the class of preferred stock underlying the warrant, the warrants automatically become exercisable for shares of the Company’s common stock based upon the conversion ratio of the underlying class of preferred stock. The exercise of the common stock warrant or consummation of a qualified initial public offering would result in the automatic conversion of all classes of the Company’s preferred stock into common stock. Upon such conversion of the underlying classes of preferred stock, the warrants would be classified as a component of equity and will no longer be subject to remeasurement.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Net loss per share</w:t>
      </w:r>
    </w:p>
    <w:p>
      <w:pPr>
        <w:spacing w:after="0" w:line="128" w:lineRule="exact"/>
        <w:rPr>
          <w:sz w:val="20"/>
          <w:szCs w:val="20"/>
          <w:color w:val="auto"/>
        </w:rPr>
      </w:pPr>
    </w:p>
    <w:p>
      <w:pPr>
        <w:ind w:left="460" w:right="60"/>
        <w:spacing w:after="0" w:line="249" w:lineRule="auto"/>
        <w:rPr>
          <w:sz w:val="20"/>
          <w:szCs w:val="20"/>
          <w:color w:val="auto"/>
        </w:rPr>
      </w:pPr>
      <w:r>
        <w:rPr>
          <w:rFonts w:ascii="Arial" w:cs="Arial" w:eastAsia="Arial" w:hAnsi="Arial"/>
          <w:sz w:val="16"/>
          <w:szCs w:val="16"/>
          <w:color w:val="auto"/>
        </w:rPr>
        <w:t>The Company computes basic net loss per share for common stock using the two-class method required for companies with participating securities based upon the weighted-average number of common shares outstanding during the period. Diluted net loss per share assumes the conversion, exercise or issuance of all potential common stock equivalents, unless the effect of inclusion would be anti-dilutive. For purposes of this calculation, common stock equivalents include the Company’s stock options, warrants and the shares issuable upon the conversion of the preferred stock. For stock options and preferred stock, the calculation of diluted loss per share requires an adjustment for the additional share of undistributed earnings and accretion to redemption value for the period that the common stockholders are entitled to if exercise is assumed. For warrants that are recorded as a liability in the accompanying condensed consolidated balance sheets, the calculation of diluted loss per share requires that, to the extent the average market price of the underlying shares for the reporting period exceeds the exercise price of the warrants and the presumed exercise of the warrants is dilutive to the loss per share for the period, an adjustment is made to net loss used in the calculation to remove the change in fair value of the warrants from the numerator for the period. Likewise, an adjustment to the denominator is required to reflect the related dilutive shares, if any, under the treasury stock method.</w:t>
      </w:r>
    </w:p>
    <w:p>
      <w:pPr>
        <w:spacing w:after="0" w:line="94"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color w:val="auto"/>
        </w:rPr>
        <w:t>For the three months ended March 31, 2021 and 2020, as a result of the Company’s net loss, basic and diluted net loss per share are the same. For the three months ended March 31, 2021 and 2020, a weighted-average of 4,103,694 and 3,361,788 shares from redeemable stock options were anti-dilutive, respectively, and therefore not included in the calculation of diluted net loss per share for common stock. For the three months ended March 31, 2021 and 2020, a weighted-average 15,076,938 shares from redeemable preferred stock and warrants were anti-dilutive and therefore not included in the calculation of diluted net loss per share for redeemable common stock.</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28" w:lineRule="exact"/>
        <w:rPr>
          <w:sz w:val="20"/>
          <w:szCs w:val="20"/>
          <w:color w:val="auto"/>
        </w:rPr>
      </w:pPr>
    </w:p>
    <w:p>
      <w:pPr>
        <w:ind w:left="460" w:right="340"/>
        <w:spacing w:after="0" w:line="253" w:lineRule="auto"/>
        <w:rPr>
          <w:sz w:val="20"/>
          <w:szCs w:val="20"/>
          <w:color w:val="auto"/>
        </w:rPr>
      </w:pPr>
      <w:r>
        <w:rPr>
          <w:rFonts w:ascii="Arial" w:cs="Arial" w:eastAsia="Arial" w:hAnsi="Arial"/>
          <w:sz w:val="16"/>
          <w:szCs w:val="16"/>
          <w:color w:val="auto"/>
        </w:rPr>
        <w:t>The Company’s revenue is generated from the sale of light adjustable intraocular lenses (RxLAL) used in cataract surgery along with a specifically designed machine for delivering light to the eye, the Light Delivery Device (LDD), to adjust the lens post-surgery, as needed. Revenue is recognized from sales of products in the U.S. and Europe. Customers are primarily comprised of ambulatory surgery centers, hospitals, and physician private practices.</w:t>
      </w:r>
    </w:p>
    <w:p>
      <w:pPr>
        <w:spacing w:after="0" w:line="124"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F-53</w:t>
      </w:r>
    </w:p>
    <w:p>
      <w:pPr>
        <w:sectPr>
          <w:pgSz w:w="11900" w:h="16838" w:orient="portrait"/>
          <w:cols w:equalWidth="0" w:num="1">
            <w:col w:w="10760"/>
          </w:cols>
          <w:pgMar w:left="320" w:top="441" w:right="819" w:bottom="1440" w:gutter="0" w:footer="0" w:header="0"/>
        </w:sectPr>
      </w:pPr>
    </w:p>
    <w:bookmarkStart w:id="279" w:name="page280"/>
    <w:bookmarkEnd w:id="2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180"/>
        <w:spacing w:after="0" w:line="248" w:lineRule="auto"/>
        <w:rPr>
          <w:sz w:val="20"/>
          <w:szCs w:val="20"/>
          <w:color w:val="auto"/>
        </w:rPr>
      </w:pPr>
      <w:r>
        <w:rPr>
          <w:rFonts w:ascii="Arial" w:cs="Arial" w:eastAsia="Arial" w:hAnsi="Arial"/>
          <w:sz w:val="16"/>
          <w:szCs w:val="16"/>
          <w:color w:val="auto"/>
        </w:rPr>
        <w:t>The Company recognizes revenue when promised goods or services are transferred to customers at a transaction price that reflects the consideration to which the Company expects to be entitled in exchange for those goods and services. Specifically, the Company applies the following five steps to recognize revenue: (i) identify the contract(s) with a customer; (ii) identify the performance obligations in the contract;</w:t>
      </w:r>
    </w:p>
    <w:p>
      <w:pPr>
        <w:ind w:left="460" w:hanging="9"/>
        <w:spacing w:after="0" w:line="249" w:lineRule="auto"/>
        <w:tabs>
          <w:tab w:leader="none" w:pos="72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determine the transaction price; (iv) allocate the transaction price to the performance obligations in the contract; and (v) recognize revenue when, or as, the Company satisfies a performance obligation. The Company applies the five-step model to contracts when it is probable that it will collect the consideration to which it is entitled in exchange for the goods or services it transfers to the customer. At contract inception, the Company assesses the goods promised within each customer contract to determine the individual deliverables in its product offerings as separate performance obligations and assesses whether each promised good or service is distinct. The transaction price is determined based on the consideration expected to be received, based either on the stated value in contractual arrangements or the estimated cash to be collected in non-contracted arrangements. The Company recognizes revenue as the amount of the transaction price that is allocated to the respective performance obligation when, or as, the performance obligation is satisfied, considering whether or not this occurs at a point in time or over time. The Company elected to account for shipping costs as fulfillment costs rather than a promised service and excludes from revenue any taxes collected from customers that are remitted to government authorities.</w:t>
      </w:r>
    </w:p>
    <w:p>
      <w:pPr>
        <w:spacing w:after="0" w:line="94" w:lineRule="exact"/>
        <w:rPr>
          <w:sz w:val="20"/>
          <w:szCs w:val="20"/>
          <w:color w:val="auto"/>
        </w:rPr>
      </w:pPr>
    </w:p>
    <w:p>
      <w:pPr>
        <w:ind w:left="460" w:right="220"/>
        <w:spacing w:after="0" w:line="248" w:lineRule="auto"/>
        <w:rPr>
          <w:sz w:val="20"/>
          <w:szCs w:val="20"/>
          <w:color w:val="auto"/>
        </w:rPr>
      </w:pPr>
      <w:r>
        <w:rPr>
          <w:rFonts w:ascii="Arial" w:cs="Arial" w:eastAsia="Arial" w:hAnsi="Arial"/>
          <w:sz w:val="16"/>
          <w:szCs w:val="16"/>
          <w:color w:val="auto"/>
        </w:rPr>
        <w:t>The Company’s LDD contracts contain multiple performance obligations bundled for one transaction price, with all obligations generally satisfied within one year. For these bundled arrangements, the Company accounts for individual products and services as separate performance obligations if they are distinct, that is, if a product or service is separately identifiable from other items in the bundled package, and if a customer can benefit from it on its own or with other resources that are readily available to the customer. The Company’s LDD contracts include a combination of the following performance obligations: (1) LDD capital asset and related components, (2) training and</w:t>
      </w:r>
    </w:p>
    <w:p>
      <w:pPr>
        <w:ind w:left="460" w:right="40" w:hanging="9"/>
        <w:spacing w:after="0" w:line="249" w:lineRule="auto"/>
        <w:tabs>
          <w:tab w:leader="none" w:pos="707" w:val="left"/>
        </w:tabs>
        <w:numPr>
          <w:ilvl w:val="0"/>
          <w:numId w:val="160"/>
        </w:numPr>
        <w:rPr>
          <w:rFonts w:ascii="Arial" w:cs="Arial" w:eastAsia="Arial" w:hAnsi="Arial"/>
          <w:sz w:val="16"/>
          <w:szCs w:val="16"/>
          <w:color w:val="auto"/>
        </w:rPr>
      </w:pPr>
      <w:r>
        <w:rPr>
          <w:rFonts w:ascii="Arial" w:cs="Arial" w:eastAsia="Arial" w:hAnsi="Arial"/>
          <w:sz w:val="16"/>
          <w:szCs w:val="16"/>
          <w:color w:val="auto"/>
        </w:rPr>
        <w:t>device service (initial year). Each of these three performance obligations are considered distinct. The LDD capital asset is distinct because the customer can benefit from it together with other resources that are readily available to the customer. Training on the use of the machine is offered as a distinct activity after installation of the LDD to enhance the customer’s ability to utilize the machine by having an industry professional provide best practices and customize training to the specific needs of the customer. Each LDD comes with a twelve-month manufacturer’s warranty (service-type) that includes preventative maintenance, unscheduled service (labor and parts) and software updates. After the first year, service contracts can be purchased separately on a standalone basis. The Company recognizes revenue as performance obligations are satisfied by transferring control of the product or service to a customer. Specifically, revenue for the LDD capital asset is recognized at a point in time at installation. Revenue for training is also recorded at a point in time, generally 30 days after installation. Revenue for the device service is recognized ratably over time after installation, generally 12 months. The Company has determined that the transaction price is the invoice price, net of adjustments, if any. The allocation to the separate performance obligations is based upon the relative standalone selling price. Standalone selling prices are based on observable prices at which the Company separately sells the products or services The Company estimates the standalone selling price using the market assessment approach considering market conditions and entity-specific factors including, but not limited to, features and functionality of the products and services, geographies, type of customer and market conditions. The Company regularly reviews and updates standalone selling prices as necessary.</w:t>
      </w:r>
    </w:p>
    <w:p>
      <w:pPr>
        <w:spacing w:after="0" w:line="91" w:lineRule="exact"/>
        <w:rPr>
          <w:sz w:val="20"/>
          <w:szCs w:val="20"/>
          <w:color w:val="auto"/>
        </w:rPr>
      </w:pPr>
    </w:p>
    <w:p>
      <w:pPr>
        <w:ind w:left="460" w:right="160"/>
        <w:spacing w:after="0" w:line="256" w:lineRule="auto"/>
        <w:rPr>
          <w:sz w:val="20"/>
          <w:szCs w:val="20"/>
          <w:color w:val="auto"/>
        </w:rPr>
      </w:pPr>
      <w:r>
        <w:rPr>
          <w:rFonts w:ascii="Arial" w:cs="Arial" w:eastAsia="Arial" w:hAnsi="Arial"/>
          <w:sz w:val="16"/>
          <w:szCs w:val="16"/>
          <w:color w:val="auto"/>
        </w:rPr>
        <w:t>RxLALs are held at customer sites on consignment. The single performance obligation is satisfied and revenue is recognized for RxLALs upon customer notification that the RxLALs have been implanted in a patient. For the three months ended March 31, 2021 and 2020, credits related to returns and rebates on list prices were not significant.</w:t>
      </w:r>
    </w:p>
    <w:p>
      <w:pPr>
        <w:spacing w:after="0" w:line="121"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F-54</w:t>
      </w:r>
    </w:p>
    <w:p>
      <w:pPr>
        <w:sectPr>
          <w:pgSz w:w="11900" w:h="16838" w:orient="portrait"/>
          <w:cols w:equalWidth="0" w:num="1">
            <w:col w:w="10800"/>
          </w:cols>
          <w:pgMar w:left="320" w:top="441" w:right="779" w:bottom="1440" w:gutter="0" w:footer="0" w:header="0"/>
        </w:sectPr>
      </w:pPr>
    </w:p>
    <w:bookmarkStart w:id="280" w:name="page281"/>
    <w:bookmarkEnd w:id="2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20"/>
        <w:spacing w:after="0" w:line="265" w:lineRule="auto"/>
        <w:rPr>
          <w:sz w:val="20"/>
          <w:szCs w:val="20"/>
          <w:color w:val="auto"/>
        </w:rPr>
      </w:pPr>
      <w:r>
        <w:rPr>
          <w:rFonts w:ascii="Arial" w:cs="Arial" w:eastAsia="Arial" w:hAnsi="Arial"/>
          <w:sz w:val="16"/>
          <w:szCs w:val="16"/>
          <w:color w:val="auto"/>
        </w:rPr>
        <w:t>The Company has adopted the practical expedient permitting the direct expensing of costs incurred to obtain contracts where the amortization of such costs would occur over one year or less, and it applied to substantially all the Company’s contracts.</w:t>
      </w:r>
    </w:p>
    <w:p>
      <w:pPr>
        <w:spacing w:after="0" w:line="75" w:lineRule="exact"/>
        <w:rPr>
          <w:sz w:val="20"/>
          <w:szCs w:val="20"/>
          <w:color w:val="auto"/>
        </w:rPr>
      </w:pPr>
    </w:p>
    <w:p>
      <w:pPr>
        <w:ind w:left="460" w:right="140"/>
        <w:spacing w:after="0" w:line="248" w:lineRule="auto"/>
        <w:rPr>
          <w:sz w:val="20"/>
          <w:szCs w:val="20"/>
          <w:color w:val="auto"/>
        </w:rPr>
      </w:pPr>
      <w:r>
        <w:rPr>
          <w:rFonts w:ascii="Arial" w:cs="Arial" w:eastAsia="Arial" w:hAnsi="Arial"/>
          <w:sz w:val="16"/>
          <w:szCs w:val="16"/>
          <w:color w:val="auto"/>
        </w:rPr>
        <w:t>As of March 31, 2021 and December 31, 2020, the Company recognized deferred revenue on its condensed consolidated balance sheets of $330,000 and $345,000, respectively, related to the service agreement performance obligation. Revenue for service agreements is recognized ratably over the term of each contract.</w:t>
      </w:r>
    </w:p>
    <w:p>
      <w:pPr>
        <w:jc w:val="center"/>
        <w:spacing w:after="0"/>
        <w:rPr>
          <w:sz w:val="20"/>
          <w:szCs w:val="20"/>
          <w:color w:val="auto"/>
        </w:rPr>
      </w:pPr>
      <w:r>
        <w:rPr>
          <w:rFonts w:ascii="Arial" w:cs="Arial" w:eastAsia="Arial" w:hAnsi="Arial"/>
          <w:sz w:val="16"/>
          <w:szCs w:val="16"/>
          <w:color w:val="auto"/>
        </w:rPr>
        <w:t>For the three months ended March 31, 2021 and 2020, revenue from contracts with customers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4"/>
          </w:tcPr>
          <w:p>
            <w:pPr>
              <w:ind w:left="120"/>
              <w:spacing w:after="0"/>
              <w:rPr>
                <w:sz w:val="20"/>
                <w:szCs w:val="20"/>
                <w:color w:val="auto"/>
              </w:rPr>
            </w:pPr>
            <w:r>
              <w:rPr>
                <w:rFonts w:ascii="Arial" w:cs="Arial" w:eastAsia="Arial" w:hAnsi="Arial"/>
                <w:sz w:val="16"/>
                <w:szCs w:val="16"/>
                <w:b w:val="1"/>
                <w:bCs w:val="1"/>
                <w:color w:val="auto"/>
              </w:rPr>
              <w:t>Three months ended March 31,</w:t>
            </w:r>
          </w:p>
        </w:tc>
      </w:tr>
      <w:tr>
        <w:trPr>
          <w:trHeight w:val="208"/>
        </w:trPr>
        <w:tc>
          <w:tcPr>
            <w:tcW w:w="56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18"/>
                <w:szCs w:val="18"/>
                <w:color w:val="auto"/>
              </w:rPr>
            </w:pPr>
          </w:p>
        </w:tc>
      </w:tr>
      <w:tr>
        <w:trPr>
          <w:trHeight w:val="183"/>
        </w:trPr>
        <w:tc>
          <w:tcPr>
            <w:tcW w:w="56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LDD (including training)</w:t>
            </w:r>
          </w:p>
        </w:tc>
        <w:tc>
          <w:tcPr>
            <w:tcW w:w="208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8"/>
              <w:spacing w:after="0" w:line="183" w:lineRule="exact"/>
              <w:rPr>
                <w:sz w:val="20"/>
                <w:szCs w:val="20"/>
                <w:color w:val="auto"/>
              </w:rPr>
            </w:pPr>
            <w:r>
              <w:rPr>
                <w:rFonts w:ascii="Arial" w:cs="Arial" w:eastAsia="Arial" w:hAnsi="Arial"/>
                <w:sz w:val="16"/>
                <w:szCs w:val="16"/>
                <w:color w:val="auto"/>
              </w:rPr>
              <w:t>1,837</w:t>
            </w:r>
          </w:p>
        </w:tc>
        <w:tc>
          <w:tcPr>
            <w:tcW w:w="680" w:type="dxa"/>
            <w:vAlign w:val="bottom"/>
            <w:shd w:val="clear" w:color="auto" w:fill="CCEEFF"/>
          </w:tcPr>
          <w:p>
            <w:pPr>
              <w:jc w:val="right"/>
              <w:ind w:right="238"/>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2,159</w:t>
            </w:r>
          </w:p>
        </w:tc>
        <w:tc>
          <w:tcPr>
            <w:tcW w:w="40" w:type="dxa"/>
            <w:vAlign w:val="bottom"/>
            <w:shd w:val="clear" w:color="auto" w:fill="CCEEFF"/>
          </w:tcPr>
          <w:p>
            <w:pPr>
              <w:spacing w:after="0"/>
              <w:rPr>
                <w:sz w:val="15"/>
                <w:szCs w:val="15"/>
                <w:color w:val="auto"/>
              </w:rPr>
            </w:pPr>
          </w:p>
        </w:tc>
      </w:tr>
      <w:tr>
        <w:trPr>
          <w:trHeight w:val="190"/>
        </w:trPr>
        <w:tc>
          <w:tcPr>
            <w:tcW w:w="5660" w:type="dxa"/>
            <w:vAlign w:val="bottom"/>
          </w:tcPr>
          <w:p>
            <w:pPr>
              <w:spacing w:after="0"/>
              <w:rPr>
                <w:sz w:val="20"/>
                <w:szCs w:val="20"/>
                <w:color w:val="auto"/>
              </w:rPr>
            </w:pPr>
            <w:r>
              <w:rPr>
                <w:rFonts w:ascii="Arial" w:cs="Arial" w:eastAsia="Arial" w:hAnsi="Arial"/>
                <w:sz w:val="16"/>
                <w:szCs w:val="16"/>
                <w:color w:val="auto"/>
              </w:rPr>
              <w:t>LAL</w:t>
            </w:r>
          </w:p>
        </w:tc>
        <w:tc>
          <w:tcPr>
            <w:tcW w:w="1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198"/>
              <w:spacing w:after="0"/>
              <w:rPr>
                <w:sz w:val="20"/>
                <w:szCs w:val="20"/>
                <w:color w:val="auto"/>
              </w:rPr>
            </w:pPr>
            <w:r>
              <w:rPr>
                <w:rFonts w:ascii="Arial" w:cs="Arial" w:eastAsia="Arial" w:hAnsi="Arial"/>
                <w:sz w:val="16"/>
                <w:szCs w:val="16"/>
                <w:color w:val="auto"/>
              </w:rPr>
              <w:t>1,529</w:t>
            </w:r>
          </w:p>
        </w:tc>
        <w:tc>
          <w:tcPr>
            <w:tcW w:w="6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671</w:t>
            </w:r>
          </w:p>
        </w:tc>
        <w:tc>
          <w:tcPr>
            <w:tcW w:w="40" w:type="dxa"/>
            <w:vAlign w:val="bottom"/>
          </w:tcPr>
          <w:p>
            <w:pPr>
              <w:spacing w:after="0"/>
              <w:rPr>
                <w:sz w:val="16"/>
                <w:szCs w:val="16"/>
                <w:color w:val="auto"/>
              </w:rPr>
            </w:pPr>
          </w:p>
        </w:tc>
      </w:tr>
      <w:tr>
        <w:trPr>
          <w:trHeight w:val="190"/>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Service warranty, service contracts, and accessories</w:t>
            </w:r>
          </w:p>
        </w:tc>
        <w:tc>
          <w:tcPr>
            <w:tcW w:w="18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rPr>
              <w:t>118</w:t>
            </w:r>
          </w:p>
        </w:tc>
        <w:tc>
          <w:tcPr>
            <w:tcW w:w="6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40" w:type="dxa"/>
            <w:vAlign w:val="bottom"/>
            <w:shd w:val="clear" w:color="auto" w:fill="CCEEFF"/>
          </w:tcPr>
          <w:p>
            <w:pPr>
              <w:spacing w:after="0"/>
              <w:rPr>
                <w:sz w:val="16"/>
                <w:szCs w:val="16"/>
                <w:color w:val="auto"/>
              </w:rPr>
            </w:pPr>
          </w:p>
        </w:tc>
      </w:tr>
      <w:tr>
        <w:trPr>
          <w:trHeight w:val="207"/>
        </w:trPr>
        <w:tc>
          <w:tcPr>
            <w:tcW w:w="56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3,484</w:t>
            </w:r>
          </w:p>
        </w:tc>
        <w:tc>
          <w:tcPr>
            <w:tcW w:w="68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2,888</w:t>
            </w:r>
          </w:p>
        </w:tc>
        <w:tc>
          <w:tcPr>
            <w:tcW w:w="40" w:type="dxa"/>
            <w:vAlign w:val="bottom"/>
          </w:tcPr>
          <w:p>
            <w:pPr>
              <w:spacing w:after="0"/>
              <w:rPr>
                <w:sz w:val="17"/>
                <w:szCs w:val="17"/>
                <w:color w:val="auto"/>
              </w:rPr>
            </w:pPr>
          </w:p>
        </w:tc>
      </w:tr>
    </w:tbl>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12" w:lineRule="exact"/>
        <w:rPr>
          <w:sz w:val="20"/>
          <w:szCs w:val="20"/>
          <w:color w:val="auto"/>
        </w:rPr>
      </w:pPr>
    </w:p>
    <w:p>
      <w:pPr>
        <w:ind w:left="460" w:right="120"/>
        <w:spacing w:after="0" w:line="254"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 Goodwill and Other – Internal 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Implementation Costs Incurred in a Cloud Computing Arrangement That Is a Service Contract</w:t>
      </w:r>
      <w:r>
        <w:rPr>
          <w:rFonts w:ascii="Arial" w:cs="Arial" w:eastAsia="Arial" w:hAnsi="Arial"/>
          <w:sz w:val="16"/>
          <w:szCs w:val="16"/>
          <w:color w:val="auto"/>
        </w:rPr>
        <w:t>, which changes the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for implementation costs incurred in a cloud computing arrangement that is a service contract. The update aligns the requirements for capitalizing implementation costs incurred in a hosting arrangement with the requirements for capitalizing implementation costs incurred to develop or obtain internal-use software. The implementation costs should be presented as a prepaid expense in the balance sheet and expensed over the term of the hosting arrangement. The Company adopted the standard on January 1, 2021, and adoption did not have a material impact on its condensed consolidated financial statements.</w:t>
      </w:r>
    </w:p>
    <w:p>
      <w:pPr>
        <w:spacing w:after="0" w:line="70" w:lineRule="exact"/>
        <w:rPr>
          <w:sz w:val="20"/>
          <w:szCs w:val="20"/>
          <w:color w:val="auto"/>
        </w:rPr>
      </w:pPr>
    </w:p>
    <w:p>
      <w:pPr>
        <w:ind w:left="460" w:right="60"/>
        <w:spacing w:after="0" w:line="252" w:lineRule="auto"/>
        <w:rPr>
          <w:sz w:val="20"/>
          <w:szCs w:val="20"/>
          <w:color w:val="auto"/>
        </w:rPr>
      </w:pPr>
      <w:r>
        <w:rPr>
          <w:rFonts w:ascii="Arial" w:cs="Arial" w:eastAsia="Arial" w:hAnsi="Arial"/>
          <w:sz w:val="16"/>
          <w:szCs w:val="16"/>
          <w:color w:val="auto"/>
        </w:rPr>
        <w:t xml:space="preserve">In June 2020, the FASB issued ASU No. 2020-06, </w:t>
      </w:r>
      <w:r>
        <w:rPr>
          <w:rFonts w:ascii="Arial" w:cs="Arial" w:eastAsia="Arial" w:hAnsi="Arial"/>
          <w:sz w:val="16"/>
          <w:szCs w:val="16"/>
          <w:i w:val="1"/>
          <w:iCs w:val="1"/>
          <w:color w:val="auto"/>
        </w:rPr>
        <w:t>Accounting for Convertible Instruments and Contracts in an Entity’s Own Equity</w:t>
      </w:r>
      <w:r>
        <w:rPr>
          <w:rFonts w:ascii="Arial" w:cs="Arial" w:eastAsia="Arial" w:hAnsi="Arial"/>
          <w:sz w:val="16"/>
          <w:szCs w:val="16"/>
          <w:color w:val="auto"/>
        </w:rPr>
        <w:t>, which is intended to simplify the accounting for convertible instruments. This new guidance eliminates certain models that require separate accounting for embedded conversion features and eliminates certain of the conditions for equity classification for contracts in an entity’s own equity. Accordingly, a convertible debt instrument will be accounted for as a single liability measured at its amortized cost, as long as no other features require bifurcation and recognition as derivatives. The new guidance can be adopted through either a modified retrospective method of transition or a fully retrospective method of transition. ASU 2020-06 is effective for public business entities for fiscal years beginning after December 15, 2021, including interim periods within those fiscal years. Early adoption is permitted for fiscal years beginning after December 15, 2020, including interim periods within those fiscal years. The Company is in the process of determining the impact of the adoption of the standard on its condensed consolidated financial statements as well as whether to early adopt the new standard.</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Emerging growth company status</w:t>
      </w:r>
    </w:p>
    <w:p>
      <w:pPr>
        <w:spacing w:after="0" w:line="128" w:lineRule="exact"/>
        <w:rPr>
          <w:sz w:val="20"/>
          <w:szCs w:val="20"/>
          <w:color w:val="auto"/>
        </w:rPr>
      </w:pPr>
    </w:p>
    <w:p>
      <w:pPr>
        <w:ind w:left="460" w:right="160"/>
        <w:spacing w:after="0" w:line="252"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and, as a result, will adopt new or revised accounting standards on the relevant effective dates on which adoption of such standards is required for other public companies that are not emerging growth companies.</w:t>
      </w:r>
    </w:p>
    <w:p>
      <w:pPr>
        <w:spacing w:after="0" w:line="124"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F-55</w:t>
      </w:r>
    </w:p>
    <w:p>
      <w:pPr>
        <w:sectPr>
          <w:pgSz w:w="11900" w:h="16838" w:orient="portrait"/>
          <w:cols w:equalWidth="0" w:num="1">
            <w:col w:w="10800"/>
          </w:cols>
          <w:pgMar w:left="320" w:top="440" w:right="779" w:bottom="1440" w:gutter="0" w:footer="0" w:header="0"/>
        </w:sectPr>
      </w:pPr>
    </w:p>
    <w:bookmarkStart w:id="281" w:name="page282"/>
    <w:bookmarkEnd w:id="2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3 – Short-term investments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Short-term investments, principally U.S. Treasury bills, are available-for-sale and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As of March 31, 2021</w:t>
            </w:r>
          </w:p>
        </w:tc>
        <w:tc>
          <w:tcPr>
            <w:tcW w:w="40" w:type="dxa"/>
            <w:vAlign w:val="bottom"/>
          </w:tcPr>
          <w:p>
            <w:pPr>
              <w:spacing w:after="0"/>
              <w:rPr>
                <w:sz w:val="18"/>
                <w:szCs w:val="18"/>
                <w:color w:val="auto"/>
              </w:rPr>
            </w:pPr>
          </w:p>
        </w:tc>
      </w:tr>
      <w:tr>
        <w:trPr>
          <w:trHeight w:val="208"/>
        </w:trPr>
        <w:tc>
          <w:tcPr>
            <w:tcW w:w="30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rPr>
              <w:t>Amortized cost</w:t>
            </w:r>
          </w:p>
        </w:tc>
        <w:tc>
          <w:tcPr>
            <w:tcW w:w="214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Unrealized gain, net</w:t>
            </w:r>
          </w:p>
        </w:tc>
        <w:tc>
          <w:tcPr>
            <w:tcW w:w="2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Estimated fair value</w:t>
            </w:r>
          </w:p>
        </w:tc>
      </w:tr>
      <w:tr>
        <w:trPr>
          <w:trHeight w:val="257"/>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Government securities</w:t>
            </w:r>
          </w:p>
        </w:tc>
        <w:tc>
          <w:tcPr>
            <w:tcW w:w="29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$39,992</w:t>
            </w:r>
          </w:p>
        </w:tc>
        <w:tc>
          <w:tcPr>
            <w:tcW w:w="21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$ 5</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$39,997</w:t>
            </w:r>
          </w:p>
        </w:tc>
        <w:tc>
          <w:tcPr>
            <w:tcW w:w="40" w:type="dxa"/>
            <w:vAlign w:val="bottom"/>
            <w:tcBorders>
              <w:bottom w:val="single" w:sz="8" w:color="CCEEFF"/>
            </w:tcBorders>
            <w:shd w:val="clear" w:color="auto" w:fill="CCEEFF"/>
          </w:tcPr>
          <w:p>
            <w:pPr>
              <w:spacing w:after="0"/>
              <w:rPr>
                <w:sz w:val="21"/>
                <w:szCs w:val="21"/>
                <w:color w:val="auto"/>
              </w:rPr>
            </w:pPr>
          </w:p>
        </w:tc>
      </w:tr>
      <w:tr>
        <w:trPr>
          <w:trHeight w:val="304"/>
        </w:trPr>
        <w:tc>
          <w:tcPr>
            <w:tcW w:w="30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As of December 31, 2020</w:t>
            </w:r>
          </w:p>
        </w:tc>
        <w:tc>
          <w:tcPr>
            <w:tcW w:w="40" w:type="dxa"/>
            <w:vAlign w:val="bottom"/>
            <w:tcBorders>
              <w:top w:val="single" w:sz="8" w:color="auto"/>
            </w:tcBorders>
          </w:tcPr>
          <w:p>
            <w:pPr>
              <w:spacing w:after="0"/>
              <w:rPr>
                <w:sz w:val="24"/>
                <w:szCs w:val="24"/>
                <w:color w:val="auto"/>
              </w:rPr>
            </w:pPr>
          </w:p>
        </w:tc>
      </w:tr>
      <w:tr>
        <w:trPr>
          <w:trHeight w:val="208"/>
        </w:trPr>
        <w:tc>
          <w:tcPr>
            <w:tcW w:w="30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rPr>
              <w:t>Amortized cost</w:t>
            </w:r>
          </w:p>
        </w:tc>
        <w:tc>
          <w:tcPr>
            <w:tcW w:w="214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Unrealized loss, net</w:t>
            </w:r>
          </w:p>
        </w:tc>
        <w:tc>
          <w:tcPr>
            <w:tcW w:w="2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Estimated fair value</w:t>
            </w:r>
          </w:p>
        </w:tc>
      </w:tr>
      <w:tr>
        <w:trPr>
          <w:trHeight w:val="183"/>
        </w:trPr>
        <w:tc>
          <w:tcPr>
            <w:tcW w:w="30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Government securities</w:t>
            </w:r>
          </w:p>
        </w:tc>
        <w:tc>
          <w:tcPr>
            <w:tcW w:w="2980" w:type="dxa"/>
            <w:vAlign w:val="bottom"/>
            <w:gridSpan w:val="2"/>
            <w:shd w:val="clear" w:color="auto" w:fill="CCEEFF"/>
          </w:tcPr>
          <w:p>
            <w:pPr>
              <w:jc w:val="right"/>
              <w:ind w:right="380"/>
              <w:spacing w:after="0" w:line="183" w:lineRule="exact"/>
              <w:rPr>
                <w:sz w:val="20"/>
                <w:szCs w:val="20"/>
                <w:color w:val="auto"/>
              </w:rPr>
            </w:pPr>
            <w:r>
              <w:rPr>
                <w:rFonts w:ascii="Arial" w:cs="Arial" w:eastAsia="Arial" w:hAnsi="Arial"/>
                <w:sz w:val="16"/>
                <w:szCs w:val="16"/>
                <w:color w:val="auto"/>
              </w:rPr>
              <w:t>$54,983</w:t>
            </w:r>
          </w:p>
        </w:tc>
        <w:tc>
          <w:tcPr>
            <w:tcW w:w="2140" w:type="dxa"/>
            <w:vAlign w:val="bottom"/>
            <w:shd w:val="clear" w:color="auto" w:fill="CCEEFF"/>
          </w:tcPr>
          <w:p>
            <w:pPr>
              <w:jc w:val="right"/>
              <w:ind w:right="78"/>
              <w:spacing w:after="0" w:line="183" w:lineRule="exact"/>
              <w:rPr>
                <w:sz w:val="20"/>
                <w:szCs w:val="20"/>
                <w:color w:val="auto"/>
              </w:rPr>
            </w:pPr>
            <w:r>
              <w:rPr>
                <w:rFonts w:ascii="Arial" w:cs="Arial" w:eastAsia="Arial" w:hAnsi="Arial"/>
                <w:sz w:val="16"/>
                <w:szCs w:val="16"/>
                <w:color w:val="auto"/>
              </w:rPr>
              <w:t>$(2)</w:t>
            </w:r>
          </w:p>
        </w:tc>
        <w:tc>
          <w:tcPr>
            <w:tcW w:w="2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$54,981</w:t>
            </w:r>
          </w:p>
        </w:tc>
        <w:tc>
          <w:tcPr>
            <w:tcW w:w="40" w:type="dxa"/>
            <w:vAlign w:val="bottom"/>
            <w:shd w:val="clear" w:color="auto" w:fill="CCEEFF"/>
          </w:tcPr>
          <w:p>
            <w:pPr>
              <w:spacing w:after="0"/>
              <w:rPr>
                <w:sz w:val="15"/>
                <w:szCs w:val="15"/>
                <w:color w:val="auto"/>
              </w:rPr>
            </w:pP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available-for-sale securities held as of March 31, 2021 and December 31, 2020 had a maturity of less than one year.</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4 – Inventories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3240" w:type="dxa"/>
            <w:vAlign w:val="bottom"/>
            <w:gridSpan w:val="3"/>
          </w:tcPr>
          <w:p>
            <w:pPr>
              <w:ind w:left="2180"/>
              <w:spacing w:after="0"/>
              <w:rPr>
                <w:sz w:val="20"/>
                <w:szCs w:val="20"/>
                <w:color w:val="auto"/>
              </w:rPr>
            </w:pPr>
            <w:r>
              <w:rPr>
                <w:rFonts w:ascii="Arial" w:cs="Arial" w:eastAsia="Arial" w:hAnsi="Arial"/>
                <w:sz w:val="16"/>
                <w:szCs w:val="16"/>
                <w:b w:val="1"/>
                <w:bCs w:val="1"/>
                <w:color w:val="auto"/>
              </w:rPr>
              <w:t>March 31,</w:t>
            </w:r>
          </w:p>
        </w:tc>
        <w:tc>
          <w:tcPr>
            <w:tcW w:w="1440" w:type="dxa"/>
            <w:vAlign w:val="bottom"/>
            <w:gridSpan w:val="3"/>
          </w:tcPr>
          <w:p>
            <w:pPr>
              <w:ind w:left="260"/>
              <w:spacing w:after="0"/>
              <w:rPr>
                <w:sz w:val="20"/>
                <w:szCs w:val="20"/>
                <w:color w:val="auto"/>
              </w:rPr>
            </w:pPr>
            <w:r>
              <w:rPr>
                <w:rFonts w:ascii="Arial" w:cs="Arial" w:eastAsia="Arial" w:hAnsi="Arial"/>
                <w:sz w:val="16"/>
                <w:szCs w:val="16"/>
                <w:b w:val="1"/>
                <w:bCs w:val="1"/>
                <w:color w:val="auto"/>
              </w:rPr>
              <w:t>December 31,</w:t>
            </w:r>
          </w:p>
        </w:tc>
      </w:tr>
      <w:tr>
        <w:trPr>
          <w:trHeight w:val="207"/>
        </w:trPr>
        <w:tc>
          <w:tcPr>
            <w:tcW w:w="56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r>
      <w:tr>
        <w:trPr>
          <w:trHeight w:val="183"/>
        </w:trPr>
        <w:tc>
          <w:tcPr>
            <w:tcW w:w="56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Finished goods</w:t>
            </w:r>
          </w:p>
        </w:tc>
        <w:tc>
          <w:tcPr>
            <w:tcW w:w="2400" w:type="dxa"/>
            <w:vAlign w:val="bottom"/>
            <w:gridSpan w:val="2"/>
            <w:shd w:val="clear" w:color="auto" w:fill="CCEEFF"/>
          </w:tcPr>
          <w:p>
            <w:pPr>
              <w:ind w:left="2180"/>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18"/>
              <w:spacing w:after="0" w:line="183" w:lineRule="exact"/>
              <w:rPr>
                <w:sz w:val="20"/>
                <w:szCs w:val="20"/>
                <w:color w:val="auto"/>
              </w:rPr>
            </w:pPr>
            <w:r>
              <w:rPr>
                <w:rFonts w:ascii="Arial" w:cs="Arial" w:eastAsia="Arial" w:hAnsi="Arial"/>
                <w:sz w:val="16"/>
                <w:szCs w:val="16"/>
                <w:color w:val="auto"/>
              </w:rPr>
              <w:t>5,813</w:t>
            </w:r>
          </w:p>
        </w:tc>
        <w:tc>
          <w:tcPr>
            <w:tcW w:w="640" w:type="dxa"/>
            <w:vAlign w:val="bottom"/>
            <w:shd w:val="clear" w:color="auto" w:fill="CCEEFF"/>
          </w:tcPr>
          <w:p>
            <w:pPr>
              <w:ind w:left="260"/>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5,092</w:t>
            </w:r>
          </w:p>
        </w:tc>
        <w:tc>
          <w:tcPr>
            <w:tcW w:w="100" w:type="dxa"/>
            <w:vAlign w:val="bottom"/>
            <w:shd w:val="clear" w:color="auto" w:fill="CCEEFF"/>
          </w:tcPr>
          <w:p>
            <w:pPr>
              <w:spacing w:after="0"/>
              <w:rPr>
                <w:sz w:val="15"/>
                <w:szCs w:val="15"/>
                <w:color w:val="auto"/>
              </w:rPr>
            </w:pPr>
          </w:p>
        </w:tc>
      </w:tr>
      <w:tr>
        <w:trPr>
          <w:trHeight w:val="190"/>
        </w:trPr>
        <w:tc>
          <w:tcPr>
            <w:tcW w:w="5660" w:type="dxa"/>
            <w:vAlign w:val="bottom"/>
          </w:tcPr>
          <w:p>
            <w:pPr>
              <w:spacing w:after="0"/>
              <w:rPr>
                <w:sz w:val="20"/>
                <w:szCs w:val="20"/>
                <w:color w:val="auto"/>
              </w:rPr>
            </w:pPr>
            <w:r>
              <w:rPr>
                <w:rFonts w:ascii="Arial" w:cs="Arial" w:eastAsia="Arial" w:hAnsi="Arial"/>
                <w:sz w:val="16"/>
                <w:szCs w:val="16"/>
                <w:color w:val="auto"/>
              </w:rPr>
              <w:t>Raw materials</w:t>
            </w:r>
          </w:p>
        </w:tc>
        <w:tc>
          <w:tcPr>
            <w:tcW w:w="2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218"/>
              <w:spacing w:after="0"/>
              <w:rPr>
                <w:sz w:val="20"/>
                <w:szCs w:val="20"/>
                <w:color w:val="auto"/>
              </w:rPr>
            </w:pPr>
            <w:r>
              <w:rPr>
                <w:rFonts w:ascii="Arial" w:cs="Arial" w:eastAsia="Arial" w:hAnsi="Arial"/>
                <w:sz w:val="16"/>
                <w:szCs w:val="16"/>
                <w:color w:val="auto"/>
              </w:rPr>
              <w:t>2,073</w:t>
            </w:r>
          </w:p>
        </w:tc>
        <w:tc>
          <w:tcPr>
            <w:tcW w:w="6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1,827</w:t>
            </w:r>
          </w:p>
        </w:tc>
        <w:tc>
          <w:tcPr>
            <w:tcW w:w="100" w:type="dxa"/>
            <w:vAlign w:val="bottom"/>
          </w:tcPr>
          <w:p>
            <w:pPr>
              <w:spacing w:after="0"/>
              <w:rPr>
                <w:sz w:val="16"/>
                <w:szCs w:val="16"/>
                <w:color w:val="auto"/>
              </w:rPr>
            </w:pPr>
          </w:p>
        </w:tc>
      </w:tr>
      <w:tr>
        <w:trPr>
          <w:trHeight w:val="190"/>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Work-in-process</w:t>
            </w:r>
          </w:p>
        </w:tc>
        <w:tc>
          <w:tcPr>
            <w:tcW w:w="21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rPr>
              <w:t>1,995</w:t>
            </w:r>
          </w:p>
        </w:tc>
        <w:tc>
          <w:tcPr>
            <w:tcW w:w="6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1,685</w:t>
            </w:r>
          </w:p>
        </w:tc>
        <w:tc>
          <w:tcPr>
            <w:tcW w:w="100" w:type="dxa"/>
            <w:vAlign w:val="bottom"/>
            <w:shd w:val="clear" w:color="auto" w:fill="CCEEFF"/>
          </w:tcPr>
          <w:p>
            <w:pPr>
              <w:spacing w:after="0"/>
              <w:rPr>
                <w:sz w:val="16"/>
                <w:szCs w:val="16"/>
                <w:color w:val="auto"/>
              </w:rPr>
            </w:pPr>
          </w:p>
        </w:tc>
      </w:tr>
      <w:tr>
        <w:trPr>
          <w:trHeight w:val="196"/>
        </w:trPr>
        <w:tc>
          <w:tcPr>
            <w:tcW w:w="56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18"/>
              <w:spacing w:after="0"/>
              <w:rPr>
                <w:sz w:val="20"/>
                <w:szCs w:val="20"/>
                <w:color w:val="auto"/>
              </w:rPr>
            </w:pPr>
            <w:r>
              <w:rPr>
                <w:rFonts w:ascii="Arial" w:cs="Arial" w:eastAsia="Arial" w:hAnsi="Arial"/>
                <w:sz w:val="16"/>
                <w:szCs w:val="16"/>
                <w:color w:val="auto"/>
              </w:rPr>
              <w:t>9,881</w:t>
            </w:r>
          </w:p>
        </w:tc>
        <w:tc>
          <w:tcPr>
            <w:tcW w:w="6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8,604</w:t>
            </w:r>
          </w:p>
        </w:tc>
        <w:tc>
          <w:tcPr>
            <w:tcW w:w="100" w:type="dxa"/>
            <w:vAlign w:val="bottom"/>
          </w:tcPr>
          <w:p>
            <w:pPr>
              <w:spacing w:after="0"/>
              <w:rPr>
                <w:sz w:val="17"/>
                <w:szCs w:val="17"/>
                <w:color w:val="auto"/>
              </w:rPr>
            </w:pPr>
          </w:p>
        </w:tc>
      </w:tr>
      <w:tr>
        <w:trPr>
          <w:trHeight w:val="190"/>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Less: reserve for excess and obsolete inventory</w:t>
            </w:r>
          </w:p>
        </w:tc>
        <w:tc>
          <w:tcPr>
            <w:tcW w:w="2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(121)</w:t>
            </w:r>
          </w:p>
        </w:tc>
        <w:tc>
          <w:tcPr>
            <w:tcW w:w="6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(316)</w:t>
            </w:r>
          </w:p>
        </w:tc>
      </w:tr>
      <w:tr>
        <w:trPr>
          <w:trHeight w:val="20"/>
        </w:trPr>
        <w:tc>
          <w:tcPr>
            <w:tcW w:w="56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56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2"/>
          </w:tcPr>
          <w:p>
            <w:pPr>
              <w:ind w:left="21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rPr>
              <w:t>9,760</w:t>
            </w:r>
          </w:p>
        </w:tc>
        <w:tc>
          <w:tcPr>
            <w:tcW w:w="6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8,288</w:t>
            </w:r>
          </w:p>
        </w:tc>
        <w:tc>
          <w:tcPr>
            <w:tcW w:w="100" w:type="dxa"/>
            <w:vAlign w:val="bottom"/>
          </w:tcPr>
          <w:p>
            <w:pPr>
              <w:spacing w:after="0"/>
              <w:rPr>
                <w:sz w:val="17"/>
                <w:szCs w:val="17"/>
                <w:color w:val="auto"/>
              </w:rPr>
            </w:pPr>
          </w:p>
        </w:tc>
      </w:tr>
    </w:tbl>
    <w:p>
      <w:pPr>
        <w:spacing w:after="0" w:line="104" w:lineRule="exact"/>
        <w:rPr>
          <w:sz w:val="20"/>
          <w:szCs w:val="20"/>
          <w:color w:val="auto"/>
        </w:rPr>
      </w:pPr>
    </w:p>
    <w:p>
      <w:pPr>
        <w:ind w:left="460" w:right="640"/>
        <w:spacing w:after="0" w:line="265" w:lineRule="auto"/>
        <w:rPr>
          <w:sz w:val="20"/>
          <w:szCs w:val="20"/>
          <w:color w:val="auto"/>
        </w:rPr>
      </w:pPr>
      <w:r>
        <w:rPr>
          <w:rFonts w:ascii="Arial" w:cs="Arial" w:eastAsia="Arial" w:hAnsi="Arial"/>
          <w:sz w:val="16"/>
          <w:szCs w:val="16"/>
          <w:color w:val="auto"/>
        </w:rPr>
        <w:t>At March 31, 2021 and December 31, 2020, finished goods included $2.4 million and $2.7 million of inventory held on consignment at customer sites, respectively.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5 – Fair value measurements</w:t>
      </w:r>
    </w:p>
    <w:p>
      <w:pPr>
        <w:spacing w:after="0" w:line="133" w:lineRule="exact"/>
        <w:rPr>
          <w:sz w:val="20"/>
          <w:szCs w:val="20"/>
          <w:color w:val="auto"/>
        </w:rPr>
      </w:pPr>
    </w:p>
    <w:p>
      <w:pPr>
        <w:ind w:left="460" w:right="160"/>
        <w:spacing w:after="0" w:line="265" w:lineRule="auto"/>
        <w:rPr>
          <w:sz w:val="20"/>
          <w:szCs w:val="20"/>
          <w:color w:val="auto"/>
        </w:rPr>
      </w:pPr>
      <w:r>
        <w:rPr>
          <w:rFonts w:ascii="Arial" w:cs="Arial" w:eastAsia="Arial" w:hAnsi="Arial"/>
          <w:sz w:val="16"/>
          <w:szCs w:val="16"/>
          <w:color w:val="auto"/>
        </w:rPr>
        <w:t>The table and disclosures below (in thousands) present the Company’s assets and liabilities measured at fair value on a recurring basis and indicate the fair value hierarchy of the valuation techniques utilized by the Company to determine such fair value.</w:t>
      </w:r>
    </w:p>
    <w:p>
      <w:pPr>
        <w:spacing w:after="0" w:line="75" w:lineRule="exact"/>
        <w:rPr>
          <w:sz w:val="20"/>
          <w:szCs w:val="20"/>
          <w:color w:val="auto"/>
        </w:rPr>
      </w:pPr>
    </w:p>
    <w:p>
      <w:pPr>
        <w:ind w:left="460" w:right="180"/>
        <w:spacing w:after="0" w:line="256" w:lineRule="auto"/>
        <w:rPr>
          <w:sz w:val="20"/>
          <w:szCs w:val="20"/>
          <w:color w:val="auto"/>
        </w:rPr>
      </w:pPr>
      <w:r>
        <w:rPr>
          <w:rFonts w:ascii="Arial" w:cs="Arial" w:eastAsia="Arial" w:hAnsi="Arial"/>
          <w:sz w:val="16"/>
          <w:szCs w:val="16"/>
          <w:color w:val="auto"/>
        </w:rPr>
        <w:t>The carrying amounts of certain financial instruments such as cash and cash equivalents, accounts receivable, prepaid expenses, other current assets, accounts payable, accrued expenses and other current liabilities as of March 31, 2021 and December 31, 2020 approximate their related fair values due to the short-term maturities of these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59055</wp:posOffset>
            </wp:positionV>
            <wp:extent cx="6569075" cy="158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1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March 31, 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Level I</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Level II</w:t>
            </w: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Level III</w:t>
            </w: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404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60" w:type="dxa"/>
            <w:vAlign w:val="bottom"/>
            <w:gridSpan w:val="2"/>
          </w:tcPr>
          <w:p>
            <w:pPr>
              <w:spacing w:after="0"/>
              <w:rPr>
                <w:sz w:val="20"/>
                <w:szCs w:val="20"/>
                <w:color w:val="auto"/>
              </w:rPr>
            </w:pPr>
            <w:r>
              <w:rPr>
                <w:rFonts w:ascii="Arial" w:cs="Arial" w:eastAsia="Arial" w:hAnsi="Arial"/>
                <w:sz w:val="16"/>
                <w:szCs w:val="16"/>
                <w:color w:val="auto"/>
              </w:rPr>
              <w:t>Money market securities</w:t>
            </w:r>
          </w:p>
        </w:tc>
        <w:tc>
          <w:tcPr>
            <w:tcW w:w="3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8"/>
              <w:spacing w:after="0"/>
              <w:rPr>
                <w:sz w:val="20"/>
                <w:szCs w:val="20"/>
                <w:color w:val="auto"/>
              </w:rPr>
            </w:pPr>
            <w:r>
              <w:rPr>
                <w:rFonts w:ascii="Arial" w:cs="Arial" w:eastAsia="Arial" w:hAnsi="Arial"/>
                <w:sz w:val="16"/>
                <w:szCs w:val="16"/>
                <w:color w:val="auto"/>
              </w:rPr>
              <w:t>22,778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$22,778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Government securities</w:t>
            </w:r>
          </w:p>
        </w:tc>
        <w:tc>
          <w:tcPr>
            <w:tcW w:w="29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39,997</w:t>
            </w:r>
          </w:p>
        </w:tc>
        <w:tc>
          <w:tcPr>
            <w:tcW w:w="3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39,997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Pr>
          <w:p>
            <w:pPr>
              <w:ind w:left="180"/>
              <w:spacing w:after="0"/>
              <w:rPr>
                <w:sz w:val="20"/>
                <w:szCs w:val="20"/>
                <w:color w:val="auto"/>
              </w:rPr>
            </w:pPr>
            <w:r>
              <w:rPr>
                <w:rFonts w:ascii="Arial" w:cs="Arial" w:eastAsia="Arial" w:hAnsi="Arial"/>
                <w:sz w:val="16"/>
                <w:szCs w:val="16"/>
                <w:color w:val="auto"/>
              </w:rPr>
              <w:t>Total assets at fair value</w:t>
            </w:r>
          </w:p>
        </w:tc>
        <w:tc>
          <w:tcPr>
            <w:tcW w:w="3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8"/>
              <w:spacing w:after="0"/>
              <w:rPr>
                <w:sz w:val="20"/>
                <w:szCs w:val="20"/>
                <w:color w:val="auto"/>
              </w:rPr>
            </w:pPr>
            <w:r>
              <w:rPr>
                <w:rFonts w:ascii="Arial" w:cs="Arial" w:eastAsia="Arial" w:hAnsi="Arial"/>
                <w:sz w:val="16"/>
                <w:szCs w:val="16"/>
                <w:color w:val="auto"/>
              </w:rPr>
              <w:t>22,778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39,997</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$62,775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29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Liability:</w:t>
            </w:r>
          </w:p>
        </w:tc>
        <w:tc>
          <w:tcPr>
            <w:tcW w:w="2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60" w:type="dxa"/>
            <w:vAlign w:val="bottom"/>
            <w:gridSpan w:val="2"/>
          </w:tcPr>
          <w:p>
            <w:pPr>
              <w:spacing w:after="0"/>
              <w:rPr>
                <w:sz w:val="20"/>
                <w:szCs w:val="20"/>
                <w:color w:val="auto"/>
              </w:rPr>
            </w:pPr>
            <w:r>
              <w:rPr>
                <w:rFonts w:ascii="Arial" w:cs="Arial" w:eastAsia="Arial" w:hAnsi="Arial"/>
                <w:sz w:val="16"/>
                <w:szCs w:val="16"/>
                <w:color w:val="auto"/>
              </w:rPr>
              <w:t>Convertible preferred stock warrant liability</w:t>
            </w:r>
          </w:p>
        </w:tc>
        <w:tc>
          <w:tcPr>
            <w:tcW w:w="3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8"/>
              <w:spacing w:after="0"/>
              <w:rPr>
                <w:sz w:val="20"/>
                <w:szCs w:val="20"/>
                <w:color w:val="auto"/>
              </w:rPr>
            </w:pPr>
            <w:r>
              <w:rPr>
                <w:rFonts w:ascii="Arial" w:cs="Arial" w:eastAsia="Arial" w:hAnsi="Arial"/>
                <w:sz w:val="16"/>
                <w:szCs w:val="16"/>
                <w:color w:val="auto"/>
              </w:rPr>
              <w:t>(3,828)</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 (3,828)</w:t>
            </w: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4040" w:type="dxa"/>
            <w:vAlign w:val="bottom"/>
            <w:tcBorders>
              <w:top w:val="single" w:sz="8" w:color="auto"/>
            </w:tcBorders>
          </w:tcPr>
          <w:p>
            <w:pPr>
              <w:spacing w:after="0"/>
              <w:rPr>
                <w:sz w:val="24"/>
                <w:szCs w:val="24"/>
                <w:color w:val="auto"/>
              </w:rPr>
            </w:pPr>
          </w:p>
        </w:tc>
        <w:tc>
          <w:tcPr>
            <w:tcW w:w="3020" w:type="dxa"/>
            <w:vAlign w:val="bottom"/>
            <w:tcBorders>
              <w:top w:val="single" w:sz="8" w:color="auto"/>
            </w:tcBorders>
            <w:gridSpan w:val="2"/>
          </w:tcPr>
          <w:p>
            <w:pPr>
              <w:jc w:val="right"/>
              <w:ind w:right="1740"/>
              <w:spacing w:after="0"/>
              <w:rPr>
                <w:sz w:val="20"/>
                <w:szCs w:val="20"/>
                <w:color w:val="auto"/>
              </w:rPr>
            </w:pPr>
            <w:r>
              <w:rPr>
                <w:rFonts w:ascii="Arial" w:cs="Arial" w:eastAsia="Arial" w:hAnsi="Arial"/>
                <w:sz w:val="16"/>
                <w:szCs w:val="16"/>
                <w:color w:val="auto"/>
              </w:rPr>
              <w:t>F-56</w:t>
            </w: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40" w:right="779" w:bottom="1440" w:gutter="0" w:footer="0" w:header="0"/>
        </w:sectPr>
      </w:pPr>
    </w:p>
    <w:bookmarkStart w:id="282" w:name="page283"/>
    <w:bookmarkEnd w:id="2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191770</wp:posOffset>
            </wp:positionV>
            <wp:extent cx="6569075" cy="158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32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5"/>
          </w:tcPr>
          <w:p>
            <w:pPr>
              <w:jc w:val="right"/>
              <w:ind w:right="100"/>
              <w:spacing w:after="0"/>
              <w:rPr>
                <w:sz w:val="20"/>
                <w:szCs w:val="20"/>
                <w:color w:val="auto"/>
              </w:rPr>
            </w:pPr>
            <w:r>
              <w:rPr>
                <w:rFonts w:ascii="Arial" w:cs="Arial" w:eastAsia="Arial" w:hAnsi="Arial"/>
                <w:sz w:val="16"/>
                <w:szCs w:val="16"/>
                <w:b w:val="1"/>
                <w:bCs w:val="1"/>
                <w:color w:val="auto"/>
              </w:rPr>
              <w:t>As of December 31, 2020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98"/>
              <w:spacing w:after="0" w:line="166" w:lineRule="exact"/>
              <w:rPr>
                <w:sz w:val="20"/>
                <w:szCs w:val="20"/>
                <w:color w:val="auto"/>
              </w:rPr>
            </w:pPr>
            <w:r>
              <w:rPr>
                <w:rFonts w:ascii="Arial" w:cs="Arial" w:eastAsia="Arial" w:hAnsi="Arial"/>
                <w:sz w:val="16"/>
                <w:szCs w:val="16"/>
                <w:b w:val="1"/>
                <w:bCs w:val="1"/>
                <w:color w:val="auto"/>
              </w:rPr>
              <w:t>Level</w:t>
            </w: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Level I</w:t>
            </w:r>
          </w:p>
        </w:tc>
        <w:tc>
          <w:tcPr>
            <w:tcW w:w="86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6"/>
                <w:szCs w:val="16"/>
                <w:b w:val="1"/>
                <w:bCs w:val="1"/>
                <w:color w:val="auto"/>
              </w:rPr>
              <w:t>Level II</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III</w:t>
            </w: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55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40" w:type="dxa"/>
            <w:vAlign w:val="bottom"/>
            <w:gridSpan w:val="2"/>
          </w:tcPr>
          <w:p>
            <w:pPr>
              <w:spacing w:after="0"/>
              <w:rPr>
                <w:sz w:val="20"/>
                <w:szCs w:val="20"/>
                <w:color w:val="auto"/>
              </w:rPr>
            </w:pPr>
            <w:r>
              <w:rPr>
                <w:rFonts w:ascii="Arial" w:cs="Arial" w:eastAsia="Arial" w:hAnsi="Arial"/>
                <w:sz w:val="16"/>
                <w:szCs w:val="16"/>
                <w:color w:val="auto"/>
              </w:rPr>
              <w:t>Money market securities</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8"/>
              <w:spacing w:after="0"/>
              <w:rPr>
                <w:sz w:val="20"/>
                <w:szCs w:val="20"/>
                <w:color w:val="auto"/>
              </w:rPr>
            </w:pPr>
            <w:r>
              <w:rPr>
                <w:rFonts w:ascii="Arial" w:cs="Arial" w:eastAsia="Arial" w:hAnsi="Arial"/>
                <w:sz w:val="16"/>
                <w:szCs w:val="16"/>
                <w:color w:val="auto"/>
              </w:rPr>
              <w:t>11,822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$11,822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Government securities</w:t>
            </w:r>
          </w:p>
        </w:tc>
        <w:tc>
          <w:tcPr>
            <w:tcW w:w="15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54,981</w:t>
            </w: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54,981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Pr>
          <w:p>
            <w:pPr>
              <w:ind w:left="180"/>
              <w:spacing w:after="0"/>
              <w:rPr>
                <w:sz w:val="20"/>
                <w:szCs w:val="20"/>
                <w:color w:val="auto"/>
              </w:rPr>
            </w:pPr>
            <w:r>
              <w:rPr>
                <w:rFonts w:ascii="Arial" w:cs="Arial" w:eastAsia="Arial" w:hAnsi="Arial"/>
                <w:sz w:val="16"/>
                <w:szCs w:val="16"/>
                <w:color w:val="auto"/>
              </w:rPr>
              <w:t>Total assets at fair value</w:t>
            </w:r>
          </w:p>
        </w:tc>
        <w:tc>
          <w:tcPr>
            <w:tcW w:w="158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640" w:type="dxa"/>
            <w:vAlign w:val="bottom"/>
          </w:tcPr>
          <w:p>
            <w:pPr>
              <w:jc w:val="right"/>
              <w:ind w:right="38"/>
              <w:spacing w:after="0"/>
              <w:rPr>
                <w:sz w:val="20"/>
                <w:szCs w:val="20"/>
                <w:color w:val="auto"/>
              </w:rPr>
            </w:pPr>
            <w:r>
              <w:rPr>
                <w:rFonts w:ascii="Arial" w:cs="Arial" w:eastAsia="Arial" w:hAnsi="Arial"/>
                <w:sz w:val="16"/>
                <w:szCs w:val="16"/>
                <w:color w:val="auto"/>
              </w:rPr>
              <w:t>11,822</w:t>
            </w:r>
          </w:p>
        </w:tc>
        <w:tc>
          <w:tcPr>
            <w:tcW w:w="220" w:type="dxa"/>
            <w:vAlign w:val="bottom"/>
          </w:tcPr>
          <w:p>
            <w:pPr>
              <w:jc w:val="right"/>
              <w:spacing w:after="0"/>
              <w:rPr>
                <w:sz w:val="20"/>
                <w:szCs w:val="20"/>
                <w:color w:val="auto"/>
              </w:rPr>
            </w:pPr>
            <w:r>
              <w:rPr>
                <w:rFonts w:ascii="Arial" w:cs="Arial" w:eastAsia="Arial" w:hAnsi="Arial"/>
                <w:sz w:val="16"/>
                <w:szCs w:val="16"/>
                <w:u w:val="single" w:color="auto"/>
                <w:color w:val="auto"/>
              </w:rPr>
              <w:t>$</w:t>
            </w:r>
          </w:p>
        </w:tc>
        <w:tc>
          <w:tcPr>
            <w:tcW w:w="640" w:type="dxa"/>
            <w:vAlign w:val="bottom"/>
          </w:tcPr>
          <w:p>
            <w:pPr>
              <w:jc w:val="right"/>
              <w:ind w:right="38"/>
              <w:spacing w:after="0"/>
              <w:rPr>
                <w:sz w:val="20"/>
                <w:szCs w:val="20"/>
                <w:color w:val="auto"/>
              </w:rPr>
            </w:pPr>
            <w:r>
              <w:rPr>
                <w:rFonts w:ascii="Arial" w:cs="Arial" w:eastAsia="Arial" w:hAnsi="Arial"/>
                <w:sz w:val="16"/>
                <w:szCs w:val="16"/>
                <w:color w:val="auto"/>
              </w:rPr>
              <w:t>54,981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66,803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5"/>
                <w:szCs w:val="5"/>
                <w:color w:val="auto"/>
              </w:rPr>
            </w:pPr>
          </w:p>
        </w:tc>
        <w:tc>
          <w:tcPr>
            <w:tcW w:w="55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spacing w:after="0"/>
              <w:rPr>
                <w:sz w:val="20"/>
                <w:szCs w:val="20"/>
                <w:color w:val="auto"/>
              </w:rPr>
            </w:pPr>
            <w:r>
              <w:rPr>
                <w:rFonts w:ascii="Arial" w:cs="Arial" w:eastAsia="Arial" w:hAnsi="Arial"/>
                <w:sz w:val="16"/>
                <w:szCs w:val="16"/>
                <w:color w:val="auto"/>
              </w:rPr>
              <w:t>Common stock warrant liability</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8"/>
              <w:spacing w:after="0"/>
              <w:rPr>
                <w:sz w:val="20"/>
                <w:szCs w:val="20"/>
                <w:color w:val="auto"/>
              </w:rPr>
            </w:pPr>
            <w:r>
              <w:rPr>
                <w:rFonts w:ascii="Arial" w:cs="Arial" w:eastAsia="Arial" w:hAnsi="Arial"/>
                <w:sz w:val="16"/>
                <w:szCs w:val="16"/>
                <w:color w:val="auto"/>
              </w:rPr>
              <w:t>(5,018)</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 (5,018)</w:t>
            </w:r>
          </w:p>
        </w:tc>
        <w:tc>
          <w:tcPr>
            <w:tcW w:w="0" w:type="dxa"/>
            <w:vAlign w:val="bottom"/>
          </w:tcPr>
          <w:p>
            <w:pPr>
              <w:spacing w:after="0"/>
              <w:rPr>
                <w:sz w:val="1"/>
                <w:szCs w:val="1"/>
                <w:color w:val="auto"/>
              </w:rPr>
            </w:pPr>
          </w:p>
        </w:tc>
      </w:tr>
      <w:tr>
        <w:trPr>
          <w:trHeight w:val="53"/>
        </w:trPr>
        <w:tc>
          <w:tcPr>
            <w:tcW w:w="5540" w:type="dxa"/>
            <w:vAlign w:val="bottom"/>
            <w:gridSpan w:val="2"/>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Redeemable convertible preferred stock warrant liability</w:t>
            </w: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(3,828)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520" w:type="dxa"/>
            <w:vAlign w:val="bottom"/>
          </w:tcPr>
          <w:p>
            <w:pPr>
              <w:ind w:left="180"/>
              <w:spacing w:after="0"/>
              <w:rPr>
                <w:sz w:val="20"/>
                <w:szCs w:val="20"/>
                <w:color w:val="auto"/>
              </w:rPr>
            </w:pPr>
            <w:r>
              <w:rPr>
                <w:rFonts w:ascii="Arial" w:cs="Arial" w:eastAsia="Arial" w:hAnsi="Arial"/>
                <w:sz w:val="16"/>
                <w:szCs w:val="16"/>
                <w:color w:val="auto"/>
              </w:rPr>
              <w:t>Total liabilities at fair value</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8"/>
              <w:spacing w:after="0"/>
              <w:rPr>
                <w:sz w:val="20"/>
                <w:szCs w:val="20"/>
                <w:color w:val="auto"/>
              </w:rPr>
            </w:pPr>
            <w:r>
              <w:rPr>
                <w:rFonts w:ascii="Arial" w:cs="Arial" w:eastAsia="Arial" w:hAnsi="Arial"/>
                <w:sz w:val="16"/>
                <w:szCs w:val="16"/>
                <w:color w:val="auto"/>
              </w:rPr>
              <w:t>(8,846)</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 (8,846)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right="80"/>
        <w:spacing w:after="0" w:line="249" w:lineRule="auto"/>
        <w:rPr>
          <w:sz w:val="20"/>
          <w:szCs w:val="20"/>
          <w:color w:val="auto"/>
        </w:rPr>
      </w:pPr>
      <w:r>
        <w:rPr>
          <w:rFonts w:ascii="Arial" w:cs="Arial" w:eastAsia="Arial" w:hAnsi="Arial"/>
          <w:sz w:val="16"/>
          <w:szCs w:val="16"/>
          <w:color w:val="auto"/>
        </w:rPr>
        <w:t>The Series W warrant fair value was determined by management, with input and assistance from a third-party valuation specialist, upon issuance and is revalued as of each reporting date. The valuation specialist utilized a Monte Carlo Simulation (“MCS”) under the income method utilizing assumptions and financial data prepared by the Company. This valuation approach uses a discounted cash flow (“DCF”) method to calculate the starting equity value of the Company based upon future cash flow generation. The starting equity value of the Company is determined utilizing significant unobservable inputs, including (1) forecasted financial projections for the next five years developed by management, (2) a terminal value assigned using an exit multiple method, and (3) a discount rate based on the weighted average cost of capital. Then a simulated equity value of the Company as of the expected exercise date is determined using the MCS method. The MCS inputs include: (1) the assumed amount of time until the exercise of the warrant, (2) the risk-free interest rate over the period until the assumed warrant exercise, (3) the assumed volatility in the value of the equity of the company, and (4) the starting equity value of the Company as determined from the discounted cash flow method. In order to determine the overall value of the warrant, the valuation specialists also simulate the payments for sales-based, operating and regulatory milestones based upon similar inputs to determine the expected overall purchase price of the Company. The net difference between the expected purchase price and the average simulated equity value determines the “option payoff”. Finally, management assigns a probability that the warrant will be exercised, which is applied to the present value of the “option payoff” to arrive at the recorded value reflected in the accompanying condensed consolidated financial statements.</w:t>
      </w:r>
    </w:p>
    <w:p>
      <w:pPr>
        <w:spacing w:after="0" w:line="282" w:lineRule="exact"/>
        <w:rPr>
          <w:sz w:val="20"/>
          <w:szCs w:val="20"/>
          <w:color w:val="auto"/>
        </w:rPr>
      </w:pPr>
    </w:p>
    <w:p>
      <w:pPr>
        <w:ind w:left="460" w:right="60"/>
        <w:spacing w:after="0" w:line="249" w:lineRule="auto"/>
        <w:rPr>
          <w:sz w:val="20"/>
          <w:szCs w:val="20"/>
          <w:color w:val="auto"/>
        </w:rPr>
      </w:pPr>
      <w:r>
        <w:rPr>
          <w:rFonts w:ascii="Arial" w:cs="Arial" w:eastAsia="Arial" w:hAnsi="Arial"/>
          <w:sz w:val="16"/>
          <w:szCs w:val="16"/>
          <w:color w:val="auto"/>
        </w:rPr>
        <w:t>The estimated fair value of the preferred stock warrants was determined by management, with input and assistance from a third-party valuation specialist, using a probability weighted expected return model/option pricing model (“PWERM/OPM”) hybrid valuation model. This method essentially utilizes a combination of market and income method approaches for each part of the calculation of enterprise value using assumptions and financial data prepared by the Company and combines them in a probabilistic manner. The valuation considers several future scenarios for the Company, each of which assumes a shareholder exit either through initial public offering (“IPO”), sale (“M&amp;A”) or dissolution. Based upon the current IPO market, M&amp;A values for private companies and the historical likelihood of dissolution or no exit, the Company concluded that the probabilities and time frames are reasonable. Implicit in the timing used in the application of the PWERM/OPM Hybrid Method is also the possibility of no exit. The option pricing model’s significant unobservable inputs included: (1) the assumed time until a liquidity event, (2) the risk-free interest rate over the period until the assumed liquidity event, (3) the assumed volatility in the value of the equity of the company (which corresponds to the model’s underlying asset volatility), (4) the enterprise value and preferred investment amount and (5) the key price points in the Company’s capital structure in terms of exit levels on the assumed liquidation date. A significant increase (decrease) in any of these inputs in isolation, particularly the estimated price of the Company’s preferred stock, would have resulted in a significantly higher (lower) fair value measurement.</w:t>
      </w:r>
    </w:p>
    <w:p>
      <w:pPr>
        <w:spacing w:after="0" w:line="130"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F-57</w:t>
      </w:r>
    </w:p>
    <w:p>
      <w:pPr>
        <w:sectPr>
          <w:pgSz w:w="11900" w:h="16838" w:orient="portrait"/>
          <w:cols w:equalWidth="0" w:num="1">
            <w:col w:w="10800"/>
          </w:cols>
          <w:pgMar w:left="320" w:top="441" w:right="779" w:bottom="1440" w:gutter="0" w:footer="0" w:header="0"/>
        </w:sectPr>
      </w:pPr>
    </w:p>
    <w:bookmarkStart w:id="283" w:name="page284"/>
    <w:bookmarkEnd w:id="2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940"/>
        <w:spacing w:after="0" w:line="265" w:lineRule="auto"/>
        <w:rPr>
          <w:sz w:val="20"/>
          <w:szCs w:val="20"/>
          <w:color w:val="auto"/>
        </w:rPr>
      </w:pPr>
      <w:r>
        <w:rPr>
          <w:rFonts w:ascii="Arial" w:cs="Arial" w:eastAsia="Arial" w:hAnsi="Arial"/>
          <w:sz w:val="16"/>
          <w:szCs w:val="16"/>
          <w:color w:val="auto"/>
        </w:rPr>
        <w:t>The following table sets forth changes in the estimated fair values for the Company’s warrant liabilities measured using significant unobservable inputs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53975</wp:posOffset>
            </wp:positionV>
            <wp:extent cx="6569075" cy="158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3480" w:type="dxa"/>
            <w:vAlign w:val="bottom"/>
            <w:gridSpan w:val="3"/>
          </w:tcPr>
          <w:p>
            <w:pPr>
              <w:ind w:left="1360"/>
              <w:spacing w:after="0"/>
              <w:rPr>
                <w:sz w:val="20"/>
                <w:szCs w:val="20"/>
                <w:color w:val="auto"/>
              </w:rPr>
            </w:pPr>
            <w:r>
              <w:rPr>
                <w:rFonts w:ascii="Arial" w:cs="Arial" w:eastAsia="Arial" w:hAnsi="Arial"/>
                <w:sz w:val="16"/>
                <w:szCs w:val="16"/>
                <w:b w:val="1"/>
                <w:bCs w:val="1"/>
                <w:color w:val="auto"/>
              </w:rPr>
              <w:t>Three months ended</w:t>
            </w:r>
          </w:p>
        </w:tc>
        <w:tc>
          <w:tcPr>
            <w:tcW w:w="8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Year ended</w:t>
            </w:r>
          </w:p>
        </w:tc>
      </w:tr>
      <w:tr>
        <w:trPr>
          <w:trHeight w:val="207"/>
        </w:trPr>
        <w:tc>
          <w:tcPr>
            <w:tcW w:w="48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March 31, 2021</w:t>
            </w:r>
          </w:p>
        </w:tc>
        <w:tc>
          <w:tcPr>
            <w:tcW w:w="206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December 31, 2020</w:t>
            </w:r>
          </w:p>
        </w:tc>
      </w:tr>
      <w:tr>
        <w:trPr>
          <w:trHeight w:val="183"/>
        </w:trPr>
        <w:tc>
          <w:tcPr>
            <w:tcW w:w="48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Beginning of period</w:t>
            </w:r>
          </w:p>
        </w:tc>
        <w:tc>
          <w:tcPr>
            <w:tcW w:w="1620" w:type="dxa"/>
            <w:vAlign w:val="bottom"/>
            <w:gridSpan w:val="2"/>
            <w:shd w:val="clear" w:color="auto" w:fill="CCEEFF"/>
          </w:tcPr>
          <w:p>
            <w:pPr>
              <w:ind w:left="1360"/>
              <w:spacing w:after="0" w:line="183" w:lineRule="exact"/>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418"/>
              <w:spacing w:after="0" w:line="183" w:lineRule="exact"/>
              <w:rPr>
                <w:sz w:val="20"/>
                <w:szCs w:val="20"/>
                <w:color w:val="auto"/>
              </w:rPr>
            </w:pPr>
            <w:r>
              <w:rPr>
                <w:rFonts w:ascii="Arial" w:cs="Arial" w:eastAsia="Arial" w:hAnsi="Arial"/>
                <w:sz w:val="16"/>
                <w:szCs w:val="16"/>
                <w:color w:val="auto"/>
              </w:rPr>
              <w:t>8,846</w:t>
            </w:r>
          </w:p>
        </w:tc>
        <w:tc>
          <w:tcPr>
            <w:tcW w:w="820" w:type="dxa"/>
            <w:vAlign w:val="bottom"/>
            <w:shd w:val="clear" w:color="auto" w:fill="CCEEFF"/>
          </w:tcPr>
          <w:p>
            <w:pPr>
              <w:ind w:left="460"/>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71,881</w:t>
            </w:r>
          </w:p>
        </w:tc>
        <w:tc>
          <w:tcPr>
            <w:tcW w:w="100" w:type="dxa"/>
            <w:vAlign w:val="bottom"/>
            <w:shd w:val="clear" w:color="auto" w:fill="CCEEFF"/>
          </w:tcPr>
          <w:p>
            <w:pPr>
              <w:spacing w:after="0"/>
              <w:rPr>
                <w:sz w:val="15"/>
                <w:szCs w:val="15"/>
                <w:color w:val="auto"/>
              </w:rPr>
            </w:pPr>
          </w:p>
        </w:tc>
      </w:tr>
      <w:tr>
        <w:trPr>
          <w:trHeight w:val="190"/>
        </w:trPr>
        <w:tc>
          <w:tcPr>
            <w:tcW w:w="4800" w:type="dxa"/>
            <w:vAlign w:val="bottom"/>
          </w:tcPr>
          <w:p>
            <w:pPr>
              <w:spacing w:after="0"/>
              <w:rPr>
                <w:sz w:val="20"/>
                <w:szCs w:val="20"/>
                <w:color w:val="auto"/>
              </w:rPr>
            </w:pPr>
            <w:r>
              <w:rPr>
                <w:rFonts w:ascii="Arial" w:cs="Arial" w:eastAsia="Arial" w:hAnsi="Arial"/>
                <w:sz w:val="16"/>
                <w:szCs w:val="16"/>
                <w:color w:val="auto"/>
              </w:rPr>
              <w:t>Exercise of preferred stock warrants</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(24)</w:t>
            </w:r>
          </w:p>
        </w:tc>
      </w:tr>
      <w:tr>
        <w:trPr>
          <w:trHeight w:val="190"/>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Expiration of common stock warrant</w:t>
            </w:r>
          </w:p>
        </w:tc>
        <w:tc>
          <w:tcPr>
            <w:tcW w:w="1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6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(5,018)</w:t>
            </w:r>
          </w:p>
        </w:tc>
        <w:tc>
          <w:tcPr>
            <w:tcW w:w="8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0"/>
        </w:trPr>
        <w:tc>
          <w:tcPr>
            <w:tcW w:w="4800" w:type="dxa"/>
            <w:vAlign w:val="bottom"/>
          </w:tcPr>
          <w:p>
            <w:pPr>
              <w:spacing w:after="0"/>
              <w:rPr>
                <w:sz w:val="20"/>
                <w:szCs w:val="20"/>
                <w:color w:val="auto"/>
              </w:rPr>
            </w:pPr>
            <w:r>
              <w:rPr>
                <w:rFonts w:ascii="Arial" w:cs="Arial" w:eastAsia="Arial" w:hAnsi="Arial"/>
                <w:sz w:val="16"/>
                <w:szCs w:val="16"/>
                <w:color w:val="auto"/>
              </w:rPr>
              <w:t>Change in fair value of common stock warrant</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(64,628)</w:t>
            </w:r>
          </w:p>
        </w:tc>
      </w:tr>
      <w:tr>
        <w:trPr>
          <w:trHeight w:val="190"/>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preferred stock warrants</w:t>
            </w:r>
          </w:p>
        </w:tc>
        <w:tc>
          <w:tcPr>
            <w:tcW w:w="13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860" w:type="dxa"/>
            <w:vAlign w:val="bottom"/>
            <w:tcBorders>
              <w:bottom w:val="single" w:sz="8" w:color="auto"/>
            </w:tcBorders>
            <w:shd w:val="clear" w:color="auto" w:fill="CCEEFF"/>
          </w:tcPr>
          <w:p>
            <w:pPr>
              <w:jc w:val="right"/>
              <w:ind w:right="418"/>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w:t>
            </w:r>
          </w:p>
        </w:tc>
        <w:tc>
          <w:tcPr>
            <w:tcW w:w="100" w:type="dxa"/>
            <w:vAlign w:val="bottom"/>
            <w:shd w:val="clear" w:color="auto" w:fill="CCEEFF"/>
          </w:tcPr>
          <w:p>
            <w:pPr>
              <w:spacing w:after="0"/>
              <w:rPr>
                <w:sz w:val="16"/>
                <w:szCs w:val="16"/>
                <w:color w:val="auto"/>
              </w:rPr>
            </w:pPr>
          </w:p>
        </w:tc>
      </w:tr>
      <w:tr>
        <w:trPr>
          <w:trHeight w:val="207"/>
        </w:trPr>
        <w:tc>
          <w:tcPr>
            <w:tcW w:w="4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End of year</w:t>
            </w:r>
          </w:p>
        </w:tc>
        <w:tc>
          <w:tcPr>
            <w:tcW w:w="1620" w:type="dxa"/>
            <w:vAlign w:val="bottom"/>
            <w:tcBorders>
              <w:bottom w:val="single" w:sz="8" w:color="auto"/>
            </w:tcBorders>
            <w:gridSpan w:val="2"/>
          </w:tcPr>
          <w:p>
            <w:pPr>
              <w:ind w:left="136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color w:val="auto"/>
              </w:rPr>
              <w:t>3,828</w:t>
            </w:r>
          </w:p>
        </w:tc>
        <w:tc>
          <w:tcPr>
            <w:tcW w:w="8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8,846</w:t>
            </w:r>
          </w:p>
        </w:tc>
        <w:tc>
          <w:tcPr>
            <w:tcW w:w="100" w:type="dxa"/>
            <w:vAlign w:val="bottom"/>
          </w:tcPr>
          <w:p>
            <w:pPr>
              <w:spacing w:after="0"/>
              <w:rPr>
                <w:sz w:val="17"/>
                <w:szCs w:val="17"/>
                <w:color w:val="auto"/>
              </w:rPr>
            </w:pPr>
          </w:p>
        </w:tc>
      </w:tr>
    </w:tbl>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carrying amount of the term loan approximated its fair value at March 31, 2021 and December 31, 2020.</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6 – Term loan</w:t>
      </w:r>
    </w:p>
    <w:p>
      <w:pPr>
        <w:spacing w:after="0" w:line="133" w:lineRule="exact"/>
        <w:rPr>
          <w:sz w:val="20"/>
          <w:szCs w:val="20"/>
          <w:color w:val="auto"/>
        </w:rPr>
      </w:pPr>
    </w:p>
    <w:p>
      <w:pPr>
        <w:ind w:left="460" w:right="40"/>
        <w:spacing w:after="0" w:line="252" w:lineRule="auto"/>
        <w:rPr>
          <w:sz w:val="20"/>
          <w:szCs w:val="20"/>
          <w:color w:val="auto"/>
        </w:rPr>
      </w:pPr>
      <w:r>
        <w:rPr>
          <w:rFonts w:ascii="Arial" w:cs="Arial" w:eastAsia="Arial" w:hAnsi="Arial"/>
          <w:sz w:val="16"/>
          <w:szCs w:val="16"/>
          <w:color w:val="auto"/>
        </w:rPr>
        <w:t>In October 2020, the Company entered into a loan facility (“Term Loan”) with an initial draw of $25 million. Proceeds were used to help fund the Company’s ongoing operations. As part of the Term Loan, the lender committed to providing further loans of up to $35 million to the Company at its election (or for one specific draw, upon occurrence of a revenue milestone) during various draw periods in the future, provided the Company is not in default at the time of the additional loan draws. In March 2021, the Company drew an additional $5 million from the facility for the purpose of funding ongoing operations.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2021 and December 31, 2020, the Company was in compliance with all covenants.</w:t>
      </w:r>
    </w:p>
    <w:p>
      <w:pPr>
        <w:spacing w:after="0" w:line="108" w:lineRule="exact"/>
        <w:rPr>
          <w:sz w:val="20"/>
          <w:szCs w:val="20"/>
          <w:color w:val="auto"/>
        </w:rPr>
      </w:pPr>
    </w:p>
    <w:p>
      <w:pPr>
        <w:ind w:left="460" w:right="80"/>
        <w:spacing w:after="0" w:line="265" w:lineRule="auto"/>
        <w:rPr>
          <w:sz w:val="20"/>
          <w:szCs w:val="20"/>
          <w:color w:val="auto"/>
        </w:rPr>
      </w:pPr>
      <w:r>
        <w:rPr>
          <w:rFonts w:ascii="Arial" w:cs="Arial" w:eastAsia="Arial" w:hAnsi="Arial"/>
          <w:sz w:val="16"/>
          <w:szCs w:val="16"/>
          <w:color w:val="auto"/>
        </w:rPr>
        <w:t>For the three months ended March 31, 2021, cash interest paid for all borrowings under the Term Loan was 9.25%. The effective interest rate during the same period was 11.29%.</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2021 annual principal payments due under the Term Loan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580" w:type="dxa"/>
            <w:vAlign w:val="bottom"/>
          </w:tcPr>
          <w:p>
            <w:pPr>
              <w:spacing w:after="0"/>
              <w:rPr>
                <w:sz w:val="20"/>
                <w:szCs w:val="20"/>
                <w:color w:val="auto"/>
              </w:rPr>
            </w:pPr>
            <w:r>
              <w:rPr>
                <w:rFonts w:ascii="Arial" w:cs="Arial" w:eastAsia="Arial" w:hAnsi="Arial"/>
                <w:sz w:val="16"/>
                <w:szCs w:val="16"/>
                <w:b w:val="1"/>
                <w:bCs w:val="1"/>
                <w:color w:val="auto"/>
              </w:rPr>
              <w:t>Year Ended December 31,</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0"/>
        </w:trPr>
        <w:tc>
          <w:tcPr>
            <w:tcW w:w="6580" w:type="dxa"/>
            <w:vAlign w:val="bottom"/>
            <w:shd w:val="clear" w:color="auto" w:fill="CCEEFF"/>
          </w:tcPr>
          <w:p>
            <w:pPr>
              <w:jc w:val="right"/>
              <w:ind w:right="5738"/>
              <w:spacing w:after="0"/>
              <w:rPr>
                <w:sz w:val="20"/>
                <w:szCs w:val="20"/>
                <w:color w:val="auto"/>
              </w:rPr>
            </w:pPr>
            <w:r>
              <w:rPr>
                <w:rFonts w:ascii="Arial" w:cs="Arial" w:eastAsia="Arial" w:hAnsi="Arial"/>
                <w:sz w:val="16"/>
                <w:szCs w:val="16"/>
                <w:color w:val="auto"/>
              </w:rPr>
              <w:t>2021</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0"/>
        </w:trPr>
        <w:tc>
          <w:tcPr>
            <w:tcW w:w="6580" w:type="dxa"/>
            <w:vAlign w:val="bottom"/>
          </w:tcPr>
          <w:p>
            <w:pPr>
              <w:jc w:val="right"/>
              <w:ind w:right="5738"/>
              <w:spacing w:after="0"/>
              <w:rPr>
                <w:sz w:val="20"/>
                <w:szCs w:val="20"/>
                <w:color w:val="auto"/>
              </w:rPr>
            </w:pPr>
            <w:r>
              <w:rPr>
                <w:rFonts w:ascii="Arial" w:cs="Arial" w:eastAsia="Arial" w:hAnsi="Arial"/>
                <w:sz w:val="16"/>
                <w:szCs w:val="16"/>
                <w:color w:val="auto"/>
              </w:rPr>
              <w:t>2022</w:t>
            </w: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0"/>
        </w:trPr>
        <w:tc>
          <w:tcPr>
            <w:tcW w:w="6580" w:type="dxa"/>
            <w:vAlign w:val="bottom"/>
            <w:shd w:val="clear" w:color="auto" w:fill="CCEEFF"/>
          </w:tcPr>
          <w:p>
            <w:pPr>
              <w:jc w:val="right"/>
              <w:ind w:right="5738"/>
              <w:spacing w:after="0"/>
              <w:rPr>
                <w:sz w:val="20"/>
                <w:szCs w:val="20"/>
                <w:color w:val="auto"/>
              </w:rPr>
            </w:pPr>
            <w:r>
              <w:rPr>
                <w:rFonts w:ascii="Arial" w:cs="Arial" w:eastAsia="Arial" w:hAnsi="Arial"/>
                <w:sz w:val="16"/>
                <w:szCs w:val="16"/>
                <w:color w:val="auto"/>
              </w:rPr>
              <w:t>2023</w:t>
            </w:r>
          </w:p>
        </w:tc>
        <w:tc>
          <w:tcPr>
            <w:tcW w:w="3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w:t>
            </w:r>
          </w:p>
        </w:tc>
        <w:tc>
          <w:tcPr>
            <w:tcW w:w="120" w:type="dxa"/>
            <w:vAlign w:val="bottom"/>
            <w:shd w:val="clear" w:color="auto" w:fill="CCEEFF"/>
          </w:tcPr>
          <w:p>
            <w:pPr>
              <w:spacing w:after="0"/>
              <w:rPr>
                <w:sz w:val="16"/>
                <w:szCs w:val="16"/>
                <w:color w:val="auto"/>
              </w:rPr>
            </w:pPr>
          </w:p>
        </w:tc>
      </w:tr>
      <w:tr>
        <w:trPr>
          <w:trHeight w:val="190"/>
        </w:trPr>
        <w:tc>
          <w:tcPr>
            <w:tcW w:w="6580" w:type="dxa"/>
            <w:vAlign w:val="bottom"/>
          </w:tcPr>
          <w:p>
            <w:pPr>
              <w:jc w:val="right"/>
              <w:ind w:right="5738"/>
              <w:spacing w:after="0"/>
              <w:rPr>
                <w:sz w:val="20"/>
                <w:szCs w:val="20"/>
                <w:color w:val="auto"/>
              </w:rPr>
            </w:pPr>
            <w:r>
              <w:rPr>
                <w:rFonts w:ascii="Arial" w:cs="Arial" w:eastAsia="Arial" w:hAnsi="Arial"/>
                <w:sz w:val="16"/>
                <w:szCs w:val="16"/>
                <w:color w:val="auto"/>
              </w:rPr>
              <w:t>2024</w:t>
            </w: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15,652</w:t>
            </w:r>
          </w:p>
        </w:tc>
        <w:tc>
          <w:tcPr>
            <w:tcW w:w="120" w:type="dxa"/>
            <w:vAlign w:val="bottom"/>
          </w:tcPr>
          <w:p>
            <w:pPr>
              <w:spacing w:after="0"/>
              <w:rPr>
                <w:sz w:val="16"/>
                <w:szCs w:val="16"/>
                <w:color w:val="auto"/>
              </w:rPr>
            </w:pPr>
          </w:p>
        </w:tc>
      </w:tr>
      <w:tr>
        <w:trPr>
          <w:trHeight w:val="190"/>
        </w:trPr>
        <w:tc>
          <w:tcPr>
            <w:tcW w:w="6580" w:type="dxa"/>
            <w:vAlign w:val="bottom"/>
            <w:shd w:val="clear" w:color="auto" w:fill="CCEEFF"/>
          </w:tcPr>
          <w:p>
            <w:pPr>
              <w:jc w:val="right"/>
              <w:ind w:right="5738"/>
              <w:spacing w:after="0"/>
              <w:rPr>
                <w:sz w:val="20"/>
                <w:szCs w:val="20"/>
                <w:color w:val="auto"/>
              </w:rPr>
            </w:pPr>
            <w:r>
              <w:rPr>
                <w:rFonts w:ascii="Arial" w:cs="Arial" w:eastAsia="Arial" w:hAnsi="Arial"/>
                <w:sz w:val="16"/>
                <w:szCs w:val="16"/>
                <w:color w:val="auto"/>
              </w:rPr>
              <w:t>2025</w:t>
            </w:r>
          </w:p>
        </w:tc>
        <w:tc>
          <w:tcPr>
            <w:tcW w:w="30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13,044</w:t>
            </w:r>
          </w:p>
        </w:tc>
        <w:tc>
          <w:tcPr>
            <w:tcW w:w="120" w:type="dxa"/>
            <w:vAlign w:val="bottom"/>
            <w:shd w:val="clear" w:color="auto" w:fill="CCEEFF"/>
          </w:tcPr>
          <w:p>
            <w:pPr>
              <w:spacing w:after="0"/>
              <w:rPr>
                <w:sz w:val="16"/>
                <w:szCs w:val="16"/>
                <w:color w:val="auto"/>
              </w:rPr>
            </w:pPr>
          </w:p>
        </w:tc>
      </w:tr>
      <w:tr>
        <w:trPr>
          <w:trHeight w:val="196"/>
        </w:trPr>
        <w:tc>
          <w:tcPr>
            <w:tcW w:w="6580" w:type="dxa"/>
            <w:vAlign w:val="bottom"/>
          </w:tcPr>
          <w:p>
            <w:pPr>
              <w:spacing w:after="0"/>
              <w:rPr>
                <w:sz w:val="20"/>
                <w:szCs w:val="20"/>
                <w:color w:val="auto"/>
              </w:rPr>
            </w:pPr>
            <w:r>
              <w:rPr>
                <w:rFonts w:ascii="Arial" w:cs="Arial" w:eastAsia="Arial" w:hAnsi="Arial"/>
                <w:sz w:val="16"/>
                <w:szCs w:val="16"/>
                <w:color w:val="auto"/>
              </w:rPr>
              <w:t>Total</w:t>
            </w: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17"/>
                <w:szCs w:val="17"/>
                <w:color w:val="auto"/>
              </w:rPr>
            </w:pPr>
          </w:p>
        </w:tc>
      </w:tr>
      <w:tr>
        <w:trPr>
          <w:trHeight w:val="190"/>
        </w:trPr>
        <w:tc>
          <w:tcPr>
            <w:tcW w:w="6580" w:type="dxa"/>
            <w:vAlign w:val="bottom"/>
            <w:shd w:val="clear" w:color="auto" w:fill="CCEEFF"/>
          </w:tcPr>
          <w:p>
            <w:pPr>
              <w:jc w:val="right"/>
              <w:ind w:right="2938"/>
              <w:spacing w:after="0"/>
              <w:rPr>
                <w:sz w:val="20"/>
                <w:szCs w:val="20"/>
                <w:color w:val="auto"/>
              </w:rPr>
            </w:pPr>
            <w:r>
              <w:rPr>
                <w:rFonts w:ascii="Arial" w:cs="Arial" w:eastAsia="Arial" w:hAnsi="Arial"/>
                <w:sz w:val="16"/>
                <w:szCs w:val="16"/>
                <w:color w:val="auto"/>
              </w:rPr>
              <w:t>Less: unamortized issuance costs and exit fee</w:t>
            </w:r>
          </w:p>
        </w:tc>
        <w:tc>
          <w:tcPr>
            <w:tcW w:w="3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(528)</w:t>
            </w:r>
          </w:p>
        </w:tc>
      </w:tr>
      <w:tr>
        <w:trPr>
          <w:trHeight w:val="207"/>
        </w:trPr>
        <w:tc>
          <w:tcPr>
            <w:tcW w:w="6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Term loan net</w:t>
            </w:r>
          </w:p>
        </w:tc>
        <w:tc>
          <w:tcPr>
            <w:tcW w:w="30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29,472</w:t>
            </w:r>
          </w:p>
        </w:tc>
        <w:tc>
          <w:tcPr>
            <w:tcW w:w="120" w:type="dxa"/>
            <w:vAlign w:val="bottom"/>
          </w:tcPr>
          <w:p>
            <w:pPr>
              <w:spacing w:after="0"/>
              <w:rPr>
                <w:sz w:val="17"/>
                <w:szCs w:val="17"/>
                <w:color w:val="auto"/>
              </w:rPr>
            </w:pPr>
          </w:p>
        </w:tc>
      </w:tr>
    </w:tbl>
    <w:p>
      <w:pPr>
        <w:spacing w:after="0" w:line="173"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7 – Common stock warrant liability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Warrant agreement and share purchase agreement</w:t>
      </w:r>
    </w:p>
    <w:p>
      <w:pPr>
        <w:spacing w:after="0" w:line="124" w:lineRule="exact"/>
        <w:rPr>
          <w:sz w:val="20"/>
          <w:szCs w:val="20"/>
          <w:color w:val="auto"/>
        </w:rPr>
      </w:pPr>
    </w:p>
    <w:p>
      <w:pPr>
        <w:ind w:left="460" w:right="60"/>
        <w:spacing w:after="0" w:line="253" w:lineRule="auto"/>
        <w:rPr>
          <w:sz w:val="20"/>
          <w:szCs w:val="20"/>
          <w:color w:val="auto"/>
        </w:rPr>
      </w:pPr>
      <w:r>
        <w:rPr>
          <w:rFonts w:ascii="Arial" w:cs="Arial" w:eastAsia="Arial" w:hAnsi="Arial"/>
          <w:sz w:val="16"/>
          <w:szCs w:val="16"/>
          <w:color w:val="auto"/>
        </w:rPr>
        <w:t>On October 12, 2017, the Company issued to a “Strategic Partner” a warrant to purchase Series W common stock (the “Warrant Agreement”) for a non-refundable payment of $60 million. This Series W common stock warrant (the “Series W Warrant”) had an initial expiration date of December 31, 2018 unless extended as provided for in the Warrant Agreement. On December 27, 2018, the Strategic Partner chose to extend the expiration date of the Series W Warrant, by making an additional non-refundable payment of $40 million, until</w:t>
      </w:r>
    </w:p>
    <w:p>
      <w:pPr>
        <w:spacing w:after="0" w:line="124"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F-58</w:t>
      </w:r>
    </w:p>
    <w:p>
      <w:pPr>
        <w:sectPr>
          <w:pgSz w:w="11900" w:h="16838" w:orient="portrait"/>
          <w:cols w:equalWidth="0" w:num="1">
            <w:col w:w="10800"/>
          </w:cols>
          <w:pgMar w:left="320" w:top="441" w:right="779" w:bottom="1440" w:gutter="0" w:footer="0" w:header="0"/>
        </w:sectPr>
      </w:pPr>
    </w:p>
    <w:bookmarkStart w:id="284" w:name="page285"/>
    <w:bookmarkEnd w:id="2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40"/>
        <w:spacing w:after="0" w:line="256" w:lineRule="auto"/>
        <w:rPr>
          <w:sz w:val="20"/>
          <w:szCs w:val="20"/>
          <w:color w:val="auto"/>
        </w:rPr>
      </w:pPr>
      <w:r>
        <w:rPr>
          <w:rFonts w:ascii="Arial" w:cs="Arial" w:eastAsia="Arial" w:hAnsi="Arial"/>
          <w:sz w:val="16"/>
          <w:szCs w:val="16"/>
          <w:color w:val="auto"/>
        </w:rPr>
        <w:t>the sooner of the achievement of performance milestones (as defined in the Warrant Agreement) or November 22, 2021. On March 18, 2020, the Company and the Strategic Partner signed an amendment to the Warrant Agreement that removed the milestone triggers for early exercise and changed the expiration date to March 31, 2021.</w:t>
      </w:r>
    </w:p>
    <w:p>
      <w:pPr>
        <w:spacing w:after="0" w:line="83" w:lineRule="exact"/>
        <w:rPr>
          <w:sz w:val="20"/>
          <w:szCs w:val="20"/>
          <w:color w:val="auto"/>
        </w:rPr>
      </w:pPr>
    </w:p>
    <w:p>
      <w:pPr>
        <w:ind w:left="460" w:right="20"/>
        <w:spacing w:after="0" w:line="248" w:lineRule="auto"/>
        <w:rPr>
          <w:sz w:val="20"/>
          <w:szCs w:val="20"/>
          <w:color w:val="auto"/>
        </w:rPr>
      </w:pPr>
      <w:r>
        <w:rPr>
          <w:rFonts w:ascii="Arial" w:cs="Arial" w:eastAsia="Arial" w:hAnsi="Arial"/>
          <w:sz w:val="16"/>
          <w:szCs w:val="16"/>
          <w:color w:val="auto"/>
        </w:rPr>
        <w:t>Concurrent with the Warrant Agreement, the Strategic Partner and the Company entered into a Share Purchase Agreement (the “Purchase Agreement”). Under the Purchase Agreement, the Strategic Partner purchased one share of the Company’s non-voting $0.001 par value per share Series G common stock for $0.01. Upon exercise of the Series W Warrant, the Strategic Partner would have received one share of voting, $0.001 par value, Series W common stock. Per the Warrant Agreement, the exercise price of the Series W Warrant was $630.0 million plus adjustments for the Company’s cash, working capital, indebtedness and transaction expenses, subject to an escrow holdback of</w:t>
      </w:r>
    </w:p>
    <w:p>
      <w:pPr>
        <w:ind w:left="460"/>
        <w:spacing w:after="0" w:line="251" w:lineRule="auto"/>
        <w:rPr>
          <w:sz w:val="20"/>
          <w:szCs w:val="20"/>
          <w:color w:val="auto"/>
        </w:rPr>
      </w:pPr>
      <w:r>
        <w:rPr>
          <w:rFonts w:ascii="Arial" w:cs="Arial" w:eastAsia="Arial" w:hAnsi="Arial"/>
          <w:sz w:val="16"/>
          <w:szCs w:val="16"/>
          <w:color w:val="auto"/>
        </w:rPr>
        <w:t>$92.0 million and a shareholder representative holdback of $500,000. The Warrant Agreement also provided for potential aggregate milestone payments of up to $827 million for various sales-based and operating milestones and $185 million for certain regulatory milestones, either at the time of the Series W Warrant’s exercise or at dates subsequent, as defined in the Warrant Agreement. Upon notice of exercise of the Series W Warrant by the Strategic Partner and receipt of the required funds, a Special Redemption, as defined in the Company’s Articles of Incorporation, would have triggered automatic redemption of all the Company’s outstanding capital instruments, except for the Series G common stock and Series W common stock, and the Strategic Partner would have acquired the Company.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Special redemption</w:t>
      </w:r>
    </w:p>
    <w:p>
      <w:pPr>
        <w:spacing w:after="0" w:line="124"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On October 25, 2017, the Company adopted the 12th Amended and Restated Articles of Incorporation (the “Amendment”). Under Article IV of the Amendment, if the Strategic Partner had exercised the Series W Warrant, an automatic redemption, conversion, termination and cancellation of all then outstanding shares of the Company’s capital stock, options and warrants would have occurred without any further action required. Immediately prior to the automatic redemption, all outstanding preferred shares would have converted to common shares, unvested stock options would have accelerated and became fully vested and all stock options would have terminated along with any preferred stock warrants outstanding. Shareholders, option holders and warrant holders would have had the right to receive the initial per share price less the strike price as defined in the Warrant Agreement. The Strategic Partner would have advanced (through an exchange agent) the funds to the Company, which would then have disbursed the funds to all shareholders, option holders and warrant holders. If the Series W Warrant was terminated or expired unexercised, Article IV of the Amendment would terminate and would be of no further force and effect.</w:t>
      </w:r>
    </w:p>
    <w:p>
      <w:pPr>
        <w:spacing w:after="0" w:line="88" w:lineRule="exact"/>
        <w:rPr>
          <w:sz w:val="20"/>
          <w:szCs w:val="20"/>
          <w:color w:val="auto"/>
        </w:rPr>
      </w:pPr>
    </w:p>
    <w:p>
      <w:pPr>
        <w:ind w:left="460"/>
        <w:spacing w:after="0" w:line="265" w:lineRule="auto"/>
        <w:rPr>
          <w:sz w:val="20"/>
          <w:szCs w:val="20"/>
          <w:color w:val="auto"/>
        </w:rPr>
      </w:pPr>
      <w:r>
        <w:rPr>
          <w:rFonts w:ascii="Arial" w:cs="Arial" w:eastAsia="Arial" w:hAnsi="Arial"/>
          <w:sz w:val="16"/>
          <w:szCs w:val="16"/>
          <w:color w:val="auto"/>
        </w:rPr>
        <w:t>In December 2020, management determined that exercise of the Series W Warrant was no longer probable, at which point further accretion to redemption value of common stock, preferred stock and stock options ceased.</w:t>
      </w:r>
    </w:p>
    <w:p>
      <w:pPr>
        <w:spacing w:after="0" w:line="75" w:lineRule="exact"/>
        <w:rPr>
          <w:sz w:val="20"/>
          <w:szCs w:val="20"/>
          <w:color w:val="auto"/>
        </w:rPr>
      </w:pPr>
    </w:p>
    <w:p>
      <w:pPr>
        <w:ind w:left="460" w:right="100"/>
        <w:spacing w:after="0" w:line="253" w:lineRule="auto"/>
        <w:rPr>
          <w:sz w:val="20"/>
          <w:szCs w:val="20"/>
          <w:color w:val="auto"/>
        </w:rPr>
      </w:pPr>
      <w:r>
        <w:rPr>
          <w:rFonts w:ascii="Arial" w:cs="Arial" w:eastAsia="Arial" w:hAnsi="Arial"/>
          <w:sz w:val="16"/>
          <w:szCs w:val="16"/>
          <w:color w:val="auto"/>
        </w:rPr>
        <w:t>On March 31, 2021, the Series W Warrant terminated as the Strategic Partner did not provide notice of exercise. A gain of $5.0 million was recorded on the expiration of the Series W Warrant in the accompanying condensed consolidated statements of operations and comprehensive loss for the three months ended March 31, 2021. Upon termination, amounts recorded in temporary equity for common stock and stock options were reclassified to common stock and additional paid-in capital within permanent equity as these instruments were no longer redeemable.</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8—Convertible preferred stock and stockholders’ deficit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Convertible preferred stock</w:t>
      </w:r>
    </w:p>
    <w:p>
      <w:pPr>
        <w:spacing w:after="0" w:line="124" w:lineRule="exact"/>
        <w:rPr>
          <w:sz w:val="20"/>
          <w:szCs w:val="20"/>
          <w:color w:val="auto"/>
        </w:rPr>
      </w:pPr>
    </w:p>
    <w:p>
      <w:pPr>
        <w:jc w:val="both"/>
        <w:ind w:left="460" w:right="120"/>
        <w:spacing w:after="0" w:line="256" w:lineRule="auto"/>
        <w:rPr>
          <w:sz w:val="20"/>
          <w:szCs w:val="20"/>
          <w:color w:val="auto"/>
        </w:rPr>
      </w:pPr>
      <w:r>
        <w:rPr>
          <w:rFonts w:ascii="Arial" w:cs="Arial" w:eastAsia="Arial" w:hAnsi="Arial"/>
          <w:sz w:val="16"/>
          <w:szCs w:val="16"/>
          <w:color w:val="auto"/>
        </w:rPr>
        <w:t>The Amendment authorized eight classes of preferred stock, Series A through F, the “Prior Preferred Stock” and Series G and H, the “Senior Preferred Stock”. All of the Company’s convertible preferred stock has been classified as temporary equity on the accompanying condensed consolidated balance sheets, as all such preferred stock is</w:t>
      </w:r>
    </w:p>
    <w:p>
      <w:pPr>
        <w:spacing w:after="0" w:line="121"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F-59</w:t>
      </w:r>
    </w:p>
    <w:p>
      <w:pPr>
        <w:sectPr>
          <w:pgSz w:w="11900" w:h="16838" w:orient="portrait"/>
          <w:cols w:equalWidth="0" w:num="1">
            <w:col w:w="10780"/>
          </w:cols>
          <w:pgMar w:left="320" w:top="441" w:right="799" w:bottom="1440" w:gutter="0" w:footer="0" w:header="0"/>
        </w:sectPr>
      </w:pPr>
    </w:p>
    <w:bookmarkStart w:id="285" w:name="page286"/>
    <w:bookmarkEnd w:id="2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60"/>
        <w:spacing w:after="0" w:line="251" w:lineRule="auto"/>
        <w:rPr>
          <w:sz w:val="20"/>
          <w:szCs w:val="20"/>
          <w:color w:val="auto"/>
        </w:rPr>
      </w:pPr>
      <w:r>
        <w:rPr>
          <w:rFonts w:ascii="Arial" w:cs="Arial" w:eastAsia="Arial" w:hAnsi="Arial"/>
          <w:sz w:val="16"/>
          <w:szCs w:val="16"/>
          <w:color w:val="auto"/>
        </w:rPr>
        <w:t>redeemable either at the option of the holder or upon an event outside the control of the Company (i.e., a change in control). The redeemable convertible preferred stock was previously redeemable per the Special Redemption (see Note 7) or upon certain change in control events (including liquidation, sale or transfer of control of the Company); however, all change in control events are outside of the Company’s control. In the event of the Special Redemption, the holders would have received redemption proceeds as defined in the Warrant Agreement. In the event of liquidation, holders of the convertible preferred stock may have the right to receive its liquidation preference under the terms of the Company’s Amendment.</w:t>
      </w:r>
    </w:p>
    <w:p>
      <w:pPr>
        <w:spacing w:after="0" w:line="88" w:lineRule="exact"/>
        <w:rPr>
          <w:sz w:val="20"/>
          <w:szCs w:val="20"/>
          <w:color w:val="auto"/>
        </w:rPr>
      </w:pPr>
    </w:p>
    <w:p>
      <w:pPr>
        <w:ind w:left="460" w:right="100"/>
        <w:spacing w:after="0" w:line="253" w:lineRule="auto"/>
        <w:rPr>
          <w:sz w:val="20"/>
          <w:szCs w:val="20"/>
          <w:color w:val="auto"/>
        </w:rPr>
      </w:pPr>
      <w:r>
        <w:rPr>
          <w:rFonts w:ascii="Arial" w:cs="Arial" w:eastAsia="Arial" w:hAnsi="Arial"/>
          <w:sz w:val="16"/>
          <w:szCs w:val="16"/>
          <w:color w:val="auto"/>
        </w:rPr>
        <w:t>As a result of management’s determination that the Special Redemption was probable, but not certain, the Company began accreting to the expected redemption value of the redeemable convertible preferred stock in October 2017. In December 2020, management determined that the Special Redemption was no longer probable, at which point accretion to redemption value ceased. As of March 31, 2021, the Series W Warrant expired unexercised and all redemption provisions of the Special Redemption lapsed.</w:t>
      </w:r>
    </w:p>
    <w:p>
      <w:pPr>
        <w:spacing w:after="0" w:line="86" w:lineRule="exact"/>
        <w:rPr>
          <w:sz w:val="20"/>
          <w:szCs w:val="20"/>
          <w:color w:val="auto"/>
        </w:rPr>
      </w:pPr>
    </w:p>
    <w:p>
      <w:pPr>
        <w:ind w:left="460" w:right="20"/>
        <w:spacing w:after="0" w:line="265" w:lineRule="auto"/>
        <w:rPr>
          <w:sz w:val="20"/>
          <w:szCs w:val="20"/>
          <w:color w:val="auto"/>
        </w:rPr>
      </w:pPr>
      <w:r>
        <w:rPr>
          <w:rFonts w:ascii="Arial" w:cs="Arial" w:eastAsia="Arial" w:hAnsi="Arial"/>
          <w:sz w:val="16"/>
          <w:szCs w:val="16"/>
          <w:color w:val="auto"/>
        </w:rPr>
        <w:t>The following table summarizes information related to issuance of the Company’s preferred stock (in thousands, except number of shares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53975</wp:posOffset>
            </wp:positionV>
            <wp:extent cx="6569075" cy="158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20" w:type="dxa"/>
            <w:vAlign w:val="bottom"/>
            <w:gridSpan w:val="6"/>
          </w:tcPr>
          <w:p>
            <w:pPr>
              <w:jc w:val="right"/>
              <w:ind w:right="60"/>
              <w:spacing w:after="0"/>
              <w:rPr>
                <w:sz w:val="20"/>
                <w:szCs w:val="20"/>
                <w:color w:val="auto"/>
              </w:rPr>
            </w:pPr>
            <w:r>
              <w:rPr>
                <w:rFonts w:ascii="Arial" w:cs="Arial" w:eastAsia="Arial" w:hAnsi="Arial"/>
                <w:sz w:val="16"/>
                <w:szCs w:val="16"/>
                <w:b w:val="1"/>
                <w:bCs w:val="1"/>
                <w:color w:val="auto"/>
              </w:rPr>
              <w:t>As of March 31, 2021 and December 31, 2020</w:t>
            </w:r>
          </w:p>
        </w:tc>
      </w:tr>
      <w:tr>
        <w:trPr>
          <w:trHeight w:val="166"/>
        </w:trPr>
        <w:tc>
          <w:tcPr>
            <w:tcW w:w="1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38"/>
              <w:spacing w:after="0" w:line="166" w:lineRule="exact"/>
              <w:rPr>
                <w:sz w:val="20"/>
                <w:szCs w:val="20"/>
                <w:color w:val="auto"/>
              </w:rPr>
            </w:pPr>
            <w:r>
              <w:rPr>
                <w:rFonts w:ascii="Arial" w:cs="Arial" w:eastAsia="Arial" w:hAnsi="Arial"/>
                <w:sz w:val="16"/>
                <w:szCs w:val="16"/>
                <w:b w:val="1"/>
                <w:bCs w:val="1"/>
                <w:color w:val="auto"/>
              </w:rPr>
              <w:t>Share</w:t>
            </w: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58"/>
              <w:spacing w:after="0" w:line="166" w:lineRule="exact"/>
              <w:rPr>
                <w:sz w:val="20"/>
                <w:szCs w:val="20"/>
                <w:color w:val="auto"/>
              </w:rPr>
            </w:pPr>
            <w:r>
              <w:rPr>
                <w:rFonts w:ascii="Arial" w:cs="Arial" w:eastAsia="Arial" w:hAnsi="Arial"/>
                <w:sz w:val="16"/>
                <w:szCs w:val="16"/>
                <w:b w:val="1"/>
                <w:bCs w:val="1"/>
                <w:color w:val="auto"/>
              </w:rPr>
              <w:t>Shares</w:t>
            </w: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6"/>
                <w:szCs w:val="16"/>
                <w:b w:val="1"/>
                <w:bCs w:val="1"/>
                <w:color w:val="auto"/>
              </w:rPr>
              <w:t>Carrying</w:t>
            </w:r>
          </w:p>
        </w:tc>
        <w:tc>
          <w:tcPr>
            <w:tcW w:w="40" w:type="dxa"/>
            <w:vAlign w:val="bottom"/>
          </w:tcPr>
          <w:p>
            <w:pPr>
              <w:spacing w:after="0"/>
              <w:rPr>
                <w:sz w:val="14"/>
                <w:szCs w:val="14"/>
                <w:color w:val="auto"/>
              </w:rPr>
            </w:pPr>
          </w:p>
        </w:tc>
      </w:tr>
      <w:tr>
        <w:trPr>
          <w:trHeight w:val="190"/>
        </w:trPr>
        <w:tc>
          <w:tcPr>
            <w:tcW w:w="1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jc w:val="right"/>
              <w:ind w:right="78"/>
              <w:spacing w:after="0"/>
              <w:rPr>
                <w:sz w:val="20"/>
                <w:szCs w:val="20"/>
                <w:color w:val="auto"/>
              </w:rPr>
            </w:pPr>
            <w:r>
              <w:rPr>
                <w:rFonts w:ascii="Arial" w:cs="Arial" w:eastAsia="Arial" w:hAnsi="Arial"/>
                <w:sz w:val="16"/>
                <w:szCs w:val="16"/>
                <w:b w:val="1"/>
                <w:bCs w:val="1"/>
                <w:color w:val="auto"/>
              </w:rPr>
              <w:t>Par</w:t>
            </w:r>
          </w:p>
        </w:tc>
        <w:tc>
          <w:tcPr>
            <w:tcW w:w="980" w:type="dxa"/>
            <w:vAlign w:val="bottom"/>
          </w:tcPr>
          <w:p>
            <w:pPr>
              <w:jc w:val="right"/>
              <w:ind w:right="38"/>
              <w:spacing w:after="0"/>
              <w:rPr>
                <w:sz w:val="20"/>
                <w:szCs w:val="20"/>
                <w:color w:val="auto"/>
              </w:rPr>
            </w:pPr>
            <w:r>
              <w:rPr>
                <w:rFonts w:ascii="Arial" w:cs="Arial" w:eastAsia="Arial" w:hAnsi="Arial"/>
                <w:sz w:val="16"/>
                <w:szCs w:val="16"/>
                <w:b w:val="1"/>
                <w:bCs w:val="1"/>
                <w:color w:val="auto"/>
              </w:rPr>
              <w:t>Date of</w:t>
            </w:r>
          </w:p>
        </w:tc>
        <w:tc>
          <w:tcPr>
            <w:tcW w:w="240" w:type="dxa"/>
            <w:vAlign w:val="bottom"/>
          </w:tcPr>
          <w:p>
            <w:pPr>
              <w:spacing w:after="0"/>
              <w:rPr>
                <w:sz w:val="16"/>
                <w:szCs w:val="16"/>
                <w:color w:val="auto"/>
              </w:rPr>
            </w:pPr>
          </w:p>
        </w:tc>
        <w:tc>
          <w:tcPr>
            <w:tcW w:w="720" w:type="dxa"/>
            <w:vAlign w:val="bottom"/>
          </w:tcPr>
          <w:p>
            <w:pPr>
              <w:jc w:val="right"/>
              <w:ind w:right="38"/>
              <w:spacing w:after="0"/>
              <w:rPr>
                <w:sz w:val="20"/>
                <w:szCs w:val="20"/>
                <w:color w:val="auto"/>
              </w:rPr>
            </w:pPr>
            <w:r>
              <w:rPr>
                <w:rFonts w:ascii="Arial" w:cs="Arial" w:eastAsia="Arial" w:hAnsi="Arial"/>
                <w:sz w:val="16"/>
                <w:szCs w:val="16"/>
                <w:b w:val="1"/>
                <w:bCs w:val="1"/>
                <w:color w:val="auto"/>
              </w:rPr>
              <w:t>price at</w:t>
            </w:r>
          </w:p>
        </w:tc>
        <w:tc>
          <w:tcPr>
            <w:tcW w:w="120" w:type="dxa"/>
            <w:vAlign w:val="bottom"/>
          </w:tcPr>
          <w:p>
            <w:pPr>
              <w:spacing w:after="0"/>
              <w:rPr>
                <w:sz w:val="16"/>
                <w:szCs w:val="16"/>
                <w:color w:val="auto"/>
              </w:rPr>
            </w:pPr>
          </w:p>
        </w:tc>
        <w:tc>
          <w:tcPr>
            <w:tcW w:w="1160" w:type="dxa"/>
            <w:vAlign w:val="bottom"/>
          </w:tcPr>
          <w:p>
            <w:pPr>
              <w:jc w:val="right"/>
              <w:ind w:right="38"/>
              <w:spacing w:after="0"/>
              <w:rPr>
                <w:sz w:val="20"/>
                <w:szCs w:val="20"/>
                <w:color w:val="auto"/>
              </w:rPr>
            </w:pPr>
            <w:r>
              <w:rPr>
                <w:rFonts w:ascii="Arial" w:cs="Arial" w:eastAsia="Arial" w:hAnsi="Arial"/>
                <w:sz w:val="16"/>
                <w:szCs w:val="16"/>
                <w:b w:val="1"/>
                <w:bCs w:val="1"/>
                <w:color w:val="auto"/>
              </w:rPr>
              <w:t>Shares</w:t>
            </w:r>
          </w:p>
        </w:tc>
        <w:tc>
          <w:tcPr>
            <w:tcW w:w="1400" w:type="dxa"/>
            <w:vAlign w:val="bottom"/>
          </w:tcPr>
          <w:p>
            <w:pPr>
              <w:jc w:val="right"/>
              <w:ind w:right="58"/>
              <w:spacing w:after="0"/>
              <w:rPr>
                <w:sz w:val="20"/>
                <w:szCs w:val="20"/>
                <w:color w:val="auto"/>
              </w:rPr>
            </w:pPr>
            <w:r>
              <w:rPr>
                <w:rFonts w:ascii="Arial" w:cs="Arial" w:eastAsia="Arial" w:hAnsi="Arial"/>
                <w:sz w:val="16"/>
                <w:szCs w:val="16"/>
                <w:b w:val="1"/>
                <w:bCs w:val="1"/>
                <w:color w:val="auto"/>
              </w:rPr>
              <w:t>issued and</w:t>
            </w: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Liquidation</w:t>
            </w:r>
          </w:p>
        </w:tc>
        <w:tc>
          <w:tcPr>
            <w:tcW w:w="32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value(2)</w:t>
            </w:r>
          </w:p>
        </w:tc>
      </w:tr>
      <w:tr>
        <w:trPr>
          <w:trHeight w:val="207"/>
        </w:trPr>
        <w:tc>
          <w:tcPr>
            <w:tcW w:w="1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value</w:t>
            </w: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issuance</w:t>
            </w: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issuance</w:t>
            </w:r>
          </w:p>
        </w:tc>
        <w:tc>
          <w:tcPr>
            <w:tcW w:w="128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6"/>
                <w:szCs w:val="16"/>
                <w:b w:val="1"/>
                <w:bCs w:val="1"/>
                <w:color w:val="auto"/>
              </w:rPr>
              <w:t>authorized(1)</w:t>
            </w:r>
          </w:p>
        </w:tc>
        <w:tc>
          <w:tcPr>
            <w:tcW w:w="14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outstanding(1)</w:t>
            </w:r>
          </w:p>
        </w:tc>
        <w:tc>
          <w:tcPr>
            <w:tcW w:w="114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6"/>
                <w:szCs w:val="16"/>
                <w:b w:val="1"/>
                <w:bCs w:val="1"/>
                <w:color w:val="auto"/>
              </w:rPr>
              <w:t>preference</w:t>
            </w: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share capital</w:t>
            </w:r>
          </w:p>
        </w:tc>
      </w:tr>
      <w:tr>
        <w:trPr>
          <w:trHeight w:val="183"/>
        </w:trPr>
        <w:tc>
          <w:tcPr>
            <w:tcW w:w="16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Series A</w:t>
            </w:r>
          </w:p>
        </w:tc>
        <w:tc>
          <w:tcPr>
            <w:tcW w:w="1720" w:type="dxa"/>
            <w:vAlign w:val="bottom"/>
            <w:gridSpan w:val="2"/>
            <w:shd w:val="clear" w:color="auto" w:fill="CCEEFF"/>
          </w:tcPr>
          <w:p>
            <w:pPr>
              <w:jc w:val="right"/>
              <w:ind w:right="78"/>
              <w:spacing w:after="0" w:line="183" w:lineRule="exact"/>
              <w:rPr>
                <w:sz w:val="20"/>
                <w:szCs w:val="20"/>
                <w:color w:val="auto"/>
              </w:rPr>
            </w:pPr>
            <w:r>
              <w:rPr>
                <w:rFonts w:ascii="Arial" w:cs="Arial" w:eastAsia="Arial" w:hAnsi="Arial"/>
                <w:sz w:val="16"/>
                <w:szCs w:val="16"/>
                <w:color w:val="auto"/>
              </w:rPr>
              <w:t>$0.001</w:t>
            </w:r>
          </w:p>
        </w:tc>
        <w:tc>
          <w:tcPr>
            <w:tcW w:w="980" w:type="dxa"/>
            <w:vAlign w:val="bottom"/>
            <w:shd w:val="clear" w:color="auto" w:fill="CCEEFF"/>
          </w:tcPr>
          <w:p>
            <w:pPr>
              <w:jc w:val="right"/>
              <w:ind w:right="38"/>
              <w:spacing w:after="0" w:line="183" w:lineRule="exact"/>
              <w:rPr>
                <w:sz w:val="20"/>
                <w:szCs w:val="20"/>
                <w:color w:val="auto"/>
              </w:rPr>
            </w:pPr>
            <w:r>
              <w:rPr>
                <w:rFonts w:ascii="Arial" w:cs="Arial" w:eastAsia="Arial" w:hAnsi="Arial"/>
                <w:sz w:val="16"/>
                <w:szCs w:val="16"/>
                <w:color w:val="auto"/>
              </w:rPr>
              <w:t>Feb-2000</w:t>
            </w:r>
          </w:p>
        </w:tc>
        <w:tc>
          <w:tcPr>
            <w:tcW w:w="240" w:type="dxa"/>
            <w:vAlign w:val="bottom"/>
            <w:shd w:val="clear" w:color="auto" w:fill="CCEEFF"/>
          </w:tcPr>
          <w:p>
            <w:pPr>
              <w:ind w:left="120"/>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8"/>
              <w:spacing w:after="0" w:line="183" w:lineRule="exact"/>
              <w:rPr>
                <w:sz w:val="20"/>
                <w:szCs w:val="20"/>
                <w:color w:val="auto"/>
              </w:rPr>
            </w:pPr>
            <w:r>
              <w:rPr>
                <w:rFonts w:ascii="Arial" w:cs="Arial" w:eastAsia="Arial" w:hAnsi="Arial"/>
                <w:sz w:val="16"/>
                <w:szCs w:val="16"/>
                <w:color w:val="auto"/>
              </w:rPr>
              <w:t>40.81</w:t>
            </w:r>
          </w:p>
        </w:tc>
        <w:tc>
          <w:tcPr>
            <w:tcW w:w="1280" w:type="dxa"/>
            <w:vAlign w:val="bottom"/>
            <w:gridSpan w:val="2"/>
            <w:shd w:val="clear" w:color="auto" w:fill="CCEEFF"/>
          </w:tcPr>
          <w:p>
            <w:pPr>
              <w:jc w:val="right"/>
              <w:ind w:right="38"/>
              <w:spacing w:after="0" w:line="183" w:lineRule="exact"/>
              <w:rPr>
                <w:sz w:val="20"/>
                <w:szCs w:val="20"/>
                <w:color w:val="auto"/>
              </w:rPr>
            </w:pPr>
            <w:r>
              <w:rPr>
                <w:rFonts w:ascii="Arial" w:cs="Arial" w:eastAsia="Arial" w:hAnsi="Arial"/>
                <w:sz w:val="16"/>
                <w:szCs w:val="16"/>
                <w:color w:val="auto"/>
              </w:rPr>
              <w:t>355,921</w:t>
            </w:r>
          </w:p>
        </w:tc>
        <w:tc>
          <w:tcPr>
            <w:tcW w:w="1400" w:type="dxa"/>
            <w:vAlign w:val="bottom"/>
            <w:shd w:val="clear" w:color="auto" w:fill="CCEEFF"/>
          </w:tcPr>
          <w:p>
            <w:pPr>
              <w:jc w:val="right"/>
              <w:ind w:right="58"/>
              <w:spacing w:after="0" w:line="183" w:lineRule="exact"/>
              <w:rPr>
                <w:sz w:val="20"/>
                <w:szCs w:val="20"/>
                <w:color w:val="auto"/>
              </w:rPr>
            </w:pPr>
            <w:r>
              <w:rPr>
                <w:rFonts w:ascii="Arial" w:cs="Arial" w:eastAsia="Arial" w:hAnsi="Arial"/>
                <w:sz w:val="16"/>
                <w:szCs w:val="16"/>
                <w:color w:val="auto"/>
              </w:rPr>
              <w:t>355,903</w:t>
            </w:r>
          </w:p>
        </w:tc>
        <w:tc>
          <w:tcPr>
            <w:tcW w:w="300" w:type="dxa"/>
            <w:vAlign w:val="bottom"/>
            <w:shd w:val="clear" w:color="auto" w:fill="CCEEFF"/>
          </w:tcPr>
          <w:p>
            <w:pPr>
              <w:ind w:left="120"/>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8"/>
              <w:spacing w:after="0" w:line="183" w:lineRule="exact"/>
              <w:rPr>
                <w:sz w:val="20"/>
                <w:szCs w:val="20"/>
                <w:color w:val="auto"/>
              </w:rPr>
            </w:pPr>
            <w:r>
              <w:rPr>
                <w:rFonts w:ascii="Arial" w:cs="Arial" w:eastAsia="Arial" w:hAnsi="Arial"/>
                <w:sz w:val="16"/>
                <w:szCs w:val="16"/>
                <w:color w:val="auto"/>
              </w:rPr>
              <w:t>14,523</w:t>
            </w:r>
          </w:p>
        </w:tc>
        <w:tc>
          <w:tcPr>
            <w:tcW w:w="320" w:type="dxa"/>
            <w:vAlign w:val="bottom"/>
            <w:shd w:val="clear" w:color="auto" w:fill="CCEEFF"/>
          </w:tcPr>
          <w:p>
            <w:pPr>
              <w:jc w:val="right"/>
              <w:ind w:right="38"/>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13,535</w:t>
            </w:r>
          </w:p>
        </w:tc>
        <w:tc>
          <w:tcPr>
            <w:tcW w:w="40" w:type="dxa"/>
            <w:vAlign w:val="bottom"/>
            <w:shd w:val="clear" w:color="auto" w:fill="CCEEFF"/>
          </w:tcPr>
          <w:p>
            <w:pPr>
              <w:spacing w:after="0"/>
              <w:rPr>
                <w:sz w:val="15"/>
                <w:szCs w:val="15"/>
                <w:color w:val="auto"/>
              </w:rPr>
            </w:pPr>
          </w:p>
        </w:tc>
      </w:tr>
      <w:tr>
        <w:trPr>
          <w:trHeight w:val="190"/>
        </w:trPr>
        <w:tc>
          <w:tcPr>
            <w:tcW w:w="1680" w:type="dxa"/>
            <w:vAlign w:val="bottom"/>
          </w:tcPr>
          <w:p>
            <w:pPr>
              <w:spacing w:after="0"/>
              <w:rPr>
                <w:sz w:val="20"/>
                <w:szCs w:val="20"/>
                <w:color w:val="auto"/>
              </w:rPr>
            </w:pPr>
            <w:r>
              <w:rPr>
                <w:rFonts w:ascii="Arial" w:cs="Arial" w:eastAsia="Arial" w:hAnsi="Arial"/>
                <w:sz w:val="16"/>
                <w:szCs w:val="16"/>
                <w:color w:val="auto"/>
              </w:rPr>
              <w:t>Series B</w:t>
            </w:r>
          </w:p>
        </w:tc>
        <w:tc>
          <w:tcPr>
            <w:tcW w:w="1720" w:type="dxa"/>
            <w:vAlign w:val="bottom"/>
            <w:gridSpan w:val="2"/>
          </w:tcPr>
          <w:p>
            <w:pPr>
              <w:jc w:val="right"/>
              <w:ind w:right="78"/>
              <w:spacing w:after="0"/>
              <w:rPr>
                <w:sz w:val="20"/>
                <w:szCs w:val="20"/>
                <w:color w:val="auto"/>
              </w:rPr>
            </w:pPr>
            <w:r>
              <w:rPr>
                <w:rFonts w:ascii="Arial" w:cs="Arial" w:eastAsia="Arial" w:hAnsi="Arial"/>
                <w:sz w:val="16"/>
                <w:szCs w:val="16"/>
                <w:color w:val="auto"/>
              </w:rPr>
              <w:t>$0.001</w:t>
            </w:r>
          </w:p>
        </w:tc>
        <w:tc>
          <w:tcPr>
            <w:tcW w:w="980" w:type="dxa"/>
            <w:vAlign w:val="bottom"/>
          </w:tcPr>
          <w:p>
            <w:pPr>
              <w:jc w:val="right"/>
              <w:ind w:right="38"/>
              <w:spacing w:after="0"/>
              <w:rPr>
                <w:sz w:val="20"/>
                <w:szCs w:val="20"/>
                <w:color w:val="auto"/>
              </w:rPr>
            </w:pPr>
            <w:r>
              <w:rPr>
                <w:rFonts w:ascii="Arial" w:cs="Arial" w:eastAsia="Arial" w:hAnsi="Arial"/>
                <w:sz w:val="16"/>
                <w:szCs w:val="16"/>
                <w:color w:val="auto"/>
              </w:rPr>
              <w:t>May-2003</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8"/>
              <w:spacing w:after="0"/>
              <w:rPr>
                <w:sz w:val="20"/>
                <w:szCs w:val="20"/>
                <w:color w:val="auto"/>
              </w:rPr>
            </w:pPr>
            <w:r>
              <w:rPr>
                <w:rFonts w:ascii="Arial" w:cs="Arial" w:eastAsia="Arial" w:hAnsi="Arial"/>
                <w:sz w:val="16"/>
                <w:szCs w:val="16"/>
                <w:color w:val="auto"/>
              </w:rPr>
              <w:t>9.07</w:t>
            </w:r>
          </w:p>
        </w:tc>
        <w:tc>
          <w:tcPr>
            <w:tcW w:w="1280" w:type="dxa"/>
            <w:vAlign w:val="bottom"/>
            <w:gridSpan w:val="2"/>
          </w:tcPr>
          <w:p>
            <w:pPr>
              <w:jc w:val="right"/>
              <w:ind w:right="38"/>
              <w:spacing w:after="0"/>
              <w:rPr>
                <w:sz w:val="20"/>
                <w:szCs w:val="20"/>
                <w:color w:val="auto"/>
              </w:rPr>
            </w:pPr>
            <w:r>
              <w:rPr>
                <w:rFonts w:ascii="Arial" w:cs="Arial" w:eastAsia="Arial" w:hAnsi="Arial"/>
                <w:sz w:val="16"/>
                <w:szCs w:val="16"/>
                <w:color w:val="auto"/>
              </w:rPr>
              <w:t>1,741,452</w:t>
            </w: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1,741,399</w:t>
            </w:r>
          </w:p>
        </w:tc>
        <w:tc>
          <w:tcPr>
            <w:tcW w:w="300" w:type="dxa"/>
            <w:vAlign w:val="bottom"/>
          </w:tcPr>
          <w:p>
            <w:pPr>
              <w:spacing w:after="0"/>
              <w:rPr>
                <w:sz w:val="16"/>
                <w:szCs w:val="16"/>
                <w:color w:val="auto"/>
              </w:rPr>
            </w:pPr>
          </w:p>
        </w:tc>
        <w:tc>
          <w:tcPr>
            <w:tcW w:w="840" w:type="dxa"/>
            <w:vAlign w:val="bottom"/>
          </w:tcPr>
          <w:p>
            <w:pPr>
              <w:jc w:val="right"/>
              <w:ind w:right="38"/>
              <w:spacing w:after="0"/>
              <w:rPr>
                <w:sz w:val="20"/>
                <w:szCs w:val="20"/>
                <w:color w:val="auto"/>
              </w:rPr>
            </w:pPr>
            <w:r>
              <w:rPr>
                <w:rFonts w:ascii="Arial" w:cs="Arial" w:eastAsia="Arial" w:hAnsi="Arial"/>
                <w:sz w:val="16"/>
                <w:szCs w:val="16"/>
                <w:color w:val="auto"/>
              </w:rPr>
              <w:t>15,795</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39,715</w:t>
            </w:r>
          </w:p>
        </w:tc>
        <w:tc>
          <w:tcPr>
            <w:tcW w:w="40" w:type="dxa"/>
            <w:vAlign w:val="bottom"/>
          </w:tcPr>
          <w:p>
            <w:pPr>
              <w:spacing w:after="0"/>
              <w:rPr>
                <w:sz w:val="16"/>
                <w:szCs w:val="16"/>
                <w:color w:val="auto"/>
              </w:rPr>
            </w:pPr>
          </w:p>
        </w:tc>
      </w:tr>
      <w:tr>
        <w:trPr>
          <w:trHeight w:val="190"/>
        </w:trPr>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Series C</w:t>
            </w:r>
          </w:p>
        </w:tc>
        <w:tc>
          <w:tcPr>
            <w:tcW w:w="172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$0.001</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Feb-2007</w:t>
            </w:r>
          </w:p>
        </w:tc>
        <w:tc>
          <w:tcPr>
            <w:tcW w:w="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12.92</w:t>
            </w:r>
          </w:p>
        </w:tc>
        <w:tc>
          <w:tcPr>
            <w:tcW w:w="128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1,168,344</w:t>
            </w:r>
          </w:p>
        </w:tc>
        <w:tc>
          <w:tcPr>
            <w:tcW w:w="14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1,168,311</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15,086</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28,136</w:t>
            </w:r>
          </w:p>
        </w:tc>
        <w:tc>
          <w:tcPr>
            <w:tcW w:w="40" w:type="dxa"/>
            <w:vAlign w:val="bottom"/>
            <w:shd w:val="clear" w:color="auto" w:fill="CCEEFF"/>
          </w:tcPr>
          <w:p>
            <w:pPr>
              <w:spacing w:after="0"/>
              <w:rPr>
                <w:sz w:val="16"/>
                <w:szCs w:val="16"/>
                <w:color w:val="auto"/>
              </w:rPr>
            </w:pPr>
          </w:p>
        </w:tc>
      </w:tr>
      <w:tr>
        <w:trPr>
          <w:trHeight w:val="190"/>
        </w:trPr>
        <w:tc>
          <w:tcPr>
            <w:tcW w:w="1680" w:type="dxa"/>
            <w:vAlign w:val="bottom"/>
          </w:tcPr>
          <w:p>
            <w:pPr>
              <w:spacing w:after="0"/>
              <w:rPr>
                <w:sz w:val="20"/>
                <w:szCs w:val="20"/>
                <w:color w:val="auto"/>
              </w:rPr>
            </w:pPr>
            <w:r>
              <w:rPr>
                <w:rFonts w:ascii="Arial" w:cs="Arial" w:eastAsia="Arial" w:hAnsi="Arial"/>
                <w:sz w:val="16"/>
                <w:szCs w:val="16"/>
                <w:color w:val="auto"/>
              </w:rPr>
              <w:t>Series D</w:t>
            </w:r>
          </w:p>
        </w:tc>
        <w:tc>
          <w:tcPr>
            <w:tcW w:w="1720" w:type="dxa"/>
            <w:vAlign w:val="bottom"/>
            <w:gridSpan w:val="2"/>
          </w:tcPr>
          <w:p>
            <w:pPr>
              <w:jc w:val="right"/>
              <w:ind w:right="78"/>
              <w:spacing w:after="0"/>
              <w:rPr>
                <w:sz w:val="20"/>
                <w:szCs w:val="20"/>
                <w:color w:val="auto"/>
              </w:rPr>
            </w:pPr>
            <w:r>
              <w:rPr>
                <w:rFonts w:ascii="Arial" w:cs="Arial" w:eastAsia="Arial" w:hAnsi="Arial"/>
                <w:sz w:val="16"/>
                <w:szCs w:val="16"/>
                <w:color w:val="auto"/>
              </w:rPr>
              <w:t>$0.001</w:t>
            </w:r>
          </w:p>
        </w:tc>
        <w:tc>
          <w:tcPr>
            <w:tcW w:w="980" w:type="dxa"/>
            <w:vAlign w:val="bottom"/>
          </w:tcPr>
          <w:p>
            <w:pPr>
              <w:jc w:val="right"/>
              <w:ind w:right="38"/>
              <w:spacing w:after="0"/>
              <w:rPr>
                <w:sz w:val="20"/>
                <w:szCs w:val="20"/>
                <w:color w:val="auto"/>
              </w:rPr>
            </w:pPr>
            <w:r>
              <w:rPr>
                <w:rFonts w:ascii="Arial" w:cs="Arial" w:eastAsia="Arial" w:hAnsi="Arial"/>
                <w:sz w:val="16"/>
                <w:szCs w:val="16"/>
                <w:color w:val="auto"/>
              </w:rPr>
              <w:t>Aug-2009</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8"/>
              <w:spacing w:after="0"/>
              <w:rPr>
                <w:sz w:val="20"/>
                <w:szCs w:val="20"/>
                <w:color w:val="auto"/>
              </w:rPr>
            </w:pPr>
            <w:r>
              <w:rPr>
                <w:rFonts w:ascii="Arial" w:cs="Arial" w:eastAsia="Arial" w:hAnsi="Arial"/>
                <w:sz w:val="16"/>
                <w:szCs w:val="16"/>
                <w:color w:val="auto"/>
              </w:rPr>
              <w:t>18.08</w:t>
            </w:r>
          </w:p>
        </w:tc>
        <w:tc>
          <w:tcPr>
            <w:tcW w:w="1280" w:type="dxa"/>
            <w:vAlign w:val="bottom"/>
            <w:gridSpan w:val="2"/>
          </w:tcPr>
          <w:p>
            <w:pPr>
              <w:jc w:val="right"/>
              <w:ind w:right="38"/>
              <w:spacing w:after="0"/>
              <w:rPr>
                <w:sz w:val="20"/>
                <w:szCs w:val="20"/>
                <w:color w:val="auto"/>
              </w:rPr>
            </w:pPr>
            <w:r>
              <w:rPr>
                <w:rFonts w:ascii="Arial" w:cs="Arial" w:eastAsia="Arial" w:hAnsi="Arial"/>
                <w:sz w:val="16"/>
                <w:szCs w:val="16"/>
                <w:color w:val="auto"/>
              </w:rPr>
              <w:t>663,808</w:t>
            </w: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663,728</w:t>
            </w:r>
          </w:p>
        </w:tc>
        <w:tc>
          <w:tcPr>
            <w:tcW w:w="300" w:type="dxa"/>
            <w:vAlign w:val="bottom"/>
          </w:tcPr>
          <w:p>
            <w:pPr>
              <w:spacing w:after="0"/>
              <w:rPr>
                <w:sz w:val="16"/>
                <w:szCs w:val="16"/>
                <w:color w:val="auto"/>
              </w:rPr>
            </w:pPr>
          </w:p>
        </w:tc>
        <w:tc>
          <w:tcPr>
            <w:tcW w:w="840" w:type="dxa"/>
            <w:vAlign w:val="bottom"/>
          </w:tcPr>
          <w:p>
            <w:pPr>
              <w:jc w:val="right"/>
              <w:ind w:right="38"/>
              <w:spacing w:after="0"/>
              <w:rPr>
                <w:sz w:val="20"/>
                <w:szCs w:val="20"/>
                <w:color w:val="auto"/>
              </w:rPr>
            </w:pPr>
            <w:r>
              <w:rPr>
                <w:rFonts w:ascii="Arial" w:cs="Arial" w:eastAsia="Arial" w:hAnsi="Arial"/>
                <w:sz w:val="16"/>
                <w:szCs w:val="16"/>
                <w:color w:val="auto"/>
              </w:rPr>
              <w:t>12,000</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18,503</w:t>
            </w:r>
          </w:p>
        </w:tc>
        <w:tc>
          <w:tcPr>
            <w:tcW w:w="40" w:type="dxa"/>
            <w:vAlign w:val="bottom"/>
          </w:tcPr>
          <w:p>
            <w:pPr>
              <w:spacing w:after="0"/>
              <w:rPr>
                <w:sz w:val="16"/>
                <w:szCs w:val="16"/>
                <w:color w:val="auto"/>
              </w:rPr>
            </w:pPr>
          </w:p>
        </w:tc>
      </w:tr>
      <w:tr>
        <w:trPr>
          <w:trHeight w:val="190"/>
        </w:trPr>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Series E</w:t>
            </w:r>
          </w:p>
        </w:tc>
        <w:tc>
          <w:tcPr>
            <w:tcW w:w="172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$0.001</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Oct-2011</w:t>
            </w:r>
          </w:p>
        </w:tc>
        <w:tc>
          <w:tcPr>
            <w:tcW w:w="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20.66</w:t>
            </w:r>
          </w:p>
        </w:tc>
        <w:tc>
          <w:tcPr>
            <w:tcW w:w="128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353,339</w:t>
            </w:r>
          </w:p>
        </w:tc>
        <w:tc>
          <w:tcPr>
            <w:tcW w:w="14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353,327</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7,300</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10,350</w:t>
            </w:r>
          </w:p>
        </w:tc>
        <w:tc>
          <w:tcPr>
            <w:tcW w:w="40" w:type="dxa"/>
            <w:vAlign w:val="bottom"/>
            <w:shd w:val="clear" w:color="auto" w:fill="CCEEFF"/>
          </w:tcPr>
          <w:p>
            <w:pPr>
              <w:spacing w:after="0"/>
              <w:rPr>
                <w:sz w:val="16"/>
                <w:szCs w:val="16"/>
                <w:color w:val="auto"/>
              </w:rPr>
            </w:pPr>
          </w:p>
        </w:tc>
      </w:tr>
      <w:tr>
        <w:trPr>
          <w:trHeight w:val="190"/>
        </w:trPr>
        <w:tc>
          <w:tcPr>
            <w:tcW w:w="1680" w:type="dxa"/>
            <w:vAlign w:val="bottom"/>
          </w:tcPr>
          <w:p>
            <w:pPr>
              <w:spacing w:after="0"/>
              <w:rPr>
                <w:sz w:val="20"/>
                <w:szCs w:val="20"/>
                <w:color w:val="auto"/>
              </w:rPr>
            </w:pPr>
            <w:r>
              <w:rPr>
                <w:rFonts w:ascii="Arial" w:cs="Arial" w:eastAsia="Arial" w:hAnsi="Arial"/>
                <w:sz w:val="16"/>
                <w:szCs w:val="16"/>
                <w:color w:val="auto"/>
              </w:rPr>
              <w:t>Series F</w:t>
            </w:r>
          </w:p>
        </w:tc>
        <w:tc>
          <w:tcPr>
            <w:tcW w:w="1720" w:type="dxa"/>
            <w:vAlign w:val="bottom"/>
            <w:gridSpan w:val="2"/>
          </w:tcPr>
          <w:p>
            <w:pPr>
              <w:jc w:val="right"/>
              <w:ind w:right="78"/>
              <w:spacing w:after="0"/>
              <w:rPr>
                <w:sz w:val="20"/>
                <w:szCs w:val="20"/>
                <w:color w:val="auto"/>
              </w:rPr>
            </w:pPr>
            <w:r>
              <w:rPr>
                <w:rFonts w:ascii="Arial" w:cs="Arial" w:eastAsia="Arial" w:hAnsi="Arial"/>
                <w:sz w:val="16"/>
                <w:szCs w:val="16"/>
                <w:color w:val="auto"/>
              </w:rPr>
              <w:t>$0.001</w:t>
            </w:r>
          </w:p>
        </w:tc>
        <w:tc>
          <w:tcPr>
            <w:tcW w:w="980" w:type="dxa"/>
            <w:vAlign w:val="bottom"/>
          </w:tcPr>
          <w:p>
            <w:pPr>
              <w:jc w:val="right"/>
              <w:ind w:right="38"/>
              <w:spacing w:after="0"/>
              <w:rPr>
                <w:sz w:val="20"/>
                <w:szCs w:val="20"/>
                <w:color w:val="auto"/>
              </w:rPr>
            </w:pPr>
            <w:r>
              <w:rPr>
                <w:rFonts w:ascii="Arial" w:cs="Arial" w:eastAsia="Arial" w:hAnsi="Arial"/>
                <w:sz w:val="16"/>
                <w:szCs w:val="16"/>
                <w:color w:val="auto"/>
              </w:rPr>
              <w:t>May-2012</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8"/>
              <w:spacing w:after="0"/>
              <w:rPr>
                <w:sz w:val="20"/>
                <w:szCs w:val="20"/>
                <w:color w:val="auto"/>
              </w:rPr>
            </w:pPr>
            <w:r>
              <w:rPr>
                <w:rFonts w:ascii="Arial" w:cs="Arial" w:eastAsia="Arial" w:hAnsi="Arial"/>
                <w:sz w:val="16"/>
                <w:szCs w:val="16"/>
                <w:color w:val="auto"/>
              </w:rPr>
              <w:t>25.83</w:t>
            </w:r>
          </w:p>
        </w:tc>
        <w:tc>
          <w:tcPr>
            <w:tcW w:w="1280" w:type="dxa"/>
            <w:vAlign w:val="bottom"/>
            <w:gridSpan w:val="2"/>
          </w:tcPr>
          <w:p>
            <w:pPr>
              <w:jc w:val="right"/>
              <w:ind w:right="38"/>
              <w:spacing w:after="0"/>
              <w:rPr>
                <w:sz w:val="20"/>
                <w:szCs w:val="20"/>
                <w:color w:val="auto"/>
              </w:rPr>
            </w:pPr>
            <w:r>
              <w:rPr>
                <w:rFonts w:ascii="Arial" w:cs="Arial" w:eastAsia="Arial" w:hAnsi="Arial"/>
                <w:sz w:val="16"/>
                <w:szCs w:val="16"/>
                <w:color w:val="auto"/>
              </w:rPr>
              <w:t>507,744</w:t>
            </w: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499,159</w:t>
            </w:r>
          </w:p>
        </w:tc>
        <w:tc>
          <w:tcPr>
            <w:tcW w:w="300" w:type="dxa"/>
            <w:vAlign w:val="bottom"/>
          </w:tcPr>
          <w:p>
            <w:pPr>
              <w:spacing w:after="0"/>
              <w:rPr>
                <w:sz w:val="16"/>
                <w:szCs w:val="16"/>
                <w:color w:val="auto"/>
              </w:rPr>
            </w:pPr>
          </w:p>
        </w:tc>
        <w:tc>
          <w:tcPr>
            <w:tcW w:w="840" w:type="dxa"/>
            <w:vAlign w:val="bottom"/>
          </w:tcPr>
          <w:p>
            <w:pPr>
              <w:jc w:val="right"/>
              <w:ind w:right="38"/>
              <w:spacing w:after="0"/>
              <w:rPr>
                <w:sz w:val="20"/>
                <w:szCs w:val="20"/>
                <w:color w:val="auto"/>
              </w:rPr>
            </w:pPr>
            <w:r>
              <w:rPr>
                <w:rFonts w:ascii="Arial" w:cs="Arial" w:eastAsia="Arial" w:hAnsi="Arial"/>
                <w:sz w:val="16"/>
                <w:szCs w:val="16"/>
                <w:color w:val="auto"/>
              </w:rPr>
              <w:t>12,891</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18,305</w:t>
            </w:r>
          </w:p>
        </w:tc>
        <w:tc>
          <w:tcPr>
            <w:tcW w:w="40" w:type="dxa"/>
            <w:vAlign w:val="bottom"/>
          </w:tcPr>
          <w:p>
            <w:pPr>
              <w:spacing w:after="0"/>
              <w:rPr>
                <w:sz w:val="16"/>
                <w:szCs w:val="16"/>
                <w:color w:val="auto"/>
              </w:rPr>
            </w:pPr>
          </w:p>
        </w:tc>
      </w:tr>
      <w:tr>
        <w:trPr>
          <w:trHeight w:val="190"/>
        </w:trPr>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Series G</w:t>
            </w:r>
          </w:p>
        </w:tc>
        <w:tc>
          <w:tcPr>
            <w:tcW w:w="172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$0.001</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Jun-2015</w:t>
            </w:r>
          </w:p>
        </w:tc>
        <w:tc>
          <w:tcPr>
            <w:tcW w:w="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12.40</w:t>
            </w:r>
          </w:p>
        </w:tc>
        <w:tc>
          <w:tcPr>
            <w:tcW w:w="128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5,832,685</w:t>
            </w:r>
          </w:p>
        </w:tc>
        <w:tc>
          <w:tcPr>
            <w:tcW w:w="14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5,788,878</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71,759</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135,682</w:t>
            </w:r>
          </w:p>
        </w:tc>
        <w:tc>
          <w:tcPr>
            <w:tcW w:w="40" w:type="dxa"/>
            <w:vAlign w:val="bottom"/>
            <w:shd w:val="clear" w:color="auto" w:fill="CCEEFF"/>
          </w:tcPr>
          <w:p>
            <w:pPr>
              <w:spacing w:after="0"/>
              <w:rPr>
                <w:sz w:val="16"/>
                <w:szCs w:val="16"/>
                <w:color w:val="auto"/>
              </w:rPr>
            </w:pPr>
          </w:p>
        </w:tc>
      </w:tr>
      <w:tr>
        <w:trPr>
          <w:trHeight w:val="196"/>
        </w:trPr>
        <w:tc>
          <w:tcPr>
            <w:tcW w:w="1680" w:type="dxa"/>
            <w:vAlign w:val="bottom"/>
          </w:tcPr>
          <w:p>
            <w:pPr>
              <w:spacing w:after="0"/>
              <w:rPr>
                <w:sz w:val="20"/>
                <w:szCs w:val="20"/>
                <w:color w:val="auto"/>
              </w:rPr>
            </w:pPr>
            <w:r>
              <w:rPr>
                <w:rFonts w:ascii="Arial" w:cs="Arial" w:eastAsia="Arial" w:hAnsi="Arial"/>
                <w:sz w:val="16"/>
                <w:szCs w:val="16"/>
                <w:color w:val="auto"/>
              </w:rPr>
              <w:t>Series H</w:t>
            </w:r>
          </w:p>
        </w:tc>
        <w:tc>
          <w:tcPr>
            <w:tcW w:w="1720" w:type="dxa"/>
            <w:vAlign w:val="bottom"/>
            <w:gridSpan w:val="2"/>
          </w:tcPr>
          <w:p>
            <w:pPr>
              <w:jc w:val="right"/>
              <w:ind w:right="78"/>
              <w:spacing w:after="0"/>
              <w:rPr>
                <w:sz w:val="20"/>
                <w:szCs w:val="20"/>
                <w:color w:val="auto"/>
              </w:rPr>
            </w:pPr>
            <w:r>
              <w:rPr>
                <w:rFonts w:ascii="Arial" w:cs="Arial" w:eastAsia="Arial" w:hAnsi="Arial"/>
                <w:sz w:val="16"/>
                <w:szCs w:val="16"/>
                <w:color w:val="auto"/>
              </w:rPr>
              <w:t>$0.001</w:t>
            </w:r>
          </w:p>
        </w:tc>
        <w:tc>
          <w:tcPr>
            <w:tcW w:w="980" w:type="dxa"/>
            <w:vAlign w:val="bottom"/>
          </w:tcPr>
          <w:p>
            <w:pPr>
              <w:jc w:val="right"/>
              <w:ind w:right="38"/>
              <w:spacing w:after="0"/>
              <w:rPr>
                <w:sz w:val="20"/>
                <w:szCs w:val="20"/>
                <w:color w:val="auto"/>
              </w:rPr>
            </w:pPr>
            <w:r>
              <w:rPr>
                <w:rFonts w:ascii="Arial" w:cs="Arial" w:eastAsia="Arial" w:hAnsi="Arial"/>
                <w:sz w:val="16"/>
                <w:szCs w:val="16"/>
                <w:color w:val="auto"/>
              </w:rPr>
              <w:t>Feb-2017</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8"/>
              <w:spacing w:after="0"/>
              <w:rPr>
                <w:sz w:val="20"/>
                <w:szCs w:val="20"/>
                <w:color w:val="auto"/>
              </w:rPr>
            </w:pPr>
            <w:r>
              <w:rPr>
                <w:rFonts w:ascii="Arial" w:cs="Arial" w:eastAsia="Arial" w:hAnsi="Arial"/>
                <w:sz w:val="16"/>
                <w:szCs w:val="16"/>
                <w:color w:val="auto"/>
              </w:rPr>
              <w:t>12.40</w:t>
            </w: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5,949,499</w:t>
            </w:r>
          </w:p>
        </w:tc>
        <w:tc>
          <w:tcPr>
            <w:tcW w:w="14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3,805,567</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47,174</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89,074</w:t>
            </w:r>
          </w:p>
        </w:tc>
        <w:tc>
          <w:tcPr>
            <w:tcW w:w="40" w:type="dxa"/>
            <w:vAlign w:val="bottom"/>
          </w:tcPr>
          <w:p>
            <w:pPr>
              <w:spacing w:after="0"/>
              <w:rPr>
                <w:sz w:val="17"/>
                <w:szCs w:val="17"/>
                <w:color w:val="auto"/>
              </w:rPr>
            </w:pPr>
          </w:p>
        </w:tc>
      </w:tr>
      <w:tr>
        <w:trPr>
          <w:trHeight w:val="190"/>
        </w:trPr>
        <w:tc>
          <w:tcPr>
            <w:tcW w:w="1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16,572,792</w:t>
            </w:r>
          </w:p>
        </w:tc>
        <w:tc>
          <w:tcPr>
            <w:tcW w:w="14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14,376,272</w:t>
            </w:r>
          </w:p>
        </w:tc>
        <w:tc>
          <w:tcPr>
            <w:tcW w:w="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196,528</w:t>
            </w:r>
          </w:p>
        </w:tc>
        <w:tc>
          <w:tcPr>
            <w:tcW w:w="3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353,300</w:t>
            </w:r>
          </w:p>
        </w:tc>
        <w:tc>
          <w:tcPr>
            <w:tcW w:w="40" w:type="dxa"/>
            <w:vAlign w:val="bottom"/>
            <w:shd w:val="clear" w:color="auto" w:fill="CCEEFF"/>
          </w:tcPr>
          <w:p>
            <w:pPr>
              <w:spacing w:after="0"/>
              <w:rPr>
                <w:sz w:val="16"/>
                <w:szCs w:val="16"/>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3" w:lineRule="exact"/>
        <w:rPr>
          <w:sz w:val="20"/>
          <w:szCs w:val="20"/>
          <w:color w:val="auto"/>
        </w:rPr>
      </w:pPr>
    </w:p>
    <w:p>
      <w:pPr>
        <w:ind w:left="760" w:hanging="309"/>
        <w:spacing w:after="0"/>
        <w:tabs>
          <w:tab w:leader="none" w:pos="76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The shares authorized, issued and outstanding do not reflect any anti-dilution provisions of Series C, Series D, Series E and Series F as a result of the Series G financing.</w:t>
      </w:r>
    </w:p>
    <w:p>
      <w:pPr>
        <w:spacing w:after="0" w:line="53" w:lineRule="exact"/>
        <w:rPr>
          <w:rFonts w:ascii="Arial" w:cs="Arial" w:eastAsia="Arial" w:hAnsi="Arial"/>
          <w:sz w:val="13"/>
          <w:szCs w:val="13"/>
          <w:color w:val="auto"/>
        </w:rPr>
      </w:pPr>
    </w:p>
    <w:p>
      <w:pPr>
        <w:ind w:left="760" w:right="20" w:hanging="309"/>
        <w:spacing w:after="0" w:line="234" w:lineRule="auto"/>
        <w:tabs>
          <w:tab w:leader="none" w:pos="76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The carrying value reflects the gross proceeds received from the sale of the preferred stock less issuance costs and the fair value at issuance of preferred stock warrants classified as a liability, plus accretion of redemption value.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Common stock</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share of common stock is entitled to one vote. Common stock reserved for future issuance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1100" w:type="dxa"/>
            <w:vAlign w:val="bottom"/>
          </w:tcPr>
          <w:p>
            <w:pPr>
              <w:jc w:val="right"/>
              <w:ind w:right="58"/>
              <w:spacing w:after="0"/>
              <w:rPr>
                <w:sz w:val="20"/>
                <w:szCs w:val="20"/>
                <w:color w:val="auto"/>
              </w:rPr>
            </w:pPr>
            <w:r>
              <w:rPr>
                <w:rFonts w:ascii="Arial" w:cs="Arial" w:eastAsia="Arial" w:hAnsi="Arial"/>
                <w:sz w:val="16"/>
                <w:szCs w:val="16"/>
                <w:b w:val="1"/>
                <w:bCs w:val="1"/>
                <w:color w:val="auto"/>
              </w:rPr>
              <w:t>March 31,</w:t>
            </w:r>
          </w:p>
        </w:tc>
        <w:tc>
          <w:tcPr>
            <w:tcW w:w="128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w:t>
            </w:r>
          </w:p>
        </w:tc>
      </w:tr>
      <w:tr>
        <w:trPr>
          <w:trHeight w:val="207"/>
        </w:trPr>
        <w:tc>
          <w:tcPr>
            <w:tcW w:w="79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2021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auto"/>
            </w:tcBorders>
          </w:tcPr>
          <w:p>
            <w:pPr>
              <w:spacing w:after="0"/>
              <w:rPr>
                <w:sz w:val="18"/>
                <w:szCs w:val="18"/>
                <w:color w:val="auto"/>
              </w:rPr>
            </w:pPr>
          </w:p>
        </w:tc>
      </w:tr>
      <w:tr>
        <w:trPr>
          <w:trHeight w:val="183"/>
        </w:trPr>
        <w:tc>
          <w:tcPr>
            <w:tcW w:w="79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Conversion of preferred stock</w:t>
            </w:r>
          </w:p>
        </w:tc>
        <w:tc>
          <w:tcPr>
            <w:tcW w:w="1100" w:type="dxa"/>
            <w:vAlign w:val="bottom"/>
            <w:shd w:val="clear" w:color="auto" w:fill="CCEEFF"/>
          </w:tcPr>
          <w:p>
            <w:pPr>
              <w:jc w:val="right"/>
              <w:ind w:right="58"/>
              <w:spacing w:after="0" w:line="183" w:lineRule="exact"/>
              <w:rPr>
                <w:sz w:val="20"/>
                <w:szCs w:val="20"/>
                <w:color w:val="auto"/>
              </w:rPr>
            </w:pPr>
            <w:r>
              <w:rPr>
                <w:rFonts w:ascii="Arial" w:cs="Arial" w:eastAsia="Arial" w:hAnsi="Arial"/>
                <w:sz w:val="16"/>
                <w:szCs w:val="16"/>
                <w:color w:val="auto"/>
              </w:rPr>
              <w:t>14,850,993</w:t>
            </w:r>
          </w:p>
        </w:tc>
        <w:tc>
          <w:tcPr>
            <w:tcW w:w="12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14,851,007</w:t>
            </w:r>
          </w:p>
        </w:tc>
        <w:tc>
          <w:tcPr>
            <w:tcW w:w="60" w:type="dxa"/>
            <w:vAlign w:val="bottom"/>
            <w:shd w:val="clear" w:color="auto" w:fill="CCEEFF"/>
          </w:tcPr>
          <w:p>
            <w:pPr>
              <w:spacing w:after="0"/>
              <w:rPr>
                <w:sz w:val="15"/>
                <w:szCs w:val="15"/>
                <w:color w:val="auto"/>
              </w:rPr>
            </w:pPr>
          </w:p>
        </w:tc>
      </w:tr>
      <w:tr>
        <w:trPr>
          <w:trHeight w:val="190"/>
        </w:trPr>
        <w:tc>
          <w:tcPr>
            <w:tcW w:w="7960" w:type="dxa"/>
            <w:vAlign w:val="bottom"/>
          </w:tcPr>
          <w:p>
            <w:pPr>
              <w:spacing w:after="0"/>
              <w:rPr>
                <w:sz w:val="20"/>
                <w:szCs w:val="20"/>
                <w:color w:val="auto"/>
              </w:rPr>
            </w:pPr>
            <w:r>
              <w:rPr>
                <w:rFonts w:ascii="Arial" w:cs="Arial" w:eastAsia="Arial" w:hAnsi="Arial"/>
                <w:sz w:val="16"/>
                <w:szCs w:val="16"/>
                <w:color w:val="auto"/>
              </w:rPr>
              <w:t>Preferred stock warrants</w:t>
            </w:r>
          </w:p>
        </w:tc>
        <w:tc>
          <w:tcPr>
            <w:tcW w:w="1100" w:type="dxa"/>
            <w:vAlign w:val="bottom"/>
          </w:tcPr>
          <w:p>
            <w:pPr>
              <w:jc w:val="right"/>
              <w:ind w:right="58"/>
              <w:spacing w:after="0"/>
              <w:rPr>
                <w:sz w:val="20"/>
                <w:szCs w:val="20"/>
                <w:color w:val="auto"/>
              </w:rPr>
            </w:pPr>
            <w:r>
              <w:rPr>
                <w:rFonts w:ascii="Arial" w:cs="Arial" w:eastAsia="Arial" w:hAnsi="Arial"/>
                <w:sz w:val="16"/>
                <w:szCs w:val="16"/>
                <w:color w:val="auto"/>
              </w:rPr>
              <w:t>225,945</w:t>
            </w:r>
          </w:p>
        </w:tc>
        <w:tc>
          <w:tcPr>
            <w:tcW w:w="1220" w:type="dxa"/>
            <w:vAlign w:val="bottom"/>
          </w:tcPr>
          <w:p>
            <w:pPr>
              <w:jc w:val="right"/>
              <w:spacing w:after="0"/>
              <w:rPr>
                <w:sz w:val="20"/>
                <w:szCs w:val="20"/>
                <w:color w:val="auto"/>
              </w:rPr>
            </w:pPr>
            <w:r>
              <w:rPr>
                <w:rFonts w:ascii="Arial" w:cs="Arial" w:eastAsia="Arial" w:hAnsi="Arial"/>
                <w:sz w:val="16"/>
                <w:szCs w:val="16"/>
                <w:color w:val="auto"/>
              </w:rPr>
              <w:t>225,945</w:t>
            </w:r>
          </w:p>
        </w:tc>
        <w:tc>
          <w:tcPr>
            <w:tcW w:w="60" w:type="dxa"/>
            <w:vAlign w:val="bottom"/>
          </w:tcPr>
          <w:p>
            <w:pPr>
              <w:spacing w:after="0"/>
              <w:rPr>
                <w:sz w:val="16"/>
                <w:szCs w:val="16"/>
                <w:color w:val="auto"/>
              </w:rPr>
            </w:pPr>
          </w:p>
        </w:tc>
      </w:tr>
      <w:tr>
        <w:trPr>
          <w:trHeight w:val="190"/>
        </w:trPr>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Common stock warrant</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0</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6"/>
                <w:szCs w:val="16"/>
                <w:color w:val="auto"/>
              </w:rPr>
            </w:pPr>
          </w:p>
        </w:tc>
      </w:tr>
      <w:tr>
        <w:trPr>
          <w:trHeight w:val="196"/>
        </w:trPr>
        <w:tc>
          <w:tcPr>
            <w:tcW w:w="7960" w:type="dxa"/>
            <w:vAlign w:val="bottom"/>
          </w:tcPr>
          <w:p>
            <w:pPr>
              <w:spacing w:after="0"/>
              <w:rPr>
                <w:sz w:val="20"/>
                <w:szCs w:val="20"/>
                <w:color w:val="auto"/>
              </w:rPr>
            </w:pPr>
            <w:r>
              <w:rPr>
                <w:rFonts w:ascii="Arial" w:cs="Arial" w:eastAsia="Arial" w:hAnsi="Arial"/>
                <w:sz w:val="16"/>
                <w:szCs w:val="16"/>
                <w:color w:val="auto"/>
              </w:rPr>
              <w:t>Stock options issued and outstanding under the 2006 and 2015 plans</w:t>
            </w:r>
          </w:p>
        </w:tc>
        <w:tc>
          <w:tcPr>
            <w:tcW w:w="11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4,623,643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4,201,935</w:t>
            </w:r>
          </w:p>
        </w:tc>
        <w:tc>
          <w:tcPr>
            <w:tcW w:w="60" w:type="dxa"/>
            <w:vAlign w:val="bottom"/>
          </w:tcPr>
          <w:p>
            <w:pPr>
              <w:spacing w:after="0"/>
              <w:rPr>
                <w:sz w:val="17"/>
                <w:szCs w:val="17"/>
                <w:color w:val="auto"/>
              </w:rPr>
            </w:pPr>
          </w:p>
        </w:tc>
      </w:tr>
      <w:tr>
        <w:trPr>
          <w:trHeight w:val="190"/>
        </w:trPr>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Total shares of common stock reserved</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19,700,581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19,278,888</w:t>
            </w:r>
          </w:p>
        </w:tc>
        <w:tc>
          <w:tcPr>
            <w:tcW w:w="60" w:type="dxa"/>
            <w:vAlign w:val="bottom"/>
            <w:shd w:val="clear" w:color="auto" w:fill="CCEEFF"/>
          </w:tcPr>
          <w:p>
            <w:pPr>
              <w:spacing w:after="0"/>
              <w:rPr>
                <w:sz w:val="16"/>
                <w:szCs w:val="16"/>
                <w:color w:val="auto"/>
              </w:rPr>
            </w:pP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5"/>
        </w:trPr>
        <w:tc>
          <w:tcPr>
            <w:tcW w:w="7960" w:type="dxa"/>
            <w:vAlign w:val="bottom"/>
          </w:tcPr>
          <w:p>
            <w:pPr>
              <w:ind w:left="5000"/>
              <w:spacing w:after="0"/>
              <w:rPr>
                <w:sz w:val="20"/>
                <w:szCs w:val="20"/>
                <w:color w:val="auto"/>
              </w:rPr>
            </w:pPr>
            <w:r>
              <w:rPr>
                <w:rFonts w:ascii="Arial" w:cs="Arial" w:eastAsia="Arial" w:hAnsi="Arial"/>
                <w:sz w:val="16"/>
                <w:szCs w:val="16"/>
                <w:color w:val="auto"/>
              </w:rPr>
              <w:t>F-60</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00"/>
          </w:cols>
          <w:pgMar w:left="320" w:top="441" w:right="779" w:bottom="1440" w:gutter="0" w:footer="0" w:header="0"/>
        </w:sectPr>
      </w:pPr>
    </w:p>
    <w:bookmarkStart w:id="286" w:name="page287"/>
    <w:bookmarkEnd w:id="2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9—Stock-based compensation expense</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2021 and December 31, 2020, the Company had two stock-based incentive compensation plans, the Calhoun Vision, Inc.</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2015 Equity Incentive Plan and the Calhoun Vision, Inc. 2006 Stock Plan (collectively the “Plans”).</w:t>
      </w:r>
    </w:p>
    <w:p>
      <w:pPr>
        <w:spacing w:after="0" w:line="108" w:lineRule="exact"/>
        <w:rPr>
          <w:sz w:val="20"/>
          <w:szCs w:val="20"/>
          <w:color w:val="auto"/>
        </w:rPr>
      </w:pPr>
    </w:p>
    <w:p>
      <w:pPr>
        <w:ind w:left="460"/>
        <w:spacing w:after="0" w:line="251" w:lineRule="auto"/>
        <w:rPr>
          <w:sz w:val="20"/>
          <w:szCs w:val="20"/>
          <w:color w:val="auto"/>
        </w:rPr>
      </w:pPr>
      <w:r>
        <w:rPr>
          <w:rFonts w:ascii="Arial" w:cs="Arial" w:eastAsia="Arial" w:hAnsi="Arial"/>
          <w:sz w:val="16"/>
          <w:szCs w:val="16"/>
          <w:color w:val="auto"/>
        </w:rPr>
        <w:t>Option awards are generally granted with an exercise price of no less than 100% of estimated fair market value on the date of grant. Time based awards generally vest over four years as follows: one fourth of the total number of shares vest and become exercisable on the one-year anniversary; 1/48th of the total number of shares subject to the option vest and become exercisable on each monthly anniversary thereafter for the remaining 3 years. The purpose of the Plans is to provide a means by which eligible recipients of stock awards may be given an opportunity to benefit from increases in the value of the common stock in order to retain or procure the services of the employees, members of the Board and consultants.</w:t>
      </w:r>
    </w:p>
    <w:p>
      <w:pPr>
        <w:spacing w:after="0" w:line="88" w:lineRule="exact"/>
        <w:rPr>
          <w:sz w:val="20"/>
          <w:szCs w:val="20"/>
          <w:color w:val="auto"/>
        </w:rPr>
      </w:pPr>
    </w:p>
    <w:p>
      <w:pPr>
        <w:ind w:left="460" w:right="580"/>
        <w:spacing w:after="0" w:line="265" w:lineRule="auto"/>
        <w:rPr>
          <w:sz w:val="20"/>
          <w:szCs w:val="20"/>
          <w:color w:val="auto"/>
        </w:rPr>
      </w:pPr>
      <w:r>
        <w:rPr>
          <w:rFonts w:ascii="Arial" w:cs="Arial" w:eastAsia="Arial" w:hAnsi="Arial"/>
          <w:sz w:val="16"/>
          <w:szCs w:val="16"/>
          <w:color w:val="auto"/>
        </w:rPr>
        <w:t>In determining the fair value of the stock options granted, the Company uses the Black-Scholes option-pricing model and assumptions discussed below. Each of these inputs is subjective and generally requires significant judgment.</w:t>
      </w:r>
    </w:p>
    <w:p>
      <w:pPr>
        <w:spacing w:after="0" w:line="59" w:lineRule="exact"/>
        <w:rPr>
          <w:sz w:val="20"/>
          <w:szCs w:val="20"/>
          <w:color w:val="auto"/>
        </w:rPr>
      </w:pPr>
    </w:p>
    <w:p>
      <w:pPr>
        <w:ind w:left="460" w:right="60"/>
        <w:spacing w:after="0" w:line="254" w:lineRule="auto"/>
        <w:rPr>
          <w:sz w:val="20"/>
          <w:szCs w:val="20"/>
          <w:color w:val="auto"/>
        </w:rPr>
      </w:pPr>
      <w:r>
        <w:rPr>
          <w:rFonts w:ascii="Arial" w:cs="Arial" w:eastAsia="Arial" w:hAnsi="Arial"/>
          <w:sz w:val="16"/>
          <w:szCs w:val="16"/>
          <w:i w:val="1"/>
          <w:iCs w:val="1"/>
          <w:color w:val="auto"/>
        </w:rPr>
        <w:t>Fair value of common stock</w:t>
      </w:r>
      <w:r>
        <w:rPr>
          <w:rFonts w:ascii="Arial" w:cs="Arial" w:eastAsia="Arial" w:hAnsi="Arial"/>
          <w:sz w:val="16"/>
          <w:szCs w:val="16"/>
          <w:color w:val="auto"/>
        </w:rPr>
        <w:t>—Given the absence of a public trading market, the Company’s board of directors with input from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numerous objective and subjective factors to determine the fair value of common stock. The factors included, but were not limited to: (i) third-party valuations of the Company’s common stock; (ii) the Company’s stage of development; (iii) the status of research and development efforts; (iv) the rights, preferences and privileges of the Company’s convertible preferred stock relative to those of the Company’s common stock; (v) the Company’s operating results and financial condition, including the Company’s levels of available capital resources; (vi) equity market conditions affecting comparable public companies; (vii) general U.S. market conditions and (viii) the lack of marketability of the Company’s common stock.</w:t>
      </w:r>
    </w:p>
    <w:p>
      <w:pPr>
        <w:spacing w:after="0" w:line="70" w:lineRule="exact"/>
        <w:rPr>
          <w:sz w:val="20"/>
          <w:szCs w:val="20"/>
          <w:color w:val="auto"/>
        </w:rPr>
      </w:pPr>
    </w:p>
    <w:p>
      <w:pPr>
        <w:ind w:left="460" w:right="40"/>
        <w:spacing w:after="0" w:line="267"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Company’s expected term represents the period that the Company’s stock-based awards are expected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The Company used the simplified method (based on the mid-point between the vesting date and the end of the contractual term) to determine the expected term.</w:t>
      </w:r>
    </w:p>
    <w:p>
      <w:pPr>
        <w:spacing w:after="0" w:line="58" w:lineRule="exact"/>
        <w:rPr>
          <w:sz w:val="20"/>
          <w:szCs w:val="20"/>
          <w:color w:val="auto"/>
        </w:rPr>
      </w:pPr>
    </w:p>
    <w:p>
      <w:pPr>
        <w:ind w:left="460"/>
        <w:spacing w:after="0" w:line="257" w:lineRule="auto"/>
        <w:rPr>
          <w:sz w:val="20"/>
          <w:szCs w:val="20"/>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—Since the Company is privately held and does not have any trading history for its common stock, the expected volatility</w:t>
      </w:r>
      <w:r>
        <w:rPr>
          <w:rFonts w:ascii="Arial" w:cs="Arial" w:eastAsia="Arial" w:hAnsi="Arial"/>
          <w:sz w:val="16"/>
          <w:szCs w:val="16"/>
          <w:i w:val="1"/>
          <w:iCs w:val="1"/>
          <w:color w:val="auto"/>
        </w:rPr>
        <w:t xml:space="preserve"> </w:t>
      </w:r>
      <w:r>
        <w:rPr>
          <w:rFonts w:ascii="Arial" w:cs="Arial" w:eastAsia="Arial" w:hAnsi="Arial"/>
          <w:sz w:val="16"/>
          <w:szCs w:val="16"/>
          <w:color w:val="auto"/>
        </w:rPr>
        <w:t>was estimated based on the average historical volatilities for comparable publicly traded medical device companies over a period equal to the expected term of the stock option grants. The comparable companies were chosen based on their similar size, stage in the life cycle and area of specialty. The Company will continue to apply this process until a sufficient amount of historical information regarding the volatility of its own stock price becomes available.</w:t>
      </w:r>
    </w:p>
    <w:p>
      <w:pPr>
        <w:spacing w:after="0" w:line="67" w:lineRule="exact"/>
        <w:rPr>
          <w:sz w:val="20"/>
          <w:szCs w:val="20"/>
          <w:color w:val="auto"/>
        </w:rPr>
      </w:pPr>
    </w:p>
    <w:p>
      <w:pPr>
        <w:ind w:left="460" w:right="200"/>
        <w:spacing w:after="0" w:line="286" w:lineRule="auto"/>
        <w:rPr>
          <w:sz w:val="20"/>
          <w:szCs w:val="20"/>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—The risk-free interest rate is based on the U.S. Treasury zero coupon issues in effect at the time of grant for periods</w:t>
      </w:r>
      <w:r>
        <w:rPr>
          <w:rFonts w:ascii="Arial" w:cs="Arial" w:eastAsia="Arial" w:hAnsi="Arial"/>
          <w:sz w:val="16"/>
          <w:szCs w:val="16"/>
          <w:i w:val="1"/>
          <w:iCs w:val="1"/>
          <w:color w:val="auto"/>
        </w:rPr>
        <w:t xml:space="preserve"> </w:t>
      </w:r>
      <w:r>
        <w:rPr>
          <w:rFonts w:ascii="Arial" w:cs="Arial" w:eastAsia="Arial" w:hAnsi="Arial"/>
          <w:sz w:val="16"/>
          <w:szCs w:val="16"/>
          <w:color w:val="auto"/>
        </w:rPr>
        <w:t>corresponding with the expected term of option.</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Dividend yield</w:t>
      </w:r>
      <w:r>
        <w:rPr>
          <w:rFonts w:ascii="Arial" w:cs="Arial" w:eastAsia="Arial" w:hAnsi="Arial"/>
          <w:sz w:val="16"/>
          <w:szCs w:val="16"/>
          <w:color w:val="auto"/>
        </w:rPr>
        <w:t>—The Company has never paid dividends on its common stock and has no plans to pay dividends on its common stock.</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Therefore, the Company used an expected dividend yield of zero.</w:t>
      </w:r>
    </w:p>
    <w:p>
      <w:pPr>
        <w:spacing w:after="0" w:line="14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F-61</w:t>
      </w:r>
    </w:p>
    <w:p>
      <w:pPr>
        <w:sectPr>
          <w:pgSz w:w="11900" w:h="16838" w:orient="portrait"/>
          <w:cols w:equalWidth="0" w:num="1">
            <w:col w:w="10780"/>
          </w:cols>
          <w:pgMar w:left="320" w:top="440" w:right="799" w:bottom="1440" w:gutter="0" w:footer="0" w:header="0"/>
        </w:sectPr>
      </w:pPr>
    </w:p>
    <w:bookmarkStart w:id="287" w:name="page288"/>
    <w:bookmarkEnd w:id="2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stock option activities for the three months ended March 31, 2021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74295</wp:posOffset>
            </wp:positionV>
            <wp:extent cx="6569075" cy="1587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6"/>
                <w:szCs w:val="16"/>
                <w:b w:val="1"/>
                <w:bCs w:val="1"/>
                <w:color w:val="auto"/>
              </w:rPr>
              <w:t>Weighted</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Weighted avg</w:t>
            </w:r>
          </w:p>
        </w:tc>
      </w:tr>
      <w:tr>
        <w:trPr>
          <w:trHeight w:val="190"/>
        </w:trPr>
        <w:tc>
          <w:tcPr>
            <w:tcW w:w="3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158"/>
              <w:spacing w:after="0"/>
              <w:rPr>
                <w:sz w:val="20"/>
                <w:szCs w:val="20"/>
                <w:color w:val="auto"/>
              </w:rPr>
            </w:pPr>
            <w:r>
              <w:rPr>
                <w:rFonts w:ascii="Arial" w:cs="Arial" w:eastAsia="Arial" w:hAnsi="Arial"/>
                <w:sz w:val="16"/>
                <w:szCs w:val="16"/>
                <w:b w:val="1"/>
                <w:bCs w:val="1"/>
                <w:color w:val="auto"/>
              </w:rPr>
              <w:t>Shares</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Arial" w:cs="Arial" w:eastAsia="Arial" w:hAnsi="Arial"/>
                <w:sz w:val="16"/>
                <w:szCs w:val="16"/>
                <w:b w:val="1"/>
                <w:bCs w:val="1"/>
                <w:color w:val="auto"/>
              </w:rPr>
              <w:t>Weighted</w:t>
            </w:r>
          </w:p>
        </w:tc>
        <w:tc>
          <w:tcPr>
            <w:tcW w:w="340" w:type="dxa"/>
            <w:vAlign w:val="bottom"/>
          </w:tcPr>
          <w:p>
            <w:pPr>
              <w:spacing w:after="0"/>
              <w:rPr>
                <w:sz w:val="16"/>
                <w:szCs w:val="16"/>
                <w:color w:val="auto"/>
              </w:rPr>
            </w:pPr>
          </w:p>
        </w:tc>
        <w:tc>
          <w:tcPr>
            <w:tcW w:w="880" w:type="dxa"/>
            <w:vAlign w:val="bottom"/>
          </w:tcPr>
          <w:p>
            <w:pPr>
              <w:jc w:val="right"/>
              <w:ind w:right="138"/>
              <w:spacing w:after="0"/>
              <w:rPr>
                <w:sz w:val="20"/>
                <w:szCs w:val="20"/>
                <w:color w:val="auto"/>
              </w:rPr>
            </w:pPr>
            <w:r>
              <w:rPr>
                <w:rFonts w:ascii="Arial" w:cs="Arial" w:eastAsia="Arial" w:hAnsi="Arial"/>
                <w:sz w:val="16"/>
                <w:szCs w:val="16"/>
                <w:b w:val="1"/>
                <w:bCs w:val="1"/>
                <w:color w:val="auto"/>
              </w:rPr>
              <w:t>average</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remaining</w:t>
            </w:r>
          </w:p>
        </w:tc>
      </w:tr>
      <w:tr>
        <w:trPr>
          <w:trHeight w:val="190"/>
        </w:trPr>
        <w:tc>
          <w:tcPr>
            <w:tcW w:w="3360" w:type="dxa"/>
            <w:vAlign w:val="bottom"/>
          </w:tcPr>
          <w:p>
            <w:pPr>
              <w:spacing w:after="0"/>
              <w:rPr>
                <w:sz w:val="16"/>
                <w:szCs w:val="16"/>
                <w:color w:val="auto"/>
              </w:rPr>
            </w:pPr>
          </w:p>
        </w:tc>
        <w:tc>
          <w:tcPr>
            <w:tcW w:w="1520" w:type="dxa"/>
            <w:vAlign w:val="bottom"/>
            <w:gridSpan w:val="2"/>
          </w:tcPr>
          <w:p>
            <w:pPr>
              <w:jc w:val="right"/>
              <w:ind w:right="158"/>
              <w:spacing w:after="0"/>
              <w:rPr>
                <w:sz w:val="20"/>
                <w:szCs w:val="20"/>
                <w:color w:val="auto"/>
              </w:rPr>
            </w:pPr>
            <w:r>
              <w:rPr>
                <w:rFonts w:ascii="Arial" w:cs="Arial" w:eastAsia="Arial" w:hAnsi="Arial"/>
                <w:sz w:val="16"/>
                <w:szCs w:val="16"/>
                <w:b w:val="1"/>
                <w:bCs w:val="1"/>
                <w:color w:val="auto"/>
              </w:rPr>
              <w:t>available for</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Number of</w:t>
            </w:r>
          </w:p>
        </w:tc>
        <w:tc>
          <w:tcPr>
            <w:tcW w:w="44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Arial" w:cs="Arial" w:eastAsia="Arial" w:hAnsi="Arial"/>
                <w:sz w:val="16"/>
                <w:szCs w:val="16"/>
                <w:b w:val="1"/>
                <w:bCs w:val="1"/>
                <w:color w:val="auto"/>
              </w:rPr>
              <w:t>average</w:t>
            </w:r>
          </w:p>
        </w:tc>
        <w:tc>
          <w:tcPr>
            <w:tcW w:w="1220" w:type="dxa"/>
            <w:vAlign w:val="bottom"/>
            <w:gridSpan w:val="2"/>
          </w:tcPr>
          <w:p>
            <w:pPr>
              <w:jc w:val="right"/>
              <w:ind w:right="138"/>
              <w:spacing w:after="0"/>
              <w:rPr>
                <w:sz w:val="20"/>
                <w:szCs w:val="20"/>
                <w:color w:val="auto"/>
              </w:rPr>
            </w:pPr>
            <w:r>
              <w:rPr>
                <w:rFonts w:ascii="Arial" w:cs="Arial" w:eastAsia="Arial" w:hAnsi="Arial"/>
                <w:sz w:val="16"/>
                <w:szCs w:val="16"/>
                <w:b w:val="1"/>
                <w:bCs w:val="1"/>
                <w:color w:val="auto"/>
              </w:rPr>
              <w:t>grant date</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contractual life</w:t>
            </w:r>
          </w:p>
        </w:tc>
      </w:tr>
      <w:tr>
        <w:trPr>
          <w:trHeight w:val="207"/>
        </w:trPr>
        <w:tc>
          <w:tcPr>
            <w:tcW w:w="33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grant</w:t>
            </w: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options</w:t>
            </w:r>
          </w:p>
        </w:tc>
        <w:tc>
          <w:tcPr>
            <w:tcW w:w="152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exercise price</w:t>
            </w:r>
          </w:p>
        </w:tc>
        <w:tc>
          <w:tcPr>
            <w:tcW w:w="1220" w:type="dxa"/>
            <w:vAlign w:val="bottom"/>
            <w:tcBorders>
              <w:bottom w:val="single" w:sz="8" w:color="auto"/>
            </w:tcBorders>
            <w:gridSpan w:val="2"/>
          </w:tcPr>
          <w:p>
            <w:pPr>
              <w:jc w:val="right"/>
              <w:ind w:right="138"/>
              <w:spacing w:after="0"/>
              <w:rPr>
                <w:sz w:val="20"/>
                <w:szCs w:val="20"/>
                <w:color w:val="auto"/>
              </w:rPr>
            </w:pPr>
            <w:r>
              <w:rPr>
                <w:rFonts w:ascii="Arial" w:cs="Arial" w:eastAsia="Arial" w:hAnsi="Arial"/>
                <w:sz w:val="16"/>
                <w:szCs w:val="16"/>
                <w:b w:val="1"/>
                <w:bCs w:val="1"/>
                <w:color w:val="auto"/>
              </w:rPr>
              <w:t>fair value</w:t>
            </w:r>
          </w:p>
        </w:tc>
        <w:tc>
          <w:tcPr>
            <w:tcW w:w="1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(years)</w:t>
            </w:r>
          </w:p>
        </w:tc>
      </w:tr>
      <w:tr>
        <w:trPr>
          <w:trHeight w:val="186"/>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Options outstanding as of December 31,</w:t>
            </w: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7"/>
        </w:trPr>
        <w:tc>
          <w:tcPr>
            <w:tcW w:w="3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2020</w:t>
            </w:r>
          </w:p>
        </w:tc>
        <w:tc>
          <w:tcPr>
            <w:tcW w:w="152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252,310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4,201,935</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9.57</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40" w:type="dxa"/>
            <w:vAlign w:val="bottom"/>
            <w:shd w:val="clear" w:color="auto" w:fill="CCEEFF"/>
          </w:tcPr>
          <w:p>
            <w:pPr>
              <w:spacing w:after="0"/>
              <w:rPr>
                <w:sz w:val="16"/>
                <w:szCs w:val="16"/>
                <w:color w:val="auto"/>
              </w:rPr>
            </w:pPr>
          </w:p>
        </w:tc>
      </w:tr>
      <w:tr>
        <w:trPr>
          <w:trHeight w:val="190"/>
        </w:trPr>
        <w:tc>
          <w:tcPr>
            <w:tcW w:w="3360" w:type="dxa"/>
            <w:vAlign w:val="bottom"/>
          </w:tcPr>
          <w:p>
            <w:pPr>
              <w:spacing w:after="0"/>
              <w:rPr>
                <w:sz w:val="20"/>
                <w:szCs w:val="20"/>
                <w:color w:val="auto"/>
              </w:rPr>
            </w:pPr>
            <w:r>
              <w:rPr>
                <w:rFonts w:ascii="Arial" w:cs="Arial" w:eastAsia="Arial" w:hAnsi="Arial"/>
                <w:sz w:val="16"/>
                <w:szCs w:val="16"/>
                <w:color w:val="auto"/>
              </w:rPr>
              <w:t>Issued</w:t>
            </w:r>
          </w:p>
        </w:tc>
        <w:tc>
          <w:tcPr>
            <w:tcW w:w="1520" w:type="dxa"/>
            <w:vAlign w:val="bottom"/>
            <w:gridSpan w:val="2"/>
          </w:tcPr>
          <w:p>
            <w:pPr>
              <w:jc w:val="right"/>
              <w:ind w:right="158"/>
              <w:spacing w:after="0"/>
              <w:rPr>
                <w:sz w:val="20"/>
                <w:szCs w:val="20"/>
                <w:color w:val="auto"/>
              </w:rPr>
            </w:pPr>
            <w:r>
              <w:rPr>
                <w:rFonts w:ascii="Arial" w:cs="Arial" w:eastAsia="Arial" w:hAnsi="Arial"/>
                <w:sz w:val="16"/>
                <w:szCs w:val="16"/>
                <w:color w:val="auto"/>
              </w:rPr>
              <w:t>575,490</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Granted</w:t>
            </w:r>
          </w:p>
        </w:tc>
        <w:tc>
          <w:tcPr>
            <w:tcW w:w="152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(716,826)</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716,826</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15.60</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8.99</w:t>
            </w:r>
          </w:p>
        </w:tc>
        <w:tc>
          <w:tcPr>
            <w:tcW w:w="1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0"/>
        </w:trPr>
        <w:tc>
          <w:tcPr>
            <w:tcW w:w="3360" w:type="dxa"/>
            <w:vAlign w:val="bottom"/>
          </w:tcPr>
          <w:p>
            <w:pPr>
              <w:spacing w:after="0"/>
              <w:rPr>
                <w:sz w:val="20"/>
                <w:szCs w:val="20"/>
                <w:color w:val="auto"/>
              </w:rPr>
            </w:pPr>
            <w:r>
              <w:rPr>
                <w:rFonts w:ascii="Arial" w:cs="Arial" w:eastAsia="Arial" w:hAnsi="Arial"/>
                <w:sz w:val="16"/>
                <w:szCs w:val="16"/>
                <w:color w:val="auto"/>
              </w:rPr>
              <w:t>Exercised</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(280,545)</w:t>
            </w: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8"/>
              <w:spacing w:after="0"/>
              <w:rPr>
                <w:sz w:val="20"/>
                <w:szCs w:val="20"/>
                <w:color w:val="auto"/>
              </w:rPr>
            </w:pPr>
            <w:r>
              <w:rPr>
                <w:rFonts w:ascii="Arial" w:cs="Arial" w:eastAsia="Arial" w:hAnsi="Arial"/>
                <w:sz w:val="16"/>
                <w:szCs w:val="16"/>
                <w:color w:val="auto"/>
              </w:rPr>
              <w:t>4.31</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8"/>
              <w:spacing w:after="0"/>
              <w:rPr>
                <w:sz w:val="20"/>
                <w:szCs w:val="20"/>
                <w:color w:val="auto"/>
              </w:rPr>
            </w:pPr>
            <w:r>
              <w:rPr>
                <w:rFonts w:ascii="Arial" w:cs="Arial" w:eastAsia="Arial" w:hAnsi="Arial"/>
                <w:sz w:val="16"/>
                <w:szCs w:val="16"/>
                <w:color w:val="auto"/>
              </w:rPr>
              <w:t>2.07</w:t>
            </w: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Forfeited</w:t>
            </w: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14,573</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(14,573)</w:t>
            </w: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15.83</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8.47</w:t>
            </w:r>
          </w:p>
        </w:tc>
        <w:tc>
          <w:tcPr>
            <w:tcW w:w="1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1"/>
        </w:trPr>
        <w:tc>
          <w:tcPr>
            <w:tcW w:w="3360" w:type="dxa"/>
            <w:vAlign w:val="bottom"/>
          </w:tcPr>
          <w:p>
            <w:pPr>
              <w:spacing w:after="0"/>
              <w:rPr>
                <w:sz w:val="20"/>
                <w:szCs w:val="20"/>
                <w:color w:val="auto"/>
              </w:rPr>
            </w:pPr>
            <w:r>
              <w:rPr>
                <w:rFonts w:ascii="Arial" w:cs="Arial" w:eastAsia="Arial" w:hAnsi="Arial"/>
                <w:sz w:val="16"/>
                <w:szCs w:val="16"/>
                <w:color w:val="auto"/>
              </w:rPr>
              <w:t>Options outstanding as of March 31, 2021</w:t>
            </w:r>
          </w:p>
        </w:tc>
        <w:tc>
          <w:tcPr>
            <w:tcW w:w="3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6"/>
                <w:szCs w:val="16"/>
                <w:color w:val="auto"/>
              </w:rPr>
              <w:t>125,547</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4,623,643</w:t>
            </w:r>
          </w:p>
        </w:tc>
        <w:tc>
          <w:tcPr>
            <w:tcW w:w="24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8"/>
              <w:spacing w:after="0"/>
              <w:rPr>
                <w:sz w:val="20"/>
                <w:szCs w:val="20"/>
                <w:color w:val="auto"/>
              </w:rPr>
            </w:pPr>
            <w:r>
              <w:rPr>
                <w:rFonts w:ascii="Arial" w:cs="Arial" w:eastAsia="Arial" w:hAnsi="Arial"/>
                <w:sz w:val="16"/>
                <w:szCs w:val="16"/>
                <w:color w:val="auto"/>
              </w:rPr>
              <w:t>10.81</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6.88</w:t>
            </w:r>
          </w:p>
        </w:tc>
        <w:tc>
          <w:tcPr>
            <w:tcW w:w="40" w:type="dxa"/>
            <w:vAlign w:val="bottom"/>
          </w:tcPr>
          <w:p>
            <w:pPr>
              <w:spacing w:after="0"/>
              <w:rPr>
                <w:sz w:val="17"/>
                <w:szCs w:val="17"/>
                <w:color w:val="auto"/>
              </w:rPr>
            </w:pPr>
          </w:p>
        </w:tc>
      </w:tr>
      <w:tr>
        <w:trPr>
          <w:trHeight w:val="190"/>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Exercisable as of March 31, 2021</w:t>
            </w: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2,885,236</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7.86</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40" w:type="dxa"/>
            <w:vAlign w:val="bottom"/>
            <w:shd w:val="clear" w:color="auto" w:fill="CCEEFF"/>
          </w:tcPr>
          <w:p>
            <w:pPr>
              <w:spacing w:after="0"/>
              <w:rPr>
                <w:sz w:val="16"/>
                <w:szCs w:val="16"/>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At March 31, 2021 and December 31, 2020 the intrinsic value of options vested was $24.6 million and $26.2 million, respectively, and of all options outstanding was $25.1 million and $26.4 million, respectively. During the three months ended March 31, 2021 and 2020, the total cash received from the exercise of stock options was $1.2 million and $46,000, respectively. The total fair value less strike price of these options was $3.1 million and $132,000, respectively.</w:t>
      </w:r>
    </w:p>
    <w:p>
      <w:pPr>
        <w:spacing w:after="0" w:line="86" w:lineRule="exact"/>
        <w:rPr>
          <w:sz w:val="20"/>
          <w:szCs w:val="20"/>
          <w:color w:val="auto"/>
        </w:rPr>
      </w:pPr>
    </w:p>
    <w:p>
      <w:pPr>
        <w:ind w:left="460" w:right="200"/>
        <w:spacing w:after="0" w:line="265" w:lineRule="auto"/>
        <w:rPr>
          <w:sz w:val="20"/>
          <w:szCs w:val="20"/>
          <w:color w:val="auto"/>
        </w:rPr>
      </w:pPr>
      <w:r>
        <w:rPr>
          <w:rFonts w:ascii="Arial" w:cs="Arial" w:eastAsia="Arial" w:hAnsi="Arial"/>
          <w:sz w:val="16"/>
          <w:szCs w:val="16"/>
          <w:color w:val="auto"/>
        </w:rPr>
        <w:t>Stock-based compensation expense was classified in the accompanying consolidated statements of operations and comprehensive loss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53975</wp:posOffset>
            </wp:positionV>
            <wp:extent cx="6569075" cy="1587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ind w:left="260"/>
              <w:spacing w:after="0"/>
              <w:rPr>
                <w:sz w:val="20"/>
                <w:szCs w:val="20"/>
                <w:color w:val="auto"/>
              </w:rPr>
            </w:pPr>
            <w:r>
              <w:rPr>
                <w:rFonts w:ascii="Arial" w:cs="Arial" w:eastAsia="Arial" w:hAnsi="Arial"/>
                <w:sz w:val="16"/>
                <w:szCs w:val="16"/>
                <w:b w:val="1"/>
                <w:bCs w:val="1"/>
                <w:color w:val="auto"/>
              </w:rPr>
              <w:t>Three months ended March 31,</w:t>
            </w:r>
          </w:p>
        </w:tc>
      </w:tr>
      <w:tr>
        <w:trPr>
          <w:trHeight w:val="208"/>
        </w:trPr>
        <w:tc>
          <w:tcPr>
            <w:tcW w:w="48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2021</w:t>
            </w:r>
          </w:p>
        </w:tc>
        <w:tc>
          <w:tcPr>
            <w:tcW w:w="8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18"/>
                <w:szCs w:val="18"/>
                <w:color w:val="auto"/>
              </w:rPr>
            </w:pPr>
          </w:p>
        </w:tc>
      </w:tr>
      <w:tr>
        <w:trPr>
          <w:trHeight w:val="183"/>
        </w:trPr>
        <w:tc>
          <w:tcPr>
            <w:tcW w:w="48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Research and development</w:t>
            </w:r>
          </w:p>
        </w:tc>
        <w:tc>
          <w:tcPr>
            <w:tcW w:w="272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98"/>
              <w:spacing w:after="0" w:line="183" w:lineRule="exact"/>
              <w:rPr>
                <w:sz w:val="20"/>
                <w:szCs w:val="20"/>
                <w:color w:val="auto"/>
              </w:rPr>
            </w:pPr>
            <w:r>
              <w:rPr>
                <w:rFonts w:ascii="Arial" w:cs="Arial" w:eastAsia="Arial" w:hAnsi="Arial"/>
                <w:sz w:val="16"/>
                <w:szCs w:val="16"/>
                <w:color w:val="auto"/>
              </w:rPr>
              <w:t>597</w:t>
            </w:r>
          </w:p>
        </w:tc>
        <w:tc>
          <w:tcPr>
            <w:tcW w:w="820" w:type="dxa"/>
            <w:vAlign w:val="bottom"/>
            <w:shd w:val="clear" w:color="auto" w:fill="CCEEFF"/>
          </w:tcPr>
          <w:p>
            <w:pPr>
              <w:jc w:val="right"/>
              <w:ind w:right="278"/>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105</w:t>
            </w:r>
          </w:p>
        </w:tc>
        <w:tc>
          <w:tcPr>
            <w:tcW w:w="40" w:type="dxa"/>
            <w:vAlign w:val="bottom"/>
            <w:shd w:val="clear" w:color="auto" w:fill="CCEEFF"/>
          </w:tcPr>
          <w:p>
            <w:pPr>
              <w:spacing w:after="0"/>
              <w:rPr>
                <w:sz w:val="15"/>
                <w:szCs w:val="15"/>
                <w:color w:val="auto"/>
              </w:rPr>
            </w:pPr>
          </w:p>
        </w:tc>
      </w:tr>
      <w:tr>
        <w:trPr>
          <w:trHeight w:val="190"/>
        </w:trPr>
        <w:tc>
          <w:tcPr>
            <w:tcW w:w="488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2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298"/>
              <w:spacing w:after="0"/>
              <w:rPr>
                <w:sz w:val="20"/>
                <w:szCs w:val="20"/>
                <w:color w:val="auto"/>
              </w:rPr>
            </w:pPr>
            <w:r>
              <w:rPr>
                <w:rFonts w:ascii="Arial" w:cs="Arial" w:eastAsia="Arial" w:hAnsi="Arial"/>
                <w:sz w:val="16"/>
                <w:szCs w:val="16"/>
                <w:color w:val="auto"/>
              </w:rPr>
              <w:t>463</w:t>
            </w:r>
          </w:p>
        </w:tc>
        <w:tc>
          <w:tcPr>
            <w:tcW w:w="8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358</w:t>
            </w:r>
          </w:p>
        </w:tc>
        <w:tc>
          <w:tcPr>
            <w:tcW w:w="40" w:type="dxa"/>
            <w:vAlign w:val="bottom"/>
          </w:tcPr>
          <w:p>
            <w:pPr>
              <w:spacing w:after="0"/>
              <w:rPr>
                <w:sz w:val="16"/>
                <w:szCs w:val="16"/>
                <w:color w:val="auto"/>
              </w:rPr>
            </w:pPr>
          </w:p>
        </w:tc>
      </w:tr>
      <w:tr>
        <w:trPr>
          <w:trHeight w:val="190"/>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Cost of goods sold</w:t>
            </w:r>
          </w:p>
        </w:tc>
        <w:tc>
          <w:tcPr>
            <w:tcW w:w="23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6"/>
                <w:szCs w:val="16"/>
                <w:color w:val="auto"/>
              </w:rPr>
              <w:t>179</w:t>
            </w:r>
          </w:p>
        </w:tc>
        <w:tc>
          <w:tcPr>
            <w:tcW w:w="8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40" w:type="dxa"/>
            <w:vAlign w:val="bottom"/>
            <w:shd w:val="clear" w:color="auto" w:fill="CCEEFF"/>
          </w:tcPr>
          <w:p>
            <w:pPr>
              <w:spacing w:after="0"/>
              <w:rPr>
                <w:sz w:val="16"/>
                <w:szCs w:val="16"/>
                <w:color w:val="auto"/>
              </w:rPr>
            </w:pPr>
          </w:p>
        </w:tc>
      </w:tr>
      <w:tr>
        <w:trPr>
          <w:trHeight w:val="207"/>
        </w:trPr>
        <w:tc>
          <w:tcPr>
            <w:tcW w:w="48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1,239</w:t>
            </w:r>
          </w:p>
        </w:tc>
        <w:tc>
          <w:tcPr>
            <w:tcW w:w="82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w:t>
            </w:r>
          </w:p>
        </w:tc>
        <w:tc>
          <w:tcPr>
            <w:tcW w:w="40" w:type="dxa"/>
            <w:vAlign w:val="bottom"/>
          </w:tcPr>
          <w:p>
            <w:pPr>
              <w:spacing w:after="0"/>
              <w:rPr>
                <w:sz w:val="17"/>
                <w:szCs w:val="17"/>
                <w:color w:val="auto"/>
              </w:rPr>
            </w:pPr>
          </w:p>
        </w:tc>
      </w:tr>
    </w:tbl>
    <w:p>
      <w:pPr>
        <w:spacing w:after="0" w:line="104" w:lineRule="exact"/>
        <w:rPr>
          <w:sz w:val="20"/>
          <w:szCs w:val="20"/>
          <w:color w:val="auto"/>
        </w:rPr>
      </w:pPr>
    </w:p>
    <w:p>
      <w:pPr>
        <w:ind w:left="460" w:right="240"/>
        <w:spacing w:after="0" w:line="248" w:lineRule="auto"/>
        <w:rPr>
          <w:sz w:val="20"/>
          <w:szCs w:val="20"/>
          <w:color w:val="auto"/>
        </w:rPr>
      </w:pPr>
      <w:r>
        <w:rPr>
          <w:rFonts w:ascii="Arial" w:cs="Arial" w:eastAsia="Arial" w:hAnsi="Arial"/>
          <w:sz w:val="16"/>
          <w:szCs w:val="16"/>
          <w:color w:val="auto"/>
        </w:rPr>
        <w:t>As of March 31, 2021 and December 31, 2020, there were 1,738,407 and 1,177,165 unvested options, respectively. Total unrecognized expense related to unvested stock options was approximately $14.9 million and $9.8 million as of March 31, 2021 and December 31, 2020, respectively. Amounts are expected to be recognized over a weighted average period of approximately 3.0 and 2.9 years, respectively.</w:t>
      </w:r>
    </w:p>
    <w:p>
      <w:pPr>
        <w:ind w:left="460" w:right="160"/>
        <w:spacing w:after="0" w:line="265" w:lineRule="auto"/>
        <w:rPr>
          <w:sz w:val="20"/>
          <w:szCs w:val="20"/>
          <w:color w:val="auto"/>
        </w:rPr>
      </w:pPr>
      <w:r>
        <w:rPr>
          <w:rFonts w:ascii="Arial" w:cs="Arial" w:eastAsia="Arial" w:hAnsi="Arial"/>
          <w:sz w:val="16"/>
          <w:szCs w:val="16"/>
          <w:color w:val="auto"/>
        </w:rPr>
        <w:t>The following table presents the range and weighted-average assumptions, used in the Black-Scholes option pricing model to determine the fair value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53975</wp:posOffset>
            </wp:positionV>
            <wp:extent cx="6569075" cy="1587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3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Three months ended March 31, 2021</w:t>
            </w:r>
          </w:p>
        </w:tc>
      </w:tr>
      <w:tr>
        <w:trPr>
          <w:trHeight w:val="208"/>
        </w:trPr>
        <w:tc>
          <w:tcPr>
            <w:tcW w:w="336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Range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Weighted average</w:t>
            </w:r>
          </w:p>
        </w:tc>
      </w:tr>
      <w:tr>
        <w:trPr>
          <w:trHeight w:val="183"/>
        </w:trPr>
        <w:tc>
          <w:tcPr>
            <w:tcW w:w="33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Expected volatility</w:t>
            </w:r>
          </w:p>
        </w:tc>
        <w:tc>
          <w:tcPr>
            <w:tcW w:w="3740" w:type="dxa"/>
            <w:vAlign w:val="bottom"/>
            <w:shd w:val="clear" w:color="auto" w:fill="CCEEFF"/>
          </w:tcPr>
          <w:p>
            <w:pPr>
              <w:spacing w:after="0"/>
              <w:rPr>
                <w:sz w:val="15"/>
                <w:szCs w:val="15"/>
                <w:color w:val="auto"/>
              </w:rPr>
            </w:pPr>
          </w:p>
        </w:tc>
        <w:tc>
          <w:tcPr>
            <w:tcW w:w="1620" w:type="dxa"/>
            <w:vAlign w:val="bottom"/>
            <w:shd w:val="clear" w:color="auto" w:fill="CCEEFF"/>
          </w:tcPr>
          <w:p>
            <w:pPr>
              <w:jc w:val="center"/>
              <w:ind w:right="138"/>
              <w:spacing w:after="0" w:line="183" w:lineRule="exact"/>
              <w:rPr>
                <w:sz w:val="20"/>
                <w:szCs w:val="20"/>
                <w:color w:val="auto"/>
              </w:rPr>
            </w:pPr>
            <w:r>
              <w:rPr>
                <w:rFonts w:ascii="Arial" w:cs="Arial" w:eastAsia="Arial" w:hAnsi="Arial"/>
                <w:sz w:val="16"/>
                <w:szCs w:val="16"/>
                <w:color w:val="auto"/>
              </w:rPr>
              <w:t>62.3% to 63.6%</w:t>
            </w:r>
          </w:p>
        </w:tc>
        <w:tc>
          <w:tcPr>
            <w:tcW w:w="1620" w:type="dxa"/>
            <w:vAlign w:val="bottom"/>
            <w:shd w:val="clear" w:color="auto" w:fill="CCEEFF"/>
          </w:tcPr>
          <w:p>
            <w:pPr>
              <w:jc w:val="center"/>
              <w:ind w:left="118"/>
              <w:spacing w:after="0" w:line="183" w:lineRule="exact"/>
              <w:rPr>
                <w:sz w:val="20"/>
                <w:szCs w:val="20"/>
                <w:color w:val="auto"/>
              </w:rPr>
            </w:pPr>
            <w:r>
              <w:rPr>
                <w:rFonts w:ascii="Arial" w:cs="Arial" w:eastAsia="Arial" w:hAnsi="Arial"/>
                <w:sz w:val="16"/>
                <w:szCs w:val="16"/>
                <w:color w:val="auto"/>
              </w:rPr>
              <w:t>63.6%</w:t>
            </w:r>
          </w:p>
        </w:tc>
      </w:tr>
      <w:tr>
        <w:trPr>
          <w:trHeight w:val="190"/>
        </w:trPr>
        <w:tc>
          <w:tcPr>
            <w:tcW w:w="3360" w:type="dxa"/>
            <w:vAlign w:val="bottom"/>
          </w:tcPr>
          <w:p>
            <w:pPr>
              <w:spacing w:after="0"/>
              <w:rPr>
                <w:sz w:val="20"/>
                <w:szCs w:val="20"/>
                <w:color w:val="auto"/>
              </w:rPr>
            </w:pPr>
            <w:r>
              <w:rPr>
                <w:rFonts w:ascii="Arial" w:cs="Arial" w:eastAsia="Arial" w:hAnsi="Arial"/>
                <w:sz w:val="16"/>
                <w:szCs w:val="16"/>
                <w:color w:val="auto"/>
              </w:rPr>
              <w:t>Risk-free interest rate</w:t>
            </w:r>
          </w:p>
        </w:tc>
        <w:tc>
          <w:tcPr>
            <w:tcW w:w="3740" w:type="dxa"/>
            <w:vAlign w:val="bottom"/>
          </w:tcPr>
          <w:p>
            <w:pPr>
              <w:spacing w:after="0"/>
              <w:rPr>
                <w:sz w:val="16"/>
                <w:szCs w:val="16"/>
                <w:color w:val="auto"/>
              </w:rPr>
            </w:pPr>
          </w:p>
        </w:tc>
        <w:tc>
          <w:tcPr>
            <w:tcW w:w="1620" w:type="dxa"/>
            <w:vAlign w:val="bottom"/>
          </w:tcPr>
          <w:p>
            <w:pPr>
              <w:jc w:val="center"/>
              <w:ind w:right="118"/>
              <w:spacing w:after="0"/>
              <w:rPr>
                <w:sz w:val="20"/>
                <w:szCs w:val="20"/>
                <w:color w:val="auto"/>
              </w:rPr>
            </w:pPr>
            <w:r>
              <w:rPr>
                <w:rFonts w:ascii="Arial" w:cs="Arial" w:eastAsia="Arial" w:hAnsi="Arial"/>
                <w:sz w:val="16"/>
                <w:szCs w:val="16"/>
                <w:color w:val="auto"/>
              </w:rPr>
              <w:t>0.6% to 1.1%</w:t>
            </w:r>
          </w:p>
        </w:tc>
        <w:tc>
          <w:tcPr>
            <w:tcW w:w="1620" w:type="dxa"/>
            <w:vAlign w:val="bottom"/>
          </w:tcPr>
          <w:p>
            <w:pPr>
              <w:jc w:val="center"/>
              <w:ind w:left="118"/>
              <w:spacing w:after="0"/>
              <w:rPr>
                <w:sz w:val="20"/>
                <w:szCs w:val="20"/>
                <w:color w:val="auto"/>
              </w:rPr>
            </w:pPr>
            <w:r>
              <w:rPr>
                <w:rFonts w:ascii="Arial" w:cs="Arial" w:eastAsia="Arial" w:hAnsi="Arial"/>
                <w:sz w:val="16"/>
                <w:szCs w:val="16"/>
                <w:color w:val="auto"/>
              </w:rPr>
              <w:t>1.1%</w:t>
            </w:r>
          </w:p>
        </w:tc>
      </w:tr>
      <w:tr>
        <w:trPr>
          <w:trHeight w:val="190"/>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Expected life (in years)</w:t>
            </w:r>
          </w:p>
        </w:tc>
        <w:tc>
          <w:tcPr>
            <w:tcW w:w="5360" w:type="dxa"/>
            <w:vAlign w:val="bottom"/>
            <w:gridSpan w:val="2"/>
            <w:shd w:val="clear" w:color="auto" w:fill="CCEEFF"/>
          </w:tcPr>
          <w:p>
            <w:pPr>
              <w:jc w:val="center"/>
              <w:ind w:left="3438"/>
              <w:spacing w:after="0"/>
              <w:rPr>
                <w:sz w:val="20"/>
                <w:szCs w:val="20"/>
                <w:color w:val="auto"/>
              </w:rPr>
            </w:pPr>
            <w:r>
              <w:rPr>
                <w:rFonts w:ascii="Arial" w:cs="Arial" w:eastAsia="Arial" w:hAnsi="Arial"/>
                <w:sz w:val="16"/>
                <w:szCs w:val="16"/>
                <w:color w:val="auto"/>
              </w:rPr>
              <w:t>5.52 to 10.00 years</w:t>
            </w:r>
          </w:p>
        </w:tc>
        <w:tc>
          <w:tcPr>
            <w:tcW w:w="162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6.03 years</w:t>
            </w:r>
          </w:p>
        </w:tc>
      </w:tr>
      <w:tr>
        <w:trPr>
          <w:trHeight w:val="190"/>
        </w:trPr>
        <w:tc>
          <w:tcPr>
            <w:tcW w:w="336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5360" w:type="dxa"/>
            <w:vAlign w:val="bottom"/>
            <w:gridSpan w:val="2"/>
          </w:tcPr>
          <w:p>
            <w:pPr>
              <w:jc w:val="right"/>
              <w:ind w:right="658"/>
              <w:spacing w:after="0"/>
              <w:rPr>
                <w:sz w:val="20"/>
                <w:szCs w:val="20"/>
                <w:color w:val="auto"/>
              </w:rPr>
            </w:pPr>
            <w:r>
              <w:rPr>
                <w:rFonts w:ascii="Arial" w:cs="Arial" w:eastAsia="Arial" w:hAnsi="Arial"/>
                <w:sz w:val="16"/>
                <w:szCs w:val="16"/>
                <w:color w:val="auto"/>
              </w:rPr>
              <w:t>0.0%</w:t>
            </w:r>
          </w:p>
        </w:tc>
        <w:tc>
          <w:tcPr>
            <w:tcW w:w="1620" w:type="dxa"/>
            <w:vAlign w:val="bottom"/>
          </w:tcPr>
          <w:p>
            <w:pPr>
              <w:jc w:val="center"/>
              <w:ind w:left="118"/>
              <w:spacing w:after="0"/>
              <w:rPr>
                <w:sz w:val="20"/>
                <w:szCs w:val="20"/>
                <w:color w:val="auto"/>
              </w:rPr>
            </w:pPr>
            <w:r>
              <w:rPr>
                <w:rFonts w:ascii="Arial" w:cs="Arial" w:eastAsia="Arial" w:hAnsi="Arial"/>
                <w:sz w:val="16"/>
                <w:szCs w:val="16"/>
                <w:color w:val="auto"/>
              </w:rPr>
              <w:t>0.0%</w:t>
            </w:r>
          </w:p>
        </w:tc>
      </w:tr>
      <w:tr>
        <w:trPr>
          <w:trHeight w:val="190"/>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Grant date fair value</w:t>
            </w:r>
          </w:p>
        </w:tc>
        <w:tc>
          <w:tcPr>
            <w:tcW w:w="5360" w:type="dxa"/>
            <w:vAlign w:val="bottom"/>
            <w:gridSpan w:val="2"/>
            <w:shd w:val="clear" w:color="auto" w:fill="CCEEFF"/>
          </w:tcPr>
          <w:p>
            <w:pPr>
              <w:jc w:val="right"/>
              <w:ind w:right="638"/>
              <w:spacing w:after="0"/>
              <w:rPr>
                <w:sz w:val="20"/>
                <w:szCs w:val="20"/>
                <w:color w:val="auto"/>
              </w:rPr>
            </w:pPr>
            <w:r>
              <w:rPr>
                <w:rFonts w:ascii="Arial" w:cs="Arial" w:eastAsia="Arial" w:hAnsi="Arial"/>
                <w:sz w:val="16"/>
                <w:szCs w:val="16"/>
                <w:color w:val="auto"/>
              </w:rPr>
              <w:t>$1.51</w:t>
            </w:r>
          </w:p>
        </w:tc>
        <w:tc>
          <w:tcPr>
            <w:tcW w:w="1620" w:type="dxa"/>
            <w:vAlign w:val="bottom"/>
            <w:shd w:val="clear" w:color="auto" w:fill="CCEEFF"/>
          </w:tcPr>
          <w:p>
            <w:pPr>
              <w:jc w:val="center"/>
              <w:ind w:left="118"/>
              <w:spacing w:after="0"/>
              <w:rPr>
                <w:sz w:val="20"/>
                <w:szCs w:val="20"/>
                <w:color w:val="auto"/>
              </w:rPr>
            </w:pPr>
            <w:r>
              <w:rPr>
                <w:rFonts w:ascii="Arial" w:cs="Arial" w:eastAsia="Arial" w:hAnsi="Arial"/>
                <w:sz w:val="16"/>
                <w:szCs w:val="16"/>
                <w:color w:val="auto"/>
              </w:rPr>
              <w:t>$1.51</w:t>
            </w: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325"/>
        </w:trPr>
        <w:tc>
          <w:tcPr>
            <w:tcW w:w="3360" w:type="dxa"/>
            <w:vAlign w:val="bottom"/>
          </w:tcPr>
          <w:p>
            <w:pPr>
              <w:spacing w:after="0"/>
              <w:rPr>
                <w:sz w:val="24"/>
                <w:szCs w:val="24"/>
                <w:color w:val="auto"/>
              </w:rPr>
            </w:pPr>
          </w:p>
        </w:tc>
        <w:tc>
          <w:tcPr>
            <w:tcW w:w="5360" w:type="dxa"/>
            <w:vAlign w:val="bottom"/>
            <w:gridSpan w:val="2"/>
          </w:tcPr>
          <w:p>
            <w:pPr>
              <w:ind w:left="1640"/>
              <w:spacing w:after="0"/>
              <w:rPr>
                <w:sz w:val="20"/>
                <w:szCs w:val="20"/>
                <w:color w:val="auto"/>
              </w:rPr>
            </w:pPr>
            <w:r>
              <w:rPr>
                <w:rFonts w:ascii="Arial" w:cs="Arial" w:eastAsia="Arial" w:hAnsi="Arial"/>
                <w:sz w:val="16"/>
                <w:szCs w:val="16"/>
                <w:color w:val="auto"/>
              </w:rPr>
              <w:t>F-62</w:t>
            </w:r>
          </w:p>
        </w:tc>
        <w:tc>
          <w:tcPr>
            <w:tcW w:w="1620" w:type="dxa"/>
            <w:vAlign w:val="bottom"/>
          </w:tcPr>
          <w:p>
            <w:pPr>
              <w:spacing w:after="0"/>
              <w:rPr>
                <w:sz w:val="24"/>
                <w:szCs w:val="24"/>
                <w:color w:val="auto"/>
              </w:rPr>
            </w:pPr>
          </w:p>
        </w:tc>
      </w:tr>
    </w:tbl>
    <w:p>
      <w:pPr>
        <w:sectPr>
          <w:pgSz w:w="11900" w:h="16838" w:orient="portrait"/>
          <w:cols w:equalWidth="0" w:num="1">
            <w:col w:w="10800"/>
          </w:cols>
          <w:pgMar w:left="320" w:top="441" w:right="779" w:bottom="1440" w:gutter="0" w:footer="0" w:header="0"/>
        </w:sectPr>
      </w:pPr>
    </w:p>
    <w:bookmarkStart w:id="288" w:name="page289"/>
    <w:bookmarkEnd w:id="2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10—Income taxes</w:t>
      </w:r>
    </w:p>
    <w:p>
      <w:pPr>
        <w:spacing w:after="0" w:line="133" w:lineRule="exact"/>
        <w:rPr>
          <w:sz w:val="20"/>
          <w:szCs w:val="20"/>
          <w:color w:val="auto"/>
        </w:rPr>
      </w:pPr>
    </w:p>
    <w:p>
      <w:pPr>
        <w:ind w:left="460" w:right="40"/>
        <w:spacing w:after="0" w:line="253" w:lineRule="auto"/>
        <w:rPr>
          <w:sz w:val="20"/>
          <w:szCs w:val="20"/>
          <w:color w:val="auto"/>
        </w:rPr>
      </w:pPr>
      <w:r>
        <w:rPr>
          <w:rFonts w:ascii="Arial" w:cs="Arial" w:eastAsia="Arial" w:hAnsi="Arial"/>
          <w:sz w:val="16"/>
          <w:szCs w:val="16"/>
          <w:color w:val="auto"/>
        </w:rPr>
        <w:t>The Company maintains a full valuation allowance against its net deferred tax assets as of March 31, 2021 and December 31, 2020 based on the current assessment that it is not more likely than not these future benefits will be realized before expiration. No material income tax expense or benefit has been recorded given the valuation allowance position and projected taxable losses in the jurisdictions where the Company files income tax returns.</w:t>
      </w:r>
    </w:p>
    <w:p>
      <w:pPr>
        <w:spacing w:after="0" w:line="86" w:lineRule="exact"/>
        <w:rPr>
          <w:sz w:val="20"/>
          <w:szCs w:val="20"/>
          <w:color w:val="auto"/>
        </w:rPr>
      </w:pPr>
    </w:p>
    <w:p>
      <w:pPr>
        <w:ind w:left="460" w:right="380"/>
        <w:spacing w:after="0" w:line="265" w:lineRule="auto"/>
        <w:rPr>
          <w:sz w:val="20"/>
          <w:szCs w:val="20"/>
          <w:color w:val="auto"/>
        </w:rPr>
      </w:pPr>
      <w:r>
        <w:rPr>
          <w:rFonts w:ascii="Arial" w:cs="Arial" w:eastAsia="Arial" w:hAnsi="Arial"/>
          <w:sz w:val="16"/>
          <w:szCs w:val="16"/>
          <w:color w:val="auto"/>
        </w:rPr>
        <w:t>The Company has not experienced any significant increases or decreases to its unrecognized tax benefits since December 31, 2020 and does not expect any within the next 12 months.</w:t>
      </w:r>
    </w:p>
    <w:p>
      <w:pPr>
        <w:spacing w:after="0" w:line="75" w:lineRule="exact"/>
        <w:rPr>
          <w:sz w:val="20"/>
          <w:szCs w:val="20"/>
          <w:color w:val="auto"/>
        </w:rPr>
      </w:pPr>
    </w:p>
    <w:p>
      <w:pPr>
        <w:ind w:left="460"/>
        <w:spacing w:after="0" w:line="253" w:lineRule="auto"/>
        <w:rPr>
          <w:sz w:val="20"/>
          <w:szCs w:val="20"/>
          <w:color w:val="auto"/>
        </w:rPr>
      </w:pPr>
      <w:r>
        <w:rPr>
          <w:rFonts w:ascii="Arial" w:cs="Arial" w:eastAsia="Arial" w:hAnsi="Arial"/>
          <w:sz w:val="16"/>
          <w:szCs w:val="16"/>
          <w:color w:val="auto"/>
        </w:rPr>
        <w:t>The Company is subject to U.S. federal and various states income taxes. The federal returns for tax years 2017 through 2019 remain open to examination and the state returns remain subject to examination for tax years 2016 through 2020. Carryforward attributes that were generated in years where the statute of limitations is closed may still be adjusted upon examination by the Internal Revenue Service or other respective tax authorities. All other state jurisdictions remain open to examination.</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11—Leases</w:t>
      </w:r>
    </w:p>
    <w:p>
      <w:pPr>
        <w:spacing w:after="0" w:line="133" w:lineRule="exact"/>
        <w:rPr>
          <w:sz w:val="20"/>
          <w:szCs w:val="20"/>
          <w:color w:val="auto"/>
        </w:rPr>
      </w:pPr>
    </w:p>
    <w:p>
      <w:pPr>
        <w:jc w:val="both"/>
        <w:ind w:left="460" w:right="160"/>
        <w:spacing w:after="0" w:line="256" w:lineRule="auto"/>
        <w:rPr>
          <w:sz w:val="20"/>
          <w:szCs w:val="20"/>
          <w:color w:val="auto"/>
        </w:rPr>
      </w:pPr>
      <w:r>
        <w:rPr>
          <w:rFonts w:ascii="Arial" w:cs="Arial" w:eastAsia="Arial" w:hAnsi="Arial"/>
          <w:sz w:val="16"/>
          <w:szCs w:val="16"/>
          <w:color w:val="auto"/>
        </w:rPr>
        <w:t>The Company has operating and finance leases for facilities and certain equipment. Leases with an initial term of 12 months or less are not recorded on the consolidated balance sheets. Lease expense for operating leases is recognized on a straight-line basis over the lease term. The Company does not combine lease and non-lease components in the recognition of lease expense.</w:t>
      </w:r>
    </w:p>
    <w:p>
      <w:pPr>
        <w:spacing w:after="0" w:line="83" w:lineRule="exact"/>
        <w:rPr>
          <w:sz w:val="20"/>
          <w:szCs w:val="20"/>
          <w:color w:val="auto"/>
        </w:rPr>
      </w:pPr>
    </w:p>
    <w:p>
      <w:pPr>
        <w:ind w:left="460" w:right="320"/>
        <w:spacing w:after="0" w:line="253" w:lineRule="auto"/>
        <w:rPr>
          <w:sz w:val="20"/>
          <w:szCs w:val="20"/>
          <w:color w:val="auto"/>
        </w:rPr>
      </w:pPr>
      <w:r>
        <w:rPr>
          <w:rFonts w:ascii="Arial" w:cs="Arial" w:eastAsia="Arial" w:hAnsi="Arial"/>
          <w:sz w:val="16"/>
          <w:szCs w:val="16"/>
          <w:color w:val="auto"/>
        </w:rPr>
        <w:t>As of March 31, 2021 and December 31, 2020 the Company held three leases for office, manufacturing and warehouse facilities in Aliso Viejo, California. The three leases are for 19,680, 42,106 and 48,036 square feet and expire on March 31, 2023, September 30, 2024 and January 31, 2026, respectively. For one of the facilities operating leases, the lessor provided $900,000 in tenant allowances. The following table presents the lease balances within the condensed consolidated balance sheets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60960</wp:posOffset>
            </wp:positionV>
            <wp:extent cx="6569075" cy="1587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040" w:type="dxa"/>
            <w:vAlign w:val="bottom"/>
            <w:gridSpan w:val="3"/>
          </w:tcPr>
          <w:p>
            <w:pPr>
              <w:ind w:left="1060"/>
              <w:spacing w:after="0"/>
              <w:rPr>
                <w:sz w:val="20"/>
                <w:szCs w:val="20"/>
                <w:color w:val="auto"/>
              </w:rPr>
            </w:pPr>
            <w:r>
              <w:rPr>
                <w:rFonts w:ascii="Arial" w:cs="Arial" w:eastAsia="Arial" w:hAnsi="Arial"/>
                <w:sz w:val="16"/>
                <w:szCs w:val="16"/>
                <w:b w:val="1"/>
                <w:bCs w:val="1"/>
                <w:color w:val="auto"/>
              </w:rPr>
              <w:t>March 31,</w:t>
            </w:r>
          </w:p>
        </w:tc>
        <w:tc>
          <w:tcPr>
            <w:tcW w:w="1340" w:type="dxa"/>
            <w:vAlign w:val="bottom"/>
            <w:gridSpan w:val="3"/>
          </w:tcPr>
          <w:p>
            <w:pPr>
              <w:ind w:left="2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7"/>
        </w:trPr>
        <w:tc>
          <w:tcPr>
            <w:tcW w:w="2340" w:type="dxa"/>
            <w:vAlign w:val="bottom"/>
            <w:gridSpan w:val="2"/>
          </w:tcPr>
          <w:p>
            <w:pPr>
              <w:spacing w:after="0"/>
              <w:rPr>
                <w:sz w:val="20"/>
                <w:szCs w:val="20"/>
                <w:color w:val="auto"/>
              </w:rPr>
            </w:pPr>
            <w:r>
              <w:rPr>
                <w:rFonts w:ascii="Arial" w:cs="Arial" w:eastAsia="Arial" w:hAnsi="Arial"/>
                <w:sz w:val="16"/>
                <w:szCs w:val="16"/>
                <w:b w:val="1"/>
                <w:bCs w:val="1"/>
                <w:color w:val="auto"/>
              </w:rPr>
              <w:t>Leases</w:t>
            </w:r>
          </w:p>
        </w:tc>
        <w:tc>
          <w:tcPr>
            <w:tcW w:w="4620" w:type="dxa"/>
            <w:vAlign w:val="bottom"/>
          </w:tcPr>
          <w:p>
            <w:pPr>
              <w:ind w:left="900"/>
              <w:spacing w:after="0"/>
              <w:rPr>
                <w:sz w:val="20"/>
                <w:szCs w:val="20"/>
                <w:color w:val="auto"/>
              </w:rPr>
            </w:pPr>
            <w:r>
              <w:rPr>
                <w:rFonts w:ascii="Arial" w:cs="Arial" w:eastAsia="Arial" w:hAnsi="Arial"/>
                <w:sz w:val="16"/>
                <w:szCs w:val="16"/>
                <w:b w:val="1"/>
                <w:bCs w:val="1"/>
                <w:color w:val="auto"/>
              </w:rPr>
              <w:t>Classification</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38"/>
              <w:spacing w:after="0"/>
              <w:rPr>
                <w:sz w:val="20"/>
                <w:szCs w:val="20"/>
                <w:color w:val="auto"/>
              </w:rPr>
            </w:pPr>
            <w:r>
              <w:rPr>
                <w:rFonts w:ascii="Arial" w:cs="Arial" w:eastAsia="Arial" w:hAnsi="Arial"/>
                <w:sz w:val="16"/>
                <w:szCs w:val="16"/>
                <w:b w:val="1"/>
                <w:bCs w:val="1"/>
                <w:color w:val="auto"/>
              </w:rPr>
              <w:t>2021</w:t>
            </w:r>
          </w:p>
        </w:tc>
        <w:tc>
          <w:tcPr>
            <w:tcW w:w="5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2320" w:type="dxa"/>
            <w:vAlign w:val="bottom"/>
            <w:tcBorders>
              <w:top w:val="single" w:sz="8" w:color="auto"/>
            </w:tcBorders>
          </w:tcPr>
          <w:p>
            <w:pPr>
              <w:spacing w:after="0"/>
              <w:rPr>
                <w:sz w:val="3"/>
                <w:szCs w:val="3"/>
                <w:color w:val="auto"/>
              </w:rPr>
            </w:pPr>
          </w:p>
        </w:tc>
        <w:tc>
          <w:tcPr>
            <w:tcW w:w="46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46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340" w:type="dxa"/>
            <w:vAlign w:val="bottom"/>
            <w:gridSpan w:val="2"/>
          </w:tcPr>
          <w:p>
            <w:pPr>
              <w:spacing w:after="0"/>
              <w:rPr>
                <w:sz w:val="20"/>
                <w:szCs w:val="20"/>
                <w:color w:val="auto"/>
              </w:rPr>
            </w:pPr>
            <w:r>
              <w:rPr>
                <w:rFonts w:ascii="Arial" w:cs="Arial" w:eastAsia="Arial" w:hAnsi="Arial"/>
                <w:sz w:val="16"/>
                <w:szCs w:val="16"/>
                <w:color w:val="auto"/>
              </w:rPr>
              <w:t>Operating</w:t>
            </w:r>
          </w:p>
        </w:tc>
        <w:tc>
          <w:tcPr>
            <w:tcW w:w="4620" w:type="dxa"/>
            <w:vAlign w:val="bottom"/>
          </w:tcPr>
          <w:p>
            <w:pPr>
              <w:ind w:left="900"/>
              <w:spacing w:after="0"/>
              <w:rPr>
                <w:sz w:val="20"/>
                <w:szCs w:val="20"/>
                <w:color w:val="auto"/>
              </w:rPr>
            </w:pPr>
            <w:r>
              <w:rPr>
                <w:rFonts w:ascii="Arial" w:cs="Arial" w:eastAsia="Arial" w:hAnsi="Arial"/>
                <w:sz w:val="16"/>
                <w:szCs w:val="16"/>
                <w:color w:val="auto"/>
              </w:rPr>
              <w:t>Operating leases right-of-use assets</w:t>
            </w:r>
          </w:p>
        </w:tc>
        <w:tc>
          <w:tcPr>
            <w:tcW w:w="128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8"/>
              <w:spacing w:after="0"/>
              <w:rPr>
                <w:sz w:val="20"/>
                <w:szCs w:val="20"/>
                <w:color w:val="auto"/>
              </w:rPr>
            </w:pPr>
            <w:r>
              <w:rPr>
                <w:rFonts w:ascii="Arial" w:cs="Arial" w:eastAsia="Arial" w:hAnsi="Arial"/>
                <w:sz w:val="16"/>
                <w:szCs w:val="16"/>
                <w:color w:val="auto"/>
              </w:rPr>
              <w:t>5,038</w:t>
            </w:r>
          </w:p>
        </w:tc>
        <w:tc>
          <w:tcPr>
            <w:tcW w:w="580" w:type="dxa"/>
            <w:vAlign w:val="bottom"/>
          </w:tcPr>
          <w:p>
            <w:pPr>
              <w:ind w:lef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5,319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Finance</w:t>
            </w:r>
          </w:p>
        </w:tc>
        <w:tc>
          <w:tcPr>
            <w:tcW w:w="46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Property and equipment, net</w:t>
            </w:r>
          </w:p>
        </w:tc>
        <w:tc>
          <w:tcPr>
            <w:tcW w:w="10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50</w:t>
            </w:r>
          </w:p>
        </w:tc>
        <w:tc>
          <w:tcPr>
            <w:tcW w:w="5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40" w:type="dxa"/>
            <w:vAlign w:val="bottom"/>
            <w:gridSpan w:val="2"/>
          </w:tcPr>
          <w:p>
            <w:pPr>
              <w:spacing w:after="0"/>
              <w:rPr>
                <w:sz w:val="20"/>
                <w:szCs w:val="20"/>
                <w:color w:val="auto"/>
              </w:rPr>
            </w:pPr>
            <w:r>
              <w:rPr>
                <w:rFonts w:ascii="Arial" w:cs="Arial" w:eastAsia="Arial" w:hAnsi="Arial"/>
                <w:sz w:val="16"/>
                <w:szCs w:val="16"/>
                <w:color w:val="auto"/>
              </w:rPr>
              <w:t>Total lease assets</w:t>
            </w:r>
          </w:p>
        </w:tc>
        <w:tc>
          <w:tcPr>
            <w:tcW w:w="4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5,088</w:t>
            </w:r>
          </w:p>
        </w:tc>
        <w:tc>
          <w:tcPr>
            <w:tcW w:w="5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5"/>
                <w:szCs w:val="5"/>
                <w:color w:val="auto"/>
              </w:rPr>
            </w:pPr>
          </w:p>
        </w:tc>
        <w:tc>
          <w:tcPr>
            <w:tcW w:w="23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46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340" w:type="dxa"/>
            <w:vAlign w:val="bottom"/>
            <w:gridSpan w:val="2"/>
          </w:tcPr>
          <w:p>
            <w:pPr>
              <w:spacing w:after="0"/>
              <w:rPr>
                <w:sz w:val="20"/>
                <w:szCs w:val="20"/>
                <w:color w:val="auto"/>
              </w:rPr>
            </w:pPr>
            <w:r>
              <w:rPr>
                <w:rFonts w:ascii="Arial" w:cs="Arial" w:eastAsia="Arial" w:hAnsi="Arial"/>
                <w:sz w:val="16"/>
                <w:szCs w:val="16"/>
                <w:color w:val="auto"/>
              </w:rPr>
              <w:t>Current</w:t>
            </w:r>
          </w:p>
        </w:tc>
        <w:tc>
          <w:tcPr>
            <w:tcW w:w="4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w:t>
            </w:r>
          </w:p>
        </w:tc>
        <w:tc>
          <w:tcPr>
            <w:tcW w:w="46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Lease liabilities</w:t>
            </w: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1,294</w:t>
            </w: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320" w:type="dxa"/>
            <w:vAlign w:val="bottom"/>
          </w:tcPr>
          <w:p>
            <w:pPr>
              <w:ind w:left="180"/>
              <w:spacing w:after="0"/>
              <w:rPr>
                <w:sz w:val="20"/>
                <w:szCs w:val="20"/>
                <w:color w:val="auto"/>
              </w:rPr>
            </w:pPr>
            <w:r>
              <w:rPr>
                <w:rFonts w:ascii="Arial" w:cs="Arial" w:eastAsia="Arial" w:hAnsi="Arial"/>
                <w:sz w:val="16"/>
                <w:szCs w:val="16"/>
                <w:color w:val="auto"/>
              </w:rPr>
              <w:t>Finance</w:t>
            </w:r>
          </w:p>
        </w:tc>
        <w:tc>
          <w:tcPr>
            <w:tcW w:w="4620" w:type="dxa"/>
            <w:vAlign w:val="bottom"/>
          </w:tcPr>
          <w:p>
            <w:pPr>
              <w:ind w:left="900"/>
              <w:spacing w:after="0"/>
              <w:rPr>
                <w:sz w:val="20"/>
                <w:szCs w:val="20"/>
                <w:color w:val="auto"/>
              </w:rPr>
            </w:pPr>
            <w:r>
              <w:rPr>
                <w:rFonts w:ascii="Arial" w:cs="Arial" w:eastAsia="Arial" w:hAnsi="Arial"/>
                <w:sz w:val="16"/>
                <w:szCs w:val="16"/>
                <w:color w:val="auto"/>
              </w:rPr>
              <w:t>Lease liabilities</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138"/>
              <w:spacing w:after="0"/>
              <w:rPr>
                <w:sz w:val="20"/>
                <w:szCs w:val="20"/>
                <w:color w:val="auto"/>
              </w:rPr>
            </w:pPr>
            <w:r>
              <w:rPr>
                <w:rFonts w:ascii="Arial" w:cs="Arial" w:eastAsia="Arial" w:hAnsi="Arial"/>
                <w:sz w:val="16"/>
                <w:szCs w:val="16"/>
                <w:color w:val="auto"/>
              </w:rPr>
              <w:t>23</w:t>
            </w:r>
          </w:p>
        </w:tc>
        <w:tc>
          <w:tcPr>
            <w:tcW w:w="5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2340" w:type="dxa"/>
            <w:vAlign w:val="bottom"/>
            <w:gridSpan w:val="2"/>
          </w:tcPr>
          <w:p>
            <w:pPr>
              <w:spacing w:after="0"/>
              <w:rPr>
                <w:sz w:val="4"/>
                <w:szCs w:val="4"/>
                <w:color w:val="auto"/>
              </w:rPr>
            </w:pPr>
          </w:p>
        </w:tc>
        <w:tc>
          <w:tcPr>
            <w:tcW w:w="46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Noncurrent</w:t>
            </w:r>
          </w:p>
        </w:tc>
        <w:tc>
          <w:tcPr>
            <w:tcW w:w="46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20" w:type="dxa"/>
            <w:vAlign w:val="bottom"/>
          </w:tcPr>
          <w:p>
            <w:pPr>
              <w:ind w:left="180"/>
              <w:spacing w:after="0"/>
              <w:rPr>
                <w:sz w:val="20"/>
                <w:szCs w:val="20"/>
                <w:color w:val="auto"/>
              </w:rPr>
            </w:pPr>
            <w:r>
              <w:rPr>
                <w:rFonts w:ascii="Arial" w:cs="Arial" w:eastAsia="Arial" w:hAnsi="Arial"/>
                <w:sz w:val="16"/>
                <w:szCs w:val="16"/>
                <w:color w:val="auto"/>
              </w:rPr>
              <w:t>Operating</w:t>
            </w:r>
          </w:p>
        </w:tc>
        <w:tc>
          <w:tcPr>
            <w:tcW w:w="4620" w:type="dxa"/>
            <w:vAlign w:val="bottom"/>
          </w:tcPr>
          <w:p>
            <w:pPr>
              <w:ind w:left="900"/>
              <w:spacing w:after="0"/>
              <w:rPr>
                <w:sz w:val="20"/>
                <w:szCs w:val="20"/>
                <w:color w:val="auto"/>
              </w:rPr>
            </w:pPr>
            <w:r>
              <w:rPr>
                <w:rFonts w:ascii="Arial" w:cs="Arial" w:eastAsia="Arial" w:hAnsi="Arial"/>
                <w:sz w:val="16"/>
                <w:szCs w:val="16"/>
                <w:color w:val="auto"/>
              </w:rPr>
              <w:t>Long-term lease liabilities</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38"/>
              <w:spacing w:after="0"/>
              <w:rPr>
                <w:sz w:val="20"/>
                <w:szCs w:val="20"/>
                <w:color w:val="auto"/>
              </w:rPr>
            </w:pPr>
            <w:r>
              <w:rPr>
                <w:rFonts w:ascii="Arial" w:cs="Arial" w:eastAsia="Arial" w:hAnsi="Arial"/>
                <w:sz w:val="16"/>
                <w:szCs w:val="16"/>
                <w:color w:val="auto"/>
              </w:rPr>
              <w:t>4,702</w:t>
            </w:r>
          </w:p>
        </w:tc>
        <w:tc>
          <w:tcPr>
            <w:tcW w:w="5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w:t>
            </w:r>
          </w:p>
        </w:tc>
        <w:tc>
          <w:tcPr>
            <w:tcW w:w="46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Long-term lease liabilities</w:t>
            </w:r>
          </w:p>
        </w:tc>
        <w:tc>
          <w:tcPr>
            <w:tcW w:w="10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32</w:t>
            </w:r>
          </w:p>
        </w:tc>
        <w:tc>
          <w:tcPr>
            <w:tcW w:w="5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340" w:type="dxa"/>
            <w:vAlign w:val="bottom"/>
            <w:gridSpan w:val="2"/>
          </w:tcPr>
          <w:p>
            <w:pPr>
              <w:spacing w:after="0"/>
              <w:rPr>
                <w:sz w:val="20"/>
                <w:szCs w:val="20"/>
                <w:color w:val="auto"/>
              </w:rPr>
            </w:pPr>
            <w:r>
              <w:rPr>
                <w:rFonts w:ascii="Arial" w:cs="Arial" w:eastAsia="Arial" w:hAnsi="Arial"/>
                <w:sz w:val="16"/>
                <w:szCs w:val="16"/>
                <w:color w:val="auto"/>
              </w:rPr>
              <w:t>Total lease liabilities</w:t>
            </w:r>
          </w:p>
        </w:tc>
        <w:tc>
          <w:tcPr>
            <w:tcW w:w="4620" w:type="dxa"/>
            <w:vAlign w:val="bottom"/>
          </w:tcPr>
          <w:p>
            <w:pPr>
              <w:spacing w:after="0"/>
              <w:rPr>
                <w:sz w:val="17"/>
                <w:szCs w:val="17"/>
                <w:color w:val="auto"/>
              </w:rPr>
            </w:pPr>
          </w:p>
        </w:tc>
        <w:tc>
          <w:tcPr>
            <w:tcW w:w="128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8"/>
              <w:spacing w:after="0"/>
              <w:rPr>
                <w:sz w:val="20"/>
                <w:szCs w:val="20"/>
                <w:color w:val="auto"/>
              </w:rPr>
            </w:pPr>
            <w:r>
              <w:rPr>
                <w:rFonts w:ascii="Arial" w:cs="Arial" w:eastAsia="Arial" w:hAnsi="Arial"/>
                <w:sz w:val="16"/>
                <w:szCs w:val="16"/>
                <w:color w:val="auto"/>
              </w:rPr>
              <w:t>6,051</w:t>
            </w:r>
          </w:p>
        </w:tc>
        <w:tc>
          <w:tcPr>
            <w:tcW w:w="580" w:type="dxa"/>
            <w:vAlign w:val="bottom"/>
          </w:tcPr>
          <w:p>
            <w:pPr>
              <w:ind w:lef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6,353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4620" w:type="dxa"/>
            <w:vAlign w:val="bottom"/>
            <w:tcBorders>
              <w:top w:val="single" w:sz="8" w:color="auto"/>
            </w:tcBorders>
          </w:tcPr>
          <w:p>
            <w:pPr>
              <w:ind w:left="2660"/>
              <w:spacing w:after="0"/>
              <w:rPr>
                <w:sz w:val="20"/>
                <w:szCs w:val="20"/>
                <w:color w:val="auto"/>
              </w:rPr>
            </w:pPr>
            <w:r>
              <w:rPr>
                <w:rFonts w:ascii="Arial" w:cs="Arial" w:eastAsia="Arial" w:hAnsi="Arial"/>
                <w:sz w:val="16"/>
                <w:szCs w:val="16"/>
                <w:color w:val="auto"/>
              </w:rPr>
              <w:t>F-63</w:t>
            </w: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41" w:right="779" w:bottom="1440" w:gutter="0" w:footer="0" w:header="0"/>
        </w:sectPr>
      </w:pPr>
    </w:p>
    <w:bookmarkStart w:id="289" w:name="page290"/>
    <w:bookmarkEnd w:id="2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right="720"/>
        <w:spacing w:after="0" w:line="265" w:lineRule="auto"/>
        <w:rPr>
          <w:sz w:val="20"/>
          <w:szCs w:val="20"/>
          <w:color w:val="auto"/>
        </w:rPr>
      </w:pPr>
      <w:r>
        <w:rPr>
          <w:rFonts w:ascii="Arial" w:cs="Arial" w:eastAsia="Arial" w:hAnsi="Arial"/>
          <w:sz w:val="16"/>
          <w:szCs w:val="16"/>
          <w:color w:val="auto"/>
        </w:rPr>
        <w:t>For the three months ended March 31, 2021 and 2020, the components of operating and finance lease expenses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53975</wp:posOffset>
            </wp:positionV>
            <wp:extent cx="6569075" cy="1587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360" w:type="dxa"/>
            <w:vAlign w:val="bottom"/>
            <w:gridSpan w:val="2"/>
          </w:tcPr>
          <w:p>
            <w:pPr>
              <w:ind w:left="340"/>
              <w:spacing w:after="0"/>
              <w:rPr>
                <w:sz w:val="20"/>
                <w:szCs w:val="20"/>
                <w:color w:val="auto"/>
              </w:rPr>
            </w:pPr>
            <w:r>
              <w:rPr>
                <w:rFonts w:ascii="Arial" w:cs="Arial" w:eastAsia="Arial" w:hAnsi="Arial"/>
                <w:sz w:val="16"/>
                <w:szCs w:val="16"/>
                <w:b w:val="1"/>
                <w:bCs w:val="1"/>
                <w:color w:val="auto"/>
              </w:rPr>
              <w:t>March 31,</w:t>
            </w:r>
          </w:p>
        </w:tc>
        <w:tc>
          <w:tcPr>
            <w:tcW w:w="1060" w:type="dxa"/>
            <w:vAlign w:val="bottom"/>
            <w:gridSpan w:val="3"/>
          </w:tcPr>
          <w:p>
            <w:pPr>
              <w:ind w:left="240"/>
              <w:spacing w:after="0"/>
              <w:rPr>
                <w:sz w:val="20"/>
                <w:szCs w:val="20"/>
                <w:color w:val="auto"/>
              </w:rPr>
            </w:pPr>
            <w:r>
              <w:rPr>
                <w:rFonts w:ascii="Arial" w:cs="Arial" w:eastAsia="Arial" w:hAnsi="Arial"/>
                <w:sz w:val="16"/>
                <w:szCs w:val="16"/>
                <w:b w:val="1"/>
                <w:bCs w:val="1"/>
                <w:color w:val="auto"/>
              </w:rPr>
              <w:t>March 31,</w:t>
            </w:r>
          </w:p>
        </w:tc>
      </w:tr>
      <w:tr>
        <w:trPr>
          <w:trHeight w:val="207"/>
        </w:trPr>
        <w:tc>
          <w:tcPr>
            <w:tcW w:w="2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Lease cost</w:t>
            </w:r>
          </w:p>
        </w:tc>
        <w:tc>
          <w:tcPr>
            <w:tcW w:w="5380" w:type="dxa"/>
            <w:vAlign w:val="bottom"/>
            <w:tcBorders>
              <w:bottom w:val="single" w:sz="8" w:color="auto"/>
            </w:tcBorders>
          </w:tcPr>
          <w:p>
            <w:pPr>
              <w:ind w:left="1020"/>
              <w:spacing w:after="0"/>
              <w:rPr>
                <w:sz w:val="20"/>
                <w:szCs w:val="20"/>
                <w:color w:val="auto"/>
              </w:rPr>
            </w:pPr>
            <w:r>
              <w:rPr>
                <w:rFonts w:ascii="Arial" w:cs="Arial" w:eastAsia="Arial" w:hAnsi="Arial"/>
                <w:sz w:val="16"/>
                <w:szCs w:val="16"/>
                <w:b w:val="1"/>
                <w:bCs w:val="1"/>
                <w:color w:val="auto"/>
              </w:rPr>
              <w:t>Classification</w:t>
            </w:r>
          </w:p>
        </w:tc>
        <w:tc>
          <w:tcPr>
            <w:tcW w:w="5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18"/>
                <w:szCs w:val="18"/>
                <w:color w:val="auto"/>
              </w:rPr>
            </w:pPr>
          </w:p>
        </w:tc>
      </w:tr>
      <w:tr>
        <w:trPr>
          <w:trHeight w:val="183"/>
        </w:trPr>
        <w:tc>
          <w:tcPr>
            <w:tcW w:w="25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Operating lease cost</w:t>
            </w:r>
          </w:p>
        </w:tc>
        <w:tc>
          <w:tcPr>
            <w:tcW w:w="5380" w:type="dxa"/>
            <w:vAlign w:val="bottom"/>
            <w:shd w:val="clear" w:color="auto" w:fill="CCEEFF"/>
          </w:tcPr>
          <w:p>
            <w:pPr>
              <w:ind w:left="1020"/>
              <w:spacing w:after="0" w:line="183" w:lineRule="exact"/>
              <w:rPr>
                <w:sz w:val="20"/>
                <w:szCs w:val="20"/>
                <w:color w:val="auto"/>
              </w:rPr>
            </w:pPr>
            <w:r>
              <w:rPr>
                <w:rFonts w:ascii="Arial" w:cs="Arial" w:eastAsia="Arial" w:hAnsi="Arial"/>
                <w:sz w:val="16"/>
                <w:szCs w:val="16"/>
                <w:color w:val="auto"/>
              </w:rPr>
              <w:t>Cost of goods sold</w:t>
            </w:r>
          </w:p>
        </w:tc>
        <w:tc>
          <w:tcPr>
            <w:tcW w:w="580" w:type="dxa"/>
            <w:vAlign w:val="bottom"/>
            <w:shd w:val="clear" w:color="auto" w:fill="CCEEFF"/>
          </w:tcPr>
          <w:p>
            <w:pPr>
              <w:ind w:left="340"/>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78"/>
              <w:spacing w:after="0" w:line="183" w:lineRule="exact"/>
              <w:rPr>
                <w:sz w:val="20"/>
                <w:szCs w:val="20"/>
                <w:color w:val="auto"/>
              </w:rPr>
            </w:pPr>
            <w:r>
              <w:rPr>
                <w:rFonts w:ascii="Arial" w:cs="Arial" w:eastAsia="Arial" w:hAnsi="Arial"/>
                <w:sz w:val="16"/>
                <w:szCs w:val="16"/>
                <w:color w:val="auto"/>
              </w:rPr>
              <w:t>3</w:t>
            </w:r>
          </w:p>
        </w:tc>
        <w:tc>
          <w:tcPr>
            <w:tcW w:w="480" w:type="dxa"/>
            <w:vAlign w:val="bottom"/>
            <w:shd w:val="clear" w:color="auto" w:fill="CCEEFF"/>
          </w:tcPr>
          <w:p>
            <w:pPr>
              <w:ind w:left="240"/>
              <w:spacing w:after="0" w:line="183" w:lineRule="exact"/>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w:t>
            </w:r>
          </w:p>
        </w:tc>
        <w:tc>
          <w:tcPr>
            <w:tcW w:w="40" w:type="dxa"/>
            <w:vAlign w:val="bottom"/>
            <w:shd w:val="clear" w:color="auto" w:fill="CCEEFF"/>
          </w:tcPr>
          <w:p>
            <w:pPr>
              <w:spacing w:after="0"/>
              <w:rPr>
                <w:sz w:val="15"/>
                <w:szCs w:val="15"/>
                <w:color w:val="auto"/>
              </w:rPr>
            </w:pPr>
          </w:p>
        </w:tc>
      </w:tr>
      <w:tr>
        <w:trPr>
          <w:trHeight w:val="190"/>
        </w:trPr>
        <w:tc>
          <w:tcPr>
            <w:tcW w:w="2540" w:type="dxa"/>
            <w:vAlign w:val="bottom"/>
          </w:tcPr>
          <w:p>
            <w:pPr>
              <w:spacing w:after="0"/>
              <w:rPr>
                <w:sz w:val="16"/>
                <w:szCs w:val="16"/>
                <w:color w:val="auto"/>
              </w:rPr>
            </w:pPr>
          </w:p>
        </w:tc>
        <w:tc>
          <w:tcPr>
            <w:tcW w:w="5380" w:type="dxa"/>
            <w:vAlign w:val="bottom"/>
          </w:tcPr>
          <w:p>
            <w:pPr>
              <w:ind w:left="1020"/>
              <w:spacing w:after="0"/>
              <w:rPr>
                <w:sz w:val="20"/>
                <w:szCs w:val="20"/>
                <w:color w:val="auto"/>
              </w:rPr>
            </w:pPr>
            <w:r>
              <w:rPr>
                <w:rFonts w:ascii="Arial" w:cs="Arial" w:eastAsia="Arial" w:hAnsi="Arial"/>
                <w:sz w:val="16"/>
                <w:szCs w:val="16"/>
                <w:color w:val="auto"/>
              </w:rPr>
              <w:t>Research and development</w:t>
            </w:r>
          </w:p>
        </w:tc>
        <w:tc>
          <w:tcPr>
            <w:tcW w:w="580" w:type="dxa"/>
            <w:vAlign w:val="bottom"/>
          </w:tcPr>
          <w:p>
            <w:pPr>
              <w:spacing w:after="0"/>
              <w:rPr>
                <w:sz w:val="16"/>
                <w:szCs w:val="16"/>
                <w:color w:val="auto"/>
              </w:rPr>
            </w:pPr>
          </w:p>
        </w:tc>
        <w:tc>
          <w:tcPr>
            <w:tcW w:w="780" w:type="dxa"/>
            <w:vAlign w:val="bottom"/>
          </w:tcPr>
          <w:p>
            <w:pPr>
              <w:jc w:val="right"/>
              <w:ind w:right="178"/>
              <w:spacing w:after="0"/>
              <w:rPr>
                <w:sz w:val="20"/>
                <w:szCs w:val="20"/>
                <w:color w:val="auto"/>
              </w:rPr>
            </w:pPr>
            <w:r>
              <w:rPr>
                <w:rFonts w:ascii="Arial" w:cs="Arial" w:eastAsia="Arial" w:hAnsi="Arial"/>
                <w:sz w:val="16"/>
                <w:szCs w:val="16"/>
                <w:color w:val="auto"/>
              </w:rPr>
              <w:t>79</w:t>
            </w:r>
          </w:p>
        </w:tc>
        <w:tc>
          <w:tcPr>
            <w:tcW w:w="4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w:t>
            </w:r>
          </w:p>
        </w:tc>
        <w:tc>
          <w:tcPr>
            <w:tcW w:w="40" w:type="dxa"/>
            <w:vAlign w:val="bottom"/>
          </w:tcPr>
          <w:p>
            <w:pPr>
              <w:spacing w:after="0"/>
              <w:rPr>
                <w:sz w:val="16"/>
                <w:szCs w:val="16"/>
                <w:color w:val="auto"/>
              </w:rPr>
            </w:pPr>
          </w:p>
        </w:tc>
      </w:tr>
      <w:tr>
        <w:trPr>
          <w:trHeight w:val="190"/>
        </w:trPr>
        <w:tc>
          <w:tcPr>
            <w:tcW w:w="2540" w:type="dxa"/>
            <w:vAlign w:val="bottom"/>
            <w:shd w:val="clear" w:color="auto" w:fill="CCEEFF"/>
          </w:tcPr>
          <w:p>
            <w:pPr>
              <w:spacing w:after="0"/>
              <w:rPr>
                <w:sz w:val="16"/>
                <w:szCs w:val="16"/>
                <w:color w:val="auto"/>
              </w:rPr>
            </w:pPr>
          </w:p>
        </w:tc>
        <w:tc>
          <w:tcPr>
            <w:tcW w:w="538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Selling, general and administrative expenses</w:t>
            </w:r>
          </w:p>
        </w:tc>
        <w:tc>
          <w:tcPr>
            <w:tcW w:w="5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402</w:t>
            </w: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40" w:type="dxa"/>
            <w:vAlign w:val="bottom"/>
            <w:shd w:val="clear" w:color="auto" w:fill="CCEEFF"/>
          </w:tcPr>
          <w:p>
            <w:pPr>
              <w:spacing w:after="0"/>
              <w:rPr>
                <w:sz w:val="16"/>
                <w:szCs w:val="16"/>
                <w:color w:val="auto"/>
              </w:rPr>
            </w:pPr>
          </w:p>
        </w:tc>
      </w:tr>
      <w:tr>
        <w:trPr>
          <w:trHeight w:val="295"/>
        </w:trPr>
        <w:tc>
          <w:tcPr>
            <w:tcW w:w="2540" w:type="dxa"/>
            <w:vAlign w:val="bottom"/>
          </w:tcPr>
          <w:p>
            <w:pPr>
              <w:spacing w:after="0"/>
              <w:rPr>
                <w:sz w:val="20"/>
                <w:szCs w:val="20"/>
                <w:color w:val="auto"/>
              </w:rPr>
            </w:pPr>
            <w:r>
              <w:rPr>
                <w:rFonts w:ascii="Arial" w:cs="Arial" w:eastAsia="Arial" w:hAnsi="Arial"/>
                <w:sz w:val="16"/>
                <w:szCs w:val="16"/>
                <w:color w:val="auto"/>
              </w:rPr>
              <w:t>Finance lease cost</w:t>
            </w:r>
          </w:p>
        </w:tc>
        <w:tc>
          <w:tcPr>
            <w:tcW w:w="5380" w:type="dxa"/>
            <w:vAlign w:val="bottom"/>
          </w:tcPr>
          <w:p>
            <w:pPr>
              <w:ind w:left="1020"/>
              <w:spacing w:after="0"/>
              <w:rPr>
                <w:sz w:val="20"/>
                <w:szCs w:val="20"/>
                <w:color w:val="auto"/>
              </w:rPr>
            </w:pPr>
            <w:r>
              <w:rPr>
                <w:rFonts w:ascii="Arial" w:cs="Arial" w:eastAsia="Arial" w:hAnsi="Arial"/>
                <w:sz w:val="16"/>
                <w:szCs w:val="16"/>
                <w:color w:val="auto"/>
              </w:rPr>
              <w:t>Amortization of right-of-use asset included in Research</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7"/>
        </w:trPr>
        <w:tc>
          <w:tcPr>
            <w:tcW w:w="2540" w:type="dxa"/>
            <w:vAlign w:val="bottom"/>
          </w:tcPr>
          <w:p>
            <w:pPr>
              <w:spacing w:after="0"/>
              <w:rPr>
                <w:sz w:val="16"/>
                <w:szCs w:val="16"/>
                <w:color w:val="auto"/>
              </w:rPr>
            </w:pPr>
          </w:p>
        </w:tc>
        <w:tc>
          <w:tcPr>
            <w:tcW w:w="5380" w:type="dxa"/>
            <w:vAlign w:val="bottom"/>
          </w:tcPr>
          <w:p>
            <w:pPr>
              <w:ind w:left="1020"/>
              <w:spacing w:after="0"/>
              <w:rPr>
                <w:sz w:val="20"/>
                <w:szCs w:val="20"/>
                <w:color w:val="auto"/>
              </w:rPr>
            </w:pPr>
            <w:r>
              <w:rPr>
                <w:rFonts w:ascii="Arial" w:cs="Arial" w:eastAsia="Arial" w:hAnsi="Arial"/>
                <w:sz w:val="16"/>
                <w:szCs w:val="16"/>
                <w:color w:val="auto"/>
              </w:rPr>
              <w:t>and development expenses</w:t>
            </w:r>
          </w:p>
        </w:tc>
        <w:tc>
          <w:tcPr>
            <w:tcW w:w="580" w:type="dxa"/>
            <w:vAlign w:val="bottom"/>
          </w:tcPr>
          <w:p>
            <w:pPr>
              <w:spacing w:after="0"/>
              <w:rPr>
                <w:sz w:val="16"/>
                <w:szCs w:val="16"/>
                <w:color w:val="auto"/>
              </w:rPr>
            </w:pPr>
          </w:p>
        </w:tc>
        <w:tc>
          <w:tcPr>
            <w:tcW w:w="78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w:t>
            </w:r>
          </w:p>
        </w:tc>
        <w:tc>
          <w:tcPr>
            <w:tcW w:w="40" w:type="dxa"/>
            <w:vAlign w:val="bottom"/>
          </w:tcPr>
          <w:p>
            <w:pPr>
              <w:spacing w:after="0"/>
              <w:rPr>
                <w:sz w:val="16"/>
                <w:szCs w:val="16"/>
                <w:color w:val="auto"/>
              </w:rPr>
            </w:pPr>
          </w:p>
        </w:tc>
      </w:tr>
      <w:tr>
        <w:trPr>
          <w:trHeight w:val="193"/>
        </w:trPr>
        <w:tc>
          <w:tcPr>
            <w:tcW w:w="2540" w:type="dxa"/>
            <w:vAlign w:val="bottom"/>
            <w:shd w:val="clear" w:color="auto" w:fill="CCEEFF"/>
          </w:tcPr>
          <w:p>
            <w:pPr>
              <w:spacing w:after="0"/>
              <w:rPr>
                <w:sz w:val="16"/>
                <w:szCs w:val="16"/>
                <w:color w:val="auto"/>
              </w:rPr>
            </w:pPr>
          </w:p>
        </w:tc>
        <w:tc>
          <w:tcPr>
            <w:tcW w:w="538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Amortization of right-of-use asset included in Selling,</w:t>
            </w:r>
          </w:p>
        </w:tc>
        <w:tc>
          <w:tcPr>
            <w:tcW w:w="5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7"/>
        </w:trPr>
        <w:tc>
          <w:tcPr>
            <w:tcW w:w="2540" w:type="dxa"/>
            <w:vAlign w:val="bottom"/>
            <w:shd w:val="clear" w:color="auto" w:fill="CCEEFF"/>
          </w:tcPr>
          <w:p>
            <w:pPr>
              <w:spacing w:after="0"/>
              <w:rPr>
                <w:sz w:val="16"/>
                <w:szCs w:val="16"/>
                <w:color w:val="auto"/>
              </w:rPr>
            </w:pPr>
          </w:p>
        </w:tc>
        <w:tc>
          <w:tcPr>
            <w:tcW w:w="538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general and administrative expenses</w:t>
            </w:r>
          </w:p>
        </w:tc>
        <w:tc>
          <w:tcPr>
            <w:tcW w:w="5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8</w:t>
            </w: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40" w:type="dxa"/>
            <w:vAlign w:val="bottom"/>
            <w:shd w:val="clear" w:color="auto" w:fill="CCEEFF"/>
          </w:tcPr>
          <w:p>
            <w:pPr>
              <w:spacing w:after="0"/>
              <w:rPr>
                <w:sz w:val="16"/>
                <w:szCs w:val="16"/>
                <w:color w:val="auto"/>
              </w:rPr>
            </w:pPr>
          </w:p>
        </w:tc>
      </w:tr>
      <w:tr>
        <w:trPr>
          <w:trHeight w:val="303"/>
        </w:trPr>
        <w:tc>
          <w:tcPr>
            <w:tcW w:w="2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Finance lease cost</w:t>
            </w:r>
          </w:p>
        </w:tc>
        <w:tc>
          <w:tcPr>
            <w:tcW w:w="538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Interest expense</w:t>
            </w: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2</w:t>
            </w:r>
          </w:p>
        </w:tc>
        <w:tc>
          <w:tcPr>
            <w:tcW w:w="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24"/>
                <w:szCs w:val="24"/>
                <w:color w:val="auto"/>
              </w:rPr>
            </w:pPr>
          </w:p>
        </w:tc>
      </w:tr>
      <w:tr>
        <w:trPr>
          <w:trHeight w:val="296"/>
        </w:trPr>
        <w:tc>
          <w:tcPr>
            <w:tcW w:w="9280" w:type="dxa"/>
            <w:vAlign w:val="bottom"/>
            <w:gridSpan w:val="4"/>
          </w:tcPr>
          <w:p>
            <w:pPr>
              <w:spacing w:after="0"/>
              <w:rPr>
                <w:sz w:val="20"/>
                <w:szCs w:val="20"/>
                <w:color w:val="auto"/>
              </w:rPr>
            </w:pPr>
            <w:r>
              <w:rPr>
                <w:rFonts w:ascii="Arial" w:cs="Arial" w:eastAsia="Arial" w:hAnsi="Arial"/>
                <w:sz w:val="16"/>
                <w:szCs w:val="16"/>
                <w:color w:val="auto"/>
              </w:rPr>
              <w:t>Maturities of the Company’s operating and finance lease liabilities as of March 31, 2021 were as follows (in thousands):</w:t>
            </w: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66040</wp:posOffset>
            </wp:positionV>
            <wp:extent cx="6569075" cy="158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Operating</w:t>
            </w:r>
          </w:p>
        </w:tc>
        <w:tc>
          <w:tcPr>
            <w:tcW w:w="940" w:type="dxa"/>
            <w:vAlign w:val="bottom"/>
            <w:gridSpan w:val="3"/>
          </w:tcPr>
          <w:p>
            <w:pPr>
              <w:ind w:left="260"/>
              <w:spacing w:after="0"/>
              <w:rPr>
                <w:sz w:val="20"/>
                <w:szCs w:val="20"/>
                <w:color w:val="auto"/>
              </w:rPr>
            </w:pPr>
            <w:r>
              <w:rPr>
                <w:rFonts w:ascii="Arial" w:cs="Arial" w:eastAsia="Arial" w:hAnsi="Arial"/>
                <w:sz w:val="16"/>
                <w:szCs w:val="16"/>
                <w:b w:val="1"/>
                <w:bCs w:val="1"/>
                <w:color w:val="auto"/>
              </w:rPr>
              <w:t>Finance</w:t>
            </w:r>
          </w:p>
        </w:tc>
      </w:tr>
      <w:tr>
        <w:trPr>
          <w:trHeight w:val="207"/>
        </w:trPr>
        <w:tc>
          <w:tcPr>
            <w:tcW w:w="5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 ending December 31,</w:t>
            </w:r>
          </w:p>
        </w:tc>
        <w:tc>
          <w:tcPr>
            <w:tcW w:w="3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leases</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leases</w:t>
            </w:r>
          </w:p>
        </w:tc>
      </w:tr>
      <w:tr>
        <w:trPr>
          <w:trHeight w:val="183"/>
        </w:trPr>
        <w:tc>
          <w:tcPr>
            <w:tcW w:w="5200" w:type="dxa"/>
            <w:vAlign w:val="bottom"/>
            <w:shd w:val="clear" w:color="auto" w:fill="CCEEFF"/>
          </w:tcPr>
          <w:p>
            <w:pPr>
              <w:ind w:left="400"/>
              <w:spacing w:after="0" w:line="183" w:lineRule="exact"/>
              <w:rPr>
                <w:sz w:val="20"/>
                <w:szCs w:val="20"/>
                <w:color w:val="auto"/>
              </w:rPr>
            </w:pPr>
            <w:r>
              <w:rPr>
                <w:rFonts w:ascii="Arial" w:cs="Arial" w:eastAsia="Arial" w:hAnsi="Arial"/>
                <w:sz w:val="16"/>
                <w:szCs w:val="16"/>
                <w:color w:val="auto"/>
              </w:rPr>
              <w:t>2021 (remainder)</w:t>
            </w:r>
          </w:p>
        </w:tc>
        <w:tc>
          <w:tcPr>
            <w:tcW w:w="3340" w:type="dxa"/>
            <w:vAlign w:val="bottom"/>
            <w:gridSpan w:val="2"/>
            <w:shd w:val="clear" w:color="auto" w:fill="CCEEFF"/>
          </w:tcPr>
          <w:p>
            <w:pPr>
              <w:ind w:left="3140"/>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78"/>
              <w:spacing w:after="0" w:line="183" w:lineRule="exact"/>
              <w:rPr>
                <w:sz w:val="20"/>
                <w:szCs w:val="20"/>
                <w:color w:val="auto"/>
              </w:rPr>
            </w:pPr>
            <w:r>
              <w:rPr>
                <w:rFonts w:ascii="Arial" w:cs="Arial" w:eastAsia="Arial" w:hAnsi="Arial"/>
                <w:sz w:val="16"/>
                <w:szCs w:val="16"/>
                <w:color w:val="auto"/>
              </w:rPr>
              <w:t>1,392</w:t>
            </w:r>
          </w:p>
        </w:tc>
        <w:tc>
          <w:tcPr>
            <w:tcW w:w="360" w:type="dxa"/>
            <w:vAlign w:val="bottom"/>
            <w:shd w:val="clear" w:color="auto" w:fill="CCEEFF"/>
          </w:tcPr>
          <w:p>
            <w:pPr>
              <w:ind w:left="260"/>
              <w:spacing w:after="0" w:line="183" w:lineRule="exact"/>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w:t>
            </w:r>
          </w:p>
        </w:tc>
        <w:tc>
          <w:tcPr>
            <w:tcW w:w="40" w:type="dxa"/>
            <w:vAlign w:val="bottom"/>
            <w:shd w:val="clear" w:color="auto" w:fill="CCEEFF"/>
          </w:tcPr>
          <w:p>
            <w:pPr>
              <w:spacing w:after="0"/>
              <w:rPr>
                <w:sz w:val="15"/>
                <w:szCs w:val="15"/>
                <w:color w:val="auto"/>
              </w:rPr>
            </w:pPr>
          </w:p>
        </w:tc>
      </w:tr>
      <w:tr>
        <w:trPr>
          <w:trHeight w:val="190"/>
        </w:trPr>
        <w:tc>
          <w:tcPr>
            <w:tcW w:w="5200" w:type="dxa"/>
            <w:vAlign w:val="bottom"/>
          </w:tcPr>
          <w:p>
            <w:pPr>
              <w:ind w:left="400"/>
              <w:spacing w:after="0"/>
              <w:rPr>
                <w:sz w:val="20"/>
                <w:szCs w:val="20"/>
                <w:color w:val="auto"/>
              </w:rPr>
            </w:pPr>
            <w:r>
              <w:rPr>
                <w:rFonts w:ascii="Arial" w:cs="Arial" w:eastAsia="Arial" w:hAnsi="Arial"/>
                <w:sz w:val="16"/>
                <w:szCs w:val="16"/>
                <w:color w:val="auto"/>
              </w:rPr>
              <w:t>2022</w:t>
            </w:r>
          </w:p>
        </w:tc>
        <w:tc>
          <w:tcPr>
            <w:tcW w:w="3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78"/>
              <w:spacing w:after="0"/>
              <w:rPr>
                <w:sz w:val="20"/>
                <w:szCs w:val="20"/>
                <w:color w:val="auto"/>
              </w:rPr>
            </w:pPr>
            <w:r>
              <w:rPr>
                <w:rFonts w:ascii="Arial" w:cs="Arial" w:eastAsia="Arial" w:hAnsi="Arial"/>
                <w:sz w:val="16"/>
                <w:szCs w:val="16"/>
                <w:color w:val="auto"/>
              </w:rPr>
              <w:t>1,881</w:t>
            </w:r>
          </w:p>
        </w:tc>
        <w:tc>
          <w:tcPr>
            <w:tcW w:w="3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w:t>
            </w:r>
          </w:p>
        </w:tc>
        <w:tc>
          <w:tcPr>
            <w:tcW w:w="40" w:type="dxa"/>
            <w:vAlign w:val="bottom"/>
          </w:tcPr>
          <w:p>
            <w:pPr>
              <w:spacing w:after="0"/>
              <w:rPr>
                <w:sz w:val="16"/>
                <w:szCs w:val="16"/>
                <w:color w:val="auto"/>
              </w:rPr>
            </w:pPr>
          </w:p>
        </w:tc>
      </w:tr>
      <w:tr>
        <w:trPr>
          <w:trHeight w:val="190"/>
        </w:trPr>
        <w:tc>
          <w:tcPr>
            <w:tcW w:w="52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2023</w:t>
            </w:r>
          </w:p>
        </w:tc>
        <w:tc>
          <w:tcPr>
            <w:tcW w:w="3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1,682</w:t>
            </w: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0" w:type="dxa"/>
            <w:vAlign w:val="bottom"/>
            <w:shd w:val="clear" w:color="auto" w:fill="CCEEFF"/>
          </w:tcPr>
          <w:p>
            <w:pPr>
              <w:spacing w:after="0"/>
              <w:rPr>
                <w:sz w:val="16"/>
                <w:szCs w:val="16"/>
                <w:color w:val="auto"/>
              </w:rPr>
            </w:pPr>
          </w:p>
        </w:tc>
      </w:tr>
      <w:tr>
        <w:trPr>
          <w:trHeight w:val="190"/>
        </w:trPr>
        <w:tc>
          <w:tcPr>
            <w:tcW w:w="5200" w:type="dxa"/>
            <w:vAlign w:val="bottom"/>
          </w:tcPr>
          <w:p>
            <w:pPr>
              <w:ind w:left="400"/>
              <w:spacing w:after="0"/>
              <w:rPr>
                <w:sz w:val="20"/>
                <w:szCs w:val="20"/>
                <w:color w:val="auto"/>
              </w:rPr>
            </w:pPr>
            <w:r>
              <w:rPr>
                <w:rFonts w:ascii="Arial" w:cs="Arial" w:eastAsia="Arial" w:hAnsi="Arial"/>
                <w:sz w:val="16"/>
                <w:szCs w:val="16"/>
                <w:color w:val="auto"/>
              </w:rPr>
              <w:t>2024</w:t>
            </w:r>
          </w:p>
        </w:tc>
        <w:tc>
          <w:tcPr>
            <w:tcW w:w="3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78"/>
              <w:spacing w:after="0"/>
              <w:rPr>
                <w:sz w:val="20"/>
                <w:szCs w:val="20"/>
                <w:color w:val="auto"/>
              </w:rPr>
            </w:pPr>
            <w:r>
              <w:rPr>
                <w:rFonts w:ascii="Arial" w:cs="Arial" w:eastAsia="Arial" w:hAnsi="Arial"/>
                <w:sz w:val="16"/>
                <w:szCs w:val="16"/>
                <w:color w:val="auto"/>
              </w:rPr>
              <w:t>1,456</w:t>
            </w:r>
          </w:p>
        </w:tc>
        <w:tc>
          <w:tcPr>
            <w:tcW w:w="36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0"/>
        </w:trPr>
        <w:tc>
          <w:tcPr>
            <w:tcW w:w="52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2025</w:t>
            </w:r>
          </w:p>
        </w:tc>
        <w:tc>
          <w:tcPr>
            <w:tcW w:w="3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951</w:t>
            </w:r>
          </w:p>
        </w:tc>
        <w:tc>
          <w:tcPr>
            <w:tcW w:w="3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196"/>
        </w:trPr>
        <w:tc>
          <w:tcPr>
            <w:tcW w:w="5200" w:type="dxa"/>
            <w:vAlign w:val="bottom"/>
          </w:tcPr>
          <w:p>
            <w:pPr>
              <w:ind w:left="400"/>
              <w:spacing w:after="0"/>
              <w:rPr>
                <w:sz w:val="20"/>
                <w:szCs w:val="20"/>
                <w:color w:val="auto"/>
              </w:rPr>
            </w:pPr>
            <w:r>
              <w:rPr>
                <w:rFonts w:ascii="Arial" w:cs="Arial" w:eastAsia="Arial" w:hAnsi="Arial"/>
                <w:sz w:val="16"/>
                <w:szCs w:val="16"/>
                <w:color w:val="auto"/>
              </w:rPr>
              <w:t>2026</w:t>
            </w:r>
          </w:p>
        </w:tc>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78"/>
              <w:spacing w:after="0"/>
              <w:rPr>
                <w:sz w:val="20"/>
                <w:szCs w:val="20"/>
                <w:color w:val="auto"/>
              </w:rPr>
            </w:pPr>
            <w:r>
              <w:rPr>
                <w:rFonts w:ascii="Arial" w:cs="Arial" w:eastAsia="Arial" w:hAnsi="Arial"/>
                <w:sz w:val="16"/>
                <w:szCs w:val="16"/>
                <w:color w:val="auto"/>
              </w:rPr>
              <w:t>79</w:t>
            </w:r>
          </w:p>
        </w:tc>
        <w:tc>
          <w:tcPr>
            <w:tcW w:w="36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0"/>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Total lease payments</w:t>
            </w:r>
          </w:p>
        </w:tc>
        <w:tc>
          <w:tcPr>
            <w:tcW w:w="31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7,441</w:t>
            </w:r>
          </w:p>
        </w:tc>
        <w:tc>
          <w:tcPr>
            <w:tcW w:w="3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40" w:type="dxa"/>
            <w:vAlign w:val="bottom"/>
            <w:shd w:val="clear" w:color="auto" w:fill="CCEEFF"/>
          </w:tcPr>
          <w:p>
            <w:pPr>
              <w:spacing w:after="0"/>
              <w:rPr>
                <w:sz w:val="16"/>
                <w:szCs w:val="16"/>
                <w:color w:val="auto"/>
              </w:rPr>
            </w:pPr>
          </w:p>
        </w:tc>
      </w:tr>
      <w:tr>
        <w:trPr>
          <w:trHeight w:val="196"/>
        </w:trPr>
        <w:tc>
          <w:tcPr>
            <w:tcW w:w="5200" w:type="dxa"/>
            <w:vAlign w:val="bottom"/>
          </w:tcPr>
          <w:p>
            <w:pPr>
              <w:ind w:left="200"/>
              <w:spacing w:after="0"/>
              <w:rPr>
                <w:sz w:val="20"/>
                <w:szCs w:val="20"/>
                <w:color w:val="auto"/>
              </w:rPr>
            </w:pPr>
            <w:r>
              <w:rPr>
                <w:rFonts w:ascii="Arial" w:cs="Arial" w:eastAsia="Arial" w:hAnsi="Arial"/>
                <w:sz w:val="16"/>
                <w:szCs w:val="16"/>
                <w:color w:val="auto"/>
              </w:rPr>
              <w:t>Less: imputed interest</w:t>
            </w:r>
          </w:p>
        </w:tc>
        <w:tc>
          <w:tcPr>
            <w:tcW w:w="3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1,445</w:t>
            </w:r>
          </w:p>
        </w:tc>
        <w:tc>
          <w:tcPr>
            <w:tcW w:w="3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7"/>
                <w:szCs w:val="17"/>
                <w:color w:val="auto"/>
              </w:rPr>
            </w:pPr>
          </w:p>
        </w:tc>
      </w:tr>
      <w:tr>
        <w:trPr>
          <w:trHeight w:val="190"/>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Total lease liabilities</w:t>
            </w:r>
          </w:p>
        </w:tc>
        <w:tc>
          <w:tcPr>
            <w:tcW w:w="3340" w:type="dxa"/>
            <w:vAlign w:val="bottom"/>
            <w:gridSpan w:val="2"/>
            <w:shd w:val="clear" w:color="auto" w:fill="CCEEFF"/>
          </w:tcPr>
          <w:p>
            <w:pPr>
              <w:ind w:left="3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5,996</w:t>
            </w:r>
          </w:p>
        </w:tc>
        <w:tc>
          <w:tcPr>
            <w:tcW w:w="360" w:type="dxa"/>
            <w:vAlign w:val="bottom"/>
            <w:shd w:val="clear" w:color="auto" w:fill="CCEEFF"/>
          </w:tcPr>
          <w:p>
            <w:pPr>
              <w:ind w:left="260"/>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40" w:type="dxa"/>
            <w:vAlign w:val="bottom"/>
            <w:shd w:val="clear" w:color="auto" w:fill="CCEEFF"/>
          </w:tcPr>
          <w:p>
            <w:pPr>
              <w:spacing w:after="0"/>
              <w:rPr>
                <w:sz w:val="16"/>
                <w:szCs w:val="16"/>
                <w:color w:val="auto"/>
              </w:rPr>
            </w:pP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right="120"/>
        <w:spacing w:after="0" w:line="265" w:lineRule="auto"/>
        <w:rPr>
          <w:sz w:val="20"/>
          <w:szCs w:val="20"/>
          <w:color w:val="auto"/>
        </w:rPr>
      </w:pPr>
      <w:r>
        <w:rPr>
          <w:rFonts w:ascii="Arial" w:cs="Arial" w:eastAsia="Arial" w:hAnsi="Arial"/>
          <w:sz w:val="16"/>
          <w:szCs w:val="16"/>
          <w:color w:val="auto"/>
        </w:rPr>
        <w:t>The weighted average remaining lease term and weighted average discount rate used to determine lease liabilities related to the Company’s operating and finance leases as of March 31, 2021 and December 31, 2020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53975</wp:posOffset>
            </wp:positionV>
            <wp:extent cx="6569075" cy="1587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569075" cy="15875"/>
                    </a:xfrm>
                    <a:prstGeom prst="rect">
                      <a:avLst/>
                    </a:prstGeom>
                    <a:noFill/>
                  </pic:spPr>
                </pic:pic>
              </a:graphicData>
            </a:graphic>
          </wp:anchor>
        </w:drawing>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3260" w:type="dxa"/>
            <w:vAlign w:val="bottom"/>
          </w:tcPr>
          <w:p>
            <w:pPr>
              <w:jc w:val="right"/>
              <w:ind w:right="138"/>
              <w:spacing w:after="0"/>
              <w:rPr>
                <w:sz w:val="20"/>
                <w:szCs w:val="20"/>
                <w:color w:val="auto"/>
              </w:rPr>
            </w:pPr>
            <w:r>
              <w:rPr>
                <w:rFonts w:ascii="Arial" w:cs="Arial" w:eastAsia="Arial" w:hAnsi="Arial"/>
                <w:sz w:val="16"/>
                <w:szCs w:val="16"/>
                <w:b w:val="1"/>
                <w:bCs w:val="1"/>
                <w:color w:val="auto"/>
              </w:rPr>
              <w:t>March 31,</w:t>
            </w:r>
          </w:p>
        </w:tc>
        <w:tc>
          <w:tcPr>
            <w:tcW w:w="134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31,</w:t>
            </w:r>
          </w:p>
        </w:tc>
      </w:tr>
      <w:tr>
        <w:trPr>
          <w:trHeight w:val="207"/>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Lease term and discount rate</w:t>
            </w:r>
          </w:p>
        </w:tc>
        <w:tc>
          <w:tcPr>
            <w:tcW w:w="326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18"/>
                <w:szCs w:val="18"/>
                <w:color w:val="auto"/>
              </w:rPr>
            </w:pPr>
          </w:p>
        </w:tc>
      </w:tr>
      <w:tr>
        <w:trPr>
          <w:trHeight w:val="43"/>
        </w:trPr>
        <w:tc>
          <w:tcPr>
            <w:tcW w:w="5740" w:type="dxa"/>
            <w:vAlign w:val="bottom"/>
          </w:tcPr>
          <w:p>
            <w:pPr>
              <w:spacing w:after="0"/>
              <w:rPr>
                <w:sz w:val="3"/>
                <w:szCs w:val="3"/>
                <w:color w:val="auto"/>
              </w:rPr>
            </w:pPr>
          </w:p>
        </w:tc>
        <w:tc>
          <w:tcPr>
            <w:tcW w:w="3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90"/>
        </w:trPr>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remaining lease term (years)</w:t>
            </w:r>
          </w:p>
        </w:tc>
        <w:tc>
          <w:tcPr>
            <w:tcW w:w="3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0"/>
        </w:trPr>
        <w:tc>
          <w:tcPr>
            <w:tcW w:w="5740" w:type="dxa"/>
            <w:vAlign w:val="bottom"/>
          </w:tcPr>
          <w:p>
            <w:pPr>
              <w:ind w:left="200"/>
              <w:spacing w:after="0"/>
              <w:rPr>
                <w:sz w:val="20"/>
                <w:szCs w:val="20"/>
                <w:color w:val="auto"/>
              </w:rPr>
            </w:pPr>
            <w:r>
              <w:rPr>
                <w:rFonts w:ascii="Arial" w:cs="Arial" w:eastAsia="Arial" w:hAnsi="Arial"/>
                <w:sz w:val="16"/>
                <w:szCs w:val="16"/>
                <w:color w:val="auto"/>
              </w:rPr>
              <w:t>Operating leases</w:t>
            </w:r>
          </w:p>
        </w:tc>
        <w:tc>
          <w:tcPr>
            <w:tcW w:w="3260" w:type="dxa"/>
            <w:vAlign w:val="bottom"/>
          </w:tcPr>
          <w:p>
            <w:pPr>
              <w:jc w:val="right"/>
              <w:ind w:right="138"/>
              <w:spacing w:after="0"/>
              <w:rPr>
                <w:sz w:val="20"/>
                <w:szCs w:val="20"/>
                <w:color w:val="auto"/>
              </w:rPr>
            </w:pPr>
            <w:r>
              <w:rPr>
                <w:rFonts w:ascii="Arial" w:cs="Arial" w:eastAsia="Arial" w:hAnsi="Arial"/>
                <w:sz w:val="16"/>
                <w:szCs w:val="16"/>
                <w:color w:val="auto"/>
              </w:rPr>
              <w:t>4.00</w:t>
            </w:r>
          </w:p>
        </w:tc>
        <w:tc>
          <w:tcPr>
            <w:tcW w:w="1300" w:type="dxa"/>
            <w:vAlign w:val="bottom"/>
          </w:tcPr>
          <w:p>
            <w:pPr>
              <w:jc w:val="right"/>
              <w:spacing w:after="0"/>
              <w:rPr>
                <w:sz w:val="20"/>
                <w:szCs w:val="20"/>
                <w:color w:val="auto"/>
              </w:rPr>
            </w:pPr>
            <w:r>
              <w:rPr>
                <w:rFonts w:ascii="Arial" w:cs="Arial" w:eastAsia="Arial" w:hAnsi="Arial"/>
                <w:sz w:val="16"/>
                <w:szCs w:val="16"/>
                <w:color w:val="auto"/>
              </w:rPr>
              <w:t>4.21</w:t>
            </w:r>
          </w:p>
        </w:tc>
        <w:tc>
          <w:tcPr>
            <w:tcW w:w="40" w:type="dxa"/>
            <w:vAlign w:val="bottom"/>
          </w:tcPr>
          <w:p>
            <w:pPr>
              <w:spacing w:after="0"/>
              <w:rPr>
                <w:sz w:val="16"/>
                <w:szCs w:val="16"/>
                <w:color w:val="auto"/>
              </w:rPr>
            </w:pPr>
          </w:p>
        </w:tc>
      </w:tr>
      <w:tr>
        <w:trPr>
          <w:trHeight w:val="190"/>
        </w:trPr>
        <w:tc>
          <w:tcPr>
            <w:tcW w:w="5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Finance leases</w:t>
            </w:r>
          </w:p>
        </w:tc>
        <w:tc>
          <w:tcPr>
            <w:tcW w:w="32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2.31</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40" w:type="dxa"/>
            <w:vAlign w:val="bottom"/>
            <w:shd w:val="clear" w:color="auto" w:fill="CCEEFF"/>
          </w:tcPr>
          <w:p>
            <w:pPr>
              <w:spacing w:after="0"/>
              <w:rPr>
                <w:sz w:val="16"/>
                <w:szCs w:val="16"/>
                <w:color w:val="auto"/>
              </w:rPr>
            </w:pPr>
          </w:p>
        </w:tc>
      </w:tr>
      <w:tr>
        <w:trPr>
          <w:trHeight w:val="254"/>
        </w:trPr>
        <w:tc>
          <w:tcPr>
            <w:tcW w:w="5740" w:type="dxa"/>
            <w:vAlign w:val="bottom"/>
          </w:tcPr>
          <w:p>
            <w:pPr>
              <w:spacing w:after="0"/>
              <w:rPr>
                <w:sz w:val="20"/>
                <w:szCs w:val="20"/>
                <w:color w:val="auto"/>
              </w:rPr>
            </w:pPr>
            <w:r>
              <w:rPr>
                <w:rFonts w:ascii="Arial" w:cs="Arial" w:eastAsia="Arial" w:hAnsi="Arial"/>
                <w:sz w:val="16"/>
                <w:szCs w:val="16"/>
                <w:color w:val="auto"/>
              </w:rPr>
              <w:t>Weighted average discount rate</w:t>
            </w:r>
          </w:p>
        </w:tc>
        <w:tc>
          <w:tcPr>
            <w:tcW w:w="3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90"/>
        </w:trPr>
        <w:tc>
          <w:tcPr>
            <w:tcW w:w="5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leases</w:t>
            </w:r>
          </w:p>
        </w:tc>
        <w:tc>
          <w:tcPr>
            <w:tcW w:w="32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10.5%</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40" w:type="dxa"/>
            <w:vAlign w:val="bottom"/>
            <w:shd w:val="clear" w:color="auto" w:fill="CCEEFF"/>
          </w:tcPr>
          <w:p>
            <w:pPr>
              <w:spacing w:after="0"/>
              <w:rPr>
                <w:sz w:val="16"/>
                <w:szCs w:val="16"/>
                <w:color w:val="auto"/>
              </w:rPr>
            </w:pPr>
          </w:p>
        </w:tc>
      </w:tr>
      <w:tr>
        <w:trPr>
          <w:trHeight w:val="201"/>
        </w:trPr>
        <w:tc>
          <w:tcPr>
            <w:tcW w:w="574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Finance leases</w:t>
            </w:r>
          </w:p>
        </w:tc>
        <w:tc>
          <w:tcPr>
            <w:tcW w:w="326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10.5%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40" w:type="dxa"/>
            <w:vAlign w:val="bottom"/>
          </w:tcPr>
          <w:p>
            <w:pPr>
              <w:spacing w:after="0"/>
              <w:rPr>
                <w:sz w:val="17"/>
                <w:szCs w:val="17"/>
                <w:color w:val="auto"/>
              </w:rPr>
            </w:pPr>
          </w:p>
        </w:tc>
      </w:tr>
    </w:tbl>
    <w:p>
      <w:pPr>
        <w:spacing w:after="0" w:line="173"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12—Commitments and contingencies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Legal matters</w:t>
      </w:r>
    </w:p>
    <w:p>
      <w:pPr>
        <w:spacing w:after="0" w:line="124" w:lineRule="exact"/>
        <w:rPr>
          <w:sz w:val="20"/>
          <w:szCs w:val="20"/>
          <w:color w:val="auto"/>
        </w:rPr>
      </w:pPr>
    </w:p>
    <w:p>
      <w:pPr>
        <w:ind w:left="460" w:right="40"/>
        <w:spacing w:after="0" w:line="256" w:lineRule="auto"/>
        <w:rPr>
          <w:sz w:val="20"/>
          <w:szCs w:val="20"/>
          <w:color w:val="auto"/>
        </w:rPr>
      </w:pPr>
      <w:r>
        <w:rPr>
          <w:rFonts w:ascii="Arial" w:cs="Arial" w:eastAsia="Arial" w:hAnsi="Arial"/>
          <w:sz w:val="16"/>
          <w:szCs w:val="16"/>
          <w:color w:val="auto"/>
        </w:rPr>
        <w:t>From time-to-time, the Company may be involved in certain legal proceedings or regulatory matters arising in the ordinary course of business, including without limitation, actions with respect to intellectual property, employment, regulatory, product liability and contractual matters. In connection with these proceedings or</w:t>
      </w:r>
    </w:p>
    <w:p>
      <w:pPr>
        <w:spacing w:after="0" w:line="121"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F-64</w:t>
      </w:r>
    </w:p>
    <w:p>
      <w:pPr>
        <w:sectPr>
          <w:pgSz w:w="11900" w:h="16838" w:orient="portrait"/>
          <w:cols w:equalWidth="0" w:num="1">
            <w:col w:w="10800"/>
          </w:cols>
          <w:pgMar w:left="320" w:top="440" w:right="779" w:bottom="1440" w:gutter="0" w:footer="0" w:header="0"/>
        </w:sectPr>
      </w:pPr>
    </w:p>
    <w:bookmarkStart w:id="290" w:name="page291"/>
    <w:bookmarkEnd w:id="2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line="250" w:lineRule="auto"/>
        <w:rPr>
          <w:sz w:val="20"/>
          <w:szCs w:val="20"/>
          <w:color w:val="auto"/>
        </w:rPr>
      </w:pPr>
      <w:r>
        <w:rPr>
          <w:rFonts w:ascii="Arial" w:cs="Arial" w:eastAsia="Arial" w:hAnsi="Arial"/>
          <w:sz w:val="16"/>
          <w:szCs w:val="16"/>
          <w:color w:val="auto"/>
        </w:rPr>
        <w:t>matters, the Company regularly assesses the probability and amount (or range) of possible issues based on the developments in these proceedings or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 At March 31, 2021 and December 31, 2020, there were no legal proceedings, regulatory matters, or other disputes or claims for which a material loss was considered probable or for which the amount (or range) of loss was reasonably estimable. However, regardless of the outcome, legal proceedings, regulatory matters, and other disputes and claims can have an adverse impact on the Company because of legal costs, diversion of management time and resources, and other factors.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Note 13—Subsequent events</w:t>
      </w:r>
    </w:p>
    <w:p>
      <w:pPr>
        <w:spacing w:after="0" w:line="133" w:lineRule="exact"/>
        <w:rPr>
          <w:sz w:val="20"/>
          <w:szCs w:val="20"/>
          <w:color w:val="auto"/>
        </w:rPr>
      </w:pPr>
    </w:p>
    <w:p>
      <w:pPr>
        <w:ind w:left="460" w:right="440"/>
        <w:spacing w:after="0" w:line="256" w:lineRule="auto"/>
        <w:rPr>
          <w:sz w:val="20"/>
          <w:szCs w:val="20"/>
          <w:color w:val="auto"/>
        </w:rPr>
      </w:pPr>
      <w:r>
        <w:rPr>
          <w:rFonts w:ascii="Arial" w:cs="Arial" w:eastAsia="Arial" w:hAnsi="Arial"/>
          <w:sz w:val="16"/>
          <w:szCs w:val="16"/>
          <w:color w:val="auto"/>
        </w:rPr>
        <w:t>For purposes of the condensed consolidated financial statements as of March 31, 2021 and the three months then ended, the Company evaluated subsequent events for recognition and measurement purposes through May 14, 2021, the date the condensed consolidated financial statements were available to be issued.</w:t>
      </w:r>
    </w:p>
    <w:p>
      <w:pPr>
        <w:spacing w:after="0" w:line="83" w:lineRule="exact"/>
        <w:rPr>
          <w:sz w:val="20"/>
          <w:szCs w:val="20"/>
          <w:color w:val="auto"/>
        </w:rPr>
      </w:pPr>
    </w:p>
    <w:p>
      <w:pPr>
        <w:ind w:left="460" w:right="60"/>
        <w:spacing w:after="0" w:line="265" w:lineRule="auto"/>
        <w:rPr>
          <w:sz w:val="20"/>
          <w:szCs w:val="20"/>
          <w:color w:val="auto"/>
        </w:rPr>
      </w:pPr>
      <w:r>
        <w:rPr>
          <w:rFonts w:ascii="Arial" w:cs="Arial" w:eastAsia="Arial" w:hAnsi="Arial"/>
          <w:sz w:val="16"/>
          <w:szCs w:val="16"/>
          <w:color w:val="auto"/>
        </w:rPr>
        <w:t>The Company has also evaluated subsequent events through July 23, 2021, and determined that there have been no events for disclosure in the condensed consolidated financial statements except for the following.</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June 28, 2021, the Company made a $10 million additional draw on its Term Loan for general corporate purposes.</w:t>
      </w:r>
    </w:p>
    <w:p>
      <w:pPr>
        <w:spacing w:after="0" w:line="108" w:lineRule="exact"/>
        <w:rPr>
          <w:sz w:val="20"/>
          <w:szCs w:val="20"/>
          <w:color w:val="auto"/>
        </w:rPr>
      </w:pPr>
    </w:p>
    <w:p>
      <w:pPr>
        <w:ind w:left="460" w:right="400"/>
        <w:spacing w:after="0" w:line="265" w:lineRule="auto"/>
        <w:rPr>
          <w:sz w:val="20"/>
          <w:szCs w:val="20"/>
          <w:color w:val="auto"/>
        </w:rPr>
      </w:pPr>
      <w:r>
        <w:rPr>
          <w:rFonts w:ascii="Arial" w:cs="Arial" w:eastAsia="Arial" w:hAnsi="Arial"/>
          <w:sz w:val="16"/>
          <w:szCs w:val="16"/>
          <w:color w:val="auto"/>
        </w:rPr>
        <w:t>On July 6, 2021, the Company re-incorporated in Delaware. This jurisdictional change had no impact to the capital structure, stockholder rights, assets, or liabilities of the Company.</w:t>
      </w:r>
    </w:p>
    <w:p>
      <w:pPr>
        <w:spacing w:after="0" w:line="75" w:lineRule="exact"/>
        <w:rPr>
          <w:sz w:val="20"/>
          <w:szCs w:val="20"/>
          <w:color w:val="auto"/>
        </w:rPr>
      </w:pPr>
    </w:p>
    <w:p>
      <w:pPr>
        <w:ind w:left="460" w:right="100"/>
        <w:spacing w:after="0" w:line="250" w:lineRule="auto"/>
        <w:rPr>
          <w:sz w:val="20"/>
          <w:szCs w:val="20"/>
          <w:color w:val="auto"/>
        </w:rPr>
      </w:pPr>
      <w:r>
        <w:rPr>
          <w:rFonts w:ascii="Arial" w:cs="Arial" w:eastAsia="Arial" w:hAnsi="Arial"/>
          <w:sz w:val="16"/>
          <w:szCs w:val="16"/>
          <w:color w:val="auto"/>
        </w:rPr>
        <w:t>On July 22, 2021, the Company’s Board of Directors approved an amendment to the Company’s Articles of Incorporation to effect a reverse split of shares of the Company’s common stock, excluding Series G and Series W common stock, and convertible preferred stock on a 1-for-10.33 basis (the “Reverse Stock Split”). The par values of the common stock and convertible preferred stock were not adjusted as a result of the Reverse Stock Split. All references to common stock, excluding Series G and Series W common stock, options to purchase common stock, convertible preferred stock, share data, per share data and related information contained in the condensed consolidated financial statements have been retrospectively adjusted to reflect the effect of the Reverse Stock Split for all periods presented. The Reverse Stock Split was effected on July 23, 2021.</w:t>
      </w:r>
    </w:p>
    <w:p>
      <w:pPr>
        <w:spacing w:after="0" w:line="129"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F-65</w:t>
      </w:r>
    </w:p>
    <w:p>
      <w:pPr>
        <w:sectPr>
          <w:pgSz w:w="11900" w:h="16838" w:orient="portrait"/>
          <w:cols w:equalWidth="0" w:num="1">
            <w:col w:w="10780"/>
          </w:cols>
          <w:pgMar w:left="320" w:top="441" w:right="799" w:bottom="1440" w:gutter="0" w:footer="0" w:header="0"/>
        </w:sectPr>
      </w:pPr>
    </w:p>
    <w:bookmarkStart w:id="291" w:name="page292"/>
    <w:bookmarkEnd w:id="29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213995</wp:posOffset>
            </wp:positionV>
            <wp:extent cx="5916930" cy="77285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916930" cy="7728585"/>
                    </a:xfrm>
                    <a:prstGeom prst="rect">
                      <a:avLst/>
                    </a:prstGeom>
                    <a:noFill/>
                  </pic:spPr>
                </pic:pic>
              </a:graphicData>
            </a:graphic>
          </wp:anchor>
        </w:drawing>
      </w:r>
    </w:p>
    <w:p>
      <w:pPr>
        <w:sectPr>
          <w:pgSz w:w="11900" w:h="16838" w:orient="portrait"/>
          <w:cols w:equalWidth="0" w:num="1">
            <w:col w:w="10460"/>
          </w:cols>
          <w:pgMar w:left="320" w:top="440"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60"/>
        <w:spacing w:after="0"/>
        <w:rPr>
          <w:sz w:val="20"/>
          <w:szCs w:val="20"/>
          <w:color w:val="auto"/>
        </w:rPr>
      </w:pPr>
      <w:r>
        <w:rPr>
          <w:rFonts w:ascii="Arial" w:cs="Arial" w:eastAsia="Arial" w:hAnsi="Arial"/>
          <w:sz w:val="13"/>
          <w:szCs w:val="13"/>
          <w:color w:val="FFFFFF"/>
        </w:rPr>
        <w:t>Adjustable</w:t>
      </w:r>
    </w:p>
    <w:p>
      <w:pPr>
        <w:ind w:left="460"/>
        <w:spacing w:after="0" w:line="198" w:lineRule="auto"/>
        <w:rPr>
          <w:sz w:val="20"/>
          <w:szCs w:val="20"/>
          <w:color w:val="auto"/>
        </w:rPr>
      </w:pPr>
      <w:r>
        <w:rPr>
          <w:rFonts w:ascii="Arial" w:cs="Arial" w:eastAsia="Arial" w:hAnsi="Arial"/>
          <w:sz w:val="4"/>
          <w:szCs w:val="4"/>
          <w:color w:val="FFFFFF"/>
        </w:rPr>
        <w:t>for every patient.</w:t>
      </w:r>
    </w:p>
    <w:p>
      <w:pPr>
        <w:ind w:left="460"/>
        <w:spacing w:after="0" w:line="183" w:lineRule="auto"/>
        <w:rPr>
          <w:sz w:val="20"/>
          <w:szCs w:val="20"/>
          <w:color w:val="auto"/>
        </w:rPr>
      </w:pPr>
      <w:r>
        <w:rPr>
          <w:rFonts w:ascii="Arial" w:cs="Arial" w:eastAsia="Arial" w:hAnsi="Arial"/>
          <w:sz w:val="13"/>
          <w:szCs w:val="13"/>
          <w:color w:val="FFFFFF"/>
        </w:rPr>
        <w:t>BetterTheLightMedicine.AdjustableBetterLens™Business.is</w:t>
      </w:r>
    </w:p>
    <w:p>
      <w:pPr>
        <w:ind w:left="460"/>
        <w:spacing w:after="0" w:line="199" w:lineRule="auto"/>
        <w:rPr>
          <w:sz w:val="20"/>
          <w:szCs w:val="20"/>
          <w:color w:val="auto"/>
        </w:rPr>
      </w:pPr>
      <w:r>
        <w:rPr>
          <w:rFonts w:ascii="Arial" w:cs="Arial" w:eastAsia="Arial" w:hAnsi="Arial"/>
          <w:sz w:val="2"/>
          <w:szCs w:val="2"/>
          <w:color w:val="FFFFFF"/>
        </w:rPr>
        <w:t>intraocularthefirstand</w:t>
      </w:r>
      <w:r>
        <w:rPr>
          <w:rFonts w:ascii="Arial" w:cs="Arial" w:eastAsia="Arial" w:hAnsi="Arial"/>
          <w:sz w:val="4"/>
          <w:szCs w:val="4"/>
          <w:color w:val="FFFFFF"/>
          <w:vertAlign w:val="subscript"/>
        </w:rPr>
        <w:t>after</w:t>
      </w:r>
      <w:r>
        <w:rPr>
          <w:rFonts w:ascii="Arial" w:cs="Arial" w:eastAsia="Arial" w:hAnsi="Arial"/>
          <w:sz w:val="2"/>
          <w:szCs w:val="2"/>
          <w:color w:val="FFFFFF"/>
        </w:rPr>
        <w:t>lonlynsthatimplantablecanbe</w:t>
      </w:r>
    </w:p>
    <w:p>
      <w:pPr>
        <w:ind w:left="460"/>
        <w:spacing w:after="0" w:line="198" w:lineRule="auto"/>
        <w:tabs>
          <w:tab w:leader="none" w:pos="1240" w:val="left"/>
        </w:tabs>
        <w:rPr>
          <w:sz w:val="20"/>
          <w:szCs w:val="20"/>
          <w:color w:val="auto"/>
        </w:rPr>
      </w:pPr>
      <w:r>
        <w:rPr>
          <w:rFonts w:ascii="Arial" w:cs="Arial" w:eastAsia="Arial" w:hAnsi="Arial"/>
          <w:sz w:val="4"/>
          <w:szCs w:val="4"/>
          <w:color w:val="FFFFFF"/>
        </w:rPr>
        <w:t>adjusted</w:t>
      </w:r>
      <w:r>
        <w:rPr>
          <w:sz w:val="20"/>
          <w:szCs w:val="20"/>
          <w:color w:val="auto"/>
        </w:rPr>
        <w:tab/>
      </w:r>
      <w:r>
        <w:rPr>
          <w:rFonts w:ascii="Arial" w:cs="Arial" w:eastAsia="Arial" w:hAnsi="Arial"/>
          <w:sz w:val="4"/>
          <w:szCs w:val="4"/>
          <w:color w:val="FFFFFF"/>
        </w:rPr>
        <w:t>cataract surgery.</w:t>
      </w:r>
    </w:p>
    <w:p>
      <w:pPr>
        <w:ind w:left="460"/>
        <w:spacing w:after="0" w:line="199" w:lineRule="auto"/>
        <w:rPr>
          <w:sz w:val="20"/>
          <w:szCs w:val="20"/>
          <w:color w:val="auto"/>
        </w:rPr>
      </w:pPr>
      <w:r>
        <w:rPr>
          <w:rFonts w:ascii="Arial" w:cs="Arial" w:eastAsia="Arial" w:hAnsi="Arial"/>
          <w:sz w:val="4"/>
          <w:szCs w:val="4"/>
          <w:color w:val="FFFFFF"/>
        </w:rPr>
        <w:t>©2021 RxSIGHT. All Rights Reserved. COM 0072</w:t>
      </w:r>
    </w:p>
    <w:p>
      <w:pPr>
        <w:ind w:left="460"/>
        <w:spacing w:after="0"/>
        <w:rPr>
          <w:sz w:val="20"/>
          <w:szCs w:val="20"/>
          <w:color w:val="auto"/>
        </w:rPr>
      </w:pPr>
      <w:r>
        <w:rPr>
          <w:rFonts w:ascii="Arial" w:cs="Arial" w:eastAsia="Arial" w:hAnsi="Arial"/>
          <w:sz w:val="8"/>
          <w:szCs w:val="8"/>
          <w:color w:val="FFFFFF"/>
        </w:rPr>
        <w:t>A cataract is the clouding and hardening of the eye’s natural lens. To treat them, a surgeon removes the cloudy lens and replaces it with an intraocular lens (IOL). Nearly 30 million global cataract surgeries are performed each year.</w:t>
      </w:r>
    </w:p>
    <w:p>
      <w:pPr>
        <w:ind w:left="460"/>
        <w:spacing w:after="0" w:line="209" w:lineRule="auto"/>
        <w:rPr>
          <w:sz w:val="20"/>
          <w:szCs w:val="20"/>
          <w:color w:val="auto"/>
        </w:rPr>
      </w:pPr>
      <w:r>
        <w:rPr>
          <w:rFonts w:ascii="Arial" w:cs="Arial" w:eastAsia="Arial" w:hAnsi="Arial"/>
          <w:sz w:val="3"/>
          <w:szCs w:val="3"/>
          <w:color w:val="FFFFFF"/>
        </w:rPr>
        <w:t>or</w:t>
      </w:r>
      <w:r>
        <w:rPr>
          <w:rFonts w:ascii="Arial" w:cs="Arial" w:eastAsia="Arial" w:hAnsi="Arial"/>
          <w:sz w:val="6"/>
          <w:szCs w:val="6"/>
          <w:color w:val="FFFFFF"/>
          <w:vertAlign w:val="subscript"/>
        </w:rPr>
        <w:t>predict</w:t>
      </w:r>
      <w:r>
        <w:rPr>
          <w:rFonts w:ascii="Arial" w:cs="Arial" w:eastAsia="Arial" w:hAnsi="Arial"/>
          <w:sz w:val="3"/>
          <w:szCs w:val="3"/>
          <w:color w:val="FFFFFF"/>
        </w:rPr>
        <w:t>Currenttheir patients.IOLoptionsThisforis cataractbecausesurgerynon-adjustableoftenfaillensestomeetrelytheondemandspre-operativeofophthalmologistsestimatesto</w:t>
      </w:r>
    </w:p>
    <w:p>
      <w:pPr>
        <w:ind w:left="860"/>
        <w:spacing w:after="0"/>
        <w:rPr>
          <w:sz w:val="20"/>
          <w:szCs w:val="20"/>
          <w:color w:val="auto"/>
        </w:rPr>
      </w:pPr>
      <w:r>
        <w:rPr>
          <w:rFonts w:ascii="Arial" w:cs="Arial" w:eastAsia="Arial" w:hAnsi="Arial"/>
          <w:sz w:val="13"/>
          <w:szCs w:val="13"/>
          <w:color w:val="FFFFFF"/>
        </w:rPr>
        <w:t>vision outcomes.</w:t>
      </w:r>
    </w:p>
    <w:p>
      <w:pPr>
        <w:sectPr>
          <w:pgSz w:w="11900" w:h="16838" w:orient="portrait"/>
          <w:cols w:equalWidth="0" w:num="1">
            <w:col w:w="10460"/>
          </w:cols>
          <w:pgMar w:left="320" w:top="440" w:right="1119" w:bottom="1440" w:gutter="0" w:footer="0" w:header="0"/>
          <w:type w:val="continuous"/>
        </w:sectPr>
      </w:pPr>
    </w:p>
    <w:bookmarkStart w:id="292" w:name="page293"/>
    <w:bookmarkEnd w:id="2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p>
      <w:pPr>
        <w:ind w:left="4400"/>
        <w:spacing w:after="0"/>
        <w:rPr>
          <w:sz w:val="20"/>
          <w:szCs w:val="20"/>
          <w:color w:val="auto"/>
        </w:rPr>
      </w:pPr>
      <w:r>
        <w:rPr>
          <w:rFonts w:ascii="Arial" w:cs="Arial" w:eastAsia="Arial" w:hAnsi="Arial"/>
          <w:sz w:val="30"/>
          <w:szCs w:val="30"/>
          <w:b w:val="1"/>
          <w:bCs w:val="1"/>
          <w:i w:val="1"/>
          <w:iCs w:val="1"/>
          <w:color w:val="auto"/>
        </w:rPr>
        <w:t>7,350,000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1042670</wp:posOffset>
            </wp:positionV>
            <wp:extent cx="1714500" cy="6197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714500" cy="619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59"/>
        <w:spacing w:after="0"/>
        <w:rPr>
          <w:sz w:val="20"/>
          <w:szCs w:val="20"/>
          <w:color w:val="auto"/>
        </w:rPr>
      </w:pPr>
      <w:r>
        <w:rPr>
          <w:rFonts w:ascii="Arial" w:cs="Arial" w:eastAsia="Arial" w:hAnsi="Arial"/>
          <w:sz w:val="30"/>
          <w:szCs w:val="30"/>
          <w:b w:val="1"/>
          <w:bCs w:val="1"/>
          <w:i w:val="1"/>
          <w:iCs w:val="1"/>
          <w:color w:val="auto"/>
        </w:rPr>
        <w:t>Common stock</w:t>
      </w:r>
    </w:p>
    <w:p>
      <w:pPr>
        <w:sectPr>
          <w:pgSz w:w="11900" w:h="16838" w:orient="portrait"/>
          <w:cols w:equalWidth="0" w:num="1">
            <w:col w:w="10800"/>
          </w:cols>
          <w:pgMar w:left="320" w:top="440" w:right="77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jc w:val="center"/>
        <w:ind w:right="2200"/>
        <w:spacing w:after="0"/>
        <w:rPr>
          <w:sz w:val="20"/>
          <w:szCs w:val="20"/>
          <w:color w:val="auto"/>
        </w:rPr>
      </w:pPr>
      <w:r>
        <w:rPr>
          <w:rFonts w:ascii="Arial" w:cs="Arial" w:eastAsia="Arial" w:hAnsi="Arial"/>
          <w:sz w:val="22"/>
          <w:szCs w:val="22"/>
          <w:b w:val="1"/>
          <w:bCs w:val="1"/>
          <w:color w:val="auto"/>
        </w:rPr>
        <w:t>BofA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SVB Leerink</w:t>
      </w:r>
    </w:p>
    <w:p>
      <w:pPr>
        <w:spacing w:after="0" w:line="200" w:lineRule="exact"/>
        <w:rPr>
          <w:sz w:val="20"/>
          <w:szCs w:val="20"/>
          <w:color w:val="auto"/>
        </w:rPr>
      </w:pPr>
    </w:p>
    <w:p>
      <w:pPr>
        <w:sectPr>
          <w:pgSz w:w="11900" w:h="16838" w:orient="portrait"/>
          <w:cols w:equalWidth="0" w:num="3">
            <w:col w:w="4120" w:space="720"/>
            <w:col w:w="3900" w:space="720"/>
            <w:col w:w="1340"/>
          </w:cols>
          <w:pgMar w:left="320" w:top="440" w:right="779" w:bottom="1440" w:gutter="0" w:footer="0" w:header="0"/>
          <w:type w:val="continuous"/>
        </w:sectPr>
      </w:pPr>
    </w:p>
    <w:p>
      <w:pPr>
        <w:spacing w:after="0" w:line="118"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Wells Fargo Securities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BTIG</w:t>
      </w:r>
    </w:p>
    <w:p>
      <w:pPr>
        <w:spacing w:after="0" w:line="200" w:lineRule="exact"/>
        <w:rPr>
          <w:sz w:val="20"/>
          <w:szCs w:val="20"/>
          <w:color w:val="auto"/>
        </w:rPr>
      </w:pPr>
    </w:p>
    <w:p>
      <w:pPr>
        <w:sectPr>
          <w:pgSz w:w="11900" w:h="16838" w:orient="portrait"/>
          <w:cols w:equalWidth="0" w:num="2">
            <w:col w:w="9540" w:space="720"/>
            <w:col w:w="540"/>
          </w:cols>
          <w:pgMar w:left="320" w:top="440" w:right="77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jc w:val="center"/>
        <w:ind w:right="-439"/>
        <w:spacing w:after="0"/>
        <w:rPr>
          <w:sz w:val="20"/>
          <w:szCs w:val="20"/>
          <w:color w:val="auto"/>
        </w:rPr>
      </w:pPr>
      <w:r>
        <w:rPr>
          <w:rFonts w:ascii="Arial" w:cs="Arial" w:eastAsia="Arial" w:hAnsi="Arial"/>
          <w:sz w:val="22"/>
          <w:szCs w:val="22"/>
          <w:b w:val="1"/>
          <w:bCs w:val="1"/>
          <w:color w:val="auto"/>
        </w:rPr>
        <w:t>July 29, 2021</w:t>
      </w:r>
    </w:p>
    <w:sectPr>
      <w:pgSz w:w="11900" w:h="16838" w:orient="portrait"/>
      <w:cols w:equalWidth="0" w:num="1">
        <w:col w:w="10800"/>
      </w:cols>
      <w:pgMar w:left="320" w:top="440" w:right="7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0B6DF70"/>
    <w:multiLevelType w:val="hybridMultilevel"/>
    <w:lvl w:ilvl="0">
      <w:lvlJc w:val="left"/>
      <w:lvlText w:val="(%1)"/>
      <w:numFmt w:val="decimal"/>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
      <w:numFmt w:val="bullet"/>
      <w:start w:val="1"/>
    </w:lvl>
  </w:abstractNum>
  <w:abstractNum w:abstractNumId="4">
    <w:nsid w:val="1A27709E"/>
    <w:multiLevelType w:val="hybridMultilevel"/>
    <w:lvl w:ilvl="0">
      <w:lvlJc w:val="left"/>
      <w:lvlText w:val="-"/>
      <w:numFmt w:val="bullet"/>
      <w:start w:val="1"/>
    </w:lvl>
  </w:abstractNum>
  <w:abstractNum w:abstractNumId="5">
    <w:nsid w:val="71EA1109"/>
    <w:multiLevelType w:val="hybridMultilevel"/>
    <w:lvl w:ilvl="0">
      <w:lvlJc w:val="left"/>
      <w:lvlText w:val="-"/>
      <w:numFmt w:val="bullet"/>
      <w:start w:val="1"/>
    </w:lvl>
  </w:abstractNum>
  <w:abstractNum w:abstractNumId="6">
    <w:nsid w:val="100F59DC"/>
    <w:multiLevelType w:val="hybridMultilevel"/>
    <w:lvl w:ilvl="0">
      <w:lvlJc w:val="left"/>
      <w:lvlText w:val="•"/>
      <w:numFmt w:val="bullet"/>
      <w:start w:val="1"/>
    </w:lvl>
  </w:abstractNum>
  <w:abstractNum w:abstractNumId="7">
    <w:nsid w:val="7FB7E0AA"/>
    <w:multiLevelType w:val="hybridMultilevel"/>
    <w:lvl w:ilvl="0">
      <w:lvlJc w:val="left"/>
      <w:lvlText w:val="•"/>
      <w:numFmt w:val="bullet"/>
      <w:start w:val="1"/>
    </w:lvl>
  </w:abstractNum>
  <w:abstractNum w:abstractNumId="8">
    <w:nsid w:val="6EB5BD4"/>
    <w:multiLevelType w:val="hybridMultilevel"/>
    <w:lvl w:ilvl="0">
      <w:lvlJc w:val="left"/>
      <w:lvlText w:val="•"/>
      <w:numFmt w:val="bullet"/>
      <w:start w:val="1"/>
    </w:lvl>
  </w:abstractNum>
  <w:abstractNum w:abstractNumId="9">
    <w:nsid w:val="6F6DD9AC"/>
    <w:multiLevelType w:val="hybridMultilevel"/>
    <w:lvl w:ilvl="0">
      <w:lvlJc w:val="left"/>
      <w:lvlText w:val="•"/>
      <w:numFmt w:val="bullet"/>
      <w:start w:val="1"/>
    </w:lvl>
  </w:abstractNum>
  <w:abstractNum w:abstractNumId="10">
    <w:nsid w:val="94211F2"/>
    <w:multiLevelType w:val="hybridMultilevel"/>
    <w:lvl w:ilvl="0">
      <w:lvlJc w:val="left"/>
      <w:lvlText w:val="•"/>
      <w:numFmt w:val="bullet"/>
      <w:start w:val="1"/>
    </w:lvl>
  </w:abstractNum>
  <w:abstractNum w:abstractNumId="11">
    <w:nsid w:val="885E1B"/>
    <w:multiLevelType w:val="hybridMultilevel"/>
    <w:lvl w:ilvl="0">
      <w:lvlJc w:val="left"/>
      <w:lvlText w:val="•"/>
      <w:numFmt w:val="bullet"/>
      <w:start w:val="1"/>
    </w:lvl>
  </w:abstractNum>
  <w:abstractNum w:abstractNumId="12">
    <w:nsid w:val="76272110"/>
    <w:multiLevelType w:val="hybridMultilevel"/>
    <w:lvl w:ilvl="0">
      <w:lvlJc w:val="left"/>
      <w:lvlText w:val="•"/>
      <w:numFmt w:val="bullet"/>
      <w:start w:val="1"/>
    </w:lvl>
  </w:abstractNum>
  <w:abstractNum w:abstractNumId="13">
    <w:nsid w:val="4C04A8AF"/>
    <w:multiLevelType w:val="hybridMultilevel"/>
    <w:lvl w:ilvl="0">
      <w:lvlJc w:val="left"/>
      <w:lvlText w:val="•"/>
      <w:numFmt w:val="bullet"/>
      <w:start w:val="1"/>
    </w:lvl>
  </w:abstractNum>
  <w:abstractNum w:abstractNumId="14">
    <w:nsid w:val="1716703B"/>
    <w:multiLevelType w:val="hybridMultilevel"/>
    <w:lvl w:ilvl="0">
      <w:lvlJc w:val="left"/>
      <w:lvlText w:val="(%1)"/>
      <w:numFmt w:val="decimal"/>
      <w:start w:val="1"/>
    </w:lvl>
  </w:abstractNum>
  <w:abstractNum w:abstractNumId="15">
    <w:nsid w:val="14E17E33"/>
    <w:multiLevelType w:val="hybridMultilevel"/>
    <w:lvl w:ilvl="0">
      <w:lvlJc w:val="left"/>
      <w:lvlText w:val="(%1)"/>
      <w:numFmt w:val="decimal"/>
      <w:start w:val="2"/>
    </w:lvl>
  </w:abstractNum>
  <w:abstractNum w:abstractNumId="16">
    <w:nsid w:val="3222E7CD"/>
    <w:multiLevelType w:val="hybridMultilevel"/>
    <w:lvl w:ilvl="0">
      <w:lvlJc w:val="left"/>
      <w:lvlText w:val="(%1)"/>
      <w:numFmt w:val="decimal"/>
      <w:start w:val="1"/>
    </w:lvl>
  </w:abstractNum>
  <w:abstractNum w:abstractNumId="17">
    <w:nsid w:val="74DE0EE3"/>
    <w:multiLevelType w:val="hybridMultilevel"/>
    <w:lvl w:ilvl="0">
      <w:lvlJc w:val="left"/>
      <w:lvlText w:val="•"/>
      <w:numFmt w:val="bullet"/>
      <w:start w:val="1"/>
    </w:lvl>
  </w:abstractNum>
  <w:abstractNum w:abstractNumId="18">
    <w:nsid w:val="68EBC550"/>
    <w:multiLevelType w:val="hybridMultilevel"/>
    <w:lvl w:ilvl="0">
      <w:lvlJc w:val="left"/>
      <w:lvlText w:val="•"/>
      <w:numFmt w:val="bullet"/>
      <w:start w:val="1"/>
    </w:lvl>
  </w:abstractNum>
  <w:abstractNum w:abstractNumId="19">
    <w:nsid w:val="2DF6D648"/>
    <w:multiLevelType w:val="hybridMultilevel"/>
    <w:lvl w:ilvl="0">
      <w:lvlJc w:val="left"/>
      <w:lvlText w:val="•"/>
      <w:numFmt w:val="bullet"/>
      <w:start w:val="1"/>
    </w:lvl>
  </w:abstractNum>
  <w:abstractNum w:abstractNumId="20">
    <w:nsid w:val="46B7D447"/>
    <w:multiLevelType w:val="hybridMultilevel"/>
    <w:lvl w:ilvl="0">
      <w:lvlJc w:val="left"/>
      <w:lvlText w:val="•"/>
      <w:numFmt w:val="bullet"/>
      <w:start w:val="1"/>
    </w:lvl>
  </w:abstractNum>
  <w:abstractNum w:abstractNumId="21">
    <w:nsid w:val="4A2AC315"/>
    <w:multiLevelType w:val="hybridMultilevel"/>
    <w:lvl w:ilvl="0">
      <w:lvlJc w:val="left"/>
      <w:lvlText w:val="•"/>
      <w:numFmt w:val="bullet"/>
      <w:start w:val="1"/>
    </w:lvl>
  </w:abstractNum>
  <w:abstractNum w:abstractNumId="22">
    <w:nsid w:val="39EE015C"/>
    <w:multiLevelType w:val="hybridMultilevel"/>
    <w:lvl w:ilvl="0">
      <w:lvlJc w:val="left"/>
      <w:lvlText w:val="•"/>
      <w:numFmt w:val="bullet"/>
      <w:start w:val="1"/>
    </w:lvl>
  </w:abstractNum>
  <w:abstractNum w:abstractNumId="23">
    <w:nsid w:val="57FC4FBB"/>
    <w:multiLevelType w:val="hybridMultilevel"/>
    <w:lvl w:ilvl="0">
      <w:lvlJc w:val="left"/>
      <w:lvlText w:val="•"/>
      <w:numFmt w:val="bullet"/>
      <w:start w:val="1"/>
    </w:lvl>
  </w:abstractNum>
  <w:abstractNum w:abstractNumId="24">
    <w:nsid w:val="CC1016F"/>
    <w:multiLevelType w:val="hybridMultilevel"/>
    <w:lvl w:ilvl="0">
      <w:lvlJc w:val="left"/>
      <w:lvlText w:val="•"/>
      <w:numFmt w:val="bullet"/>
      <w:start w:val="1"/>
    </w:lvl>
  </w:abstractNum>
  <w:abstractNum w:abstractNumId="25">
    <w:nsid w:val="43F18422"/>
    <w:multiLevelType w:val="hybridMultilevel"/>
    <w:lvl w:ilvl="0">
      <w:lvlJc w:val="left"/>
      <w:lvlText w:val="•"/>
      <w:numFmt w:val="bullet"/>
      <w:start w:val="1"/>
    </w:lvl>
  </w:abstractNum>
  <w:abstractNum w:abstractNumId="26">
    <w:nsid w:val="60EF0119"/>
    <w:multiLevelType w:val="hybridMultilevel"/>
    <w:lvl w:ilvl="0">
      <w:lvlJc w:val="left"/>
      <w:lvlText w:val="•"/>
      <w:numFmt w:val="bullet"/>
      <w:start w:val="1"/>
    </w:lvl>
  </w:abstractNum>
  <w:abstractNum w:abstractNumId="27">
    <w:nsid w:val="26F324BA"/>
    <w:multiLevelType w:val="hybridMultilevel"/>
    <w:lvl w:ilvl="0">
      <w:lvlJc w:val="left"/>
      <w:lvlText w:val="•"/>
      <w:numFmt w:val="bullet"/>
      <w:start w:val="1"/>
    </w:lvl>
  </w:abstractNum>
  <w:abstractNum w:abstractNumId="28">
    <w:nsid w:val="7F01579B"/>
    <w:multiLevelType w:val="hybridMultilevel"/>
    <w:lvl w:ilvl="0">
      <w:lvlJc w:val="left"/>
      <w:lvlText w:val="•"/>
      <w:numFmt w:val="bullet"/>
      <w:start w:val="1"/>
    </w:lvl>
  </w:abstractNum>
  <w:abstractNum w:abstractNumId="29">
    <w:nsid w:val="49DA307D"/>
    <w:multiLevelType w:val="hybridMultilevel"/>
    <w:lvl w:ilvl="0">
      <w:lvlJc w:val="left"/>
      <w:lvlText w:val="•"/>
      <w:numFmt w:val="bullet"/>
      <w:start w:val="1"/>
    </w:lvl>
  </w:abstractNum>
  <w:abstractNum w:abstractNumId="30">
    <w:nsid w:val="7055A5F5"/>
    <w:multiLevelType w:val="hybridMultilevel"/>
    <w:lvl w:ilvl="0">
      <w:lvlJc w:val="left"/>
      <w:lvlText w:val="•"/>
      <w:numFmt w:val="bullet"/>
      <w:start w:val="1"/>
    </w:lvl>
  </w:abstractNum>
  <w:abstractNum w:abstractNumId="31">
    <w:nsid w:val="5FB8370B"/>
    <w:multiLevelType w:val="hybridMultilevel"/>
    <w:lvl w:ilvl="0">
      <w:lvlJc w:val="left"/>
      <w:lvlText w:val="•"/>
      <w:numFmt w:val="bullet"/>
      <w:start w:val="1"/>
    </w:lvl>
  </w:abstractNum>
  <w:abstractNum w:abstractNumId="32">
    <w:nsid w:val="50801EE1"/>
    <w:multiLevelType w:val="hybridMultilevel"/>
    <w:lvl w:ilvl="0">
      <w:lvlJc w:val="left"/>
      <w:lvlText w:val="•"/>
      <w:numFmt w:val="bullet"/>
      <w:start w:val="1"/>
    </w:lvl>
  </w:abstractNum>
  <w:abstractNum w:abstractNumId="33">
    <w:nsid w:val="488AC1A"/>
    <w:multiLevelType w:val="hybridMultilevel"/>
    <w:lvl w:ilvl="0">
      <w:lvlJc w:val="left"/>
      <w:lvlText w:val="•"/>
      <w:numFmt w:val="bullet"/>
      <w:start w:val="1"/>
    </w:lvl>
  </w:abstractNum>
  <w:abstractNum w:abstractNumId="34">
    <w:nsid w:val="5FB8011C"/>
    <w:multiLevelType w:val="hybridMultilevel"/>
    <w:lvl w:ilvl="0">
      <w:lvlJc w:val="left"/>
      <w:lvlText w:val="•"/>
      <w:numFmt w:val="bullet"/>
      <w:start w:val="1"/>
    </w:lvl>
  </w:abstractNum>
  <w:abstractNum w:abstractNumId="35">
    <w:nsid w:val="6AA78F7F"/>
    <w:multiLevelType w:val="hybridMultilevel"/>
    <w:lvl w:ilvl="0">
      <w:lvlJc w:val="left"/>
      <w:lvlText w:val="•"/>
      <w:numFmt w:val="bullet"/>
      <w:start w:val="1"/>
    </w:lvl>
  </w:abstractNum>
  <w:abstractNum w:abstractNumId="36">
    <w:nsid w:val="7672BD23"/>
    <w:multiLevelType w:val="hybridMultilevel"/>
    <w:lvl w:ilvl="0">
      <w:lvlJc w:val="left"/>
      <w:lvlText w:val="•"/>
      <w:numFmt w:val="bullet"/>
      <w:start w:val="1"/>
    </w:lvl>
  </w:abstractNum>
  <w:abstractNum w:abstractNumId="37">
    <w:nsid w:val="6FC75AF8"/>
    <w:multiLevelType w:val="hybridMultilevel"/>
    <w:lvl w:ilvl="0">
      <w:lvlJc w:val="left"/>
      <w:lvlText w:val="•"/>
      <w:numFmt w:val="bullet"/>
      <w:start w:val="1"/>
    </w:lvl>
  </w:abstractNum>
  <w:abstractNum w:abstractNumId="38">
    <w:nsid w:val="6A5F7029"/>
    <w:multiLevelType w:val="hybridMultilevel"/>
    <w:lvl w:ilvl="0">
      <w:lvlJc w:val="left"/>
      <w:lvlText w:val="•"/>
      <w:numFmt w:val="bullet"/>
      <w:start w:val="1"/>
    </w:lvl>
  </w:abstractNum>
  <w:abstractNum w:abstractNumId="39">
    <w:nsid w:val="7D5E18F8"/>
    <w:multiLevelType w:val="hybridMultilevel"/>
    <w:lvl w:ilvl="0">
      <w:lvlJc w:val="left"/>
      <w:lvlText w:val="•"/>
      <w:numFmt w:val="bullet"/>
      <w:start w:val="1"/>
    </w:lvl>
  </w:abstractNum>
  <w:abstractNum w:abstractNumId="40">
    <w:nsid w:val="5F3534A4"/>
    <w:multiLevelType w:val="hybridMultilevel"/>
    <w:lvl w:ilvl="0">
      <w:lvlJc w:val="left"/>
      <w:lvlText w:val="•"/>
      <w:numFmt w:val="bullet"/>
      <w:start w:val="1"/>
    </w:lvl>
  </w:abstractNum>
  <w:abstractNum w:abstractNumId="41">
    <w:nsid w:val="73A1821B"/>
    <w:multiLevelType w:val="hybridMultilevel"/>
    <w:lvl w:ilvl="0">
      <w:lvlJc w:val="left"/>
      <w:lvlText w:val="•"/>
      <w:numFmt w:val="bullet"/>
      <w:start w:val="1"/>
    </w:lvl>
  </w:abstractNum>
  <w:abstractNum w:abstractNumId="42">
    <w:nsid w:val="7DE67713"/>
    <w:multiLevelType w:val="hybridMultilevel"/>
    <w:lvl w:ilvl="0">
      <w:lvlJc w:val="left"/>
      <w:lvlText w:val="•"/>
      <w:numFmt w:val="bullet"/>
      <w:start w:val="1"/>
    </w:lvl>
  </w:abstractNum>
  <w:abstractNum w:abstractNumId="43">
    <w:nsid w:val="555C55B5"/>
    <w:multiLevelType w:val="hybridMultilevel"/>
    <w:lvl w:ilvl="0">
      <w:lvlJc w:val="left"/>
      <w:lvlText w:val="•"/>
      <w:numFmt w:val="bullet"/>
      <w:start w:val="1"/>
    </w:lvl>
  </w:abstractNum>
  <w:abstractNum w:abstractNumId="44">
    <w:nsid w:val="3FA62ACA"/>
    <w:multiLevelType w:val="hybridMultilevel"/>
    <w:lvl w:ilvl="0">
      <w:lvlJc w:val="left"/>
      <w:lvlText w:val="•"/>
      <w:numFmt w:val="bullet"/>
      <w:start w:val="1"/>
    </w:lvl>
  </w:abstractNum>
  <w:abstractNum w:abstractNumId="45">
    <w:nsid w:val="14FCE74E"/>
    <w:multiLevelType w:val="hybridMultilevel"/>
    <w:lvl w:ilvl="0">
      <w:lvlJc w:val="left"/>
      <w:lvlText w:val="•"/>
      <w:numFmt w:val="bullet"/>
      <w:start w:val="1"/>
    </w:lvl>
  </w:abstractNum>
  <w:abstractNum w:abstractNumId="46">
    <w:nsid w:val="6A3DD3E8"/>
    <w:multiLevelType w:val="hybridMultilevel"/>
    <w:lvl w:ilvl="0">
      <w:lvlJc w:val="left"/>
      <w:lvlText w:val="•"/>
      <w:numFmt w:val="bullet"/>
      <w:start w:val="1"/>
    </w:lvl>
  </w:abstractNum>
  <w:abstractNum w:abstractNumId="47">
    <w:nsid w:val="71C91298"/>
    <w:multiLevelType w:val="hybridMultilevel"/>
    <w:lvl w:ilvl="0">
      <w:lvlJc w:val="left"/>
      <w:lvlText w:val="•"/>
      <w:numFmt w:val="bullet"/>
      <w:start w:val="1"/>
    </w:lvl>
  </w:abstractNum>
  <w:abstractNum w:abstractNumId="48">
    <w:nsid w:val="9DAF632"/>
    <w:multiLevelType w:val="hybridMultilevel"/>
    <w:lvl w:ilvl="0">
      <w:lvlJc w:val="left"/>
      <w:lvlText w:val="•"/>
      <w:numFmt w:val="bullet"/>
      <w:start w:val="1"/>
    </w:lvl>
  </w:abstractNum>
  <w:abstractNum w:abstractNumId="49">
    <w:nsid w:val="53299938"/>
    <w:multiLevelType w:val="hybridMultilevel"/>
    <w:lvl w:ilvl="0">
      <w:lvlJc w:val="left"/>
      <w:lvlText w:val="•"/>
      <w:numFmt w:val="bullet"/>
      <w:start w:val="1"/>
    </w:lvl>
  </w:abstractNum>
  <w:abstractNum w:abstractNumId="50">
    <w:nsid w:val="1FBFE8E0"/>
    <w:multiLevelType w:val="hybridMultilevel"/>
    <w:lvl w:ilvl="0">
      <w:lvlJc w:val="left"/>
      <w:lvlText w:val="(%1)"/>
      <w:numFmt w:val="lowerRoman"/>
      <w:start w:val="6"/>
    </w:lvl>
  </w:abstractNum>
  <w:abstractNum w:abstractNumId="51">
    <w:nsid w:val="5092CA79"/>
    <w:multiLevelType w:val="hybridMultilevel"/>
    <w:lvl w:ilvl="0">
      <w:lvlJc w:val="left"/>
      <w:lvlText w:val="•"/>
      <w:numFmt w:val="bullet"/>
      <w:start w:val="1"/>
    </w:lvl>
  </w:abstractNum>
  <w:abstractNum w:abstractNumId="52">
    <w:nsid w:val="1D545C4D"/>
    <w:multiLevelType w:val="hybridMultilevel"/>
    <w:lvl w:ilvl="0">
      <w:lvlJc w:val="left"/>
      <w:lvlText w:val="•"/>
      <w:numFmt w:val="bullet"/>
      <w:start w:val="1"/>
    </w:lvl>
  </w:abstractNum>
  <w:abstractNum w:abstractNumId="53">
    <w:nsid w:val="59ADEA3D"/>
    <w:multiLevelType w:val="hybridMultilevel"/>
    <w:lvl w:ilvl="0">
      <w:lvlJc w:val="left"/>
      <w:lvlText w:val="•"/>
      <w:numFmt w:val="bullet"/>
      <w:start w:val="1"/>
    </w:lvl>
  </w:abstractNum>
  <w:abstractNum w:abstractNumId="54">
    <w:nsid w:val="288F1A34"/>
    <w:multiLevelType w:val="hybridMultilevel"/>
    <w:lvl w:ilvl="0">
      <w:lvlJc w:val="left"/>
      <w:lvlText w:val="•"/>
      <w:numFmt w:val="bullet"/>
      <w:start w:val="1"/>
    </w:lvl>
  </w:abstractNum>
  <w:abstractNum w:abstractNumId="55">
    <w:nsid w:val="2A155DBC"/>
    <w:multiLevelType w:val="hybridMultilevel"/>
    <w:lvl w:ilvl="0">
      <w:lvlJc w:val="left"/>
      <w:lvlText w:val="•"/>
      <w:numFmt w:val="bullet"/>
      <w:start w:val="1"/>
    </w:lvl>
  </w:abstractNum>
  <w:abstractNum w:abstractNumId="56">
    <w:nsid w:val="1D9F6E5F"/>
    <w:multiLevelType w:val="hybridMultilevel"/>
    <w:lvl w:ilvl="0">
      <w:lvlJc w:val="left"/>
      <w:lvlText w:val="•"/>
      <w:numFmt w:val="bullet"/>
      <w:start w:val="1"/>
    </w:lvl>
  </w:abstractNum>
  <w:abstractNum w:abstractNumId="57">
    <w:nsid w:val="97E1B4E"/>
    <w:multiLevelType w:val="hybridMultilevel"/>
    <w:lvl w:ilvl="0">
      <w:lvlJc w:val="left"/>
      <w:lvlText w:val="•"/>
      <w:numFmt w:val="bullet"/>
      <w:start w:val="1"/>
    </w:lvl>
  </w:abstractNum>
  <w:abstractNum w:abstractNumId="58">
    <w:nsid w:val="51088277"/>
    <w:multiLevelType w:val="hybridMultilevel"/>
    <w:lvl w:ilvl="0">
      <w:lvlJc w:val="left"/>
      <w:lvlText w:val="•"/>
      <w:numFmt w:val="bullet"/>
      <w:start w:val="1"/>
    </w:lvl>
  </w:abstractNum>
  <w:abstractNum w:abstractNumId="59">
    <w:nsid w:val="1CA0C5FA"/>
    <w:multiLevelType w:val="hybridMultilevel"/>
    <w:lvl w:ilvl="0">
      <w:lvlJc w:val="left"/>
      <w:lvlText w:val="•"/>
      <w:numFmt w:val="bullet"/>
      <w:start w:val="1"/>
    </w:lvl>
  </w:abstractNum>
  <w:abstractNum w:abstractNumId="60">
    <w:nsid w:val="53584BCB"/>
    <w:multiLevelType w:val="hybridMultilevel"/>
    <w:lvl w:ilvl="0">
      <w:lvlJc w:val="left"/>
      <w:lvlText w:val="•"/>
      <w:numFmt w:val="bullet"/>
      <w:start w:val="1"/>
    </w:lvl>
  </w:abstractNum>
  <w:abstractNum w:abstractNumId="61">
    <w:nsid w:val="415E286C"/>
    <w:multiLevelType w:val="hybridMultilevel"/>
    <w:lvl w:ilvl="0">
      <w:lvlJc w:val="left"/>
      <w:lvlText w:val="(%1)"/>
      <w:numFmt w:val="decimal"/>
      <w:start w:val="1"/>
    </w:lvl>
  </w:abstractNum>
  <w:abstractNum w:abstractNumId="62">
    <w:nsid w:val="7C58FD05"/>
    <w:multiLevelType w:val="hybridMultilevel"/>
    <w:lvl w:ilvl="0">
      <w:lvlJc w:val="left"/>
      <w:lvlText w:val="(%1)"/>
      <w:numFmt w:val="decimal"/>
      <w:start w:val="1"/>
    </w:lvl>
  </w:abstractNum>
  <w:abstractNum w:abstractNumId="63">
    <w:nsid w:val="23D86AAC"/>
    <w:multiLevelType w:val="hybridMultilevel"/>
    <w:lvl w:ilvl="0">
      <w:lvlJc w:val="left"/>
      <w:lvlText w:val="*"/>
      <w:numFmt w:val="bullet"/>
      <w:start w:val="1"/>
    </w:lvl>
  </w:abstractNum>
  <w:abstractNum w:abstractNumId="64">
    <w:nsid w:val="45E6D486"/>
    <w:multiLevelType w:val="hybridMultilevel"/>
    <w:lvl w:ilvl="0">
      <w:lvlJc w:val="left"/>
      <w:lvlText w:val="•"/>
      <w:numFmt w:val="bullet"/>
      <w:start w:val="1"/>
    </w:lvl>
  </w:abstractNum>
  <w:abstractNum w:abstractNumId="65">
    <w:nsid w:val="5C10FE21"/>
    <w:multiLevelType w:val="hybridMultilevel"/>
    <w:lvl w:ilvl="0">
      <w:lvlJc w:val="left"/>
      <w:lvlText w:val="(%1)"/>
      <w:numFmt w:val="lowerRoman"/>
      <w:start w:val="1"/>
    </w:lvl>
  </w:abstractNum>
  <w:abstractNum w:abstractNumId="66">
    <w:nsid w:val="E7FFA2B"/>
    <w:multiLevelType w:val="hybridMultilevel"/>
    <w:lvl w:ilvl="0">
      <w:lvlJc w:val="left"/>
      <w:lvlText w:val="(%1)"/>
      <w:numFmt w:val="lowerRoman"/>
      <w:start w:val="4"/>
    </w:lvl>
  </w:abstractNum>
  <w:abstractNum w:abstractNumId="67">
    <w:nsid w:val="3C5991AA"/>
    <w:multiLevelType w:val="hybridMultilevel"/>
    <w:lvl w:ilvl="0">
      <w:lvlJc w:val="left"/>
      <w:lvlText w:val="(%1)"/>
      <w:numFmt w:val="decimal"/>
      <w:start w:val="2"/>
    </w:lvl>
  </w:abstractNum>
  <w:abstractNum w:abstractNumId="68">
    <w:nsid w:val="4BD8591A"/>
    <w:multiLevelType w:val="hybridMultilevel"/>
    <w:lvl w:ilvl="0">
      <w:lvlJc w:val="left"/>
      <w:lvlText w:val="•"/>
      <w:numFmt w:val="bullet"/>
      <w:start w:val="1"/>
    </w:lvl>
  </w:abstractNum>
  <w:abstractNum w:abstractNumId="69">
    <w:nsid w:val="78DF6A55"/>
    <w:multiLevelType w:val="hybridMultilevel"/>
    <w:lvl w:ilvl="0">
      <w:lvlJc w:val="left"/>
      <w:lvlText w:val="•"/>
      <w:numFmt w:val="bullet"/>
      <w:start w:val="1"/>
    </w:lvl>
  </w:abstractNum>
  <w:abstractNum w:abstractNumId="70">
    <w:nsid w:val="39B7AAA2"/>
    <w:multiLevelType w:val="hybridMultilevel"/>
    <w:lvl w:ilvl="0">
      <w:lvlJc w:val="left"/>
      <w:lvlText w:val="•"/>
      <w:numFmt w:val="bullet"/>
      <w:start w:val="1"/>
    </w:lvl>
  </w:abstractNum>
  <w:abstractNum w:abstractNumId="71">
    <w:nsid w:val="2B0D8DBE"/>
    <w:multiLevelType w:val="hybridMultilevel"/>
    <w:lvl w:ilvl="0">
      <w:lvlJc w:val="left"/>
      <w:lvlText w:val="•"/>
      <w:numFmt w:val="bullet"/>
      <w:start w:val="1"/>
    </w:lvl>
  </w:abstractNum>
  <w:abstractNum w:abstractNumId="72">
    <w:nsid w:val="6C80EC70"/>
    <w:multiLevelType w:val="hybridMultilevel"/>
    <w:lvl w:ilvl="0">
      <w:lvlJc w:val="left"/>
      <w:lvlText w:val="•"/>
      <w:numFmt w:val="bullet"/>
      <w:start w:val="1"/>
    </w:lvl>
  </w:abstractNum>
  <w:abstractNum w:abstractNumId="73">
    <w:nsid w:val="379E21B5"/>
    <w:multiLevelType w:val="hybridMultilevel"/>
    <w:lvl w:ilvl="0">
      <w:lvlJc w:val="left"/>
      <w:lvlText w:val="•"/>
      <w:numFmt w:val="bullet"/>
      <w:start w:val="1"/>
    </w:lvl>
  </w:abstractNum>
  <w:abstractNum w:abstractNumId="74">
    <w:nsid w:val="69E373"/>
    <w:multiLevelType w:val="hybridMultilevel"/>
    <w:lvl w:ilvl="0">
      <w:lvlJc w:val="left"/>
      <w:lvlText w:val="•"/>
      <w:numFmt w:val="bullet"/>
      <w:start w:val="1"/>
    </w:lvl>
  </w:abstractNum>
  <w:abstractNum w:abstractNumId="75">
    <w:nsid w:val="2C27173B"/>
    <w:multiLevelType w:val="hybridMultilevel"/>
    <w:lvl w:ilvl="0">
      <w:lvlJc w:val="left"/>
      <w:lvlText w:val="•"/>
      <w:numFmt w:val="bullet"/>
      <w:start w:val="1"/>
    </w:lvl>
  </w:abstractNum>
  <w:abstractNum w:abstractNumId="76">
    <w:nsid w:val="4C9B0904"/>
    <w:multiLevelType w:val="hybridMultilevel"/>
    <w:lvl w:ilvl="0">
      <w:lvlJc w:val="left"/>
      <w:lvlText w:val="•"/>
      <w:numFmt w:val="bullet"/>
      <w:start w:val="1"/>
    </w:lvl>
  </w:abstractNum>
  <w:abstractNum w:abstractNumId="77">
    <w:nsid w:val="6AA7B75C"/>
    <w:multiLevelType w:val="hybridMultilevel"/>
    <w:lvl w:ilvl="0">
      <w:lvlJc w:val="left"/>
      <w:lvlText w:val="•"/>
      <w:numFmt w:val="bullet"/>
      <w:start w:val="1"/>
    </w:lvl>
    <w:lvl w:ilvl="1">
      <w:lvlJc w:val="left"/>
      <w:lvlText w:val="•"/>
      <w:numFmt w:val="bullet"/>
      <w:start w:val="1"/>
    </w:lvl>
  </w:abstractNum>
  <w:abstractNum w:abstractNumId="78">
    <w:nsid w:val="1DF029D3"/>
    <w:multiLevelType w:val="hybridMultilevel"/>
    <w:lvl w:ilvl="0">
      <w:lvlJc w:val="left"/>
      <w:lvlText w:val="•"/>
      <w:numFmt w:val="bullet"/>
      <w:start w:val="1"/>
    </w:lvl>
  </w:abstractNum>
  <w:abstractNum w:abstractNumId="79">
    <w:nsid w:val="5675FF36"/>
    <w:multiLevelType w:val="hybridMultilevel"/>
    <w:lvl w:ilvl="0">
      <w:lvlJc w:val="left"/>
      <w:lvlText w:val="•"/>
      <w:numFmt w:val="bullet"/>
      <w:start w:val="1"/>
    </w:lvl>
  </w:abstractNum>
  <w:abstractNum w:abstractNumId="80">
    <w:nsid w:val="3DD15094"/>
    <w:multiLevelType w:val="hybridMultilevel"/>
    <w:lvl w:ilvl="0">
      <w:lvlJc w:val="left"/>
      <w:lvlText w:val="•"/>
      <w:numFmt w:val="bullet"/>
      <w:start w:val="1"/>
    </w:lvl>
  </w:abstractNum>
  <w:abstractNum w:abstractNumId="81">
    <w:nsid w:val="3DB012B3"/>
    <w:multiLevelType w:val="hybridMultilevel"/>
    <w:lvl w:ilvl="0">
      <w:lvlJc w:val="left"/>
      <w:lvlText w:val="•"/>
      <w:numFmt w:val="bullet"/>
      <w:start w:val="1"/>
    </w:lvl>
  </w:abstractNum>
  <w:abstractNum w:abstractNumId="82">
    <w:nsid w:val="2708C9AF"/>
    <w:multiLevelType w:val="hybridMultilevel"/>
    <w:lvl w:ilvl="0">
      <w:lvlJc w:val="left"/>
      <w:lvlText w:val="•"/>
      <w:numFmt w:val="bullet"/>
      <w:start w:val="1"/>
    </w:lvl>
  </w:abstractNum>
  <w:abstractNum w:abstractNumId="83">
    <w:nsid w:val="5B25ACE2"/>
    <w:multiLevelType w:val="hybridMultilevel"/>
    <w:lvl w:ilvl="0">
      <w:lvlJc w:val="left"/>
      <w:lvlText w:val="•"/>
      <w:numFmt w:val="bullet"/>
      <w:start w:val="1"/>
    </w:lvl>
  </w:abstractNum>
  <w:abstractNum w:abstractNumId="84">
    <w:nsid w:val="175DFCF0"/>
    <w:multiLevelType w:val="hybridMultilevel"/>
    <w:lvl w:ilvl="0">
      <w:lvlJc w:val="left"/>
      <w:lvlText w:val="•"/>
      <w:numFmt w:val="bullet"/>
      <w:start w:val="1"/>
    </w:lvl>
  </w:abstractNum>
  <w:abstractNum w:abstractNumId="85">
    <w:nsid w:val="4F97E3E4"/>
    <w:multiLevelType w:val="hybridMultilevel"/>
    <w:lvl w:ilvl="0">
      <w:lvlJc w:val="left"/>
      <w:lvlText w:val="•"/>
      <w:numFmt w:val="bullet"/>
      <w:start w:val="1"/>
    </w:lvl>
  </w:abstractNum>
  <w:abstractNum w:abstractNumId="86">
    <w:nsid w:val="53B0A9E"/>
    <w:multiLevelType w:val="hybridMultilevel"/>
    <w:lvl w:ilvl="0">
      <w:lvlJc w:val="left"/>
      <w:lvlText w:val="•"/>
      <w:numFmt w:val="bullet"/>
      <w:start w:val="1"/>
    </w:lvl>
  </w:abstractNum>
  <w:abstractNum w:abstractNumId="87">
    <w:nsid w:val="34FD6B4F"/>
    <w:multiLevelType w:val="hybridMultilevel"/>
    <w:lvl w:ilvl="0">
      <w:lvlJc w:val="left"/>
      <w:lvlText w:val="•"/>
      <w:numFmt w:val="bullet"/>
      <w:start w:val="1"/>
    </w:lvl>
  </w:abstractNum>
  <w:abstractNum w:abstractNumId="88">
    <w:nsid w:val="5915FF32"/>
    <w:multiLevelType w:val="hybridMultilevel"/>
    <w:lvl w:ilvl="0">
      <w:lvlJc w:val="left"/>
      <w:lvlText w:val="•"/>
      <w:numFmt w:val="bullet"/>
      <w:start w:val="1"/>
    </w:lvl>
  </w:abstractNum>
  <w:abstractNum w:abstractNumId="89">
    <w:nsid w:val="56438D15"/>
    <w:multiLevelType w:val="hybridMultilevel"/>
    <w:lvl w:ilvl="0">
      <w:lvlJc w:val="left"/>
      <w:lvlText w:val="•"/>
      <w:numFmt w:val="bullet"/>
      <w:start w:val="1"/>
    </w:lvl>
  </w:abstractNum>
  <w:abstractNum w:abstractNumId="90">
    <w:nsid w:val="519E3149"/>
    <w:multiLevelType w:val="hybridMultilevel"/>
    <w:lvl w:ilvl="0">
      <w:lvlJc w:val="left"/>
      <w:lvlText w:val="•"/>
      <w:numFmt w:val="bullet"/>
      <w:start w:val="1"/>
    </w:lvl>
  </w:abstractNum>
  <w:abstractNum w:abstractNumId="91">
    <w:nsid w:val="2C6E4AFD"/>
    <w:multiLevelType w:val="hybridMultilevel"/>
    <w:lvl w:ilvl="0">
      <w:lvlJc w:val="left"/>
      <w:lvlText w:val="•"/>
      <w:numFmt w:val="bullet"/>
      <w:start w:val="1"/>
    </w:lvl>
  </w:abstractNum>
  <w:abstractNum w:abstractNumId="92">
    <w:nsid w:val="17A1B582"/>
    <w:multiLevelType w:val="hybridMultilevel"/>
    <w:lvl w:ilvl="0">
      <w:lvlJc w:val="left"/>
      <w:lvlText w:val="(%1)"/>
      <w:numFmt w:val="lowerRoman"/>
      <w:start w:val="2"/>
    </w:lvl>
  </w:abstractNum>
  <w:abstractNum w:abstractNumId="93">
    <w:nsid w:val="4DF72E4E"/>
    <w:multiLevelType w:val="hybridMultilevel"/>
    <w:lvl w:ilvl="0">
      <w:lvlJc w:val="left"/>
      <w:lvlText w:val="•"/>
      <w:numFmt w:val="bullet"/>
      <w:start w:val="1"/>
    </w:lvl>
  </w:abstractNum>
  <w:abstractNum w:abstractNumId="94">
    <w:nsid w:val="5046B5A9"/>
    <w:multiLevelType w:val="hybridMultilevel"/>
    <w:lvl w:ilvl="0">
      <w:lvlJc w:val="left"/>
      <w:lvlText w:val="•"/>
      <w:numFmt w:val="bullet"/>
      <w:start w:val="1"/>
    </w:lvl>
  </w:abstractNum>
  <w:abstractNum w:abstractNumId="95">
    <w:nsid w:val="5D888A08"/>
    <w:multiLevelType w:val="hybridMultilevel"/>
    <w:lvl w:ilvl="0">
      <w:lvlJc w:val="left"/>
      <w:lvlText w:val="•"/>
      <w:numFmt w:val="bullet"/>
      <w:start w:val="1"/>
    </w:lvl>
  </w:abstractNum>
  <w:abstractNum w:abstractNumId="96">
    <w:nsid w:val="2A082C70"/>
    <w:multiLevelType w:val="hybridMultilevel"/>
    <w:lvl w:ilvl="0">
      <w:lvlJc w:val="left"/>
      <w:lvlText w:val="•"/>
      <w:numFmt w:val="bullet"/>
      <w:start w:val="1"/>
    </w:lvl>
  </w:abstractNum>
  <w:abstractNum w:abstractNumId="97">
    <w:nsid w:val="5EC6AFD4"/>
    <w:multiLevelType w:val="hybridMultilevel"/>
    <w:lvl w:ilvl="0">
      <w:lvlJc w:val="left"/>
      <w:lvlText w:val="•"/>
      <w:numFmt w:val="bullet"/>
      <w:start w:val="1"/>
    </w:lvl>
  </w:abstractNum>
  <w:abstractNum w:abstractNumId="98">
    <w:nsid w:val="19E21BB2"/>
    <w:multiLevelType w:val="hybridMultilevel"/>
    <w:lvl w:ilvl="0">
      <w:lvlJc w:val="left"/>
      <w:lvlText w:val="•"/>
      <w:numFmt w:val="bullet"/>
      <w:start w:val="1"/>
    </w:lvl>
  </w:abstractNum>
  <w:abstractNum w:abstractNumId="99">
    <w:nsid w:val="75E0858A"/>
    <w:multiLevelType w:val="hybridMultilevel"/>
    <w:lvl w:ilvl="0">
      <w:lvlJc w:val="left"/>
      <w:lvlText w:val="•"/>
      <w:numFmt w:val="bullet"/>
      <w:start w:val="1"/>
    </w:lvl>
  </w:abstractNum>
  <w:abstractNum w:abstractNumId="100">
    <w:nsid w:val="57A61A29"/>
    <w:multiLevelType w:val="hybridMultilevel"/>
    <w:lvl w:ilvl="0">
      <w:lvlJc w:val="left"/>
      <w:lvlText w:val="•"/>
      <w:numFmt w:val="bullet"/>
      <w:start w:val="1"/>
    </w:lvl>
  </w:abstractNum>
  <w:abstractNum w:abstractNumId="101">
    <w:nsid w:val="5399C654"/>
    <w:multiLevelType w:val="hybridMultilevel"/>
    <w:lvl w:ilvl="0">
      <w:lvlJc w:val="left"/>
      <w:lvlText w:val="%1)"/>
      <w:numFmt w:val="lowerLetter"/>
      <w:start w:val="3"/>
    </w:lvl>
  </w:abstractNum>
  <w:abstractNum w:abstractNumId="102">
    <w:nsid w:val="20EE1348"/>
    <w:multiLevelType w:val="hybridMultilevel"/>
    <w:lvl w:ilvl="0">
      <w:lvlJc w:val="left"/>
      <w:lvlText w:val="(%1)"/>
      <w:numFmt w:val="decimal"/>
      <w:start w:val="1"/>
    </w:lvl>
  </w:abstractNum>
  <w:abstractNum w:abstractNumId="103">
    <w:nsid w:val="4427069A"/>
    <w:multiLevelType w:val="hybridMultilevel"/>
    <w:lvl w:ilvl="0">
      <w:lvlJc w:val="left"/>
      <w:lvlText w:val="•"/>
      <w:numFmt w:val="bullet"/>
      <w:start w:val="1"/>
    </w:lvl>
  </w:abstractNum>
  <w:abstractNum w:abstractNumId="104">
    <w:nsid w:val="B37E80A"/>
    <w:multiLevelType w:val="hybridMultilevel"/>
    <w:lvl w:ilvl="0">
      <w:lvlJc w:val="left"/>
      <w:lvlText w:val="(%1)"/>
      <w:numFmt w:val="decimal"/>
      <w:start w:val="1"/>
    </w:lvl>
  </w:abstractNum>
  <w:abstractNum w:abstractNumId="105">
    <w:nsid w:val="2157F6BC"/>
    <w:multiLevelType w:val="hybridMultilevel"/>
    <w:lvl w:ilvl="0">
      <w:lvlJc w:val="left"/>
      <w:lvlText w:val="•"/>
      <w:numFmt w:val="bullet"/>
      <w:start w:val="1"/>
    </w:lvl>
  </w:abstractNum>
  <w:abstractNum w:abstractNumId="106">
    <w:nsid w:val="704E1DD5"/>
    <w:multiLevelType w:val="hybridMultilevel"/>
    <w:lvl w:ilvl="0">
      <w:lvlJc w:val="left"/>
      <w:lvlText w:val="•"/>
      <w:numFmt w:val="bullet"/>
      <w:start w:val="1"/>
    </w:lvl>
  </w:abstractNum>
  <w:abstractNum w:abstractNumId="107">
    <w:nsid w:val="57D2F10E"/>
    <w:multiLevelType w:val="hybridMultilevel"/>
    <w:lvl w:ilvl="0">
      <w:lvlJc w:val="left"/>
      <w:lvlText w:val="•"/>
      <w:numFmt w:val="bullet"/>
      <w:start w:val="1"/>
    </w:lvl>
  </w:abstractNum>
  <w:abstractNum w:abstractNumId="108">
    <w:nsid w:val="BFFAE18"/>
    <w:multiLevelType w:val="hybridMultilevel"/>
    <w:lvl w:ilvl="0">
      <w:lvlJc w:val="left"/>
      <w:lvlText w:val="•"/>
      <w:numFmt w:val="bullet"/>
      <w:start w:val="1"/>
    </w:lvl>
  </w:abstractNum>
  <w:abstractNum w:abstractNumId="109">
    <w:nsid w:val="E3E47A8"/>
    <w:multiLevelType w:val="hybridMultilevel"/>
    <w:lvl w:ilvl="0">
      <w:lvlJc w:val="left"/>
      <w:lvlText w:val="•"/>
      <w:numFmt w:val="bullet"/>
      <w:start w:val="1"/>
    </w:lvl>
  </w:abstractNum>
  <w:abstractNum w:abstractNumId="110">
    <w:nsid w:val="2E48F044"/>
    <w:multiLevelType w:val="hybridMultilevel"/>
    <w:lvl w:ilvl="0">
      <w:lvlJc w:val="left"/>
      <w:lvlText w:val="•"/>
      <w:numFmt w:val="bullet"/>
      <w:start w:val="1"/>
    </w:lvl>
  </w:abstractNum>
  <w:abstractNum w:abstractNumId="111">
    <w:nsid w:val="49D0FEAC"/>
    <w:multiLevelType w:val="hybridMultilevel"/>
    <w:lvl w:ilvl="0">
      <w:lvlJc w:val="left"/>
      <w:lvlText w:val="•"/>
      <w:numFmt w:val="bullet"/>
      <w:start w:val="1"/>
    </w:lvl>
  </w:abstractNum>
  <w:abstractNum w:abstractNumId="112">
    <w:nsid w:val="4BEE5A5B"/>
    <w:multiLevelType w:val="hybridMultilevel"/>
    <w:lvl w:ilvl="0">
      <w:lvlJc w:val="left"/>
      <w:lvlText w:val="(%1)"/>
      <w:numFmt w:val="decimal"/>
      <w:start w:val="1"/>
    </w:lvl>
  </w:abstractNum>
  <w:abstractNum w:abstractNumId="113">
    <w:nsid w:val="5551B9F3"/>
    <w:multiLevelType w:val="hybridMultilevel"/>
    <w:lvl w:ilvl="0">
      <w:lvlJc w:val="left"/>
      <w:lvlText w:val="(%1)"/>
      <w:numFmt w:val="decimal"/>
      <w:start w:val="1"/>
    </w:lvl>
  </w:abstractNum>
  <w:abstractNum w:abstractNumId="114">
    <w:nsid w:val="24F6AB8E"/>
    <w:multiLevelType w:val="hybridMultilevel"/>
    <w:lvl w:ilvl="0">
      <w:lvlJc w:val="left"/>
      <w:lvlText w:val="(%1)"/>
      <w:numFmt w:val="decimal"/>
      <w:start w:val="1"/>
    </w:lvl>
  </w:abstractNum>
  <w:abstractNum w:abstractNumId="115">
    <w:nsid w:val="634C574C"/>
    <w:multiLevelType w:val="hybridMultilevel"/>
    <w:lvl w:ilvl="0">
      <w:lvlJc w:val="left"/>
      <w:lvlText w:val="•"/>
      <w:numFmt w:val="bullet"/>
      <w:start w:val="1"/>
    </w:lvl>
  </w:abstractNum>
  <w:abstractNum w:abstractNumId="116">
    <w:nsid w:val="24E99DD7"/>
    <w:multiLevelType w:val="hybridMultilevel"/>
    <w:lvl w:ilvl="0">
      <w:lvlJc w:val="left"/>
      <w:lvlText w:val="•"/>
      <w:numFmt w:val="bullet"/>
      <w:start w:val="1"/>
    </w:lvl>
  </w:abstractNum>
  <w:abstractNum w:abstractNumId="117">
    <w:nsid w:val="2A31B62D"/>
    <w:multiLevelType w:val="hybridMultilevel"/>
    <w:lvl w:ilvl="0">
      <w:lvlJc w:val="left"/>
      <w:lvlText w:val="(%1)"/>
      <w:numFmt w:val="lowerRoman"/>
      <w:start w:val="2"/>
    </w:lvl>
  </w:abstractNum>
  <w:abstractNum w:abstractNumId="118">
    <w:nsid w:val="1849C29B"/>
    <w:multiLevelType w:val="hybridMultilevel"/>
    <w:lvl w:ilvl="0">
      <w:lvlJc w:val="left"/>
      <w:lvlText w:val="•"/>
      <w:numFmt w:val="bullet"/>
      <w:start w:val="1"/>
    </w:lvl>
  </w:abstractNum>
  <w:abstractNum w:abstractNumId="119">
    <w:nsid w:val="7DFF9D09"/>
    <w:multiLevelType w:val="hybridMultilevel"/>
    <w:lvl w:ilvl="0">
      <w:lvlJc w:val="left"/>
      <w:lvlText w:val="•"/>
      <w:numFmt w:val="bullet"/>
      <w:start w:val="1"/>
    </w:lvl>
  </w:abstractNum>
  <w:abstractNum w:abstractNumId="120">
    <w:nsid w:val="754342"/>
    <w:multiLevelType w:val="hybridMultilevel"/>
    <w:lvl w:ilvl="0">
      <w:lvlJc w:val="left"/>
      <w:lvlText w:val="•"/>
      <w:numFmt w:val="bullet"/>
      <w:start w:val="1"/>
    </w:lvl>
  </w:abstractNum>
  <w:abstractNum w:abstractNumId="121">
    <w:nsid w:val="69E7F3E5"/>
    <w:multiLevelType w:val="hybridMultilevel"/>
    <w:lvl w:ilvl="0">
      <w:lvlJc w:val="left"/>
      <w:lvlText w:val="(%1)"/>
      <w:numFmt w:val="lowerRoman"/>
      <w:start w:val="2"/>
    </w:lvl>
  </w:abstractNum>
  <w:abstractNum w:abstractNumId="122">
    <w:nsid w:val="2A6DE806"/>
    <w:multiLevelType w:val="hybridMultilevel"/>
    <w:lvl w:ilvl="0">
      <w:lvlJc w:val="left"/>
      <w:lvlText w:val="•"/>
      <w:numFmt w:val="bullet"/>
      <w:start w:val="1"/>
    </w:lvl>
  </w:abstractNum>
  <w:abstractNum w:abstractNumId="123">
    <w:nsid w:val="1816F8C4"/>
    <w:multiLevelType w:val="hybridMultilevel"/>
    <w:lvl w:ilvl="0">
      <w:lvlJc w:val="left"/>
      <w:lvlText w:val="*"/>
      <w:numFmt w:val="bullet"/>
      <w:start w:val="1"/>
    </w:lvl>
  </w:abstractNum>
  <w:abstractNum w:abstractNumId="124">
    <w:nsid w:val="37DF2233"/>
    <w:multiLevelType w:val="hybridMultilevel"/>
    <w:lvl w:ilvl="0">
      <w:lvlJc w:val="left"/>
      <w:lvlText w:val="(%1)"/>
      <w:numFmt w:val="decimal"/>
      <w:start w:val="1"/>
    </w:lvl>
  </w:abstractNum>
  <w:abstractNum w:abstractNumId="125">
    <w:nsid w:val="7AB49DAF"/>
    <w:multiLevelType w:val="hybridMultilevel"/>
    <w:lvl w:ilvl="0">
      <w:lvlJc w:val="left"/>
      <w:lvlText w:val="(%1)"/>
      <w:numFmt w:val="decimal"/>
      <w:start w:val="4"/>
    </w:lvl>
  </w:abstractNum>
  <w:abstractNum w:abstractNumId="126">
    <w:nsid w:val="759F82CD"/>
    <w:multiLevelType w:val="hybridMultilevel"/>
    <w:lvl w:ilvl="0">
      <w:lvlJc w:val="left"/>
      <w:lvlText w:val="(%1)"/>
      <w:numFmt w:val="lowerRoman"/>
      <w:start w:val="3"/>
    </w:lvl>
  </w:abstractNum>
  <w:abstractNum w:abstractNumId="127">
    <w:nsid w:val="61E74EA3"/>
    <w:multiLevelType w:val="hybridMultilevel"/>
    <w:lvl w:ilvl="0">
      <w:lvlJc w:val="left"/>
      <w:lvlText w:val="(%1)"/>
      <w:numFmt w:val="decimal"/>
      <w:start w:val="2"/>
    </w:lvl>
  </w:abstractNum>
  <w:abstractNum w:abstractNumId="128">
    <w:nsid w:val="597B4D84"/>
    <w:multiLevelType w:val="hybridMultilevel"/>
    <w:lvl w:ilvl="0">
      <w:lvlJc w:val="left"/>
      <w:lvlText w:val="•"/>
      <w:numFmt w:val="bullet"/>
      <w:start w:val="1"/>
    </w:lvl>
  </w:abstractNum>
  <w:abstractNum w:abstractNumId="129">
    <w:nsid w:val="F819E7F"/>
    <w:multiLevelType w:val="hybridMultilevel"/>
    <w:lvl w:ilvl="0">
      <w:lvlJc w:val="left"/>
      <w:lvlText w:val="•"/>
      <w:numFmt w:val="bullet"/>
      <w:start w:val="1"/>
    </w:lvl>
  </w:abstractNum>
  <w:abstractNum w:abstractNumId="130">
    <w:nsid w:val="57C7D42D"/>
    <w:multiLevelType w:val="hybridMultilevel"/>
    <w:lvl w:ilvl="0">
      <w:lvlJc w:val="left"/>
      <w:lvlText w:val="•"/>
      <w:numFmt w:val="bullet"/>
      <w:start w:val="1"/>
    </w:lvl>
  </w:abstractNum>
  <w:abstractNum w:abstractNumId="131">
    <w:nsid w:val="312167AD"/>
    <w:multiLevelType w:val="hybridMultilevel"/>
    <w:lvl w:ilvl="0">
      <w:lvlJc w:val="left"/>
      <w:lvlText w:val="•"/>
      <w:numFmt w:val="bullet"/>
      <w:start w:val="1"/>
    </w:lvl>
  </w:abstractNum>
  <w:abstractNum w:abstractNumId="132">
    <w:nsid w:val="631B64D4"/>
    <w:multiLevelType w:val="hybridMultilevel"/>
    <w:lvl w:ilvl="0">
      <w:lvlJc w:val="left"/>
      <w:lvlText w:val="•"/>
      <w:numFmt w:val="bullet"/>
      <w:start w:val="1"/>
    </w:lvl>
  </w:abstractNum>
  <w:abstractNum w:abstractNumId="133">
    <w:nsid w:val="78B5E776"/>
    <w:multiLevelType w:val="hybridMultilevel"/>
    <w:lvl w:ilvl="0">
      <w:lvlJc w:val="left"/>
      <w:lvlText w:val="(%1)"/>
      <w:numFmt w:val="lowerRoman"/>
      <w:start w:val="1"/>
    </w:lvl>
  </w:abstractNum>
  <w:abstractNum w:abstractNumId="134">
    <w:nsid w:val="75486E47"/>
    <w:multiLevelType w:val="hybridMultilevel"/>
    <w:lvl w:ilvl="0">
      <w:lvlJc w:val="left"/>
      <w:lvlText w:val="(%1)"/>
      <w:numFmt w:val="lowerRoman"/>
      <w:start w:val="12"/>
    </w:lvl>
  </w:abstractNum>
  <w:abstractNum w:abstractNumId="135">
    <w:nsid w:val="6E534CDE"/>
    <w:multiLevelType w:val="hybridMultilevel"/>
    <w:lvl w:ilvl="0">
      <w:lvlJc w:val="left"/>
      <w:lvlText w:val="•"/>
      <w:numFmt w:val="bullet"/>
      <w:start w:val="1"/>
    </w:lvl>
  </w:abstractNum>
  <w:abstractNum w:abstractNumId="136">
    <w:nsid w:val="1A0DDE32"/>
    <w:multiLevelType w:val="hybridMultilevel"/>
    <w:lvl w:ilvl="0">
      <w:lvlJc w:val="left"/>
      <w:lvlText w:val="(%1)"/>
      <w:numFmt w:val="lowerLetter"/>
      <w:start w:val="1"/>
    </w:lvl>
  </w:abstractNum>
  <w:abstractNum w:abstractNumId="137">
    <w:nsid w:val="65968C1C"/>
    <w:multiLevelType w:val="hybridMultilevel"/>
    <w:lvl w:ilvl="0">
      <w:lvlJc w:val="left"/>
      <w:lvlText w:val="•"/>
      <w:numFmt w:val="bullet"/>
      <w:start w:val="1"/>
    </w:lvl>
  </w:abstractNum>
  <w:abstractNum w:abstractNumId="138">
    <w:nsid w:val="46263DEC"/>
    <w:multiLevelType w:val="hybridMultilevel"/>
    <w:lvl w:ilvl="0">
      <w:lvlJc w:val="left"/>
      <w:lvlText w:val="(%1)"/>
      <w:numFmt w:val="lowerLetter"/>
      <w:start w:val="1"/>
    </w:lvl>
  </w:abstractNum>
  <w:abstractNum w:abstractNumId="139">
    <w:nsid w:val="260D8C4A"/>
    <w:multiLevelType w:val="hybridMultilevel"/>
    <w:lvl w:ilvl="0">
      <w:lvlJc w:val="left"/>
      <w:lvlText w:val="(%1)"/>
      <w:numFmt w:val="lowerLetter"/>
      <w:start w:val="1"/>
    </w:lvl>
    <w:lvl w:ilvl="1">
      <w:lvlJc w:val="left"/>
      <w:lvlText w:val="(%2)"/>
      <w:numFmt w:val="lowerRoman"/>
      <w:start w:val="1"/>
    </w:lvl>
  </w:abstractNum>
  <w:abstractNum w:abstractNumId="140">
    <w:nsid w:val="73D4D3C4"/>
    <w:multiLevelType w:val="hybridMultilevel"/>
    <w:lvl w:ilvl="0">
      <w:lvlJc w:val="left"/>
      <w:lvlText w:val="(%1)"/>
      <w:numFmt w:val="lowerRoman"/>
      <w:start w:val="5"/>
    </w:lvl>
  </w:abstractNum>
  <w:abstractNum w:abstractNumId="141">
    <w:nsid w:val="746F2E30"/>
    <w:multiLevelType w:val="hybridMultilevel"/>
    <w:lvl w:ilvl="0">
      <w:lvlJc w:val="left"/>
      <w:lvlText w:val="(%1)"/>
      <w:numFmt w:val="lowerRoman"/>
      <w:start w:val="1"/>
    </w:lvl>
  </w:abstractNum>
  <w:abstractNum w:abstractNumId="142">
    <w:nsid w:val="6FDE8AF6"/>
    <w:multiLevelType w:val="hybridMultilevel"/>
    <w:lvl w:ilvl="0">
      <w:lvlJc w:val="left"/>
      <w:lvlText w:val="\emdash "/>
      <w:numFmt w:val="bullet"/>
      <w:start w:val="1"/>
    </w:lvl>
  </w:abstractNum>
  <w:abstractNum w:abstractNumId="143">
    <w:nsid w:val="3FC32E20"/>
    <w:multiLevelType w:val="hybridMultilevel"/>
    <w:lvl w:ilvl="0">
      <w:lvlJc w:val="left"/>
      <w:lvlText w:val="(%1)"/>
      <w:numFmt w:val="decimal"/>
      <w:start w:val="803"/>
    </w:lvl>
  </w:abstractNum>
  <w:abstractNum w:abstractNumId="144">
    <w:nsid w:val="49C0E823"/>
    <w:multiLevelType w:val="hybridMultilevel"/>
    <w:lvl w:ilvl="0">
      <w:lvlJc w:val="left"/>
      <w:lvlText w:val="(%1)"/>
      <w:numFmt w:val="decimal"/>
      <w:start w:val="3"/>
    </w:lvl>
  </w:abstractNum>
  <w:abstractNum w:abstractNumId="145">
    <w:nsid w:val="14D53685"/>
    <w:multiLevelType w:val="hybridMultilevel"/>
    <w:lvl w:ilvl="0">
      <w:lvlJc w:val="left"/>
      <w:lvlText w:val="•"/>
      <w:numFmt w:val="bullet"/>
      <w:start w:val="1"/>
    </w:lvl>
  </w:abstractNum>
  <w:abstractNum w:abstractNumId="146">
    <w:nsid w:val="230F856C"/>
    <w:multiLevelType w:val="hybridMultilevel"/>
    <w:lvl w:ilvl="0">
      <w:lvlJc w:val="left"/>
      <w:lvlText w:val="•"/>
      <w:numFmt w:val="bullet"/>
      <w:start w:val="1"/>
    </w:lvl>
  </w:abstractNum>
  <w:abstractNum w:abstractNumId="147">
    <w:nsid w:val="6EAA85FB"/>
    <w:multiLevelType w:val="hybridMultilevel"/>
    <w:lvl w:ilvl="0">
      <w:lvlJc w:val="left"/>
      <w:lvlText w:val="(%1)"/>
      <w:numFmt w:val="lowerRoman"/>
      <w:start w:val="3"/>
    </w:lvl>
  </w:abstractNum>
  <w:abstractNum w:abstractNumId="148">
    <w:nsid w:val="3F06ECB2"/>
    <w:multiLevelType w:val="hybridMultilevel"/>
    <w:lvl w:ilvl="0">
      <w:lvlJc w:val="left"/>
      <w:lvlText w:val="(%1)"/>
      <w:numFmt w:val="decimal"/>
      <w:start w:val="3"/>
    </w:lvl>
  </w:abstractNum>
  <w:abstractNum w:abstractNumId="149">
    <w:nsid w:val="3B594807"/>
    <w:multiLevelType w:val="hybridMultilevel"/>
    <w:lvl w:ilvl="0">
      <w:lvlJc w:val="left"/>
      <w:lvlText w:val="%1)"/>
      <w:numFmt w:val="decimal"/>
      <w:start w:val="9"/>
    </w:lvl>
  </w:abstractNum>
  <w:abstractNum w:abstractNumId="150">
    <w:nsid w:val="6CAA2304"/>
    <w:multiLevelType w:val="hybridMultilevel"/>
    <w:lvl w:ilvl="0">
      <w:lvlJc w:val="left"/>
      <w:lvlText w:val="(%1)"/>
      <w:numFmt w:val="decimal"/>
      <w:start w:val="1"/>
    </w:lvl>
  </w:abstractNum>
  <w:abstractNum w:abstractNumId="151">
    <w:nsid w:val="3F7C2FF4"/>
    <w:multiLevelType w:val="hybridMultilevel"/>
    <w:lvl w:ilvl="0">
      <w:lvlJc w:val="left"/>
      <w:lvlText w:val="•"/>
      <w:numFmt w:val="bullet"/>
      <w:start w:val="1"/>
    </w:lvl>
  </w:abstractNum>
  <w:abstractNum w:abstractNumId="152">
    <w:nsid w:val="25413BEC"/>
    <w:multiLevelType w:val="hybridMultilevel"/>
    <w:lvl w:ilvl="0">
      <w:lvlJc w:val="left"/>
      <w:lvlText w:val="(%1)"/>
      <w:numFmt w:val="decimal"/>
      <w:start w:val="1"/>
    </w:lvl>
  </w:abstractNum>
  <w:abstractNum w:abstractNumId="153">
    <w:nsid w:val="17180B0B"/>
    <w:multiLevelType w:val="hybridMultilevel"/>
    <w:lvl w:ilvl="0">
      <w:lvlJc w:val="left"/>
      <w:lvlText w:val="•"/>
      <w:numFmt w:val="bullet"/>
      <w:start w:val="1"/>
    </w:lvl>
    <w:lvl w:ilvl="1">
      <w:lvlJc w:val="left"/>
      <w:lvlText w:val="-"/>
      <w:numFmt w:val="bullet"/>
      <w:start w:val="1"/>
    </w:lvl>
  </w:abstractNum>
  <w:abstractNum w:abstractNumId="154">
    <w:nsid w:val="579328B9"/>
    <w:multiLevelType w:val="hybridMultilevel"/>
    <w:lvl w:ilvl="0">
      <w:lvlJc w:val="left"/>
      <w:lvlText w:val="•"/>
      <w:numFmt w:val="bullet"/>
      <w:start w:val="1"/>
    </w:lvl>
    <w:lvl w:ilvl="1">
      <w:lvlJc w:val="left"/>
      <w:lvlText w:val="-"/>
      <w:numFmt w:val="bullet"/>
      <w:start w:val="1"/>
    </w:lvl>
  </w:abstractNum>
  <w:abstractNum w:abstractNumId="155">
    <w:nsid w:val="5D205E20"/>
    <w:multiLevelType w:val="hybridMultilevel"/>
    <w:lvl w:ilvl="0">
      <w:lvlJc w:val="left"/>
      <w:lvlText w:val="•"/>
      <w:numFmt w:val="bullet"/>
      <w:start w:val="1"/>
    </w:lvl>
  </w:abstractNum>
  <w:abstractNum w:abstractNumId="156">
    <w:nsid w:val="11CCA8BA"/>
    <w:multiLevelType w:val="hybridMultilevel"/>
    <w:lvl w:ilvl="0">
      <w:lvlJc w:val="left"/>
      <w:lvlText w:val="(%1)"/>
      <w:numFmt w:val="upperLetter"/>
      <w:start w:val="68"/>
    </w:lvl>
  </w:abstractNum>
  <w:abstractNum w:abstractNumId="157">
    <w:nsid w:val="4D32AB86"/>
    <w:multiLevelType w:val="hybridMultilevel"/>
    <w:lvl w:ilvl="0">
      <w:lvlJc w:val="left"/>
      <w:lvlText w:val="•"/>
      <w:numFmt w:val="bullet"/>
      <w:start w:val="1"/>
    </w:lvl>
  </w:abstractNum>
  <w:abstractNum w:abstractNumId="158">
    <w:nsid w:val="3F07ACC3"/>
    <w:multiLevelType w:val="hybridMultilevel"/>
    <w:lvl w:ilvl="0">
      <w:lvlJc w:val="left"/>
      <w:lvlText w:val="(%1)"/>
      <w:numFmt w:val="lowerRoman"/>
      <w:start w:val="3"/>
    </w:lvl>
  </w:abstractNum>
  <w:abstractNum w:abstractNumId="159">
    <w:nsid w:val="6B47F63E"/>
    <w:multiLevelType w:val="hybridMultilevel"/>
    <w:lvl w:ilvl="0">
      <w:lvlJc w:val="left"/>
      <w:lvlText w:val="(%1)"/>
      <w:numFmt w:val="decimal"/>
      <w:start w:val="3"/>
    </w:lvl>
  </w:abstractNum>
  <w:abstractNum w:abstractNumId="160">
    <w:nsid w:val="5CB44A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2021-07-30T15:57:09Z</dcterms:created>
  <dcterms:modified xsi:type="dcterms:W3CDTF">2021-07-30T15:57:09Z</dcterms:modified>
</cp:coreProperties>
</file>