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RxSight,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001-40690</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94-3268801</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100 Columbia</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Aliso Viejo, California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92656</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521-7830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258445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RXST</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left="660" w:right="740"/>
        <w:spacing w:after="0" w:line="266" w:lineRule="auto"/>
        <w:rPr>
          <w:sz w:val="20"/>
          <w:szCs w:val="20"/>
          <w:color w:val="auto"/>
        </w:rPr>
      </w:pPr>
      <w:r>
        <w:rPr>
          <w:rFonts w:ascii="Times New Roman" w:cs="Times New Roman" w:eastAsia="Times New Roman" w:hAnsi="Times New Roman"/>
          <w:sz w:val="18"/>
          <w:szCs w:val="18"/>
          <w:color w:val="auto"/>
        </w:rPr>
        <w:t xml:space="preserve">On May 6, 2026, RxSight, Inc.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issued a press release announcing its results of operations and financial condition for the three months ended March 31, 2026. A copy of the press release is attached hereto as Exhibit 99.1 and incorporated herein by reference.</w:t>
      </w:r>
    </w:p>
    <w:p>
      <w:pPr>
        <w:spacing w:after="0" w:line="176" w:lineRule="exact"/>
        <w:rPr>
          <w:sz w:val="20"/>
          <w:szCs w:val="20"/>
          <w:color w:val="auto"/>
        </w:rPr>
      </w:pPr>
    </w:p>
    <w:p>
      <w:pPr>
        <w:ind w:left="660" w:right="96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Current Report on Form 8-K under Item 2.02 and the exhibit attached hereto shall not be deemed “filed” for purposes of Section 18 of the Securities Exchange Act of 1934, as amended (the “Exchange Act”), or incorporated by reference in any filing under the Securities Act of 1933, as amended, or in any filing under the Exchange Act, except as shall be expressly set forth by specific reference in such a filing.</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0"/>
        </w:trPr>
        <w:tc>
          <w:tcPr>
            <w:tcW w:w="1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Press Release dated May 6, 2026.</w:t>
            </w:r>
          </w:p>
        </w:tc>
        <w:tc>
          <w:tcPr>
            <w:tcW w:w="0" w:type="dxa"/>
            <w:vAlign w:val="bottom"/>
          </w:tcPr>
          <w:p>
            <w:pPr>
              <w:spacing w:after="0"/>
              <w:rPr>
                <w:sz w:val="1"/>
                <w:szCs w:val="1"/>
                <w:color w:val="auto"/>
              </w:rPr>
            </w:pPr>
          </w:p>
        </w:tc>
      </w:tr>
      <w:tr>
        <w:trPr>
          <w:trHeight w:val="194"/>
        </w:trPr>
        <w:tc>
          <w:tcPr>
            <w:tcW w:w="1860" w:type="dxa"/>
            <w:vAlign w:val="bottom"/>
          </w:tcPr>
          <w:p>
            <w:pPr>
              <w:ind w:left="66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EE"/>
            </w:tcBorders>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95"/>
        </w:trPr>
        <w:tc>
          <w:tcPr>
            <w:tcW w:w="18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RxSight, Inc.</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By:  /s/ Mark Wilterding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Mark Wilterding</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3" w:name="page4"/>
    <w:bookmarkEnd w:id="3"/>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5137150</wp:posOffset>
            </wp:positionH>
            <wp:positionV relativeFrom="page">
              <wp:posOffset>637540</wp:posOffset>
            </wp:positionV>
            <wp:extent cx="1311275"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02590"/>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9"/>
          <w:szCs w:val="19"/>
          <w:b w:val="1"/>
          <w:bCs w:val="1"/>
          <w:color w:val="auto"/>
        </w:rPr>
        <w:t>Exhibit 99.1</w:t>
      </w:r>
    </w:p>
    <w:p>
      <w:pPr>
        <w:spacing w:after="0" w:line="209" w:lineRule="exact"/>
        <w:rPr>
          <w:sz w:val="20"/>
          <w:szCs w:val="20"/>
          <w:color w:val="auto"/>
        </w:rPr>
      </w:pPr>
    </w:p>
    <w:p>
      <w:pPr>
        <w:jc w:val="center"/>
        <w:ind w:left="300" w:right="359"/>
        <w:spacing w:after="0" w:line="272" w:lineRule="auto"/>
        <w:rPr>
          <w:sz w:val="20"/>
          <w:szCs w:val="20"/>
          <w:color w:val="auto"/>
        </w:rPr>
      </w:pPr>
      <w:r>
        <w:rPr>
          <w:rFonts w:ascii="Arial" w:cs="Arial" w:eastAsia="Arial" w:hAnsi="Arial"/>
          <w:sz w:val="22"/>
          <w:szCs w:val="22"/>
          <w:b w:val="1"/>
          <w:bCs w:val="1"/>
          <w:color w:val="auto"/>
        </w:rPr>
        <w:t>RXSIGHT, INC. REPORTS FIRST QUARTER 2026 RESULTS AND REITERATES FULL-YEAR SALES OUTLOOK</w:t>
      </w:r>
    </w:p>
    <w:p>
      <w:pPr>
        <w:spacing w:after="0" w:line="349" w:lineRule="exact"/>
        <w:rPr>
          <w:sz w:val="20"/>
          <w:szCs w:val="20"/>
          <w:color w:val="auto"/>
        </w:rPr>
      </w:pPr>
    </w:p>
    <w:p>
      <w:pPr>
        <w:ind w:left="300" w:right="699"/>
        <w:spacing w:after="0" w:line="259" w:lineRule="auto"/>
        <w:rPr>
          <w:sz w:val="20"/>
          <w:szCs w:val="20"/>
          <w:color w:val="auto"/>
        </w:rPr>
      </w:pPr>
      <w:r>
        <w:rPr>
          <w:rFonts w:ascii="Arial" w:cs="Arial" w:eastAsia="Arial" w:hAnsi="Arial"/>
          <w:sz w:val="20"/>
          <w:szCs w:val="20"/>
          <w:b w:val="1"/>
          <w:bCs w:val="1"/>
          <w:color w:val="auto"/>
        </w:rPr>
        <w:t xml:space="preserve">Aliso Viejo, Calif. </w:t>
      </w:r>
      <w:r>
        <w:rPr>
          <w:rFonts w:ascii="Arial" w:cs="Arial" w:eastAsia="Arial" w:hAnsi="Arial"/>
          <w:sz w:val="20"/>
          <w:szCs w:val="20"/>
          <w:color w:val="auto"/>
        </w:rPr>
        <w:t>– May 6, 2026 – RxSight, Inc. (NASDAQ: RXST) today reported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quarter ended March 31, 2026.</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Strategic Highlights and Recent Developments</w:t>
      </w:r>
    </w:p>
    <w:p>
      <w:pPr>
        <w:spacing w:after="0" w:line="96" w:lineRule="exact"/>
        <w:rPr>
          <w:sz w:val="20"/>
          <w:szCs w:val="20"/>
          <w:color w:val="auto"/>
        </w:rPr>
      </w:pPr>
    </w:p>
    <w:p>
      <w:pPr>
        <w:ind w:left="1180" w:hanging="448"/>
        <w:spacing w:after="0"/>
        <w:tabs>
          <w:tab w:leader="none" w:pos="1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sales of $30.9 million driven by 27,472 Light Adjustable Lens (LAL) units</w:t>
      </w:r>
    </w:p>
    <w:p>
      <w:pPr>
        <w:spacing w:after="0" w:line="106" w:lineRule="exact"/>
        <w:rPr>
          <w:rFonts w:ascii="Times New Roman" w:cs="Times New Roman" w:eastAsia="Times New Roman" w:hAnsi="Times New Roman"/>
          <w:sz w:val="20"/>
          <w:szCs w:val="20"/>
          <w:color w:val="auto"/>
        </w:rPr>
      </w:pPr>
    </w:p>
    <w:p>
      <w:pPr>
        <w:ind w:left="1180" w:right="599" w:hanging="448"/>
        <w:spacing w:after="0" w:line="256" w:lineRule="auto"/>
        <w:tabs>
          <w:tab w:leader="none" w:pos="1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20 Light Delivery Devices (LDDs) sold in Q1, expanding the installed base to 1,154 units</w:t>
      </w:r>
    </w:p>
    <w:p>
      <w:pPr>
        <w:spacing w:after="0" w:line="48" w:lineRule="exact"/>
        <w:rPr>
          <w:rFonts w:ascii="Times New Roman" w:cs="Times New Roman" w:eastAsia="Times New Roman" w:hAnsi="Times New Roman"/>
          <w:sz w:val="20"/>
          <w:szCs w:val="20"/>
          <w:color w:val="auto"/>
        </w:rPr>
      </w:pPr>
    </w:p>
    <w:p>
      <w:pPr>
        <w:ind w:left="1180" w:right="419" w:hanging="448"/>
        <w:spacing w:after="0" w:line="241" w:lineRule="auto"/>
        <w:tabs>
          <w:tab w:leader="none" w:pos="1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Robust clinical data presented at the recent American Society of Cataract and Refractive Surgery (ASCRS) annual meeting highlighting the versatility and impact of adjustability</w:t>
      </w:r>
    </w:p>
    <w:p>
      <w:pPr>
        <w:spacing w:after="0" w:line="62" w:lineRule="exact"/>
        <w:rPr>
          <w:rFonts w:ascii="Times New Roman" w:cs="Times New Roman" w:eastAsia="Times New Roman" w:hAnsi="Times New Roman"/>
          <w:sz w:val="20"/>
          <w:szCs w:val="20"/>
          <w:color w:val="auto"/>
        </w:rPr>
      </w:pPr>
    </w:p>
    <w:p>
      <w:pPr>
        <w:ind w:left="1180" w:right="679" w:hanging="448"/>
        <w:spacing w:after="0" w:line="256" w:lineRule="auto"/>
        <w:tabs>
          <w:tab w:leader="none" w:pos="1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Recent regulatory approval in New Zealand furthering the company’s international footprint and global market opportunity</w:t>
      </w:r>
    </w:p>
    <w:p>
      <w:pPr>
        <w:spacing w:after="0" w:line="48" w:lineRule="exact"/>
        <w:rPr>
          <w:rFonts w:ascii="Times New Roman" w:cs="Times New Roman" w:eastAsia="Times New Roman" w:hAnsi="Times New Roman"/>
          <w:sz w:val="20"/>
          <w:szCs w:val="20"/>
          <w:color w:val="auto"/>
        </w:rPr>
      </w:pPr>
    </w:p>
    <w:p>
      <w:pPr>
        <w:ind w:left="1180" w:right="319" w:hanging="448"/>
        <w:spacing w:after="0" w:line="241" w:lineRule="auto"/>
        <w:tabs>
          <w:tab w:leader="none" w:pos="11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2026 sales and gross margin guidance unchanged; operating expense expected to be at high end of previous range reflecting targeted investments in strategic growth initiatives</w:t>
      </w:r>
    </w:p>
    <w:p>
      <w:pPr>
        <w:spacing w:after="0" w:line="169" w:lineRule="exact"/>
        <w:rPr>
          <w:sz w:val="20"/>
          <w:szCs w:val="20"/>
          <w:color w:val="auto"/>
        </w:rPr>
      </w:pPr>
    </w:p>
    <w:p>
      <w:pPr>
        <w:ind w:left="300" w:right="339"/>
        <w:spacing w:after="0" w:line="237" w:lineRule="auto"/>
        <w:rPr>
          <w:sz w:val="20"/>
          <w:szCs w:val="20"/>
          <w:color w:val="auto"/>
        </w:rPr>
      </w:pPr>
      <w:r>
        <w:rPr>
          <w:rFonts w:ascii="Times New Roman" w:cs="Times New Roman" w:eastAsia="Times New Roman" w:hAnsi="Times New Roman"/>
          <w:sz w:val="20"/>
          <w:szCs w:val="20"/>
          <w:color w:val="auto"/>
        </w:rPr>
        <w:t>“</w:t>
      </w:r>
      <w:r>
        <w:rPr>
          <w:rFonts w:ascii="Arial" w:cs="Arial" w:eastAsia="Arial" w:hAnsi="Arial"/>
          <w:sz w:val="20"/>
          <w:szCs w:val="20"/>
          <w:color w:val="auto"/>
        </w:rPr>
        <w:t>We are encouraged by the stabilizing business trends and the initial progress from our ongoing</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commercial initiatives,” said Ron Kurtz, President and Chief Executive Officer of RxSight. “As we continue to refine these efforts, investing in both our team and our pipeline, we are confident that we can continue to build momentum across the company and reach the full potential of our technology for patients and practices.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First Quarter Financial Results</w:t>
      </w:r>
    </w:p>
    <w:p>
      <w:pPr>
        <w:spacing w:after="0" w:line="96" w:lineRule="exact"/>
        <w:rPr>
          <w:sz w:val="20"/>
          <w:szCs w:val="20"/>
          <w:color w:val="auto"/>
        </w:rPr>
      </w:pPr>
    </w:p>
    <w:p>
      <w:pPr>
        <w:ind w:left="300" w:right="399"/>
        <w:spacing w:after="0" w:line="241" w:lineRule="auto"/>
        <w:rPr>
          <w:sz w:val="20"/>
          <w:szCs w:val="20"/>
          <w:color w:val="auto"/>
        </w:rPr>
      </w:pPr>
      <w:r>
        <w:rPr>
          <w:rFonts w:ascii="Arial" w:cs="Arial" w:eastAsia="Arial" w:hAnsi="Arial"/>
          <w:sz w:val="20"/>
          <w:szCs w:val="20"/>
          <w:color w:val="auto"/>
        </w:rPr>
        <w:t>In the first quarter of 2026, the company reported sales of $30.9 million, down 18.5% compared to the prior year, largely reflecting lower LDD unit volumes, consistent with expectations. LAL procedures decreased 0.4% year over year.</w:t>
      </w:r>
    </w:p>
    <w:p>
      <w:pPr>
        <w:spacing w:after="0" w:line="30" w:lineRule="exact"/>
        <w:rPr>
          <w:sz w:val="20"/>
          <w:szCs w:val="20"/>
          <w:color w:val="auto"/>
        </w:rPr>
      </w:pPr>
    </w:p>
    <w:p>
      <w:pPr>
        <w:ind w:left="300" w:right="1059"/>
        <w:spacing w:after="0" w:line="269" w:lineRule="exact"/>
        <w:rPr>
          <w:sz w:val="20"/>
          <w:szCs w:val="20"/>
          <w:color w:val="auto"/>
        </w:rPr>
      </w:pPr>
      <w:r>
        <w:rPr>
          <w:rFonts w:ascii="Arial" w:cs="Arial" w:eastAsia="Arial" w:hAnsi="Arial"/>
          <w:sz w:val="20"/>
          <w:szCs w:val="20"/>
          <w:color w:val="auto"/>
        </w:rPr>
        <w:t>First quarter gross profit margin of 76.1% increased from 74.8% in the prior</w:t>
      </w:r>
      <w:r>
        <w:rPr>
          <w:rFonts w:ascii="MS PGothic" w:cs="MS PGothic" w:eastAsia="MS PGothic" w:hAnsi="MS PGothic"/>
          <w:sz w:val="20"/>
          <w:szCs w:val="20"/>
          <w:color w:val="auto"/>
        </w:rPr>
        <w:t>‑</w:t>
      </w:r>
      <w:r>
        <w:rPr>
          <w:rFonts w:ascii="Arial" w:cs="Arial" w:eastAsia="Arial" w:hAnsi="Arial"/>
          <w:sz w:val="20"/>
          <w:szCs w:val="20"/>
          <w:color w:val="auto"/>
        </w:rPr>
        <w:t>year period, primarily driven by a favorable shift in product mix toward LAL sales.</w:t>
      </w:r>
    </w:p>
    <w:p>
      <w:pPr>
        <w:spacing w:after="0" w:line="63" w:lineRule="exact"/>
        <w:rPr>
          <w:sz w:val="20"/>
          <w:szCs w:val="20"/>
          <w:color w:val="auto"/>
        </w:rPr>
      </w:pPr>
    </w:p>
    <w:p>
      <w:pPr>
        <w:ind w:left="300" w:right="399"/>
        <w:spacing w:after="0" w:line="241" w:lineRule="auto"/>
        <w:rPr>
          <w:sz w:val="20"/>
          <w:szCs w:val="20"/>
          <w:color w:val="auto"/>
        </w:rPr>
      </w:pPr>
      <w:r>
        <w:rPr>
          <w:rFonts w:ascii="Arial" w:cs="Arial" w:eastAsia="Arial" w:hAnsi="Arial"/>
          <w:sz w:val="20"/>
          <w:szCs w:val="20"/>
          <w:color w:val="auto"/>
        </w:rPr>
        <w:t>Total operating expenses were $41.3 million versus $39.0 million in the year-ago period. The increase was primarily driven by the continued expansion of our global commercial and support teams.</w:t>
      </w:r>
    </w:p>
    <w:p>
      <w:pPr>
        <w:spacing w:after="0" w:line="63" w:lineRule="exact"/>
        <w:rPr>
          <w:sz w:val="20"/>
          <w:szCs w:val="20"/>
          <w:color w:val="auto"/>
        </w:rPr>
      </w:pPr>
    </w:p>
    <w:p>
      <w:pPr>
        <w:ind w:left="300" w:right="319"/>
        <w:spacing w:after="0" w:line="234" w:lineRule="auto"/>
        <w:rPr>
          <w:sz w:val="20"/>
          <w:szCs w:val="20"/>
          <w:color w:val="auto"/>
        </w:rPr>
      </w:pPr>
      <w:r>
        <w:rPr>
          <w:rFonts w:ascii="Arial" w:cs="Arial" w:eastAsia="Arial" w:hAnsi="Arial"/>
          <w:sz w:val="20"/>
          <w:szCs w:val="20"/>
          <w:color w:val="auto"/>
        </w:rPr>
        <w:t>In the first quarter of 2026, the company reported a net loss of $(15.9) million, or $(0.38) per basic and diluted share, compared to a net loss of $(8.2) million, or $(0.20) per basic and diluted share in the first quarter of 2025. Adjusted net loss in the first quarter of 2026 was $(7.9) million, or $(0.19) per basic and diluted share, compared to an adjusted net loss of $(1.1) million, or $(0.03) per basic and diluted share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934720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5137150</wp:posOffset>
            </wp:positionH>
            <wp:positionV relativeFrom="page">
              <wp:posOffset>637540</wp:posOffset>
            </wp:positionV>
            <wp:extent cx="1311275"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02590"/>
                    </a:xfrm>
                    <a:prstGeom prst="rect">
                      <a:avLst/>
                    </a:prstGeom>
                    <a:noFill/>
                  </pic:spPr>
                </pic:pic>
              </a:graphicData>
            </a:graphic>
          </wp:anchor>
        </w:drawing>
      </w:r>
    </w:p>
    <w:p>
      <w:pPr>
        <w:ind w:left="300" w:right="979"/>
        <w:spacing w:after="0" w:line="257" w:lineRule="auto"/>
        <w:rPr>
          <w:sz w:val="20"/>
          <w:szCs w:val="20"/>
          <w:color w:val="auto"/>
        </w:rPr>
      </w:pPr>
      <w:r>
        <w:rPr>
          <w:rFonts w:ascii="Arial" w:cs="Arial" w:eastAsia="Arial" w:hAnsi="Arial"/>
          <w:sz w:val="20"/>
          <w:szCs w:val="20"/>
          <w:color w:val="auto"/>
        </w:rPr>
        <w:t>As of March 31, 2026, cash, cash equivalents and short-term investments totaled $217.9 million.</w:t>
      </w:r>
    </w:p>
    <w:p>
      <w:pPr>
        <w:spacing w:after="0" w:line="45"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2026 ASCRS Highlights</w:t>
      </w:r>
    </w:p>
    <w:p>
      <w:pPr>
        <w:spacing w:after="0" w:line="96" w:lineRule="exact"/>
        <w:rPr>
          <w:sz w:val="20"/>
          <w:szCs w:val="20"/>
          <w:color w:val="auto"/>
        </w:rPr>
      </w:pPr>
    </w:p>
    <w:p>
      <w:pPr>
        <w:ind w:left="300" w:right="339"/>
        <w:spacing w:after="0" w:line="245" w:lineRule="auto"/>
        <w:rPr>
          <w:sz w:val="20"/>
          <w:szCs w:val="20"/>
          <w:color w:val="auto"/>
        </w:rPr>
      </w:pPr>
      <w:r>
        <w:rPr>
          <w:rFonts w:ascii="Arial" w:cs="Arial" w:eastAsia="Arial" w:hAnsi="Arial"/>
          <w:sz w:val="19"/>
          <w:szCs w:val="19"/>
          <w:color w:val="auto"/>
        </w:rPr>
        <w:t>At the recent ASCRS annual meeting, RxSight technology was featured across multiple scientific presentations addressing refractive accuracy, complex cases and evolving treatment strategies. This rapidly expanding body of clinical evidence highlighted both the versatility and impact of adjustability. In addition, the conference included presentations by Dr. Szabo, who reported binocular LAL outcomes in which 93.1% of patients achieved simultaneous 20/20 or better distance and J1 or better near, as well as a meta-analysis by Dr. Rabinovitch, demonstrating pooled accuracy with the LAL was 91.2% within 0.50 diopters of target refraction.</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2026 Guidance</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company’s 2026 financial guidance is as follows:</w:t>
      </w:r>
    </w:p>
    <w:p>
      <w:pPr>
        <w:spacing w:after="0" w:line="94" w:lineRule="exact"/>
        <w:rPr>
          <w:sz w:val="20"/>
          <w:szCs w:val="20"/>
          <w:color w:val="auto"/>
        </w:rPr>
      </w:pPr>
    </w:p>
    <w:p>
      <w:pPr>
        <w:ind w:left="1180" w:hanging="448"/>
        <w:spacing w:after="0"/>
        <w:tabs>
          <w:tab w:leader="none" w:pos="11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Revenue of $120 to $135 million, in-line with previous guidance</w:t>
      </w:r>
    </w:p>
    <w:p>
      <w:pPr>
        <w:spacing w:after="0" w:line="106" w:lineRule="exact"/>
        <w:rPr>
          <w:rFonts w:ascii="Times New Roman" w:cs="Times New Roman" w:eastAsia="Times New Roman" w:hAnsi="Times New Roman"/>
          <w:sz w:val="20"/>
          <w:szCs w:val="20"/>
          <w:color w:val="auto"/>
        </w:rPr>
      </w:pPr>
    </w:p>
    <w:p>
      <w:pPr>
        <w:ind w:left="1180" w:hanging="448"/>
        <w:spacing w:after="0"/>
        <w:tabs>
          <w:tab w:leader="none" w:pos="11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Gross margin of 70% to 72%, in-line with previous guidance</w:t>
      </w:r>
    </w:p>
    <w:p>
      <w:pPr>
        <w:spacing w:after="0" w:line="106" w:lineRule="exact"/>
        <w:rPr>
          <w:rFonts w:ascii="Times New Roman" w:cs="Times New Roman" w:eastAsia="Times New Roman" w:hAnsi="Times New Roman"/>
          <w:sz w:val="20"/>
          <w:szCs w:val="20"/>
          <w:color w:val="auto"/>
        </w:rPr>
      </w:pPr>
    </w:p>
    <w:p>
      <w:pPr>
        <w:ind w:left="1180" w:right="499" w:hanging="448"/>
        <w:spacing w:after="0" w:line="256" w:lineRule="auto"/>
        <w:tabs>
          <w:tab w:leader="none" w:pos="11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expenses expected to be at the high-end of previous $150 to $160 million range</w:t>
      </w:r>
    </w:p>
    <w:p>
      <w:pPr>
        <w:spacing w:after="0" w:line="48" w:lineRule="exact"/>
        <w:rPr>
          <w:rFonts w:ascii="Times New Roman" w:cs="Times New Roman" w:eastAsia="Times New Roman" w:hAnsi="Times New Roman"/>
          <w:sz w:val="20"/>
          <w:szCs w:val="20"/>
          <w:color w:val="auto"/>
        </w:rPr>
      </w:pPr>
    </w:p>
    <w:p>
      <w:pPr>
        <w:ind w:left="1180" w:right="919" w:hanging="448"/>
        <w:spacing w:after="0" w:line="256" w:lineRule="auto"/>
        <w:tabs>
          <w:tab w:leader="none" w:pos="118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Non-cash stock-based compensation expense of $30 to $32 million, in-line with previous guidance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Conference Call</w:t>
      </w:r>
    </w:p>
    <w:p>
      <w:pPr>
        <w:spacing w:after="0" w:line="96" w:lineRule="exact"/>
        <w:rPr>
          <w:sz w:val="20"/>
          <w:szCs w:val="20"/>
          <w:color w:val="auto"/>
        </w:rPr>
      </w:pPr>
    </w:p>
    <w:p>
      <w:pPr>
        <w:ind w:left="300" w:right="319"/>
        <w:spacing w:after="0" w:line="247" w:lineRule="auto"/>
        <w:rPr>
          <w:sz w:val="20"/>
          <w:szCs w:val="20"/>
          <w:color w:val="auto"/>
        </w:rPr>
      </w:pPr>
      <w:r>
        <w:rPr>
          <w:rFonts w:ascii="Arial" w:cs="Arial" w:eastAsia="Arial" w:hAnsi="Arial"/>
          <w:sz w:val="19"/>
          <w:szCs w:val="19"/>
          <w:color w:val="auto"/>
        </w:rPr>
        <w:t>On Wednesday, May 6, 2026, at 1:30 p.m. Pacific Time, the company will host a conference call to discuss its first quarter 2026 financial results. To participate in the conference call, please dial</w:t>
      </w:r>
    </w:p>
    <w:p>
      <w:pPr>
        <w:jc w:val="both"/>
        <w:ind w:left="300" w:right="559" w:hanging="8"/>
        <w:spacing w:after="0" w:line="232" w:lineRule="auto"/>
        <w:tabs>
          <w:tab w:leader="none" w:pos="817"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715-9871 or (646) 307-1963 and enter the conference code: 2630350. The call will also be broadcast live in listen-only mode via a link on the company’s investor relations website at </w:t>
      </w:r>
      <w:r>
        <w:rPr>
          <w:rFonts w:ascii="Arial" w:cs="Arial" w:eastAsia="Arial" w:hAnsi="Arial"/>
          <w:sz w:val="20"/>
          <w:szCs w:val="20"/>
          <w:u w:val="single" w:color="auto"/>
          <w:color w:val="auto"/>
        </w:rPr>
        <w:t>https://investors.rxsight.com/.</w:t>
      </w:r>
      <w:r>
        <w:rPr>
          <w:rFonts w:ascii="Arial" w:cs="Arial" w:eastAsia="Arial" w:hAnsi="Arial"/>
          <w:sz w:val="20"/>
          <w:szCs w:val="20"/>
          <w:color w:val="auto"/>
        </w:rPr>
        <w:t xml:space="preserve"> An archived recording of the call will be available through the same link shortly after its completion.</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About RxSight, Inc.</w:t>
      </w:r>
    </w:p>
    <w:p>
      <w:pPr>
        <w:spacing w:after="0" w:line="96" w:lineRule="exact"/>
        <w:rPr>
          <w:sz w:val="20"/>
          <w:szCs w:val="20"/>
          <w:color w:val="auto"/>
        </w:rPr>
      </w:pPr>
    </w:p>
    <w:p>
      <w:pPr>
        <w:ind w:left="300" w:right="459"/>
        <w:spacing w:after="0" w:line="232" w:lineRule="auto"/>
        <w:rPr>
          <w:sz w:val="20"/>
          <w:szCs w:val="20"/>
          <w:color w:val="auto"/>
        </w:rPr>
      </w:pPr>
      <w:r>
        <w:rPr>
          <w:rFonts w:ascii="Arial" w:cs="Arial" w:eastAsia="Arial" w:hAnsi="Arial"/>
          <w:sz w:val="20"/>
          <w:szCs w:val="20"/>
          <w:color w:val="auto"/>
        </w:rPr>
        <w:t xml:space="preserve">RxSight, Inc. is an ophthalmic medical device company dedicated to providing high-quality customized vision to patients following cataract surgery. The RxSight Light Adjustable Lens system, comprised of the RxSight Light Adjustable Lens (LAL/LAL+, collectively the “LAL”), RxSight Light Delivery Device (LDD) and accessories, is the first and only commercially available intraocular lens (IOL) technology that can be adjusted after surgery, enabling doctors to customize and deliver high-quality vision to patients after cataract surgery. Additional information about RxSight can be found at </w:t>
      </w:r>
      <w:r>
        <w:rPr>
          <w:rFonts w:ascii="Arial" w:cs="Arial" w:eastAsia="Arial" w:hAnsi="Arial"/>
          <w:sz w:val="20"/>
          <w:szCs w:val="20"/>
          <w:u w:val="single" w:color="auto"/>
          <w:color w:val="auto"/>
        </w:rPr>
        <w:t>www.rxsight.com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Forward-Looking Statements</w:t>
      </w:r>
    </w:p>
    <w:p>
      <w:pPr>
        <w:spacing w:after="0" w:line="96" w:lineRule="exact"/>
        <w:rPr>
          <w:sz w:val="20"/>
          <w:szCs w:val="20"/>
          <w:color w:val="auto"/>
        </w:rPr>
      </w:pPr>
    </w:p>
    <w:p>
      <w:pPr>
        <w:ind w:left="300" w:right="439"/>
        <w:spacing w:after="0" w:line="241" w:lineRule="auto"/>
        <w:rPr>
          <w:sz w:val="20"/>
          <w:szCs w:val="20"/>
          <w:color w:val="auto"/>
        </w:rPr>
      </w:pPr>
      <w:r>
        <w:rPr>
          <w:rFonts w:ascii="Arial" w:cs="Arial" w:eastAsia="Arial" w:hAnsi="Arial"/>
          <w:sz w:val="20"/>
          <w:szCs w:val="20"/>
          <w:color w:val="auto"/>
        </w:rPr>
        <w:t>This press release contains forward-looking statements, including: including statements regarding the company’s expectations related to stabilizing business trends; the initial progress from its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932815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5137150</wp:posOffset>
            </wp:positionH>
            <wp:positionV relativeFrom="page">
              <wp:posOffset>637540</wp:posOffset>
            </wp:positionV>
            <wp:extent cx="1311275" cy="40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03225"/>
                    </a:xfrm>
                    <a:prstGeom prst="rect">
                      <a:avLst/>
                    </a:prstGeom>
                    <a:noFill/>
                  </pic:spPr>
                </pic:pic>
              </a:graphicData>
            </a:graphic>
          </wp:anchor>
        </w:drawing>
      </w:r>
    </w:p>
    <w:p>
      <w:pPr>
        <w:ind w:left="300" w:right="319"/>
        <w:spacing w:after="0" w:line="227" w:lineRule="auto"/>
        <w:rPr>
          <w:sz w:val="20"/>
          <w:szCs w:val="20"/>
          <w:color w:val="auto"/>
        </w:rPr>
      </w:pPr>
      <w:r>
        <w:rPr>
          <w:rFonts w:ascii="Arial" w:cs="Arial" w:eastAsia="Arial" w:hAnsi="Arial"/>
          <w:sz w:val="20"/>
          <w:szCs w:val="20"/>
          <w:color w:val="auto"/>
        </w:rPr>
        <w:t>commercial initiatives; ongoing refinement of its commercial efforts; continued investments in its team and pipeline; its ability to build momentum across the company; and its ability to reach the full potential of its technology for patients and practices. Such statements relate to future events or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implied or inferred by these forward-looking statements. In some cases, you can identify forward-looking statements by terminology such as "may," "will," "should," "could," "would," "expects," "plans," "intends," "anticipates," "believes," "estimates," "predicts," "projects," "potential," or "continue" or the negative of such terms and other same terminology. These statements are only predictions based on our current expectations and projections about future events. You should not place undue reliance on these statements. Actual events or results may differ materially. In evaluating these statements, you should specifically consider various factors, including the risk factors that may be found in the section entitled Part II, Item 1A (Risk Factors) in the Quarterly Report on Form 10-Q for the three months ended March 31, 2026, filed with the Securities and Exchange Commission (SEC) on or about the date hereof, and the other documents that RxSight may file from time to time with the SEC. These and other factors may cause our actual results to differ materially from any forward-looking statement. We undertake no obligation to update any of the forward-looking statements after the date of this press release to conform those statements to reflect the occurrence of unanticipated events, except as required by applicable law.</w:t>
      </w:r>
    </w:p>
    <w:p>
      <w:pPr>
        <w:spacing w:after="0" w:line="76" w:lineRule="exact"/>
        <w:rPr>
          <w:sz w:val="20"/>
          <w:szCs w:val="20"/>
          <w:color w:val="auto"/>
        </w:rPr>
      </w:pPr>
    </w:p>
    <w:p>
      <w:pPr>
        <w:ind w:left="300" w:right="1039"/>
        <w:spacing w:after="0" w:line="257" w:lineRule="auto"/>
        <w:rPr>
          <w:sz w:val="20"/>
          <w:szCs w:val="20"/>
          <w:color w:val="auto"/>
        </w:rPr>
      </w:pPr>
      <w:r>
        <w:rPr>
          <w:rFonts w:ascii="Arial" w:cs="Arial" w:eastAsia="Arial" w:hAnsi="Arial"/>
          <w:sz w:val="20"/>
          <w:szCs w:val="20"/>
          <w:color w:val="auto"/>
        </w:rPr>
        <w:t>RxSight, Inc., the RxSight Light Adjustable Lens LAL, LAL+, and LDD are trademarks of RxSight, Inc.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Investor Relations Contact:</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Oliver Moravcevic</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VP, Investor Relations</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20"/>
          <w:szCs w:val="20"/>
          <w:u w:val="single" w:color="auto"/>
          <w:color w:val="0000FF"/>
        </w:rPr>
        <w:t>omoravcevic@rxsight.com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1226820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5137150</wp:posOffset>
            </wp:positionH>
            <wp:positionV relativeFrom="page">
              <wp:posOffset>637540</wp:posOffset>
            </wp:positionV>
            <wp:extent cx="1311275" cy="403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032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5400" w:type="dxa"/>
            <w:vAlign w:val="bottom"/>
            <w:gridSpan w:val="8"/>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1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43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140" w:type="dxa"/>
            <w:vAlign w:val="bottom"/>
            <w:shd w:val="clear" w:color="auto" w:fill="CFF0FC"/>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30,893</w:t>
            </w:r>
          </w:p>
        </w:tc>
        <w:tc>
          <w:tcPr>
            <w:tcW w:w="18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37,895</w:t>
            </w:r>
          </w:p>
        </w:tc>
        <w:tc>
          <w:tcPr>
            <w:tcW w:w="32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4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1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7,395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9,566</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432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1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23,498</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28,329</w:t>
            </w:r>
          </w:p>
        </w:tc>
        <w:tc>
          <w:tcPr>
            <w:tcW w:w="320" w:type="dxa"/>
            <w:vAlign w:val="bottom"/>
            <w:tcBorders>
              <w:bottom w:val="single" w:sz="8" w:color="CFF0FC"/>
            </w:tcBorders>
            <w:shd w:val="clear" w:color="auto" w:fill="CFF0FC"/>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43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432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31,855</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28,636</w:t>
            </w:r>
          </w:p>
        </w:tc>
        <w:tc>
          <w:tcPr>
            <w:tcW w:w="32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43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9,472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10,367</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4320" w:type="dxa"/>
            <w:vAlign w:val="bottom"/>
            <w:tcBorders>
              <w:bottom w:val="single" w:sz="8" w:color="CFF0FC"/>
            </w:tcBorders>
            <w:shd w:val="clear" w:color="auto" w:fill="CFF0FC"/>
          </w:tcPr>
          <w:p>
            <w:pPr>
              <w:ind w:left="54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1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41,327</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39,003</w:t>
            </w:r>
          </w:p>
        </w:tc>
        <w:tc>
          <w:tcPr>
            <w:tcW w:w="320" w:type="dxa"/>
            <w:vAlign w:val="bottom"/>
            <w:tcBorders>
              <w:bottom w:val="single" w:sz="8" w:color="CFF0FC"/>
            </w:tcBorders>
            <w:shd w:val="clear" w:color="auto" w:fill="CFF0FC"/>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432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114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(17,829)</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(10,674)</w:t>
            </w:r>
          </w:p>
        </w:tc>
        <w:tc>
          <w:tcPr>
            <w:tcW w:w="13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43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1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43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3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4320" w:type="dxa"/>
            <w:vAlign w:val="bottom"/>
            <w:tcBorders>
              <w:bottom w:val="single" w:sz="8" w:color="CFF0FC"/>
            </w:tcBorders>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11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1,954</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320" w:type="dxa"/>
            <w:vAlign w:val="bottom"/>
            <w:tcBorders>
              <w:bottom w:val="single" w:sz="8" w:color="CFF0FC"/>
            </w:tcBorders>
            <w:shd w:val="clear" w:color="auto" w:fill="CFF0FC"/>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43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114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(15,878)</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(8,172)</w:t>
            </w:r>
          </w:p>
        </w:tc>
        <w:tc>
          <w:tcPr>
            <w:tcW w:w="13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432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1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320" w:type="dxa"/>
            <w:vAlign w:val="bottom"/>
            <w:tcBorders>
              <w:bottom w:val="single" w:sz="8" w:color="CFF0FC"/>
            </w:tcBorders>
            <w:shd w:val="clear" w:color="auto" w:fill="CFF0FC"/>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9"/>
        </w:trPr>
        <w:tc>
          <w:tcPr>
            <w:tcW w:w="1320" w:type="dxa"/>
            <w:vAlign w:val="bottom"/>
          </w:tcPr>
          <w:p>
            <w:pPr>
              <w:spacing w:after="0"/>
              <w:rPr>
                <w:sz w:val="16"/>
                <w:szCs w:val="16"/>
                <w:color w:val="auto"/>
              </w:rPr>
            </w:pPr>
          </w:p>
        </w:tc>
        <w:tc>
          <w:tcPr>
            <w:tcW w:w="4320" w:type="dxa"/>
            <w:vAlign w:val="bottom"/>
            <w:tcBorders>
              <w:bottom w:val="single" w:sz="8" w:color="CFF0FC"/>
            </w:tcBorders>
            <w:shd w:val="clear" w:color="auto" w:fill="CFF0FC"/>
          </w:tcPr>
          <w:p>
            <w:pPr>
              <w:ind w:left="54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Borders>
              <w:bottom w:val="single" w:sz="8" w:color="auto"/>
            </w:tcBorders>
            <w:shd w:val="clear" w:color="auto" w:fill="CFF0FC"/>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(15,884)</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(8,190)</w:t>
            </w:r>
          </w:p>
        </w:tc>
        <w:tc>
          <w:tcPr>
            <w:tcW w:w="320" w:type="dxa"/>
            <w:vAlign w:val="bottom"/>
            <w:tcBorders>
              <w:bottom w:val="single" w:sz="8" w:color="CFF0FC"/>
            </w:tcBorders>
            <w:shd w:val="clear" w:color="auto" w:fill="CFF0FC"/>
          </w:tcPr>
          <w:p>
            <w:pPr>
              <w:spacing w:after="0"/>
              <w:rPr>
                <w:sz w:val="16"/>
                <w:szCs w:val="16"/>
                <w:color w:val="auto"/>
              </w:rPr>
            </w:pPr>
          </w:p>
        </w:tc>
        <w:tc>
          <w:tcPr>
            <w:tcW w:w="1300" w:type="dxa"/>
            <w:vAlign w:val="bottom"/>
          </w:tcPr>
          <w:p>
            <w:pPr>
              <w:spacing w:after="0"/>
              <w:rPr>
                <w:sz w:val="16"/>
                <w:szCs w:val="16"/>
                <w:color w:val="auto"/>
              </w:rPr>
            </w:pPr>
          </w:p>
        </w:tc>
      </w:tr>
      <w:tr>
        <w:trPr>
          <w:trHeight w:val="129"/>
        </w:trPr>
        <w:tc>
          <w:tcPr>
            <w:tcW w:w="1320" w:type="dxa"/>
            <w:vAlign w:val="bottom"/>
          </w:tcPr>
          <w:p>
            <w:pPr>
              <w:spacing w:after="0"/>
              <w:rPr>
                <w:sz w:val="11"/>
                <w:szCs w:val="11"/>
                <w:color w:val="auto"/>
              </w:rPr>
            </w:pPr>
          </w:p>
        </w:tc>
        <w:tc>
          <w:tcPr>
            <w:tcW w:w="432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49"/>
        </w:trPr>
        <w:tc>
          <w:tcPr>
            <w:tcW w:w="1320" w:type="dxa"/>
            <w:vAlign w:val="bottom"/>
          </w:tcPr>
          <w:p>
            <w:pPr>
              <w:spacing w:after="0"/>
              <w:rPr>
                <w:sz w:val="12"/>
                <w:szCs w:val="12"/>
                <w:color w:val="auto"/>
              </w:rPr>
            </w:pPr>
          </w:p>
        </w:tc>
        <w:tc>
          <w:tcPr>
            <w:tcW w:w="432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1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3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43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Foreign currency translation gain</w:t>
            </w:r>
          </w:p>
        </w:tc>
        <w:tc>
          <w:tcPr>
            <w:tcW w:w="1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432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other comprehensive loss</w:t>
            </w:r>
          </w:p>
        </w:tc>
        <w:tc>
          <w:tcPr>
            <w:tcW w:w="1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(151)</w:t>
            </w:r>
          </w:p>
        </w:tc>
        <w:tc>
          <w:tcPr>
            <w:tcW w:w="130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4320" w:type="dxa"/>
            <w:vAlign w:val="bottom"/>
            <w:tcBorders>
              <w:top w:val="single" w:sz="8" w:color="CFF0F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Borders>
              <w:top w:val="single" w:sz="8" w:color="CFF0FC"/>
            </w:tcBorders>
          </w:tcPr>
          <w:p>
            <w:pPr>
              <w:spacing w:after="0"/>
              <w:rPr>
                <w:sz w:val="12"/>
                <w:szCs w:val="12"/>
                <w:color w:val="auto"/>
              </w:rPr>
            </w:pPr>
          </w:p>
        </w:tc>
        <w:tc>
          <w:tcPr>
            <w:tcW w:w="1300" w:type="dxa"/>
            <w:vAlign w:val="bottom"/>
          </w:tcPr>
          <w:p>
            <w:pPr>
              <w:spacing w:after="0"/>
              <w:rPr>
                <w:sz w:val="12"/>
                <w:szCs w:val="12"/>
                <w:color w:val="auto"/>
              </w:rPr>
            </w:pPr>
          </w:p>
        </w:tc>
      </w:tr>
      <w:tr>
        <w:trPr>
          <w:trHeight w:val="188"/>
        </w:trPr>
        <w:tc>
          <w:tcPr>
            <w:tcW w:w="1320" w:type="dxa"/>
            <w:vAlign w:val="bottom"/>
          </w:tcPr>
          <w:p>
            <w:pPr>
              <w:spacing w:after="0"/>
              <w:rPr>
                <w:sz w:val="16"/>
                <w:szCs w:val="16"/>
                <w:color w:val="auto"/>
              </w:rPr>
            </w:pPr>
          </w:p>
        </w:tc>
        <w:tc>
          <w:tcPr>
            <w:tcW w:w="432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Comprehensive loss</w:t>
            </w:r>
          </w:p>
        </w:tc>
        <w:tc>
          <w:tcPr>
            <w:tcW w:w="1140" w:type="dxa"/>
            <w:vAlign w:val="bottom"/>
            <w:tcBorders>
              <w:bottom w:val="single" w:sz="8" w:color="auto"/>
            </w:tcBorders>
            <w:shd w:val="clear" w:color="auto" w:fill="CFF0FC"/>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(16,004)</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(8,341)</w:t>
            </w:r>
          </w:p>
        </w:tc>
        <w:tc>
          <w:tcPr>
            <w:tcW w:w="320" w:type="dxa"/>
            <w:vAlign w:val="bottom"/>
            <w:tcBorders>
              <w:bottom w:val="single" w:sz="8" w:color="CFF0FC"/>
            </w:tcBorders>
            <w:shd w:val="clear" w:color="auto" w:fill="CFF0FC"/>
          </w:tcPr>
          <w:p>
            <w:pPr>
              <w:spacing w:after="0"/>
              <w:rPr>
                <w:sz w:val="16"/>
                <w:szCs w:val="16"/>
                <w:color w:val="auto"/>
              </w:rPr>
            </w:pPr>
          </w:p>
        </w:tc>
        <w:tc>
          <w:tcPr>
            <w:tcW w:w="1300" w:type="dxa"/>
            <w:vAlign w:val="bottom"/>
          </w:tcPr>
          <w:p>
            <w:pPr>
              <w:spacing w:after="0"/>
              <w:rPr>
                <w:sz w:val="16"/>
                <w:szCs w:val="16"/>
                <w:color w:val="auto"/>
              </w:rPr>
            </w:pPr>
          </w:p>
        </w:tc>
      </w:tr>
      <w:tr>
        <w:trPr>
          <w:trHeight w:val="129"/>
        </w:trPr>
        <w:tc>
          <w:tcPr>
            <w:tcW w:w="13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48"/>
        </w:trPr>
        <w:tc>
          <w:tcPr>
            <w:tcW w:w="1320" w:type="dxa"/>
            <w:vAlign w:val="bottom"/>
          </w:tcPr>
          <w:p>
            <w:pPr>
              <w:spacing w:after="0"/>
              <w:rPr>
                <w:sz w:val="12"/>
                <w:szCs w:val="12"/>
                <w:color w:val="auto"/>
              </w:rPr>
            </w:pPr>
          </w:p>
        </w:tc>
        <w:tc>
          <w:tcPr>
            <w:tcW w:w="43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 per share:</w:t>
            </w:r>
          </w:p>
        </w:tc>
        <w:tc>
          <w:tcPr>
            <w:tcW w:w="1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r>
      <w:tr>
        <w:trPr>
          <w:trHeight w:val="149"/>
        </w:trPr>
        <w:tc>
          <w:tcPr>
            <w:tcW w:w="1320" w:type="dxa"/>
            <w:vAlign w:val="bottom"/>
          </w:tcPr>
          <w:p>
            <w:pPr>
              <w:spacing w:after="0"/>
              <w:rPr>
                <w:sz w:val="12"/>
                <w:szCs w:val="12"/>
                <w:color w:val="auto"/>
              </w:rPr>
            </w:pPr>
          </w:p>
        </w:tc>
        <w:tc>
          <w:tcPr>
            <w:tcW w:w="43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Basic &amp; diluted</w:t>
            </w:r>
          </w:p>
        </w:tc>
        <w:tc>
          <w:tcPr>
            <w:tcW w:w="1140" w:type="dxa"/>
            <w:vAlign w:val="bottom"/>
          </w:tcPr>
          <w:p>
            <w:pPr>
              <w:jc w:val="right"/>
              <w:ind w:right="101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480" w:type="dxa"/>
            <w:vAlign w:val="bottom"/>
            <w:gridSpan w:val="2"/>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1300" w:type="dxa"/>
            <w:vAlign w:val="bottom"/>
          </w:tcPr>
          <w:p>
            <w:pPr>
              <w:spacing w:after="0"/>
              <w:rPr>
                <w:sz w:val="12"/>
                <w:szCs w:val="12"/>
                <w:color w:val="auto"/>
              </w:rPr>
            </w:pPr>
          </w:p>
        </w:tc>
      </w:tr>
      <w:tr>
        <w:trPr>
          <w:trHeight w:val="126"/>
        </w:trPr>
        <w:tc>
          <w:tcPr>
            <w:tcW w:w="1320" w:type="dxa"/>
            <w:vAlign w:val="bottom"/>
          </w:tcPr>
          <w:p>
            <w:pPr>
              <w:spacing w:after="0"/>
              <w:rPr>
                <w:sz w:val="10"/>
                <w:szCs w:val="10"/>
                <w:color w:val="auto"/>
              </w:rPr>
            </w:pPr>
          </w:p>
        </w:tc>
        <w:tc>
          <w:tcPr>
            <w:tcW w:w="4320" w:type="dxa"/>
            <w:vAlign w:val="bottom"/>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Weighted-average shares used in computing net loss per</w:t>
            </w:r>
          </w:p>
        </w:tc>
        <w:tc>
          <w:tcPr>
            <w:tcW w:w="1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300" w:type="dxa"/>
            <w:vAlign w:val="bottom"/>
          </w:tcPr>
          <w:p>
            <w:pPr>
              <w:spacing w:after="0"/>
              <w:rPr>
                <w:sz w:val="10"/>
                <w:szCs w:val="10"/>
                <w:color w:val="auto"/>
              </w:rPr>
            </w:pPr>
          </w:p>
        </w:tc>
      </w:tr>
      <w:tr>
        <w:trPr>
          <w:trHeight w:val="171"/>
        </w:trPr>
        <w:tc>
          <w:tcPr>
            <w:tcW w:w="1320" w:type="dxa"/>
            <w:vAlign w:val="bottom"/>
          </w:tcPr>
          <w:p>
            <w:pPr>
              <w:spacing w:after="0"/>
              <w:rPr>
                <w:sz w:val="14"/>
                <w:szCs w:val="14"/>
                <w:color w:val="auto"/>
              </w:rPr>
            </w:pPr>
          </w:p>
        </w:tc>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tcPr>
          <w:p>
            <w:pPr>
              <w:spacing w:after="0"/>
              <w:rPr>
                <w:sz w:val="14"/>
                <w:szCs w:val="14"/>
                <w:color w:val="auto"/>
              </w:rPr>
            </w:pPr>
          </w:p>
        </w:tc>
      </w:tr>
      <w:tr>
        <w:trPr>
          <w:trHeight w:val="188"/>
        </w:trPr>
        <w:tc>
          <w:tcPr>
            <w:tcW w:w="1320" w:type="dxa"/>
            <w:vAlign w:val="bottom"/>
          </w:tcPr>
          <w:p>
            <w:pPr>
              <w:spacing w:after="0"/>
              <w:rPr>
                <w:sz w:val="16"/>
                <w:szCs w:val="16"/>
                <w:color w:val="auto"/>
              </w:rPr>
            </w:pPr>
          </w:p>
        </w:tc>
        <w:tc>
          <w:tcPr>
            <w:tcW w:w="4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Attributable to common stock, basic &amp; diluted</w:t>
            </w:r>
          </w:p>
        </w:tc>
        <w:tc>
          <w:tcPr>
            <w:tcW w:w="1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41,306,110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40,509,646</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8"/>
        </w:trPr>
        <w:tc>
          <w:tcPr>
            <w:tcW w:w="13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-3788410</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-3788410</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-3394075</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-3394075</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-3007995</wp:posOffset>
            </wp:positionV>
            <wp:extent cx="51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-3007995</wp:posOffset>
            </wp:positionV>
            <wp:extent cx="51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-2811145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-2811145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-2613660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-2596515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-2613660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-2596515</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-2202180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-2202180</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-2005330</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-1988185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-2005330</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-1988185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5137150</wp:posOffset>
            </wp:positionH>
            <wp:positionV relativeFrom="page">
              <wp:posOffset>637540</wp:posOffset>
            </wp:positionV>
            <wp:extent cx="1311275" cy="403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RxSight,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17,573</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19,949</w:t>
            </w: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200,307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208,179</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22,443</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23,383</w:t>
            </w: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31,559</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4,032</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4,389</w:t>
            </w:r>
          </w:p>
        </w:tc>
        <w:tc>
          <w:tcPr>
            <w:tcW w:w="80" w:type="dxa"/>
            <w:vAlign w:val="bottom"/>
            <w:tcBorders>
              <w:bottom w:val="single" w:sz="8" w:color="CFF0FC"/>
            </w:tcBorders>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6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279,225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287,459</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13,232</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13,056</w:t>
            </w: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leases right-of-use assets</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9,959</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5960" w:type="dxa"/>
            <w:vAlign w:val="bottom"/>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303,993</w:t>
            </w: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311,814</w:t>
            </w:r>
          </w:p>
        </w:tc>
        <w:tc>
          <w:tcPr>
            <w:tcW w:w="80" w:type="dxa"/>
            <w:vAlign w:val="bottom"/>
            <w:shd w:val="clear" w:color="auto" w:fill="CFF0FC"/>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320" w:type="dxa"/>
            <w:vAlign w:val="bottom"/>
          </w:tcPr>
          <w:p>
            <w:pPr>
              <w:spacing w:after="0"/>
              <w:rPr>
                <w:sz w:val="11"/>
                <w:szCs w:val="11"/>
                <w:color w:val="auto"/>
              </w:rPr>
            </w:pPr>
          </w:p>
        </w:tc>
        <w:tc>
          <w:tcPr>
            <w:tcW w:w="59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7,124</w:t>
            </w:r>
          </w:p>
        </w:tc>
        <w:tc>
          <w:tcPr>
            <w:tcW w:w="12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5,296</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18,748</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19,795</w:t>
            </w: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60" w:type="dxa"/>
            <w:vAlign w:val="bottom"/>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27,376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26,253</w:t>
            </w: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lease liabilities</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9,322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9,878</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60" w:type="dxa"/>
            <w:vAlign w:val="bottom"/>
            <w:tcBorders>
              <w:top w:val="single" w:sz="8" w:color="CFF0FC"/>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36,698</w:t>
            </w:r>
          </w:p>
        </w:tc>
        <w:tc>
          <w:tcPr>
            <w:tcW w:w="12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36,131</w:t>
            </w:r>
          </w:p>
        </w:tc>
        <w:tc>
          <w:tcPr>
            <w:tcW w:w="80" w:type="dxa"/>
            <w:vAlign w:val="bottom"/>
            <w:tcBorders>
              <w:top w:val="single" w:sz="8" w:color="CFF0FC"/>
            </w:tcBorders>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20" w:type="dxa"/>
            <w:vAlign w:val="bottom"/>
          </w:tcPr>
          <w:p>
            <w:pPr>
              <w:spacing w:after="0"/>
              <w:rPr>
                <w:sz w:val="10"/>
                <w:szCs w:val="10"/>
                <w:color w:val="auto"/>
              </w:rPr>
            </w:pPr>
          </w:p>
        </w:tc>
        <w:tc>
          <w:tcPr>
            <w:tcW w:w="5960" w:type="dxa"/>
            <w:vAlign w:val="bottom"/>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$0.001 par value, 900,000,000 shares authorized,</w:t>
            </w: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9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41,384,120 shares issued and outstanding as of March 31, 2026 and</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41,242,005 shares issued and outstanding as of December 31, 2025</w:t>
            </w:r>
          </w:p>
        </w:tc>
        <w:tc>
          <w:tcPr>
            <w:tcW w:w="1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20" w:type="dxa"/>
            <w:vAlign w:val="bottom"/>
          </w:tcPr>
          <w:p>
            <w:pPr>
              <w:spacing w:after="0"/>
              <w:rPr>
                <w:sz w:val="10"/>
                <w:szCs w:val="10"/>
                <w:color w:val="auto"/>
              </w:rPr>
            </w:pPr>
          </w:p>
        </w:tc>
        <w:tc>
          <w:tcPr>
            <w:tcW w:w="59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100,000,000 shares authorized, no shares issued</w:t>
            </w:r>
          </w:p>
        </w:tc>
        <w:tc>
          <w:tcPr>
            <w:tcW w:w="14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restart"/>
          </w:tcPr>
          <w:p>
            <w:pPr>
              <w:jc w:val="right"/>
              <w:ind w:right="1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and outstanding</w:t>
            </w: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944,244</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936,628</w:t>
            </w:r>
          </w:p>
        </w:tc>
        <w:tc>
          <w:tcPr>
            <w:tcW w:w="80" w:type="dxa"/>
            <w:vAlign w:val="bottom"/>
            <w:shd w:val="clear" w:color="auto" w:fill="CFF0FC"/>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4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9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(676,923)</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(661,039)</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60" w:type="dxa"/>
            <w:vAlign w:val="bottom"/>
            <w:tcBorders>
              <w:top w:val="single" w:sz="8" w:color="CFF0FC"/>
            </w:tcBorders>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267,295</w:t>
            </w:r>
          </w:p>
        </w:tc>
        <w:tc>
          <w:tcPr>
            <w:tcW w:w="12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275,683</w:t>
            </w:r>
          </w:p>
        </w:tc>
        <w:tc>
          <w:tcPr>
            <w:tcW w:w="80" w:type="dxa"/>
            <w:vAlign w:val="bottom"/>
            <w:tcBorders>
              <w:top w:val="single" w:sz="8" w:color="CFF0FC"/>
            </w:tcBorders>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5960" w:type="dxa"/>
            <w:vAlign w:val="bottom"/>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303,993</w:t>
            </w: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311,814</w:t>
            </w:r>
          </w:p>
        </w:tc>
        <w:tc>
          <w:tcPr>
            <w:tcW w:w="80" w:type="dxa"/>
            <w:vAlign w:val="bottom"/>
            <w:shd w:val="clear" w:color="auto" w:fill="CFF0FC"/>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2"/>
        </w:trPr>
        <w:tc>
          <w:tcPr>
            <w:tcW w:w="1320" w:type="dxa"/>
            <w:vAlign w:val="bottom"/>
            <w:tcBorders>
              <w:bottom w:val="single" w:sz="8" w:color="9A9A9A"/>
            </w:tcBorders>
          </w:tcPr>
          <w:p>
            <w:pPr>
              <w:spacing w:after="0"/>
              <w:rPr>
                <w:sz w:val="24"/>
                <w:szCs w:val="24"/>
                <w:color w:val="auto"/>
              </w:rPr>
            </w:pPr>
          </w:p>
        </w:tc>
        <w:tc>
          <w:tcPr>
            <w:tcW w:w="596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-4276725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-4276725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-3693795</wp:posOffset>
            </wp:positionV>
            <wp:extent cx="51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-3676650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-3693795</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-3676650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-2905125</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-2905125</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-1851025</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-1851025</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-1645285</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-1628140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-1645285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-1628140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5137150</wp:posOffset>
            </wp:positionH>
            <wp:positionV relativeFrom="page">
              <wp:posOffset>637540</wp:posOffset>
            </wp:positionV>
            <wp:extent cx="1311275" cy="403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0322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Non-GAAP Financial Measures</w:t>
      </w:r>
    </w:p>
    <w:p>
      <w:pPr>
        <w:spacing w:after="0" w:line="96" w:lineRule="exact"/>
        <w:rPr>
          <w:sz w:val="20"/>
          <w:szCs w:val="20"/>
          <w:color w:val="auto"/>
        </w:rPr>
      </w:pPr>
    </w:p>
    <w:p>
      <w:pPr>
        <w:ind w:left="300" w:right="339"/>
        <w:spacing w:after="0" w:line="232" w:lineRule="auto"/>
        <w:rPr>
          <w:sz w:val="20"/>
          <w:szCs w:val="20"/>
          <w:color w:val="auto"/>
        </w:rPr>
      </w:pPr>
      <w:r>
        <w:rPr>
          <w:rFonts w:ascii="Arial" w:cs="Arial" w:eastAsia="Arial" w:hAnsi="Arial"/>
          <w:sz w:val="20"/>
          <w:szCs w:val="20"/>
          <w:color w:val="auto"/>
        </w:rPr>
        <w:t>To supplement our unaudited condensed consolidated financial statements presented under generally accepted accounting principles in the United States (</w:t>
      </w:r>
      <w:r>
        <w:rPr>
          <w:rFonts w:ascii="Times New Roman" w:cs="Times New Roman" w:eastAsia="Times New Roman" w:hAnsi="Times New Roman"/>
          <w:sz w:val="17"/>
          <w:szCs w:val="17"/>
          <w:color w:val="auto"/>
        </w:rPr>
        <w:t>“</w:t>
      </w:r>
      <w:r>
        <w:rPr>
          <w:rFonts w:ascii="Arial" w:cs="Arial" w:eastAsia="Arial" w:hAnsi="Arial"/>
          <w:sz w:val="20"/>
          <w:szCs w:val="20"/>
          <w:color w:val="auto"/>
        </w:rPr>
        <w:t>GAAP</w:t>
      </w:r>
      <w:r>
        <w:rPr>
          <w:rFonts w:ascii="Times New Roman" w:cs="Times New Roman" w:eastAsia="Times New Roman" w:hAnsi="Times New Roman"/>
          <w:sz w:val="17"/>
          <w:szCs w:val="17"/>
          <w:color w:val="auto"/>
        </w:rPr>
        <w:t>”</w:t>
      </w:r>
      <w:r>
        <w:rPr>
          <w:rFonts w:ascii="Arial" w:cs="Arial" w:eastAsia="Arial" w:hAnsi="Arial"/>
          <w:sz w:val="20"/>
          <w:szCs w:val="20"/>
          <w:color w:val="auto"/>
        </w:rPr>
        <w:t>), we believe certain non-GAAP measures, including adjusted net earnings (loss), and adjusted net earnings (loss) per share, basic and diluted, provide useful information to investors and are useful in evaluating our operating performance. For example, we exclude stock-based compensation expense because this expense is non-cash in nature and we believe excluding this item provides meaningful supplemental information regarding our operational performance and allows investors the ability to make more meaningful comparisons between our operating results and those of other companies.</w:t>
      </w:r>
    </w:p>
    <w:p>
      <w:pPr>
        <w:spacing w:after="0" w:line="173" w:lineRule="exact"/>
        <w:rPr>
          <w:sz w:val="20"/>
          <w:szCs w:val="20"/>
          <w:color w:val="auto"/>
        </w:rPr>
      </w:pPr>
    </w:p>
    <w:p>
      <w:pPr>
        <w:ind w:left="300" w:right="359"/>
        <w:spacing w:after="0" w:line="229" w:lineRule="auto"/>
        <w:rPr>
          <w:sz w:val="20"/>
          <w:szCs w:val="20"/>
          <w:color w:val="auto"/>
        </w:rPr>
      </w:pPr>
      <w:r>
        <w:rPr>
          <w:rFonts w:ascii="Arial" w:cs="Arial" w:eastAsia="Arial" w:hAnsi="Arial"/>
          <w:sz w:val="20"/>
          <w:szCs w:val="20"/>
          <w:color w:val="auto"/>
        </w:rPr>
        <w:t>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Adjusted Net Earnings (Loss) and Adjusted Net Earnings (Loss) Per Share</w:t>
      </w:r>
    </w:p>
    <w:p>
      <w:pPr>
        <w:spacing w:after="0" w:line="96" w:lineRule="exact"/>
        <w:rPr>
          <w:sz w:val="20"/>
          <w:szCs w:val="20"/>
          <w:color w:val="auto"/>
        </w:rPr>
      </w:pPr>
    </w:p>
    <w:p>
      <w:pPr>
        <w:ind w:left="300" w:right="359"/>
        <w:spacing w:after="0" w:line="232" w:lineRule="auto"/>
        <w:rPr>
          <w:sz w:val="20"/>
          <w:szCs w:val="20"/>
          <w:color w:val="auto"/>
        </w:rPr>
      </w:pPr>
      <w:r>
        <w:rPr>
          <w:rFonts w:ascii="Arial" w:cs="Arial" w:eastAsia="Arial" w:hAnsi="Arial"/>
          <w:sz w:val="20"/>
          <w:szCs w:val="20"/>
          <w:color w:val="auto"/>
        </w:rPr>
        <w:t>Adjusted net earnings (loss) is a non-GAAP financial measure that we define as net earnings (loss) adjusted for stock-based compensation. We believe adjusted net earnings (loss) provides investors with useful information on period-to-period performance as evaluated by management and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1138555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5137150</wp:posOffset>
            </wp:positionH>
            <wp:positionV relativeFrom="page">
              <wp:posOffset>637540</wp:posOffset>
            </wp:positionV>
            <wp:extent cx="1311275" cy="403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0322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320" w:right="1700"/>
        <w:spacing w:after="0" w:line="257" w:lineRule="auto"/>
        <w:rPr>
          <w:sz w:val="20"/>
          <w:szCs w:val="20"/>
          <w:color w:val="auto"/>
        </w:rPr>
      </w:pPr>
      <w:r>
        <w:rPr>
          <w:rFonts w:ascii="Arial" w:cs="Arial" w:eastAsia="Arial" w:hAnsi="Arial"/>
          <w:sz w:val="20"/>
          <w:szCs w:val="20"/>
          <w:color w:val="auto"/>
        </w:rPr>
        <w:t>Reconciliations of net earnings (loss) to adjusted net earnings (loss) and the presentation of adjusted net earnings (loss) per share, basic and diluted,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available to stockholders, basic and diluted</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(15,884)</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(8,190)</w:t>
            </w:r>
          </w:p>
        </w:tc>
        <w:tc>
          <w:tcPr>
            <w:tcW w:w="120" w:type="dxa"/>
            <w:vAlign w:val="bottom"/>
            <w:shd w:val="clear" w:color="auto" w:fill="CFF0FC"/>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60" w:type="dxa"/>
            <w:vAlign w:val="bottom"/>
          </w:tcPr>
          <w:p>
            <w:pPr>
              <w:spacing w:after="0"/>
              <w:rPr>
                <w:sz w:val="15"/>
                <w:szCs w:val="15"/>
                <w:color w:val="auto"/>
              </w:rPr>
            </w:pPr>
          </w:p>
        </w:tc>
        <w:tc>
          <w:tcPr>
            <w:tcW w:w="42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Adjusted net loss available to common stockholders, basic</w:t>
            </w:r>
          </w:p>
        </w:tc>
        <w:tc>
          <w:tcPr>
            <w:tcW w:w="5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(7,939)</w:t>
            </w: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6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and diluted:</w:t>
            </w:r>
          </w:p>
        </w:tc>
        <w:tc>
          <w:tcPr>
            <w:tcW w:w="500" w:type="dxa"/>
            <w:vAlign w:val="bottom"/>
            <w:gridSpan w:val="2"/>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6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41,306,110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40,509,646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 per share, basic and diluted</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7"/>
        </w:trPr>
        <w:tc>
          <w:tcPr>
            <w:tcW w:w="13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-1880870</wp:posOffset>
            </wp:positionV>
            <wp:extent cx="76835" cy="299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-1880870</wp:posOffset>
            </wp:positionV>
            <wp:extent cx="76835" cy="299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299720"/>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2026-05-06T15:16:29Z</dcterms:created>
  <dcterms:modified xsi:type="dcterms:W3CDTF">2026-05-06T15:16:29Z</dcterms:modified>
</cp:coreProperties>
</file>