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27" w:lineRule="exact"/>
        <w:rPr>
          <w:sz w:val="24"/>
          <w:szCs w:val="24"/>
          <w:color w:val="auto"/>
        </w:rPr>
      </w:pPr>
    </w:p>
    <w:p>
      <w:pPr>
        <w:ind w:left="42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04"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001-40690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RxSIGHT,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5" w:lineRule="exact"/>
        <w:rPr>
          <w:sz w:val="24"/>
          <w:szCs w:val="24"/>
          <w:color w:val="auto"/>
        </w:rPr>
      </w:pPr>
    </w:p>
    <w:tbl>
      <w:tblPr>
        <w:tblLayout w:type="fixed"/>
        <w:tblInd w:w="1620" w:type="dxa"/>
        <w:tblCellMar>
          <w:top w:w="0" w:type="dxa"/>
          <w:left w:w="0" w:type="dxa"/>
          <w:bottom w:w="0" w:type="dxa"/>
          <w:right w:w="0" w:type="dxa"/>
        </w:tblCellMar>
      </w:tblPr>
      <w:tr>
        <w:trPr>
          <w:trHeight w:val="186"/>
        </w:trPr>
        <w:tc>
          <w:tcPr>
            <w:tcW w:w="4320" w:type="dxa"/>
            <w:vAlign w:val="bottom"/>
          </w:tcPr>
          <w:p>
            <w:pPr>
              <w:jc w:val="center"/>
              <w:ind w:right="1868"/>
              <w:spacing w:after="0"/>
              <w:rPr>
                <w:sz w:val="20"/>
                <w:szCs w:val="20"/>
                <w:color w:val="auto"/>
              </w:rPr>
            </w:pPr>
            <w:r>
              <w:rPr>
                <w:rFonts w:ascii="Arial" w:cs="Arial" w:eastAsia="Arial" w:hAnsi="Arial"/>
                <w:sz w:val="14"/>
                <w:szCs w:val="14"/>
                <w:b w:val="1"/>
                <w:bCs w:val="1"/>
                <w:color w:val="auto"/>
                <w:w w:val="94"/>
              </w:rPr>
              <w:t>Delaware</w:t>
            </w:r>
          </w:p>
        </w:tc>
        <w:tc>
          <w:tcPr>
            <w:tcW w:w="3060" w:type="dxa"/>
            <w:vAlign w:val="bottom"/>
          </w:tcPr>
          <w:p>
            <w:pPr>
              <w:jc w:val="right"/>
              <w:ind w:right="148"/>
              <w:spacing w:after="0"/>
              <w:rPr>
                <w:sz w:val="20"/>
                <w:szCs w:val="20"/>
                <w:color w:val="auto"/>
              </w:rPr>
            </w:pPr>
            <w:r>
              <w:rPr>
                <w:rFonts w:ascii="Arial" w:cs="Arial" w:eastAsia="Arial" w:hAnsi="Arial"/>
                <w:sz w:val="14"/>
                <w:szCs w:val="14"/>
                <w:b w:val="1"/>
                <w:bCs w:val="1"/>
                <w:color w:val="auto"/>
              </w:rPr>
              <w:t>94-3268801</w:t>
            </w:r>
          </w:p>
        </w:tc>
      </w:tr>
      <w:tr>
        <w:trPr>
          <w:trHeight w:val="192"/>
        </w:trPr>
        <w:tc>
          <w:tcPr>
            <w:tcW w:w="4320" w:type="dxa"/>
            <w:vAlign w:val="bottom"/>
          </w:tcPr>
          <w:p>
            <w:pPr>
              <w:jc w:val="center"/>
              <w:ind w:right="1848"/>
              <w:spacing w:after="0"/>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8"/>
              <w:spacing w:after="0"/>
              <w:rPr>
                <w:sz w:val="20"/>
                <w:szCs w:val="20"/>
                <w:color w:val="auto"/>
              </w:rPr>
            </w:pPr>
            <w:r>
              <w:rPr>
                <w:rFonts w:ascii="Arial" w:cs="Arial" w:eastAsia="Arial" w:hAnsi="Arial"/>
                <w:sz w:val="14"/>
                <w:szCs w:val="14"/>
                <w:b w:val="1"/>
                <w:bCs w:val="1"/>
                <w:color w:val="auto"/>
                <w:w w:val="96"/>
              </w:rPr>
              <w:t>(I.R.S. Employer</w:t>
            </w:r>
          </w:p>
        </w:tc>
      </w:tr>
      <w:tr>
        <w:trPr>
          <w:trHeight w:val="200"/>
        </w:trPr>
        <w:tc>
          <w:tcPr>
            <w:tcW w:w="4320" w:type="dxa"/>
            <w:vAlign w:val="bottom"/>
          </w:tcPr>
          <w:p>
            <w:pPr>
              <w:jc w:val="center"/>
              <w:ind w:right="1848"/>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48"/>
              <w:spacing w:after="0"/>
              <w:rPr>
                <w:sz w:val="20"/>
                <w:szCs w:val="20"/>
                <w:color w:val="auto"/>
              </w:rPr>
            </w:pPr>
            <w:r>
              <w:rPr>
                <w:rFonts w:ascii="Arial" w:cs="Arial" w:eastAsia="Arial" w:hAnsi="Arial"/>
                <w:sz w:val="14"/>
                <w:szCs w:val="14"/>
                <w:b w:val="1"/>
                <w:bCs w:val="1"/>
                <w:color w:val="auto"/>
                <w:w w:val="96"/>
              </w:rPr>
              <w:t>Identification No.)</w:t>
            </w:r>
          </w:p>
        </w:tc>
      </w:tr>
      <w:tr>
        <w:trPr>
          <w:trHeight w:val="311"/>
        </w:trPr>
        <w:tc>
          <w:tcPr>
            <w:tcW w:w="4320" w:type="dxa"/>
            <w:vAlign w:val="bottom"/>
          </w:tcPr>
          <w:p>
            <w:pPr>
              <w:jc w:val="center"/>
              <w:ind w:right="1868"/>
              <w:spacing w:after="0"/>
              <w:rPr>
                <w:sz w:val="20"/>
                <w:szCs w:val="20"/>
                <w:color w:val="auto"/>
              </w:rPr>
            </w:pPr>
            <w:r>
              <w:rPr>
                <w:rFonts w:ascii="Arial" w:cs="Arial" w:eastAsia="Arial" w:hAnsi="Arial"/>
                <w:sz w:val="14"/>
                <w:szCs w:val="14"/>
                <w:b w:val="1"/>
                <w:bCs w:val="1"/>
                <w:color w:val="auto"/>
                <w:w w:val="94"/>
              </w:rPr>
              <w:t>100 Columbia</w:t>
            </w:r>
          </w:p>
        </w:tc>
        <w:tc>
          <w:tcPr>
            <w:tcW w:w="3060" w:type="dxa"/>
            <w:vAlign w:val="bottom"/>
          </w:tcPr>
          <w:p>
            <w:pPr>
              <w:spacing w:after="0"/>
              <w:rPr>
                <w:sz w:val="24"/>
                <w:szCs w:val="24"/>
                <w:color w:val="auto"/>
              </w:rPr>
            </w:pPr>
          </w:p>
        </w:tc>
      </w:tr>
      <w:tr>
        <w:trPr>
          <w:trHeight w:val="189"/>
        </w:trPr>
        <w:tc>
          <w:tcPr>
            <w:tcW w:w="4320" w:type="dxa"/>
            <w:vAlign w:val="bottom"/>
          </w:tcPr>
          <w:p>
            <w:pPr>
              <w:jc w:val="center"/>
              <w:ind w:right="1888"/>
              <w:spacing w:after="0"/>
              <w:rPr>
                <w:sz w:val="20"/>
                <w:szCs w:val="20"/>
                <w:color w:val="auto"/>
              </w:rPr>
            </w:pPr>
            <w:r>
              <w:rPr>
                <w:rFonts w:ascii="Arial" w:cs="Arial" w:eastAsia="Arial" w:hAnsi="Arial"/>
                <w:sz w:val="14"/>
                <w:szCs w:val="14"/>
                <w:b w:val="1"/>
                <w:bCs w:val="1"/>
                <w:color w:val="auto"/>
                <w:w w:val="96"/>
              </w:rPr>
              <w:t>Aliso Viejo, CA</w:t>
            </w:r>
          </w:p>
        </w:tc>
        <w:tc>
          <w:tcPr>
            <w:tcW w:w="3060" w:type="dxa"/>
            <w:vAlign w:val="bottom"/>
          </w:tcPr>
          <w:p>
            <w:pPr>
              <w:jc w:val="right"/>
              <w:ind w:right="308"/>
              <w:spacing w:after="0"/>
              <w:rPr>
                <w:sz w:val="20"/>
                <w:szCs w:val="20"/>
                <w:color w:val="auto"/>
              </w:rPr>
            </w:pPr>
            <w:r>
              <w:rPr>
                <w:rFonts w:ascii="Arial" w:cs="Arial" w:eastAsia="Arial" w:hAnsi="Arial"/>
                <w:sz w:val="14"/>
                <w:szCs w:val="14"/>
                <w:b w:val="1"/>
                <w:bCs w:val="1"/>
                <w:color w:val="auto"/>
              </w:rPr>
              <w:t>92656</w:t>
            </w:r>
          </w:p>
        </w:tc>
      </w:tr>
      <w:tr>
        <w:trPr>
          <w:trHeight w:val="203"/>
        </w:trPr>
        <w:tc>
          <w:tcPr>
            <w:tcW w:w="4320" w:type="dxa"/>
            <w:vAlign w:val="bottom"/>
          </w:tcPr>
          <w:p>
            <w:pPr>
              <w:jc w:val="center"/>
              <w:ind w:right="18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48"/>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521-7830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192"/>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0"/>
        </w:trPr>
        <w:tc>
          <w:tcPr>
            <w:tcW w:w="4500" w:type="dxa"/>
            <w:vAlign w:val="bottom"/>
          </w:tcPr>
          <w:p>
            <w:pPr>
              <w:jc w:val="center"/>
              <w:spacing w:after="0"/>
              <w:rPr>
                <w:sz w:val="20"/>
                <w:szCs w:val="20"/>
                <w:color w:val="auto"/>
              </w:rPr>
            </w:pPr>
            <w:r>
              <w:rPr>
                <w:rFonts w:ascii="Arial" w:cs="Arial" w:eastAsia="Arial" w:hAnsi="Arial"/>
                <w:sz w:val="14"/>
                <w:szCs w:val="14"/>
                <w:color w:val="auto"/>
                <w:w w:val="91"/>
              </w:rPr>
              <w:t>Common Stock, par value $0.001 per share</w:t>
            </w:r>
          </w:p>
        </w:tc>
        <w:tc>
          <w:tcPr>
            <w:tcW w:w="1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6"/>
              </w:rPr>
              <w:t>RXST</w:t>
            </w:r>
          </w:p>
        </w:tc>
        <w:tc>
          <w:tcPr>
            <w:tcW w:w="12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110" w:lineRule="exact"/>
        <w:rPr>
          <w:sz w:val="24"/>
          <w:szCs w:val="24"/>
          <w:color w:val="auto"/>
        </w:rPr>
      </w:pPr>
    </w:p>
    <w:p>
      <w:pPr>
        <w:ind w:firstLine="50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180" w:firstLine="509"/>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240" w:firstLine="50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9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500"/>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27" w:lineRule="exact"/>
        <w:rPr>
          <w:sz w:val="24"/>
          <w:szCs w:val="24"/>
          <w:color w:val="auto"/>
        </w:rPr>
      </w:pPr>
    </w:p>
    <w:p>
      <w:pPr>
        <w:jc w:val="both"/>
        <w:ind w:right="80" w:firstLine="50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10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29, 2021, the registrant had 27,353,915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Page</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1"/>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19"/>
                <w:szCs w:val="19"/>
                <w:color w:val="auto"/>
              </w:rPr>
            </w:pPr>
          </w:p>
        </w:tc>
      </w:tr>
      <w:tr>
        <w:trPr>
          <w:trHeight w:val="203"/>
        </w:trPr>
        <w:tc>
          <w:tcPr>
            <w:tcW w:w="11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Financial Statements (Unaudited)</w:t>
              </w:r>
            </w:hyperlink>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1"/>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4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Operations and Comprehensive Income (Loss)</w:t>
              </w:r>
            </w:hyperlink>
          </w:p>
        </w:tc>
        <w:tc>
          <w:tcPr>
            <w:tcW w:w="306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50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Condensed Consolidated Statements of Redeemable Common Stock, Stock Options, Convertible Preferred Stock and</w:t>
              </w:r>
            </w:hyperlink>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tcBorders>
              <w:bottom w:val="single" w:sz="8" w:color="0000FF"/>
            </w:tcBorders>
            <w:gridSpan w:val="8"/>
          </w:tcPr>
          <w:p>
            <w:pPr>
              <w:spacing w:after="0"/>
              <w:rPr>
                <w:rFonts w:ascii="Arial" w:cs="Arial" w:eastAsia="Arial" w:hAnsi="Arial"/>
                <w:sz w:val="18"/>
                <w:szCs w:val="18"/>
                <w:color w:val="0000FF"/>
                <w:w w:val="94"/>
              </w:rPr>
            </w:pPr>
            <w:hyperlink w:anchor="page8">
              <w:r>
                <w:rPr>
                  <w:rFonts w:ascii="Arial" w:cs="Arial" w:eastAsia="Arial" w:hAnsi="Arial"/>
                  <w:sz w:val="18"/>
                  <w:szCs w:val="18"/>
                  <w:color w:val="0000FF"/>
                  <w:w w:val="94"/>
                </w:rPr>
                <w:t>Stockholders’ Equity (Deficit)</w:t>
              </w:r>
            </w:hyperlink>
          </w:p>
        </w:tc>
        <w:tc>
          <w:tcPr>
            <w:tcW w:w="20" w:type="dxa"/>
            <w:vAlign w:val="bottom"/>
            <w:tcBorders>
              <w:bottom w:val="single" w:sz="8" w:color="0000EE"/>
            </w:tcBorders>
          </w:tcPr>
          <w:p>
            <w:pPr>
              <w:spacing w:after="0"/>
              <w:rPr>
                <w:sz w:val="18"/>
                <w:szCs w:val="18"/>
                <w:color w:val="auto"/>
              </w:rPr>
            </w:pPr>
          </w:p>
        </w:tc>
        <w:tc>
          <w:tcPr>
            <w:tcW w:w="708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1"/>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Notes to Unaudited Condensed Consolidated Financial Statements</w:t>
              </w:r>
            </w:hyperlink>
          </w:p>
        </w:tc>
        <w:tc>
          <w:tcPr>
            <w:tcW w:w="20" w:type="dxa"/>
            <w:vAlign w:val="bottom"/>
            <w:tcBorders>
              <w:bottom w:val="single" w:sz="8" w:color="0000EE"/>
            </w:tcBorders>
          </w:tcPr>
          <w:p>
            <w:pPr>
              <w:spacing w:after="0"/>
              <w:rPr>
                <w:sz w:val="19"/>
                <w:szCs w:val="19"/>
                <w:color w:val="auto"/>
              </w:rPr>
            </w:pPr>
          </w:p>
        </w:tc>
        <w:tc>
          <w:tcPr>
            <w:tcW w:w="448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4"/>
          </w:tcPr>
          <w:p>
            <w:pPr>
              <w:spacing w:after="0"/>
              <w:rPr>
                <w:sz w:val="19"/>
                <w:szCs w:val="19"/>
                <w:color w:val="auto"/>
              </w:rPr>
            </w:pPr>
          </w:p>
        </w:tc>
        <w:tc>
          <w:tcPr>
            <w:tcW w:w="284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Controls and Procedures</w:t>
              </w:r>
            </w:hyperlink>
          </w:p>
        </w:tc>
        <w:tc>
          <w:tcPr>
            <w:tcW w:w="20" w:type="dxa"/>
            <w:vAlign w:val="bottom"/>
            <w:tcBorders>
              <w:bottom w:val="single" w:sz="8" w:color="0000EE"/>
            </w:tcBorders>
          </w:tcPr>
          <w:p>
            <w:pPr>
              <w:spacing w:after="0"/>
              <w:rPr>
                <w:sz w:val="19"/>
                <w:szCs w:val="19"/>
                <w:color w:val="auto"/>
              </w:rPr>
            </w:pPr>
          </w:p>
        </w:tc>
        <w:tc>
          <w:tcPr>
            <w:tcW w:w="750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63"/>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21"/>
          </w:tcPr>
          <w:p>
            <w:pPr>
              <w:spacing w:after="0"/>
              <w:rPr>
                <w:sz w:val="20"/>
                <w:szCs w:val="20"/>
                <w:color w:val="auto"/>
              </w:rPr>
            </w:pPr>
            <w:r>
              <w:rPr>
                <w:rFonts w:ascii="Arial" w:cs="Arial" w:eastAsia="Arial" w:hAnsi="Arial"/>
                <w:sz w:val="18"/>
                <w:szCs w:val="18"/>
                <w:color w:val="auto"/>
              </w:rPr>
              <w:t>OTHER INFORMATION</w:t>
            </w:r>
          </w:p>
        </w:tc>
        <w:tc>
          <w:tcPr>
            <w:tcW w:w="780" w:type="dxa"/>
            <w:vAlign w:val="bottom"/>
          </w:tcPr>
          <w:p>
            <w:pPr>
              <w:spacing w:after="0"/>
              <w:rPr>
                <w:sz w:val="22"/>
                <w:szCs w:val="22"/>
                <w:color w:val="auto"/>
              </w:rPr>
            </w:pPr>
          </w:p>
        </w:tc>
      </w:tr>
      <w:tr>
        <w:trPr>
          <w:trHeight w:val="203"/>
        </w:trPr>
        <w:tc>
          <w:tcPr>
            <w:tcW w:w="11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2"/>
          </w:tcPr>
          <w:p>
            <w:pPr>
              <w:spacing w:after="0"/>
              <w:rPr>
                <w:sz w:val="19"/>
                <w:szCs w:val="19"/>
                <w:color w:val="auto"/>
              </w:rPr>
            </w:pPr>
          </w:p>
        </w:tc>
        <w:tc>
          <w:tcPr>
            <w:tcW w:w="7960" w:type="dxa"/>
            <w:vAlign w:val="bottom"/>
            <w:gridSpan w:val="1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104">
              <w:r>
                <w:rPr>
                  <w:rFonts w:ascii="Arial" w:cs="Arial" w:eastAsia="Arial" w:hAnsi="Arial"/>
                  <w:sz w:val="18"/>
                  <w:szCs w:val="18"/>
                  <w:color w:val="0000FF"/>
                  <w:w w:val="89"/>
                </w:rPr>
                <w:t>Unregistered Sales of Equity Securities and Use of Proceeds</w:t>
              </w:r>
            </w:hyperlink>
          </w:p>
        </w:tc>
        <w:tc>
          <w:tcPr>
            <w:tcW w:w="4940" w:type="dxa"/>
            <w:vAlign w:val="bottom"/>
            <w:gridSpan w:val="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105">
              <w:r>
                <w:rPr>
                  <w:rFonts w:ascii="Arial" w:cs="Arial" w:eastAsia="Arial" w:hAnsi="Arial"/>
                  <w:sz w:val="18"/>
                  <w:szCs w:val="18"/>
                  <w:color w:val="0000FF"/>
                  <w:w w:val="90"/>
                </w:rPr>
                <w:t>Defaults Upon Senior Securities</w:t>
              </w:r>
            </w:hyperlink>
          </w:p>
        </w:tc>
        <w:tc>
          <w:tcPr>
            <w:tcW w:w="6960" w:type="dxa"/>
            <w:vAlign w:val="bottom"/>
            <w:gridSpan w:val="11"/>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105">
              <w:r>
                <w:rPr>
                  <w:rFonts w:ascii="Arial" w:cs="Arial" w:eastAsia="Arial" w:hAnsi="Arial"/>
                  <w:sz w:val="18"/>
                  <w:szCs w:val="18"/>
                  <w:color w:val="0000FF"/>
                  <w:w w:val="91"/>
                </w:rPr>
                <w:t>Mine Safety Disclosures</w:t>
              </w:r>
            </w:hyperlink>
          </w:p>
        </w:tc>
        <w:tc>
          <w:tcPr>
            <w:tcW w:w="7520" w:type="dxa"/>
            <w:vAlign w:val="bottom"/>
            <w:gridSpan w:val="1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Exhibits</w:t>
              </w:r>
            </w:hyperlink>
          </w:p>
        </w:tc>
        <w:tc>
          <w:tcPr>
            <w:tcW w:w="7980" w:type="dxa"/>
            <w:vAlign w:val="bottom"/>
            <w:gridSpan w:val="1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1160" w:type="dxa"/>
            <w:vAlign w:val="bottom"/>
            <w:gridSpan w:val="3"/>
          </w:tcPr>
          <w:p>
            <w:pPr>
              <w:ind w:left="20"/>
              <w:spacing w:after="0"/>
              <w:rPr>
                <w:rFonts w:ascii="Arial" w:cs="Arial" w:eastAsia="Arial" w:hAnsi="Arial"/>
                <w:sz w:val="18"/>
                <w:szCs w:val="18"/>
                <w:color w:val="0000FF"/>
              </w:rPr>
            </w:pPr>
            <w:hyperlink w:anchor="page109">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770"/>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ind w:firstLine="374"/>
        <w:spacing w:after="0" w:line="272" w:lineRule="auto"/>
        <w:rPr>
          <w:sz w:val="20"/>
          <w:szCs w:val="20"/>
          <w:color w:val="auto"/>
        </w:rPr>
      </w:pPr>
      <w:r>
        <w:rPr>
          <w:rFonts w:ascii="Arial" w:cs="Arial" w:eastAsia="Arial" w:hAnsi="Arial"/>
          <w:sz w:val="18"/>
          <w:szCs w:val="18"/>
          <w:color w:val="auto"/>
        </w:rPr>
        <w:t>The following discussion and analysis should be read together with our consolidated financial statements and the condensed notes to those statements included elsewhere in this Quarterly Report on Form 10-Q. 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quarterly Report on Form 10-Q, “we,” “us” and “our” refer to RxSight, Inc.</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forward-looking statements are contained principally in the section entitled “Risk Factors” and “Management’s Discussion and Analysis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Financial Condition and Results of Operations.” Forward-looking statements include, but are not limited to, statements concerning the following:</w:t>
      </w:r>
    </w:p>
    <w:p>
      <w:pPr>
        <w:spacing w:after="0" w:line="14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plans to conduct further clinical trials and any expectations related to such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our plans and expected timeline related to our products, or developing new products, to address additional indications or otherwise;</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expected use of our products by doctors;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obtain, maintain and expand regulatory clearances for our products and any new products we create;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expected growth of our business and our organization;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intentions regarding investment in our business as we pursue growth;</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expected uses of our existing resources;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expectations regarding government and third-party payer coverage and reimbursement;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retain and recruit key personnel, including the continued development of a sales and marketing infrastructure;</w:t>
      </w:r>
    </w:p>
    <w:p>
      <w:pPr>
        <w:spacing w:after="0" w:line="131" w:lineRule="exact"/>
        <w:rPr>
          <w:sz w:val="20"/>
          <w:szCs w:val="20"/>
          <w:color w:val="auto"/>
        </w:rPr>
      </w:pPr>
    </w:p>
    <w:p>
      <w:pPr>
        <w:ind w:left="960" w:right="300"/>
        <w:spacing w:after="0" w:line="293" w:lineRule="auto"/>
        <w:rPr>
          <w:sz w:val="20"/>
          <w:szCs w:val="20"/>
          <w:color w:val="auto"/>
        </w:rPr>
      </w:pPr>
      <w:r>
        <w:rPr>
          <w:rFonts w:ascii="Arial" w:cs="Arial" w:eastAsia="Arial" w:hAnsi="Arial"/>
          <w:sz w:val="18"/>
          <w:szCs w:val="18"/>
          <w:color w:val="auto"/>
        </w:rPr>
        <w:t>our ability to obtain an adequate supply of materials and components for our products from our third-party suppliers, including single- and sole-source suppliers;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manufacture sufficient quantities of our products with sufficient quality;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our ability to obtain, maintain and enforce intellectual property protection for our products and protect our intellectual property rights;</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expand our business into new geographic markets;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comply with applicable SEC rules and Nasdaq continued listing requirements;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comply with existing and future government laws, rules and regulations both in the United States and internationally;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expectations regarding allocation of resources toward expenses associated with being a public company;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our estimates of our expenses, ongoing losses, future revenue, capital requirements and our need for, or ability to obtain, additional financing;</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sufficiency of our existing capital resources to fund our future operating expenses and capital expenditure requirements;</w:t>
      </w:r>
    </w:p>
    <w:p>
      <w:pPr>
        <w:spacing w:after="0" w:line="131" w:lineRule="exact"/>
        <w:rPr>
          <w:sz w:val="20"/>
          <w:szCs w:val="20"/>
          <w:color w:val="auto"/>
        </w:rPr>
      </w:pPr>
    </w:p>
    <w:p>
      <w:pPr>
        <w:ind w:left="960" w:right="520"/>
        <w:spacing w:after="0" w:line="293" w:lineRule="auto"/>
        <w:rPr>
          <w:sz w:val="20"/>
          <w:szCs w:val="20"/>
          <w:color w:val="auto"/>
        </w:rPr>
      </w:pPr>
      <w:r>
        <w:rPr>
          <w:rFonts w:ascii="Arial" w:cs="Arial" w:eastAsia="Arial" w:hAnsi="Arial"/>
          <w:sz w:val="18"/>
          <w:szCs w:val="18"/>
          <w:color w:val="auto"/>
        </w:rPr>
        <w:t>our expectations regarding the time during which we will be an emerging growth company under the JOBS Act and a smaller reporting company under the Exchange Act;</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volatility of the trading price of our common stock;</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identify and develop new and planned products and/or acquire new products;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 w:name="page4"/>
    <w:bookmarkEnd w:id="3"/>
    <w:p>
      <w:pPr>
        <w:ind w:left="960" w:right="100"/>
        <w:spacing w:after="0" w:line="293" w:lineRule="auto"/>
        <w:rPr>
          <w:sz w:val="20"/>
          <w:szCs w:val="20"/>
          <w:color w:val="auto"/>
        </w:rPr>
      </w:pPr>
      <w:r>
        <w:rPr>
          <w:rFonts w:ascii="Arial" w:cs="Arial" w:eastAsia="Arial" w:hAnsi="Arial"/>
          <w:sz w:val="18"/>
          <w:szCs w:val="18"/>
          <w:color w:val="auto"/>
        </w:rPr>
        <w:t>development and projections relating to our competitors or our industry, including anticipated growth rates for the conventional and premium IOL markets;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impact of local, regional, national and international economic conditions and events;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impact of the COVID-19 pandemic, including currently known and unknown coronavirus variants, as applied to our business.</w:t>
      </w:r>
    </w:p>
    <w:p>
      <w:pPr>
        <w:spacing w:after="0" w:line="171" w:lineRule="exact"/>
        <w:rPr>
          <w:sz w:val="20"/>
          <w:szCs w:val="20"/>
          <w:color w:val="auto"/>
        </w:rPr>
      </w:pPr>
    </w:p>
    <w:p>
      <w:pPr>
        <w:ind w:right="20" w:firstLine="374"/>
        <w:spacing w:after="0" w:line="279" w:lineRule="auto"/>
        <w:rPr>
          <w:sz w:val="20"/>
          <w:szCs w:val="20"/>
          <w:color w:val="auto"/>
        </w:rPr>
      </w:pPr>
      <w:r>
        <w:rPr>
          <w:rFonts w:ascii="Arial" w:cs="Arial" w:eastAsia="Arial" w:hAnsi="Arial"/>
          <w:sz w:val="18"/>
          <w:szCs w:val="18"/>
          <w:color w:val="auto"/>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spacing w:after="0" w:line="102" w:lineRule="exact"/>
        <w:rPr>
          <w:sz w:val="20"/>
          <w:szCs w:val="20"/>
          <w:color w:val="auto"/>
        </w:rPr>
      </w:pPr>
    </w:p>
    <w:p>
      <w:pPr>
        <w:ind w:firstLine="374"/>
        <w:spacing w:after="0" w:line="308" w:lineRule="auto"/>
        <w:rPr>
          <w:sz w:val="20"/>
          <w:szCs w:val="20"/>
          <w:color w:val="auto"/>
        </w:rPr>
      </w:pPr>
      <w:r>
        <w:rPr>
          <w:rFonts w:ascii="Arial" w:cs="Arial" w:eastAsia="Arial" w:hAnsi="Arial"/>
          <w:sz w:val="16"/>
          <w:szCs w:val="16"/>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96" w:lineRule="exact"/>
        <w:rPr>
          <w:sz w:val="20"/>
          <w:szCs w:val="20"/>
          <w:color w:val="auto"/>
        </w:rPr>
      </w:pPr>
    </w:p>
    <w:p>
      <w:pPr>
        <w:ind w:right="260" w:firstLine="374"/>
        <w:spacing w:after="0" w:line="303"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97" w:lineRule="exact"/>
        <w:rPr>
          <w:sz w:val="20"/>
          <w:szCs w:val="20"/>
          <w:color w:val="auto"/>
        </w:rPr>
      </w:pPr>
    </w:p>
    <w:p>
      <w:pPr>
        <w:ind w:right="120" w:firstLine="374"/>
        <w:spacing w:after="0" w:line="306" w:lineRule="auto"/>
        <w:rPr>
          <w:sz w:val="20"/>
          <w:szCs w:val="20"/>
          <w:color w:val="auto"/>
        </w:rPr>
      </w:pPr>
      <w:r>
        <w:rPr>
          <w:rFonts w:ascii="Arial" w:cs="Arial" w:eastAsia="Arial" w:hAnsi="Arial"/>
          <w:sz w:val="16"/>
          <w:szCs w:val="16"/>
          <w:color w:val="auto"/>
        </w:rPr>
        <w:t>Our discussion and analysis of our financial condition and results of operations is based upon our Unaudited Consolidated Financial Statements, which have been prepared in accordance with generally accepted accounting principles in the United States, or GAAP. The preparation of these financial statements requires us to make estimates and judgments that affect the reported amounts of assets, liabilities, revenues and expenses. On an ongoing basis, we evaluate our estimates including those related to revenue recognition; valuation of the Company’s warrants and other equity awards; estimated probability and timing of redemption of equity instruments, the realization of income tax assets and estimates of tax liabilities, and obsolete, excess and slow-moving inventory. We base our estimates on historical experience and on various other assumptions we believe to be reasonable under the circumstances, the results of which form the basis for making judgments about the carrying values of assets and liabilities not readily apparent from other sources. Actual results may differ materially from these estimates. Our critical accounting policies and estimates are discussed in in the Company’s final prospectus for its Initial Public Offering (the “IPO”), filed pursuant to Rule 424(b) under the Securities Exchange Act of 1933, as amended, with the SEC on July 29, 2021 (the “Prospectus”) and there have been no material changes during the nine months ended September 30, 2021.</w:t>
      </w:r>
    </w:p>
    <w:p>
      <w:pPr>
        <w:spacing w:after="0" w:line="84" w:lineRule="exact"/>
        <w:rPr>
          <w:sz w:val="20"/>
          <w:szCs w:val="20"/>
          <w:color w:val="auto"/>
        </w:rPr>
      </w:pPr>
    </w:p>
    <w:p>
      <w:pPr>
        <w:ind w:right="120" w:firstLine="374"/>
        <w:spacing w:after="0" w:line="271"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23" w:lineRule="exact"/>
        <w:rPr>
          <w:sz w:val="20"/>
          <w:szCs w:val="20"/>
          <w:color w:val="auto"/>
        </w:rPr>
      </w:pPr>
    </w:p>
    <w:p>
      <w:pPr>
        <w:ind w:right="400" w:firstLine="374"/>
        <w:spacing w:after="0" w:line="275" w:lineRule="auto"/>
        <w:rPr>
          <w:sz w:val="20"/>
          <w:szCs w:val="20"/>
          <w:color w:val="auto"/>
        </w:rPr>
      </w:pPr>
      <w:r>
        <w:rPr>
          <w:rFonts w:ascii="Arial" w:cs="Arial" w:eastAsia="Arial" w:hAnsi="Arial"/>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 w:name="page5"/>
    <w:bookmarkEnd w:id="4"/>
    <w:p>
      <w:pPr>
        <w:spacing w:after="0" w:line="293" w:lineRule="auto"/>
        <w:rPr>
          <w:sz w:val="20"/>
          <w:szCs w:val="20"/>
          <w:color w:val="auto"/>
        </w:rPr>
      </w:pPr>
      <w:r>
        <w:rPr>
          <w:rFonts w:ascii="Arial" w:cs="Arial" w:eastAsia="Arial" w:hAnsi="Arial"/>
          <w:sz w:val="18"/>
          <w:szCs w:val="18"/>
          <w:color w:val="auto"/>
        </w:rPr>
        <w:t>names. We do not intend our use or display of other companies’ trade names, trademarks or service marks to imply a relationship with, or endorsement or sponsorship of it by, any other companies.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17" w:right="51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Item 1: Financial Statements (Unaudited)</w:t>
      </w: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RxSIGHT,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7"/>
        </w:trPr>
        <w:tc>
          <w:tcPr>
            <w:tcW w:w="7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08"/>
              <w:spacing w:after="0" w:line="217"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9"/>
                <w:szCs w:val="19"/>
                <w:b w:val="1"/>
                <w:bCs w:val="1"/>
                <w:color w:val="auto"/>
                <w:vertAlign w:val="superscript"/>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color w:val="auto"/>
                <w:w w:val="95"/>
              </w:rPr>
              <w:t>(Unaudited)</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6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68,278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640" w:type="dxa"/>
            <w:vAlign w:val="bottom"/>
          </w:tcPr>
          <w:p>
            <w:pPr>
              <w:ind w:left="200"/>
              <w:spacing w:after="0"/>
              <w:rPr>
                <w:sz w:val="20"/>
                <w:szCs w:val="20"/>
                <w:color w:val="auto"/>
              </w:rPr>
            </w:pPr>
            <w:r>
              <w:rPr>
                <w:rFonts w:ascii="Arial" w:cs="Arial" w:eastAsia="Arial" w:hAnsi="Arial"/>
                <w:sz w:val="14"/>
                <w:szCs w:val="14"/>
                <w:color w:val="auto"/>
              </w:rPr>
              <w:t>Short-term investments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99,985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54,981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4,357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64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9,442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8,288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Prepaid and other 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4,274</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186,336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81,500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11,991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Arial" w:cs="Arial" w:eastAsia="Arial" w:hAnsi="Arial"/>
                <w:sz w:val="14"/>
                <w:szCs w:val="14"/>
                <w:color w:val="auto"/>
              </w:rPr>
              <w:t>Operating leases right-of-use assets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4,561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5,319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Restricted cash</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203,736</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100,677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Liabilities, redeemable common stock, stock options, convertible preferred stock and</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640" w:type="dxa"/>
            <w:vAlign w:val="bottom"/>
          </w:tcPr>
          <w:p>
            <w:pPr>
              <w:ind w:left="120"/>
              <w:spacing w:after="0"/>
              <w:rPr>
                <w:sz w:val="20"/>
                <w:szCs w:val="20"/>
                <w:color w:val="auto"/>
              </w:rPr>
            </w:pPr>
            <w:r>
              <w:rPr>
                <w:rFonts w:ascii="Arial" w:cs="Arial" w:eastAsia="Arial" w:hAnsi="Arial"/>
                <w:sz w:val="14"/>
                <w:szCs w:val="14"/>
                <w:b w:val="1"/>
                <w:bCs w:val="1"/>
                <w:color w:val="auto"/>
              </w:rPr>
              <w:t>stockholders' equity (deficit)</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1,691</w:t>
            </w:r>
          </w:p>
        </w:tc>
        <w:tc>
          <w:tcPr>
            <w:tcW w:w="28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0"/>
              <w:spacing w:after="0"/>
              <w:rPr>
                <w:sz w:val="20"/>
                <w:szCs w:val="20"/>
                <w:color w:val="auto"/>
              </w:rPr>
            </w:pPr>
            <w:r>
              <w:rPr>
                <w:rFonts w:ascii="Arial" w:cs="Arial" w:eastAsia="Arial" w:hAnsi="Arial"/>
                <w:sz w:val="14"/>
                <w:szCs w:val="14"/>
                <w:color w:val="auto"/>
              </w:rPr>
              <w:t>Warrant liability</w:t>
            </w:r>
          </w:p>
        </w:tc>
        <w:tc>
          <w:tcPr>
            <w:tcW w:w="220" w:type="dxa"/>
            <w:vAlign w:val="bottom"/>
          </w:tcPr>
          <w:p>
            <w:pPr>
              <w:spacing w:after="0"/>
              <w:rPr>
                <w:sz w:val="17"/>
                <w:szCs w:val="17"/>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Lease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1,469</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1,274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38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9,176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Long-term warrant liability</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640" w:type="dxa"/>
            <w:vAlign w:val="bottom"/>
          </w:tcPr>
          <w:p>
            <w:pPr>
              <w:ind w:left="20"/>
              <w:spacing w:after="0"/>
              <w:rPr>
                <w:sz w:val="20"/>
                <w:szCs w:val="20"/>
                <w:color w:val="auto"/>
              </w:rPr>
            </w:pPr>
            <w:r>
              <w:rPr>
                <w:rFonts w:ascii="Arial" w:cs="Arial" w:eastAsia="Arial" w:hAnsi="Arial"/>
                <w:sz w:val="14"/>
                <w:szCs w:val="14"/>
                <w:color w:val="auto"/>
              </w:rPr>
              <w:t>Long-term lease liabilities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4,033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5,079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Term loan, net</w:t>
            </w: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39,636</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24,399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38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52,845</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Commitments and contingencies (</w:t>
            </w:r>
            <w:r>
              <w:rPr>
                <w:rFonts w:ascii="Arial" w:cs="Arial" w:eastAsia="Arial" w:hAnsi="Arial"/>
                <w:sz w:val="14"/>
                <w:szCs w:val="14"/>
                <w:i w:val="1"/>
                <w:iCs w:val="1"/>
                <w:color w:val="auto"/>
              </w:rPr>
              <w:t>Note 12)</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Arial" w:cs="Arial" w:eastAsia="Arial" w:hAnsi="Arial"/>
                <w:sz w:val="14"/>
                <w:szCs w:val="14"/>
                <w:color w:val="auto"/>
              </w:rPr>
              <w:t>Redeemable common stock:</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Common stock, $0.001 par value, no shares authorized, issued or outstanding as of September 30, 2021 and</w:t>
            </w: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24,545,966 shares authorized, 3,813,450 shares issued and outstanding as of December 31, 2020</w:t>
            </w:r>
          </w:p>
        </w:tc>
        <w:tc>
          <w:tcPr>
            <w:tcW w:w="22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80,780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640" w:type="dxa"/>
            <w:vAlign w:val="bottom"/>
          </w:tcPr>
          <w:p>
            <w:pPr>
              <w:ind w:left="200"/>
              <w:spacing w:after="0"/>
              <w:rPr>
                <w:sz w:val="20"/>
                <w:szCs w:val="20"/>
                <w:color w:val="auto"/>
              </w:rPr>
            </w:pPr>
            <w:r>
              <w:rPr>
                <w:rFonts w:ascii="Arial" w:cs="Arial" w:eastAsia="Arial" w:hAnsi="Arial"/>
                <w:sz w:val="14"/>
                <w:szCs w:val="14"/>
                <w:color w:val="auto"/>
              </w:rPr>
              <w:t>Notes receivable for common stock issued</w:t>
            </w:r>
          </w:p>
        </w:tc>
        <w:tc>
          <w:tcPr>
            <w:tcW w:w="220" w:type="dxa"/>
            <w:vAlign w:val="bottom"/>
          </w:tcPr>
          <w:p>
            <w:pPr>
              <w:spacing w:after="0"/>
              <w:rPr>
                <w:sz w:val="17"/>
                <w:szCs w:val="17"/>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(803 )</w:t>
            </w:r>
          </w:p>
        </w:tc>
        <w:tc>
          <w:tcPr>
            <w:tcW w:w="0" w:type="dxa"/>
            <w:vAlign w:val="bottom"/>
          </w:tcPr>
          <w:p>
            <w:pPr>
              <w:spacing w:after="0"/>
              <w:rPr>
                <w:sz w:val="1"/>
                <w:szCs w:val="1"/>
                <w:color w:val="auto"/>
              </w:rPr>
            </w:pPr>
          </w:p>
        </w:tc>
      </w:tr>
      <w:tr>
        <w:trPr>
          <w:trHeight w:val="208"/>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Redeemable stock options</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53,085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640" w:type="dxa"/>
            <w:vAlign w:val="bottom"/>
          </w:tcPr>
          <w:p>
            <w:pPr>
              <w:ind w:left="20"/>
              <w:spacing w:after="0"/>
              <w:rPr>
                <w:sz w:val="20"/>
                <w:szCs w:val="20"/>
                <w:color w:val="auto"/>
              </w:rPr>
            </w:pPr>
            <w:r>
              <w:rPr>
                <w:rFonts w:ascii="Arial" w:cs="Arial" w:eastAsia="Arial" w:hAnsi="Arial"/>
                <w:sz w:val="14"/>
                <w:szCs w:val="14"/>
                <w:color w:val="auto"/>
              </w:rPr>
              <w:t>Convertible preferred stock:</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Preferred stock, $0.001 par value, no shares authorized, issued or outstanding as of September 30, 2021 and</w:t>
            </w: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16,572,792 shares authorized, 14,376,272 shares issued and outstanding as of December 31, 2020 (redeemable)</w:t>
            </w:r>
          </w:p>
        </w:tc>
        <w:tc>
          <w:tcPr>
            <w:tcW w:w="22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353,300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640" w:type="dxa"/>
            <w:vAlign w:val="bottom"/>
          </w:tcPr>
          <w:p>
            <w:pPr>
              <w:ind w:left="20"/>
              <w:spacing w:after="0"/>
              <w:rPr>
                <w:sz w:val="20"/>
                <w:szCs w:val="20"/>
                <w:color w:val="auto"/>
              </w:rPr>
            </w:pPr>
            <w:r>
              <w:rPr>
                <w:rFonts w:ascii="Arial" w:cs="Arial" w:eastAsia="Arial" w:hAnsi="Arial"/>
                <w:sz w:val="14"/>
                <w:szCs w:val="14"/>
                <w:color w:val="auto"/>
              </w:rPr>
              <w:t>Stockholders' deficit:</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Common stock, $0.001 par value, 900,000,000 shares authorized, 27,324,054 shares issued</w:t>
            </w: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6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and outstanding as of September 30, 2021</w:t>
            </w: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7640" w:type="dxa"/>
            <w:vAlign w:val="bottom"/>
          </w:tcPr>
          <w:p>
            <w:pPr>
              <w:ind w:left="200"/>
              <w:spacing w:after="0"/>
              <w:rPr>
                <w:sz w:val="20"/>
                <w:szCs w:val="20"/>
                <w:color w:val="auto"/>
              </w:rPr>
            </w:pPr>
            <w:r>
              <w:rPr>
                <w:rFonts w:ascii="Arial" w:cs="Arial" w:eastAsia="Arial" w:hAnsi="Arial"/>
                <w:sz w:val="14"/>
                <w:szCs w:val="14"/>
                <w:color w:val="auto"/>
              </w:rPr>
              <w:t>Preferred stock, $0.001 par value, 100,000,000 shares authorized, no shares</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640" w:type="dxa"/>
            <w:vAlign w:val="bottom"/>
          </w:tcPr>
          <w:p>
            <w:pPr>
              <w:ind w:left="200"/>
              <w:spacing w:after="0"/>
              <w:rPr>
                <w:sz w:val="20"/>
                <w:szCs w:val="20"/>
                <w:color w:val="auto"/>
              </w:rPr>
            </w:pPr>
            <w:r>
              <w:rPr>
                <w:rFonts w:ascii="Arial" w:cs="Arial" w:eastAsia="Arial" w:hAnsi="Arial"/>
                <w:sz w:val="14"/>
                <w:szCs w:val="14"/>
                <w:color w:val="auto"/>
              </w:rPr>
              <w:t>issued and outstanding as of September 30, 2021</w:t>
            </w:r>
          </w:p>
        </w:tc>
        <w:tc>
          <w:tcPr>
            <w:tcW w:w="220" w:type="dxa"/>
            <w:vAlign w:val="bottom"/>
          </w:tcPr>
          <w:p>
            <w:pPr>
              <w:spacing w:after="0"/>
              <w:rPr>
                <w:sz w:val="16"/>
                <w:szCs w:val="16"/>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614,418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7640" w:type="dxa"/>
            <w:vAlign w:val="bottom"/>
          </w:tcPr>
          <w:p>
            <w:pPr>
              <w:ind w:left="200"/>
              <w:spacing w:after="0"/>
              <w:rPr>
                <w:sz w:val="20"/>
                <w:szCs w:val="20"/>
                <w:color w:val="auto"/>
              </w:rPr>
            </w:pPr>
            <w:r>
              <w:rPr>
                <w:rFonts w:ascii="Arial" w:cs="Arial" w:eastAsia="Arial" w:hAnsi="Arial"/>
                <w:sz w:val="14"/>
                <w:szCs w:val="14"/>
                <w:color w:val="auto"/>
              </w:rPr>
              <w:t>Series G common stock, $0.001 par value, no share authorized or outstanding as of September 30, 2021 and 1 share</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640" w:type="dxa"/>
            <w:vAlign w:val="bottom"/>
          </w:tcPr>
          <w:p>
            <w:pPr>
              <w:ind w:left="200"/>
              <w:spacing w:after="0"/>
              <w:rPr>
                <w:sz w:val="20"/>
                <w:szCs w:val="20"/>
                <w:color w:val="auto"/>
              </w:rPr>
            </w:pPr>
            <w:r>
              <w:rPr>
                <w:rFonts w:ascii="Arial" w:cs="Arial" w:eastAsia="Arial" w:hAnsi="Arial"/>
                <w:sz w:val="14"/>
                <w:szCs w:val="14"/>
                <w:color w:val="auto"/>
              </w:rPr>
              <w:t>authorized, issued and outstanding as of December 31, 2020</w:t>
            </w:r>
          </w:p>
        </w:tc>
        <w:tc>
          <w:tcPr>
            <w:tcW w:w="220" w:type="dxa"/>
            <w:vAlign w:val="bottom"/>
          </w:tcPr>
          <w:p>
            <w:pPr>
              <w:spacing w:after="0"/>
              <w:rPr>
                <w:sz w:val="16"/>
                <w:szCs w:val="16"/>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w w:val="95"/>
              </w:rPr>
              <w:t>Series W common stock, $0.001 par value, no share authorized, issued or outstanding as of September 30, 2021 and 1 share</w:t>
            </w: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authorized and no share outstanding as of December 31, 2020</w:t>
            </w:r>
          </w:p>
        </w:tc>
        <w:tc>
          <w:tcPr>
            <w:tcW w:w="22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7640" w:type="dxa"/>
            <w:vAlign w:val="bottom"/>
          </w:tcPr>
          <w:p>
            <w:pPr>
              <w:ind w:left="20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4"/>
                <w:szCs w:val="14"/>
                <w:color w:val="auto"/>
              </w:rPr>
              <w:t>(11 )</w:t>
            </w:r>
          </w:p>
        </w:tc>
        <w:tc>
          <w:tcPr>
            <w:tcW w:w="240" w:type="dxa"/>
            <w:vAlign w:val="bottom"/>
          </w:tcPr>
          <w:p>
            <w:pPr>
              <w:spacing w:after="0"/>
              <w:rPr>
                <w:sz w:val="17"/>
                <w:szCs w:val="17"/>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02"/>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deficit</w:t>
            </w:r>
          </w:p>
        </w:tc>
        <w:tc>
          <w:tcPr>
            <w:tcW w:w="2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(463,543 )</w:t>
            </w: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(430,588 )</w:t>
            </w: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Pr>
          <w:p>
            <w:pPr>
              <w:ind w:left="380"/>
              <w:spacing w:after="0"/>
              <w:rPr>
                <w:sz w:val="20"/>
                <w:szCs w:val="20"/>
                <w:color w:val="auto"/>
              </w:rPr>
            </w:pPr>
            <w:r>
              <w:rPr>
                <w:rFonts w:ascii="Arial" w:cs="Arial" w:eastAsia="Arial" w:hAnsi="Arial"/>
                <w:sz w:val="14"/>
                <w:szCs w:val="14"/>
                <w:color w:val="auto"/>
              </w:rPr>
              <w:t>Total stockholders' equity (deficit)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150,891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(430,591 )</w:t>
            </w:r>
          </w:p>
        </w:tc>
        <w:tc>
          <w:tcPr>
            <w:tcW w:w="0" w:type="dxa"/>
            <w:vAlign w:val="bottom"/>
          </w:tcPr>
          <w:p>
            <w:pPr>
              <w:spacing w:after="0"/>
              <w:rPr>
                <w:sz w:val="1"/>
                <w:szCs w:val="1"/>
                <w:color w:val="auto"/>
              </w:rPr>
            </w:pPr>
          </w:p>
        </w:tc>
      </w:tr>
      <w:tr>
        <w:trPr>
          <w:trHeight w:val="180"/>
        </w:trPr>
        <w:tc>
          <w:tcPr>
            <w:tcW w:w="7640" w:type="dxa"/>
            <w:vAlign w:val="bottom"/>
          </w:tcPr>
          <w:p>
            <w:pPr>
              <w:ind w:left="380"/>
              <w:spacing w:after="0"/>
              <w:rPr>
                <w:sz w:val="20"/>
                <w:szCs w:val="20"/>
                <w:color w:val="auto"/>
              </w:rPr>
            </w:pPr>
            <w:r>
              <w:rPr>
                <w:rFonts w:ascii="Arial" w:cs="Arial" w:eastAsia="Arial" w:hAnsi="Arial"/>
                <w:sz w:val="14"/>
                <w:szCs w:val="14"/>
                <w:b w:val="1"/>
                <w:bCs w:val="1"/>
                <w:color w:val="auto"/>
              </w:rPr>
              <w:t>Total liabilities, redeemable common stock, stock options, convertible preferred</w:t>
            </w:r>
          </w:p>
        </w:tc>
        <w:tc>
          <w:tcPr>
            <w:tcW w:w="22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203,736</w:t>
            </w:r>
          </w:p>
        </w:tc>
        <w:tc>
          <w:tcPr>
            <w:tcW w:w="28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100,677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640" w:type="dxa"/>
            <w:vAlign w:val="bottom"/>
          </w:tcPr>
          <w:p>
            <w:pPr>
              <w:ind w:left="480"/>
              <w:spacing w:after="0" w:line="158" w:lineRule="exact"/>
              <w:rPr>
                <w:sz w:val="20"/>
                <w:szCs w:val="20"/>
                <w:color w:val="auto"/>
              </w:rPr>
            </w:pPr>
            <w:r>
              <w:rPr>
                <w:rFonts w:ascii="Arial" w:cs="Arial" w:eastAsia="Arial" w:hAnsi="Arial"/>
                <w:sz w:val="14"/>
                <w:szCs w:val="14"/>
                <w:b w:val="1"/>
                <w:bCs w:val="1"/>
                <w:color w:val="auto"/>
              </w:rPr>
              <w:t>stock and stockholders' equity (deficit)</w:t>
            </w:r>
          </w:p>
        </w:tc>
        <w:tc>
          <w:tcPr>
            <w:tcW w:w="220" w:type="dxa"/>
            <w:vAlign w:val="bottom"/>
            <w:tcBorders>
              <w:bottom w:val="single" w:sz="8" w:color="auto"/>
            </w:tcBorders>
            <w:vMerge w:val="continue"/>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-5328285</wp:posOffset>
            </wp:positionV>
            <wp:extent cx="17145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-5328285</wp:posOffset>
            </wp:positionV>
            <wp:extent cx="5969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-4542790</wp:posOffset>
            </wp:positionV>
            <wp:extent cx="1714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-4525645</wp:posOffset>
            </wp:positionV>
            <wp:extent cx="1714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-4542790</wp:posOffset>
            </wp:positionV>
            <wp:extent cx="59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-4525645</wp:posOffset>
            </wp:positionV>
            <wp:extent cx="596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-3630930</wp:posOffset>
            </wp:positionV>
            <wp:extent cx="17145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-3630930</wp:posOffset>
            </wp:positionV>
            <wp:extent cx="5969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-3108325</wp:posOffset>
            </wp:positionV>
            <wp:extent cx="17145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-3108325</wp:posOffset>
            </wp:positionV>
            <wp:extent cx="5969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-365125</wp:posOffset>
            </wp:positionV>
            <wp:extent cx="17145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-365125</wp:posOffset>
            </wp:positionV>
            <wp:extent cx="5969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5" w:lineRule="exact"/>
        <w:rPr>
          <w:sz w:val="20"/>
          <w:szCs w:val="20"/>
          <w:color w:val="auto"/>
        </w:rPr>
      </w:pPr>
    </w:p>
    <w:p>
      <w:pPr>
        <w:ind w:left="20" w:right="300" w:firstLine="1"/>
        <w:spacing w:after="0" w:line="260" w:lineRule="auto"/>
        <w:tabs>
          <w:tab w:leader="none" w:pos="165"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The balance sheet at December 31,2020 has been derived from the audited consolidated financial statements included in RxSight, Inc.'s final prospectus for its public offering filed on July 29, 2021.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6" w:name="page7"/>
    <w:bookmarkEnd w:id="6"/>
    <w:p>
      <w:pPr>
        <w:ind w:left="5000"/>
        <w:spacing w:after="0"/>
        <w:rPr>
          <w:sz w:val="20"/>
          <w:szCs w:val="20"/>
          <w:color w:val="auto"/>
        </w:rPr>
      </w:pPr>
      <w:r>
        <w:rPr>
          <w:rFonts w:ascii="Arial" w:cs="Arial" w:eastAsia="Arial" w:hAnsi="Arial"/>
          <w:sz w:val="18"/>
          <w:szCs w:val="18"/>
          <w:b w:val="1"/>
          <w:bCs w:val="1"/>
          <w:color w:val="auto"/>
        </w:rPr>
        <w:t>RxSIGHT, INC.</w:t>
      </w:r>
    </w:p>
    <w:p>
      <w:pPr>
        <w:spacing w:after="0" w:line="36"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 (UNAUDITED)</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9"/>
              </w:rPr>
              <w:t>Three Months Ended September 30,</w:t>
            </w:r>
          </w:p>
        </w:tc>
        <w:tc>
          <w:tcPr>
            <w:tcW w:w="240" w:type="dxa"/>
            <w:vAlign w:val="bottom"/>
          </w:tcPr>
          <w:p>
            <w:pPr>
              <w:spacing w:after="0"/>
              <w:rPr>
                <w:sz w:val="16"/>
                <w:szCs w:val="16"/>
                <w:color w:val="auto"/>
              </w:rPr>
            </w:pPr>
          </w:p>
        </w:tc>
        <w:tc>
          <w:tcPr>
            <w:tcW w:w="27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96"/>
        </w:trPr>
        <w:tc>
          <w:tcPr>
            <w:tcW w:w="48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02"/>
        </w:trPr>
        <w:tc>
          <w:tcPr>
            <w:tcW w:w="4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Sales</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5,786</w:t>
            </w: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4,170</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14,167</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9,764</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200"/>
              <w:spacing w:after="0"/>
              <w:rPr>
                <w:sz w:val="20"/>
                <w:szCs w:val="20"/>
                <w:color w:val="auto"/>
              </w:rPr>
            </w:pPr>
            <w:r>
              <w:rPr>
                <w:rFonts w:ascii="Arial" w:cs="Arial" w:eastAsia="Arial" w:hAnsi="Arial"/>
                <w:sz w:val="14"/>
                <w:szCs w:val="14"/>
                <w:color w:val="auto"/>
              </w:rPr>
              <w:t>Cost of sales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4,445</w:t>
            </w:r>
          </w:p>
        </w:tc>
        <w:tc>
          <w:tcPr>
            <w:tcW w:w="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3,450</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12,519</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9,439</w:t>
            </w:r>
          </w:p>
        </w:tc>
        <w:tc>
          <w:tcPr>
            <w:tcW w:w="100" w:type="dxa"/>
            <w:vAlign w:val="bottom"/>
          </w:tcPr>
          <w:p>
            <w:pPr>
              <w:spacing w:after="0"/>
              <w:rPr>
                <w:sz w:val="17"/>
                <w:szCs w:val="17"/>
                <w:color w:val="auto"/>
              </w:rPr>
            </w:pPr>
          </w:p>
        </w:tc>
      </w:tr>
      <w:tr>
        <w:trPr>
          <w:trHeight w:val="196"/>
        </w:trPr>
        <w:tc>
          <w:tcPr>
            <w:tcW w:w="4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Gross profit</w:t>
            </w:r>
          </w:p>
        </w:tc>
        <w:tc>
          <w:tcPr>
            <w:tcW w:w="2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1,341</w:t>
            </w:r>
          </w:p>
        </w:tc>
        <w:tc>
          <w:tcPr>
            <w:tcW w:w="3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720</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1,648</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0"/>
        </w:trPr>
        <w:tc>
          <w:tcPr>
            <w:tcW w:w="4860" w:type="dxa"/>
            <w:vAlign w:val="bottom"/>
          </w:tcPr>
          <w:p>
            <w:pPr>
              <w:ind w:left="20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4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Selling, general and administrative</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9,076</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21,189</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10,773</w:t>
            </w:r>
          </w:p>
        </w:tc>
        <w:tc>
          <w:tcPr>
            <w:tcW w:w="100" w:type="dxa"/>
            <w:vAlign w:val="bottom"/>
            <w:shd w:val="clear" w:color="auto" w:fill="CFF0FC"/>
          </w:tcPr>
          <w:p>
            <w:pPr>
              <w:spacing w:after="0"/>
              <w:rPr>
                <w:sz w:val="18"/>
                <w:szCs w:val="18"/>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4"/>
                <w:szCs w:val="14"/>
                <w:color w:val="auto"/>
              </w:rPr>
              <w:t>Research and development</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5,377</w:t>
            </w:r>
          </w:p>
        </w:tc>
        <w:tc>
          <w:tcPr>
            <w:tcW w:w="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5,801</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18,583</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16,662</w:t>
            </w:r>
          </w:p>
        </w:tc>
        <w:tc>
          <w:tcPr>
            <w:tcW w:w="100" w:type="dxa"/>
            <w:vAlign w:val="bottom"/>
          </w:tcPr>
          <w:p>
            <w:pPr>
              <w:spacing w:after="0"/>
              <w:rPr>
                <w:sz w:val="17"/>
                <w:szCs w:val="17"/>
                <w:color w:val="auto"/>
              </w:rPr>
            </w:pPr>
          </w:p>
        </w:tc>
      </w:tr>
      <w:tr>
        <w:trPr>
          <w:trHeight w:val="196"/>
        </w:trPr>
        <w:tc>
          <w:tcPr>
            <w:tcW w:w="48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14,453</w:t>
            </w:r>
          </w:p>
        </w:tc>
        <w:tc>
          <w:tcPr>
            <w:tcW w:w="3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9,626</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39,772</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27,435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0"/>
        </w:trPr>
        <w:tc>
          <w:tcPr>
            <w:tcW w:w="4860" w:type="dxa"/>
            <w:vAlign w:val="bottom"/>
          </w:tcPr>
          <w:p>
            <w:pPr>
              <w:ind w:left="560"/>
              <w:spacing w:after="0"/>
              <w:rPr>
                <w:sz w:val="20"/>
                <w:szCs w:val="20"/>
                <w:color w:val="auto"/>
              </w:rPr>
            </w:pPr>
            <w:r>
              <w:rPr>
                <w:rFonts w:ascii="Arial" w:cs="Arial" w:eastAsia="Arial" w:hAnsi="Arial"/>
                <w:sz w:val="14"/>
                <w:szCs w:val="14"/>
                <w:color w:val="auto"/>
              </w:rPr>
              <w:t>Loss from operations</w:t>
            </w:r>
          </w:p>
        </w:tc>
        <w:tc>
          <w:tcPr>
            <w:tcW w:w="280" w:type="dxa"/>
            <w:vAlign w:val="bottom"/>
          </w:tcPr>
          <w:p>
            <w:pPr>
              <w:spacing w:after="0"/>
              <w:rPr>
                <w:sz w:val="16"/>
                <w:szCs w:val="16"/>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(13,112 )</w:t>
            </w:r>
          </w:p>
        </w:tc>
        <w:tc>
          <w:tcPr>
            <w:tcW w:w="34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(8,906 )</w:t>
            </w:r>
          </w:p>
        </w:tc>
        <w:tc>
          <w:tcPr>
            <w:tcW w:w="24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(38,124 )</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(27,110 )</w:t>
            </w:r>
          </w:p>
        </w:tc>
      </w:tr>
      <w:tr>
        <w:trPr>
          <w:trHeight w:val="209"/>
        </w:trPr>
        <w:tc>
          <w:tcPr>
            <w:tcW w:w="4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income (expense), net: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6"/>
        </w:trPr>
        <w:tc>
          <w:tcPr>
            <w:tcW w:w="4860" w:type="dxa"/>
            <w:vAlign w:val="bottom"/>
          </w:tcPr>
          <w:p>
            <w:pPr>
              <w:ind w:left="380"/>
              <w:spacing w:after="0"/>
              <w:rPr>
                <w:sz w:val="20"/>
                <w:szCs w:val="20"/>
                <w:color w:val="auto"/>
              </w:rPr>
            </w:pPr>
            <w:r>
              <w:rPr>
                <w:rFonts w:ascii="Arial" w:cs="Arial" w:eastAsia="Arial" w:hAnsi="Arial"/>
                <w:sz w:val="14"/>
                <w:szCs w:val="14"/>
                <w:color w:val="auto"/>
              </w:rPr>
              <w:t>Change in fair value of warrants</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1,503</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39,518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2,717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27,933</w:t>
            </w:r>
          </w:p>
        </w:tc>
        <w:tc>
          <w:tcPr>
            <w:tcW w:w="100" w:type="dxa"/>
            <w:vAlign w:val="bottom"/>
          </w:tcPr>
          <w:p>
            <w:pPr>
              <w:spacing w:after="0"/>
              <w:rPr>
                <w:sz w:val="17"/>
                <w:szCs w:val="17"/>
                <w:color w:val="auto"/>
              </w:rPr>
            </w:pPr>
          </w:p>
        </w:tc>
      </w:tr>
      <w:tr>
        <w:trPr>
          <w:trHeight w:val="209"/>
        </w:trPr>
        <w:tc>
          <w:tcPr>
            <w:tcW w:w="4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Expiration of warrant</w:t>
            </w: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5,018</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6"/>
        </w:trPr>
        <w:tc>
          <w:tcPr>
            <w:tcW w:w="486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(1,079 )</w:t>
            </w:r>
          </w:p>
        </w:tc>
        <w:tc>
          <w:tcPr>
            <w:tcW w:w="34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(3 )</w:t>
            </w:r>
          </w:p>
        </w:tc>
        <w:tc>
          <w:tcPr>
            <w:tcW w:w="24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(2,603 )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(12 )</w:t>
            </w:r>
          </w:p>
        </w:tc>
      </w:tr>
      <w:tr>
        <w:trPr>
          <w:trHeight w:val="209"/>
        </w:trPr>
        <w:tc>
          <w:tcPr>
            <w:tcW w:w="4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Interest and other income</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0"/>
        </w:trPr>
        <w:tc>
          <w:tcPr>
            <w:tcW w:w="4860" w:type="dxa"/>
            <w:vAlign w:val="bottom"/>
          </w:tcPr>
          <w:p>
            <w:pPr>
              <w:ind w:left="200"/>
              <w:spacing w:after="0"/>
              <w:rPr>
                <w:sz w:val="20"/>
                <w:szCs w:val="20"/>
                <w:color w:val="auto"/>
              </w:rPr>
            </w:pPr>
            <w:r>
              <w:rPr>
                <w:rFonts w:ascii="Arial" w:cs="Arial" w:eastAsia="Arial" w:hAnsi="Arial"/>
                <w:sz w:val="14"/>
                <w:szCs w:val="14"/>
                <w:color w:val="auto"/>
              </w:rPr>
              <w:t>(Loss) income before income taxes</w:t>
            </w:r>
          </w:p>
        </w:tc>
        <w:tc>
          <w:tcPr>
            <w:tcW w:w="280" w:type="dxa"/>
            <w:vAlign w:val="bottom"/>
          </w:tcPr>
          <w:p>
            <w:pPr>
              <w:spacing w:after="0"/>
              <w:rPr>
                <w:sz w:val="16"/>
                <w:szCs w:val="16"/>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(12,677 )</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30,672</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(32,948 )</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1,333</w:t>
            </w:r>
          </w:p>
        </w:tc>
        <w:tc>
          <w:tcPr>
            <w:tcW w:w="100" w:type="dxa"/>
            <w:vAlign w:val="bottom"/>
          </w:tcPr>
          <w:p>
            <w:pPr>
              <w:spacing w:after="0"/>
              <w:rPr>
                <w:sz w:val="16"/>
                <w:szCs w:val="16"/>
                <w:color w:val="auto"/>
              </w:rPr>
            </w:pPr>
          </w:p>
        </w:tc>
      </w:tr>
      <w:tr>
        <w:trPr>
          <w:trHeight w:val="208"/>
        </w:trPr>
        <w:tc>
          <w:tcPr>
            <w:tcW w:w="4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Income tax expense</w:t>
            </w: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(4 )</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FF0FC"/>
          </w:tcPr>
          <w:p>
            <w:pPr>
              <w:spacing w:after="0"/>
              <w:rPr>
                <w:sz w:val="18"/>
                <w:szCs w:val="18"/>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0"/>
        </w:trPr>
        <w:tc>
          <w:tcPr>
            <w:tcW w:w="4860" w:type="dxa"/>
            <w:vAlign w:val="bottom"/>
          </w:tcPr>
          <w:p>
            <w:pPr>
              <w:ind w:left="560"/>
              <w:spacing w:after="0"/>
              <w:rPr>
                <w:sz w:val="20"/>
                <w:szCs w:val="20"/>
                <w:color w:val="auto"/>
              </w:rPr>
            </w:pPr>
            <w:r>
              <w:rPr>
                <w:rFonts w:ascii="Arial" w:cs="Arial" w:eastAsia="Arial" w:hAnsi="Arial"/>
                <w:sz w:val="14"/>
                <w:szCs w:val="14"/>
                <w:color w:val="auto"/>
              </w:rPr>
              <w:t>Net (loss) income</w:t>
            </w:r>
          </w:p>
        </w:tc>
        <w:tc>
          <w:tcPr>
            <w:tcW w:w="280" w:type="dxa"/>
            <w:vAlign w:val="bottom"/>
          </w:tcPr>
          <w:p>
            <w:pPr>
              <w:spacing w:after="0"/>
              <w:rPr>
                <w:sz w:val="16"/>
                <w:szCs w:val="16"/>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(12,673 )</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30,664</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(32,954 )</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1,280</w:t>
            </w:r>
          </w:p>
        </w:tc>
        <w:tc>
          <w:tcPr>
            <w:tcW w:w="100" w:type="dxa"/>
            <w:vAlign w:val="bottom"/>
          </w:tcPr>
          <w:p>
            <w:pPr>
              <w:spacing w:after="0"/>
              <w:rPr>
                <w:sz w:val="16"/>
                <w:szCs w:val="16"/>
                <w:color w:val="auto"/>
              </w:rPr>
            </w:pPr>
          </w:p>
        </w:tc>
      </w:tr>
      <w:tr>
        <w:trPr>
          <w:trHeight w:val="190"/>
        </w:trPr>
        <w:tc>
          <w:tcPr>
            <w:tcW w:w="4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Accretion to redemption value of redeemable</w:t>
            </w:r>
          </w:p>
        </w:tc>
        <w:tc>
          <w:tcPr>
            <w:tcW w:w="2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48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preferred stock and redeemable stock options</w:t>
            </w:r>
          </w:p>
        </w:tc>
        <w:tc>
          <w:tcPr>
            <w:tcW w:w="28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(7,829 )</w:t>
            </w:r>
          </w:p>
        </w:tc>
        <w:tc>
          <w:tcPr>
            <w:tcW w:w="24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(16,172 )</w:t>
            </w:r>
          </w:p>
        </w:tc>
      </w:tr>
      <w:tr>
        <w:trPr>
          <w:trHeight w:val="203"/>
        </w:trPr>
        <w:tc>
          <w:tcPr>
            <w:tcW w:w="4860" w:type="dxa"/>
            <w:vAlign w:val="bottom"/>
          </w:tcPr>
          <w:p>
            <w:pPr>
              <w:ind w:left="200"/>
              <w:spacing w:after="0"/>
              <w:rPr>
                <w:sz w:val="20"/>
                <w:szCs w:val="20"/>
                <w:color w:val="auto"/>
              </w:rPr>
            </w:pPr>
            <w:r>
              <w:rPr>
                <w:rFonts w:ascii="Arial" w:cs="Arial" w:eastAsia="Arial" w:hAnsi="Arial"/>
                <w:sz w:val="14"/>
                <w:szCs w:val="14"/>
                <w:color w:val="auto"/>
              </w:rPr>
              <w:t>Earnings allocated to redeemable preferred stock</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(16,935 )</w:t>
            </w:r>
          </w:p>
        </w:tc>
        <w:tc>
          <w:tcPr>
            <w:tcW w:w="2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4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Net (loss) income attributable to common stockholders</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(12,673 )</w:t>
            </w: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5,900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(32,954 )</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(14,892 )</w:t>
            </w:r>
          </w:p>
        </w:tc>
      </w:tr>
      <w:tr>
        <w:trPr>
          <w:trHeight w:val="177"/>
        </w:trPr>
        <w:tc>
          <w:tcPr>
            <w:tcW w:w="4860" w:type="dxa"/>
            <w:vAlign w:val="bottom"/>
            <w:tcBorders>
              <w:top w:val="single" w:sz="8" w:color="CFF0FC"/>
            </w:tcBorders>
          </w:tcPr>
          <w:p>
            <w:pPr>
              <w:ind w:left="200"/>
              <w:spacing w:after="0"/>
              <w:rPr>
                <w:sz w:val="20"/>
                <w:szCs w:val="20"/>
                <w:color w:val="auto"/>
              </w:rPr>
            </w:pPr>
            <w:r>
              <w:rPr>
                <w:rFonts w:ascii="Arial" w:cs="Arial" w:eastAsia="Arial" w:hAnsi="Arial"/>
                <w:sz w:val="14"/>
                <w:szCs w:val="14"/>
                <w:color w:val="auto"/>
              </w:rPr>
              <w:t>Other comprehensive income (loss)</w:t>
            </w: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8"/>
        </w:trPr>
        <w:tc>
          <w:tcPr>
            <w:tcW w:w="4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Unrealized loss on short-term investments</w:t>
            </w: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(5 )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(8 )</w:t>
            </w: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(43 )</w:t>
            </w:r>
          </w:p>
        </w:tc>
      </w:tr>
      <w:tr>
        <w:trPr>
          <w:trHeight w:val="203"/>
        </w:trPr>
        <w:tc>
          <w:tcPr>
            <w:tcW w:w="4860" w:type="dxa"/>
            <w:vAlign w:val="bottom"/>
          </w:tcPr>
          <w:p>
            <w:pPr>
              <w:ind w:left="380"/>
              <w:spacing w:after="0"/>
              <w:rPr>
                <w:sz w:val="20"/>
                <w:szCs w:val="20"/>
                <w:color w:val="auto"/>
              </w:rPr>
            </w:pPr>
            <w:r>
              <w:rPr>
                <w:rFonts w:ascii="Arial" w:cs="Arial" w:eastAsia="Arial" w:hAnsi="Arial"/>
                <w:sz w:val="14"/>
                <w:szCs w:val="14"/>
                <w:color w:val="auto"/>
              </w:rPr>
              <w:t>Foreign currency translation loss</w:t>
            </w:r>
          </w:p>
        </w:tc>
        <w:tc>
          <w:tcPr>
            <w:tcW w:w="28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(3 )</w:t>
            </w:r>
          </w:p>
        </w:tc>
        <w:tc>
          <w:tcPr>
            <w:tcW w:w="34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(9 )</w:t>
            </w:r>
          </w:p>
        </w:tc>
        <w:tc>
          <w:tcPr>
            <w:tcW w:w="24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(6 )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(7 )</w:t>
            </w:r>
          </w:p>
        </w:tc>
      </w:tr>
      <w:tr>
        <w:trPr>
          <w:trHeight w:val="20"/>
        </w:trPr>
        <w:tc>
          <w:tcPr>
            <w:tcW w:w="4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Total other comprehensive loss</w:t>
            </w:r>
          </w:p>
        </w:tc>
        <w:tc>
          <w:tcPr>
            <w:tcW w:w="2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(8 )</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(17 )</w:t>
            </w:r>
          </w:p>
        </w:tc>
        <w:tc>
          <w:tcPr>
            <w:tcW w:w="2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(50 )</w:t>
            </w:r>
          </w:p>
        </w:tc>
      </w:tr>
      <w:tr>
        <w:trPr>
          <w:trHeight w:val="203"/>
        </w:trPr>
        <w:tc>
          <w:tcPr>
            <w:tcW w:w="4860" w:type="dxa"/>
            <w:vAlign w:val="bottom"/>
          </w:tcPr>
          <w:p>
            <w:pPr>
              <w:ind w:left="200"/>
              <w:spacing w:after="0"/>
              <w:rPr>
                <w:sz w:val="20"/>
                <w:szCs w:val="20"/>
                <w:color w:val="auto"/>
              </w:rPr>
            </w:pPr>
            <w:r>
              <w:rPr>
                <w:rFonts w:ascii="Arial" w:cs="Arial" w:eastAsia="Arial" w:hAnsi="Arial"/>
                <w:sz w:val="14"/>
                <w:szCs w:val="14"/>
                <w:color w:val="auto"/>
              </w:rPr>
              <w:t>Comprehensive (loss)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(12,681 )</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30,647</w:t>
            </w:r>
          </w:p>
        </w:tc>
        <w:tc>
          <w:tcPr>
            <w:tcW w:w="26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(32,962 )</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1,230</w:t>
            </w:r>
          </w:p>
        </w:tc>
        <w:tc>
          <w:tcPr>
            <w:tcW w:w="100" w:type="dxa"/>
            <w:vAlign w:val="bottom"/>
          </w:tcPr>
          <w:p>
            <w:pPr>
              <w:spacing w:after="0"/>
              <w:rPr>
                <w:sz w:val="17"/>
                <w:szCs w:val="17"/>
                <w:color w:val="auto"/>
              </w:rPr>
            </w:pPr>
          </w:p>
        </w:tc>
      </w:tr>
      <w:tr>
        <w:trPr>
          <w:trHeight w:val="20"/>
        </w:trPr>
        <w:tc>
          <w:tcPr>
            <w:tcW w:w="4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 income per share:</w:t>
            </w:r>
          </w:p>
        </w:tc>
        <w:tc>
          <w:tcPr>
            <w:tcW w:w="2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6"/>
        </w:trPr>
        <w:tc>
          <w:tcPr>
            <w:tcW w:w="4860" w:type="dxa"/>
            <w:vAlign w:val="bottom"/>
          </w:tcPr>
          <w:p>
            <w:pPr>
              <w:ind w:left="380"/>
              <w:spacing w:after="0"/>
              <w:rPr>
                <w:sz w:val="20"/>
                <w:szCs w:val="20"/>
                <w:color w:val="auto"/>
              </w:rPr>
            </w:pPr>
            <w:r>
              <w:rPr>
                <w:rFonts w:ascii="Arial" w:cs="Arial" w:eastAsia="Arial" w:hAnsi="Arial"/>
                <w:sz w:val="14"/>
                <w:szCs w:val="14"/>
                <w:color w:val="auto"/>
              </w:rPr>
              <w:t>Attributable to redeemable common stock, 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1.55</w:t>
            </w:r>
          </w:p>
        </w:tc>
        <w:tc>
          <w:tcPr>
            <w:tcW w:w="26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(4.06 )</w:t>
            </w:r>
          </w:p>
        </w:tc>
      </w:tr>
      <w:tr>
        <w:trPr>
          <w:trHeight w:val="209"/>
        </w:trPr>
        <w:tc>
          <w:tcPr>
            <w:tcW w:w="4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Attributable to redeemable common stock, diluted</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(4.06 )</w:t>
            </w:r>
          </w:p>
        </w:tc>
      </w:tr>
      <w:tr>
        <w:trPr>
          <w:trHeight w:val="196"/>
        </w:trPr>
        <w:tc>
          <w:tcPr>
            <w:tcW w:w="4860" w:type="dxa"/>
            <w:vAlign w:val="bottom"/>
          </w:tcPr>
          <w:p>
            <w:pPr>
              <w:ind w:left="380"/>
              <w:spacing w:after="0"/>
              <w:rPr>
                <w:sz w:val="20"/>
                <w:szCs w:val="20"/>
                <w:color w:val="auto"/>
              </w:rPr>
            </w:pPr>
            <w:r>
              <w:rPr>
                <w:rFonts w:ascii="Arial" w:cs="Arial" w:eastAsia="Arial" w:hAnsi="Arial"/>
                <w:sz w:val="14"/>
                <w:szCs w:val="14"/>
                <w:color w:val="auto"/>
              </w:rPr>
              <w:t>Attributable to Series G common stock, basic and diluted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0.01</w:t>
            </w:r>
          </w:p>
        </w:tc>
        <w:tc>
          <w:tcPr>
            <w:tcW w:w="26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(0.76 )</w:t>
            </w:r>
          </w:p>
        </w:tc>
      </w:tr>
      <w:tr>
        <w:trPr>
          <w:trHeight w:val="209"/>
        </w:trPr>
        <w:tc>
          <w:tcPr>
            <w:tcW w:w="4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Attributable to common stock, basic</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(0.68 )</w:t>
            </w: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(3.66 )</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6"/>
        </w:trPr>
        <w:tc>
          <w:tcPr>
            <w:tcW w:w="4860" w:type="dxa"/>
            <w:vAlign w:val="bottom"/>
          </w:tcPr>
          <w:p>
            <w:pPr>
              <w:ind w:left="380"/>
              <w:spacing w:after="0"/>
              <w:rPr>
                <w:sz w:val="20"/>
                <w:szCs w:val="20"/>
                <w:color w:val="auto"/>
              </w:rPr>
            </w:pPr>
            <w:r>
              <w:rPr>
                <w:rFonts w:ascii="Arial" w:cs="Arial" w:eastAsia="Arial" w:hAnsi="Arial"/>
                <w:sz w:val="14"/>
                <w:szCs w:val="14"/>
                <w:color w:val="auto"/>
              </w:rPr>
              <w:t>Attributable to common stock, diluted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(0.68 )</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(3.66 )</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9"/>
        </w:trPr>
        <w:tc>
          <w:tcPr>
            <w:tcW w:w="4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Weighted-average shares used in computing net (loss) income per share:</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6"/>
        </w:trPr>
        <w:tc>
          <w:tcPr>
            <w:tcW w:w="4860" w:type="dxa"/>
            <w:vAlign w:val="bottom"/>
          </w:tcPr>
          <w:p>
            <w:pPr>
              <w:ind w:left="380"/>
              <w:spacing w:after="0"/>
              <w:rPr>
                <w:sz w:val="20"/>
                <w:szCs w:val="20"/>
                <w:color w:val="auto"/>
              </w:rPr>
            </w:pPr>
            <w:r>
              <w:rPr>
                <w:rFonts w:ascii="Arial" w:cs="Arial" w:eastAsia="Arial" w:hAnsi="Arial"/>
                <w:sz w:val="14"/>
                <w:szCs w:val="14"/>
                <w:color w:val="auto"/>
              </w:rPr>
              <w:t>Attributable to redeemable common stock, basic</w:t>
            </w:r>
          </w:p>
        </w:tc>
        <w:tc>
          <w:tcPr>
            <w:tcW w:w="280" w:type="dxa"/>
            <w:vAlign w:val="bottom"/>
          </w:tcPr>
          <w:p>
            <w:pPr>
              <w:spacing w:after="0"/>
              <w:rPr>
                <w:sz w:val="17"/>
                <w:szCs w:val="17"/>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3,798,504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3,672,121</w:t>
            </w:r>
          </w:p>
        </w:tc>
        <w:tc>
          <w:tcPr>
            <w:tcW w:w="100" w:type="dxa"/>
            <w:vAlign w:val="bottom"/>
          </w:tcPr>
          <w:p>
            <w:pPr>
              <w:spacing w:after="0"/>
              <w:rPr>
                <w:sz w:val="17"/>
                <w:szCs w:val="17"/>
                <w:color w:val="auto"/>
              </w:rPr>
            </w:pPr>
          </w:p>
        </w:tc>
      </w:tr>
      <w:tr>
        <w:trPr>
          <w:trHeight w:val="209"/>
        </w:trPr>
        <w:tc>
          <w:tcPr>
            <w:tcW w:w="4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Attributable to redeemable common stock, diluted</w:t>
            </w: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5,571,793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3,672,121</w:t>
            </w:r>
          </w:p>
        </w:tc>
        <w:tc>
          <w:tcPr>
            <w:tcW w:w="100" w:type="dxa"/>
            <w:vAlign w:val="bottom"/>
            <w:shd w:val="clear" w:color="auto" w:fill="CFF0FC"/>
          </w:tcPr>
          <w:p>
            <w:pPr>
              <w:spacing w:after="0"/>
              <w:rPr>
                <w:sz w:val="18"/>
                <w:szCs w:val="18"/>
                <w:color w:val="auto"/>
              </w:rPr>
            </w:pPr>
          </w:p>
        </w:tc>
      </w:tr>
      <w:tr>
        <w:trPr>
          <w:trHeight w:val="184"/>
        </w:trPr>
        <w:tc>
          <w:tcPr>
            <w:tcW w:w="4860" w:type="dxa"/>
            <w:vAlign w:val="bottom"/>
          </w:tcPr>
          <w:p>
            <w:pPr>
              <w:ind w:left="380"/>
              <w:spacing w:after="0"/>
              <w:rPr>
                <w:sz w:val="20"/>
                <w:szCs w:val="20"/>
                <w:color w:val="auto"/>
              </w:rPr>
            </w:pPr>
            <w:r>
              <w:rPr>
                <w:rFonts w:ascii="Arial" w:cs="Arial" w:eastAsia="Arial" w:hAnsi="Arial"/>
                <w:sz w:val="14"/>
                <w:szCs w:val="14"/>
                <w:color w:val="auto"/>
              </w:rPr>
              <w:t>Attributable to Series G common stock, basic</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4860" w:type="dxa"/>
            <w:vAlign w:val="bottom"/>
          </w:tcPr>
          <w:p>
            <w:pPr>
              <w:ind w:left="480"/>
              <w:spacing w:after="0"/>
              <w:rPr>
                <w:sz w:val="20"/>
                <w:szCs w:val="20"/>
                <w:color w:val="auto"/>
              </w:rPr>
            </w:pPr>
            <w:r>
              <w:rPr>
                <w:rFonts w:ascii="Arial" w:cs="Arial" w:eastAsia="Arial" w:hAnsi="Arial"/>
                <w:sz w:val="14"/>
                <w:szCs w:val="14"/>
                <w:color w:val="auto"/>
              </w:rPr>
              <w:t>and diluted</w:t>
            </w:r>
          </w:p>
        </w:tc>
        <w:tc>
          <w:tcPr>
            <w:tcW w:w="28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r>
      <w:tr>
        <w:trPr>
          <w:trHeight w:val="208"/>
        </w:trPr>
        <w:tc>
          <w:tcPr>
            <w:tcW w:w="4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Attributable to common stock, basic</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18,732,459</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8,998,895</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0"/>
        </w:trPr>
        <w:tc>
          <w:tcPr>
            <w:tcW w:w="4860" w:type="dxa"/>
            <w:vAlign w:val="bottom"/>
          </w:tcPr>
          <w:p>
            <w:pPr>
              <w:ind w:left="380"/>
              <w:spacing w:after="0"/>
              <w:rPr>
                <w:sz w:val="20"/>
                <w:szCs w:val="20"/>
                <w:color w:val="auto"/>
              </w:rPr>
            </w:pPr>
            <w:r>
              <w:rPr>
                <w:rFonts w:ascii="Arial" w:cs="Arial" w:eastAsia="Arial" w:hAnsi="Arial"/>
                <w:sz w:val="14"/>
                <w:szCs w:val="14"/>
                <w:color w:val="auto"/>
              </w:rPr>
              <w:t>Attributable to common stock, diluted</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18,732,459</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8,998,895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-4566285</wp:posOffset>
            </wp:positionV>
            <wp:extent cx="2057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-4566285</wp:posOffset>
            </wp:positionV>
            <wp:extent cx="17145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-4566285</wp:posOffset>
            </wp:positionV>
            <wp:extent cx="12890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-4566285</wp:posOffset>
            </wp:positionV>
            <wp:extent cx="5969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-4034790</wp:posOffset>
            </wp:positionV>
            <wp:extent cx="2057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-4034790</wp:posOffset>
            </wp:positionV>
            <wp:extent cx="17145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-4034790</wp:posOffset>
            </wp:positionV>
            <wp:extent cx="12890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-4034790</wp:posOffset>
            </wp:positionV>
            <wp:extent cx="5969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-3255010</wp:posOffset>
            </wp:positionV>
            <wp:extent cx="2057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-3255010</wp:posOffset>
            </wp:positionV>
            <wp:extent cx="17145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-3255010</wp:posOffset>
            </wp:positionV>
            <wp:extent cx="12890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-3255010</wp:posOffset>
            </wp:positionV>
            <wp:extent cx="5969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-2988945</wp:posOffset>
            </wp:positionV>
            <wp:extent cx="2057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-2988945</wp:posOffset>
            </wp:positionV>
            <wp:extent cx="17145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-2988945</wp:posOffset>
            </wp:positionV>
            <wp:extent cx="12890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-2988945</wp:posOffset>
            </wp:positionV>
            <wp:extent cx="5969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-2348865</wp:posOffset>
            </wp:positionV>
            <wp:extent cx="2057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-2331720</wp:posOffset>
            </wp:positionV>
            <wp:extent cx="2057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-2348865</wp:posOffset>
            </wp:positionV>
            <wp:extent cx="1714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-2331720</wp:posOffset>
            </wp:positionV>
            <wp:extent cx="1714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-2348865</wp:posOffset>
            </wp:positionV>
            <wp:extent cx="1289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-2331720</wp:posOffset>
            </wp:positionV>
            <wp:extent cx="1289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-2348865</wp:posOffset>
            </wp:positionV>
            <wp:extent cx="59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-2331720</wp:posOffset>
            </wp:positionV>
            <wp:extent cx="59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RxSIGHT,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REDEEMABLE COMMON STOCK, STOCK OPTIONS, CONVERTIBLE PREFERRED STOCK AND STOCKHOLDERS’</w:t>
      </w:r>
    </w:p>
    <w:p>
      <w:pPr>
        <w:spacing w:after="0" w:line="25"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EQUITY (DEFICIT) (UNAUDITED)</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20" w:type="dxa"/>
            <w:vAlign w:val="bottom"/>
            <w:gridSpan w:val="10"/>
          </w:tcPr>
          <w:p>
            <w:pPr>
              <w:jc w:val="right"/>
              <w:spacing w:after="0"/>
              <w:rPr>
                <w:sz w:val="20"/>
                <w:szCs w:val="20"/>
                <w:color w:val="auto"/>
              </w:rPr>
            </w:pPr>
            <w:r>
              <w:rPr>
                <w:rFonts w:ascii="Arial" w:cs="Arial" w:eastAsia="Arial" w:hAnsi="Arial"/>
                <w:sz w:val="11"/>
                <w:szCs w:val="11"/>
                <w:b w:val="1"/>
                <w:bCs w:val="1"/>
                <w:color w:val="auto"/>
                <w:w w:val="91"/>
              </w:rPr>
              <w:t>Three Months and Nine Months Ended September 30, 2021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4"/>
              </w:rPr>
              <w:t>Notes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vMerge w:val="restart"/>
          </w:tcPr>
          <w:p>
            <w:pPr>
              <w:jc w:val="right"/>
              <w:ind w:right="180"/>
              <w:spacing w:after="0"/>
              <w:rPr>
                <w:sz w:val="20"/>
                <w:szCs w:val="20"/>
                <w:color w:val="auto"/>
              </w:rPr>
            </w:pPr>
            <w:r>
              <w:rPr>
                <w:rFonts w:ascii="Arial" w:cs="Arial" w:eastAsia="Arial" w:hAnsi="Arial"/>
                <w:sz w:val="11"/>
                <w:szCs w:val="11"/>
                <w:b w:val="1"/>
                <w:bCs w:val="1"/>
                <w:color w:val="auto"/>
                <w:w w:val="92"/>
              </w:rPr>
              <w:t>Accumulated</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1"/>
              </w:rPr>
              <w:t>receivable</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for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78"/>
              </w:rPr>
              <w:t>Notes</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redeemable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9"/>
              </w:rPr>
              <w:t>receivable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540" w:type="dxa"/>
            <w:vAlign w:val="bottom"/>
            <w:gridSpan w:val="5"/>
            <w:vMerge w:val="restart"/>
          </w:tcPr>
          <w:p>
            <w:pPr>
              <w:jc w:val="right"/>
              <w:ind w:right="220"/>
              <w:spacing w:after="0"/>
              <w:rPr>
                <w:sz w:val="20"/>
                <w:szCs w:val="20"/>
                <w:color w:val="auto"/>
              </w:rPr>
            </w:pPr>
            <w:r>
              <w:rPr>
                <w:rFonts w:ascii="Arial" w:cs="Arial" w:eastAsia="Arial" w:hAnsi="Arial"/>
                <w:sz w:val="11"/>
                <w:szCs w:val="11"/>
                <w:b w:val="1"/>
                <w:bCs w:val="1"/>
                <w:color w:val="auto"/>
                <w:w w:val="89"/>
              </w:rPr>
              <w:t>Redeemable common stock</w:t>
            </w:r>
          </w:p>
        </w:tc>
        <w:tc>
          <w:tcPr>
            <w:tcW w:w="80" w:type="dxa"/>
            <w:vAlign w:val="bottom"/>
          </w:tcPr>
          <w:p>
            <w:pPr>
              <w:spacing w:after="0"/>
              <w:rPr>
                <w:sz w:val="11"/>
                <w:szCs w:val="11"/>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2"/>
              </w:rPr>
              <w:t>common</w:t>
            </w:r>
          </w:p>
        </w:tc>
        <w:tc>
          <w:tcPr>
            <w:tcW w:w="600" w:type="dxa"/>
            <w:vAlign w:val="bottom"/>
            <w:gridSpan w:val="2"/>
          </w:tcPr>
          <w:p>
            <w:pPr>
              <w:jc w:val="right"/>
              <w:spacing w:after="0"/>
              <w:rPr>
                <w:sz w:val="20"/>
                <w:szCs w:val="20"/>
                <w:color w:val="auto"/>
              </w:rPr>
            </w:pPr>
            <w:r>
              <w:rPr>
                <w:rFonts w:ascii="Arial" w:cs="Arial" w:eastAsia="Arial" w:hAnsi="Arial"/>
                <w:sz w:val="11"/>
                <w:szCs w:val="11"/>
                <w:b w:val="1"/>
                <w:bCs w:val="1"/>
                <w:color w:val="auto"/>
                <w:w w:val="95"/>
              </w:rPr>
              <w:t>Redeemabl</w:t>
            </w:r>
          </w:p>
        </w:tc>
        <w:tc>
          <w:tcPr>
            <w:tcW w:w="160" w:type="dxa"/>
            <w:vAlign w:val="bottom"/>
          </w:tcPr>
          <w:p>
            <w:pPr>
              <w:spacing w:after="0"/>
              <w:rPr>
                <w:sz w:val="11"/>
                <w:szCs w:val="11"/>
                <w:color w:val="auto"/>
              </w:rPr>
            </w:pPr>
          </w:p>
        </w:tc>
        <w:tc>
          <w:tcPr>
            <w:tcW w:w="1540" w:type="dxa"/>
            <w:vAlign w:val="bottom"/>
            <w:gridSpan w:val="5"/>
            <w:vMerge w:val="restart"/>
          </w:tcPr>
          <w:p>
            <w:pPr>
              <w:jc w:val="right"/>
              <w:ind w:right="200"/>
              <w:spacing w:after="0"/>
              <w:rPr>
                <w:sz w:val="20"/>
                <w:szCs w:val="20"/>
                <w:color w:val="auto"/>
              </w:rPr>
            </w:pPr>
            <w:r>
              <w:rPr>
                <w:rFonts w:ascii="Arial" w:cs="Arial" w:eastAsia="Arial" w:hAnsi="Arial"/>
                <w:sz w:val="11"/>
                <w:szCs w:val="11"/>
                <w:b w:val="1"/>
                <w:bCs w:val="1"/>
                <w:color w:val="auto"/>
                <w:w w:val="91"/>
              </w:rPr>
              <w:t>Convertible preferred stock</w:t>
            </w:r>
          </w:p>
        </w:tc>
        <w:tc>
          <w:tcPr>
            <w:tcW w:w="94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1"/>
                <w:szCs w:val="11"/>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for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6"/>
              </w:rPr>
              <w:t>Accumulate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stock</w:t>
            </w:r>
          </w:p>
        </w:tc>
        <w:tc>
          <w:tcPr>
            <w:tcW w:w="100" w:type="dxa"/>
            <w:vAlign w:val="bottom"/>
          </w:tcPr>
          <w:p>
            <w:pPr>
              <w:spacing w:after="0"/>
              <w:rPr>
                <w:sz w:val="12"/>
                <w:szCs w:val="12"/>
                <w:color w:val="auto"/>
              </w:rPr>
            </w:pPr>
          </w:p>
        </w:tc>
        <w:tc>
          <w:tcPr>
            <w:tcW w:w="500" w:type="dxa"/>
            <w:vAlign w:val="bottom"/>
          </w:tcPr>
          <w:p>
            <w:pPr>
              <w:jc w:val="right"/>
              <w:ind w:right="226"/>
              <w:spacing w:after="0"/>
              <w:rPr>
                <w:sz w:val="20"/>
                <w:szCs w:val="20"/>
                <w:color w:val="auto"/>
              </w:rPr>
            </w:pPr>
            <w:r>
              <w:rPr>
                <w:rFonts w:ascii="Arial" w:cs="Arial" w:eastAsia="Arial" w:hAnsi="Arial"/>
                <w:sz w:val="11"/>
                <w:szCs w:val="11"/>
                <w:b w:val="1"/>
                <w:bCs w:val="1"/>
                <w:color w:val="auto"/>
              </w:rPr>
              <w:t>e</w:t>
            </w:r>
          </w:p>
        </w:tc>
        <w:tc>
          <w:tcPr>
            <w:tcW w:w="16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4"/>
              </w:rPr>
              <w:t>paid-in</w:t>
            </w: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redeemable</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comprehensive</w:t>
            </w:r>
          </w:p>
        </w:tc>
        <w:tc>
          <w:tcPr>
            <w:tcW w:w="120" w:type="dxa"/>
            <w:vAlign w:val="bottom"/>
          </w:tcPr>
          <w:p>
            <w:pPr>
              <w:spacing w:after="0"/>
              <w:rPr>
                <w:sz w:val="12"/>
                <w:szCs w:val="12"/>
                <w:color w:val="auto"/>
              </w:rPr>
            </w:pPr>
          </w:p>
        </w:tc>
        <w:tc>
          <w:tcPr>
            <w:tcW w:w="500" w:type="dxa"/>
            <w:vAlign w:val="bottom"/>
          </w:tcPr>
          <w:p>
            <w:pPr>
              <w:jc w:val="center"/>
              <w:ind w:right="66"/>
              <w:spacing w:after="0"/>
              <w:rPr>
                <w:sz w:val="20"/>
                <w:szCs w:val="20"/>
                <w:color w:val="auto"/>
              </w:rPr>
            </w:pPr>
            <w:r>
              <w:rPr>
                <w:rFonts w:ascii="Arial" w:cs="Arial" w:eastAsia="Arial" w:hAnsi="Arial"/>
                <w:sz w:val="11"/>
                <w:szCs w:val="11"/>
                <w:b w:val="1"/>
                <w:bCs w:val="1"/>
                <w:color w:val="auto"/>
                <w:w w:val="88"/>
              </w:rPr>
              <w:t>d</w:t>
            </w:r>
          </w:p>
        </w:tc>
        <w:tc>
          <w:tcPr>
            <w:tcW w:w="120" w:type="dxa"/>
            <w:vAlign w:val="bottom"/>
          </w:tcPr>
          <w:p>
            <w:pPr>
              <w:spacing w:after="0"/>
              <w:rPr>
                <w:sz w:val="12"/>
                <w:szCs w:val="12"/>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w w:val="89"/>
              </w:rPr>
              <w:t>stockholders'</w:t>
            </w: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46"/>
              <w:spacing w:after="0"/>
              <w:rPr>
                <w:sz w:val="20"/>
                <w:szCs w:val="20"/>
                <w:color w:val="auto"/>
              </w:rPr>
            </w:pPr>
            <w:r>
              <w:rPr>
                <w:rFonts w:ascii="Arial" w:cs="Arial" w:eastAsia="Arial" w:hAnsi="Arial"/>
                <w:sz w:val="11"/>
                <w:szCs w:val="11"/>
                <w:b w:val="1"/>
                <w:bCs w:val="1"/>
                <w:color w:val="auto"/>
                <w:w w:val="97"/>
              </w:rPr>
              <w:t>stock</w:t>
            </w: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common</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68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2"/>
                <w:szCs w:val="12"/>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0"/>
              </w:rPr>
              <w:t>issued</w:t>
            </w:r>
          </w:p>
        </w:tc>
        <w:tc>
          <w:tcPr>
            <w:tcW w:w="1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w w:val="85"/>
              </w:rPr>
              <w:t>options</w:t>
            </w:r>
          </w:p>
        </w:tc>
        <w:tc>
          <w:tcPr>
            <w:tcW w:w="160" w:type="dxa"/>
            <w:vAlign w:val="bottom"/>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1"/>
              </w:rPr>
              <w:t>Amount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Shares</w:t>
            </w:r>
          </w:p>
        </w:tc>
        <w:tc>
          <w:tcPr>
            <w:tcW w:w="460" w:type="dxa"/>
            <w:vAlign w:val="bottom"/>
            <w:gridSpan w:val="2"/>
          </w:tcPr>
          <w:p>
            <w:pPr>
              <w:jc w:val="right"/>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1"/>
              </w:rPr>
              <w:t>capital</w:t>
            </w: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w w:val="98"/>
              </w:rPr>
              <w:t>stock issued</w:t>
            </w:r>
          </w:p>
        </w:tc>
        <w:tc>
          <w:tcPr>
            <w:tcW w:w="84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0"/>
              </w:rPr>
              <w:t>income (loss)</w:t>
            </w:r>
          </w:p>
        </w:tc>
        <w:tc>
          <w:tcPr>
            <w:tcW w:w="120" w:type="dxa"/>
            <w:vAlign w:val="bottom"/>
          </w:tcPr>
          <w:p>
            <w:pPr>
              <w:spacing w:after="0"/>
              <w:rPr>
                <w:sz w:val="12"/>
                <w:szCs w:val="12"/>
                <w:color w:val="auto"/>
              </w:rPr>
            </w:pPr>
          </w:p>
        </w:tc>
        <w:tc>
          <w:tcPr>
            <w:tcW w:w="500" w:type="dxa"/>
            <w:vAlign w:val="bottom"/>
          </w:tcPr>
          <w:p>
            <w:pPr>
              <w:jc w:val="center"/>
              <w:ind w:right="66"/>
              <w:spacing w:after="0"/>
              <w:rPr>
                <w:sz w:val="20"/>
                <w:szCs w:val="20"/>
                <w:color w:val="auto"/>
              </w:rPr>
            </w:pPr>
            <w:r>
              <w:rPr>
                <w:rFonts w:ascii="Arial" w:cs="Arial" w:eastAsia="Arial" w:hAnsi="Arial"/>
                <w:sz w:val="11"/>
                <w:szCs w:val="11"/>
                <w:b w:val="1"/>
                <w:bCs w:val="1"/>
                <w:color w:val="auto"/>
                <w:w w:val="92"/>
              </w:rPr>
              <w:t>deficit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December 31, 2020</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3,813,450</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80,780</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(803 )</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53,085</w:t>
            </w:r>
          </w:p>
        </w:tc>
        <w:tc>
          <w:tcPr>
            <w:tcW w:w="820" w:type="dxa"/>
            <w:vAlign w:val="bottom"/>
            <w:tcBorders>
              <w:left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14,376,272</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353,300</w:t>
            </w:r>
          </w:p>
        </w:tc>
        <w:tc>
          <w:tcPr>
            <w:tcW w:w="120" w:type="dxa"/>
            <w:vAlign w:val="bottom"/>
            <w:tcBorders>
              <w:bottom w:val="single" w:sz="8" w:color="CFF0FC"/>
              <w:right w:val="single" w:sz="8" w:color="auto"/>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(3 )</w:t>
            </w:r>
          </w:p>
        </w:tc>
        <w:tc>
          <w:tcPr>
            <w:tcW w:w="1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(430,588 )</w:t>
            </w:r>
          </w:p>
        </w:tc>
        <w:tc>
          <w:tcPr>
            <w:tcW w:w="260" w:type="dxa"/>
            <w:vAlign w:val="bottom"/>
            <w:tcBorders>
              <w:left w:val="single" w:sz="8" w:color="CFF0FC"/>
              <w:bottom w:val="single" w:sz="8" w:color="CFF0FC"/>
            </w:tcBorders>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(430,591 )</w:t>
            </w:r>
          </w:p>
        </w:tc>
        <w:tc>
          <w:tcPr>
            <w:tcW w:w="0" w:type="dxa"/>
            <w:vAlign w:val="bottom"/>
          </w:tcPr>
          <w:p>
            <w:pPr>
              <w:spacing w:after="0"/>
              <w:rPr>
                <w:sz w:val="1"/>
                <w:szCs w:val="1"/>
                <w:color w:val="auto"/>
              </w:rPr>
            </w:pPr>
          </w:p>
        </w:tc>
      </w:tr>
      <w:tr>
        <w:trPr>
          <w:trHeight w:val="140"/>
        </w:trPr>
        <w:tc>
          <w:tcPr>
            <w:tcW w:w="168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1"/>
                <w:szCs w:val="11"/>
                <w:color w:val="auto"/>
              </w:rPr>
              <w:t>280,545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6,922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(5,715 )</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w w:val="92"/>
              </w:rPr>
              <w:t>Stock-based compensation expense</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left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1,239</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1,239</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80" w:type="dxa"/>
            <w:vAlign w:val="bottom"/>
          </w:tcPr>
          <w:p>
            <w:pPr>
              <w:ind w:left="20"/>
              <w:spacing w:after="0"/>
              <w:rPr>
                <w:sz w:val="20"/>
                <w:szCs w:val="20"/>
                <w:color w:val="auto"/>
              </w:rPr>
            </w:pPr>
            <w:r>
              <w:rPr>
                <w:rFonts w:ascii="Arial" w:cs="Arial" w:eastAsia="Arial" w:hAnsi="Arial"/>
                <w:sz w:val="11"/>
                <w:szCs w:val="11"/>
                <w:color w:val="auto"/>
              </w:rPr>
              <w:t>Unrealized gain on short-term</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rPr>
                <w:sz w:val="20"/>
                <w:szCs w:val="20"/>
                <w:color w:val="auto"/>
              </w:rPr>
            </w:pPr>
            <w:r>
              <w:rPr>
                <w:rFonts w:ascii="Arial" w:cs="Arial" w:eastAsia="Arial" w:hAnsi="Arial"/>
                <w:sz w:val="11"/>
                <w:szCs w:val="11"/>
                <w:color w:val="auto"/>
                <w:w w:val="97"/>
              </w:rPr>
              <w:t>investments and cash equivalents,</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80" w:type="dxa"/>
            <w:vAlign w:val="bottom"/>
          </w:tcPr>
          <w:p>
            <w:pPr>
              <w:ind w:left="20"/>
              <w:spacing w:after="0"/>
              <w:rPr>
                <w:sz w:val="20"/>
                <w:szCs w:val="20"/>
                <w:color w:val="auto"/>
              </w:rPr>
            </w:pPr>
            <w:r>
              <w:rPr>
                <w:rFonts w:ascii="Arial" w:cs="Arial" w:eastAsia="Arial" w:hAnsi="Arial"/>
                <w:sz w:val="11"/>
                <w:szCs w:val="11"/>
                <w:color w:val="auto"/>
              </w:rPr>
              <w:t>net of tax</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Foreign currency translation</w:t>
            </w: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left w:val="single" w:sz="8" w:color="CFF0FC"/>
            </w:tcBorders>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adjustment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left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(4 )</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39"/>
        </w:trPr>
        <w:tc>
          <w:tcPr>
            <w:tcW w:w="1680" w:type="dxa"/>
            <w:vAlign w:val="bottom"/>
          </w:tcPr>
          <w:p>
            <w:pPr>
              <w:ind w:left="20"/>
              <w:spacing w:after="0"/>
              <w:rPr>
                <w:sz w:val="20"/>
                <w:szCs w:val="20"/>
                <w:color w:val="auto"/>
              </w:rPr>
            </w:pPr>
            <w:r>
              <w:rPr>
                <w:rFonts w:ascii="Arial" w:cs="Arial" w:eastAsia="Arial" w:hAnsi="Arial"/>
                <w:sz w:val="11"/>
                <w:szCs w:val="11"/>
                <w:color w:val="auto"/>
              </w:rPr>
              <w:t>Change in notes receivable for</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80" w:type="dxa"/>
            <w:vAlign w:val="bottom"/>
          </w:tcPr>
          <w:p>
            <w:pPr>
              <w:ind w:left="20"/>
              <w:spacing w:after="0"/>
              <w:rPr>
                <w:sz w:val="20"/>
                <w:szCs w:val="20"/>
                <w:color w:val="auto"/>
              </w:rPr>
            </w:pPr>
            <w:r>
              <w:rPr>
                <w:rFonts w:ascii="Arial" w:cs="Arial" w:eastAsia="Arial" w:hAnsi="Arial"/>
                <w:sz w:val="11"/>
                <w:szCs w:val="11"/>
                <w:color w:val="auto"/>
              </w:rPr>
              <w:t>common stock issued</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(14 )</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w w:val="92"/>
              </w:rPr>
              <w:t>Reclassification of 4,093,995 shares</w:t>
            </w: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left w:val="single" w:sz="8" w:color="CFF0FC"/>
            </w:tcBorders>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of redeemable common stock to</w:t>
            </w: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w w:val="95"/>
              </w:rPr>
              <w:t>4,093,995 shares of common stock</w:t>
            </w:r>
          </w:p>
        </w:tc>
        <w:tc>
          <w:tcPr>
            <w:tcW w:w="8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(4,093,995 )</w:t>
            </w:r>
          </w:p>
        </w:tc>
        <w:tc>
          <w:tcPr>
            <w:tcW w:w="8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(87,702 )</w:t>
            </w:r>
          </w:p>
        </w:tc>
        <w:tc>
          <w:tcPr>
            <w:tcW w:w="8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817</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left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4,093,995</w:t>
            </w: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87,698</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(817 )</w:t>
            </w:r>
          </w:p>
        </w:tc>
        <w:tc>
          <w:tcPr>
            <w:tcW w:w="1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86,885</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80" w:type="dxa"/>
            <w:vAlign w:val="bottom"/>
          </w:tcPr>
          <w:p>
            <w:pPr>
              <w:ind w:left="20"/>
              <w:spacing w:after="0"/>
              <w:rPr>
                <w:sz w:val="20"/>
                <w:szCs w:val="20"/>
                <w:color w:val="auto"/>
              </w:rPr>
            </w:pPr>
            <w:r>
              <w:rPr>
                <w:rFonts w:ascii="Arial" w:cs="Arial" w:eastAsia="Arial" w:hAnsi="Arial"/>
                <w:sz w:val="11"/>
                <w:szCs w:val="11"/>
                <w:color w:val="auto"/>
              </w:rPr>
              <w:t>Reclassification of redeemable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rPr>
                <w:sz w:val="20"/>
                <w:szCs w:val="20"/>
                <w:color w:val="auto"/>
              </w:rPr>
            </w:pPr>
            <w:r>
              <w:rPr>
                <w:rFonts w:ascii="Arial" w:cs="Arial" w:eastAsia="Arial" w:hAnsi="Arial"/>
                <w:sz w:val="11"/>
                <w:szCs w:val="11"/>
                <w:color w:val="auto"/>
                <w:w w:val="98"/>
              </w:rPr>
              <w:t>common stock options to common</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680" w:type="dxa"/>
            <w:vAlign w:val="bottom"/>
          </w:tcPr>
          <w:p>
            <w:pPr>
              <w:ind w:left="20"/>
              <w:spacing w:after="0"/>
              <w:rPr>
                <w:sz w:val="20"/>
                <w:szCs w:val="20"/>
                <w:color w:val="auto"/>
              </w:rPr>
            </w:pPr>
            <w:r>
              <w:rPr>
                <w:rFonts w:ascii="Arial" w:cs="Arial" w:eastAsia="Arial" w:hAnsi="Arial"/>
                <w:sz w:val="11"/>
                <w:szCs w:val="11"/>
                <w:color w:val="auto"/>
              </w:rPr>
              <w:t>stock options</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(47,370 )</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47,370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47,370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left w:val="single" w:sz="8" w:color="CFF0FC"/>
            </w:tcBorders>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(6,805 )</w:t>
            </w:r>
          </w:p>
        </w:tc>
        <w:tc>
          <w:tcPr>
            <w:tcW w:w="120" w:type="dxa"/>
            <w:vAlign w:val="bottom"/>
            <w:tcBorders>
              <w:lef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(6,805 )</w:t>
            </w:r>
          </w:p>
        </w:tc>
        <w:tc>
          <w:tcPr>
            <w:tcW w:w="0" w:type="dxa"/>
            <w:vAlign w:val="bottom"/>
          </w:tcPr>
          <w:p>
            <w:pPr>
              <w:spacing w:after="0"/>
              <w:rPr>
                <w:sz w:val="1"/>
                <w:szCs w:val="1"/>
                <w:color w:val="auto"/>
              </w:rPr>
            </w:pPr>
          </w:p>
        </w:tc>
      </w:tr>
      <w:tr>
        <w:trPr>
          <w:trHeight w:val="20"/>
        </w:trPr>
        <w:tc>
          <w:tcPr>
            <w:tcW w:w="16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680" w:type="dxa"/>
            <w:vAlign w:val="bottom"/>
          </w:tcPr>
          <w:p>
            <w:pPr>
              <w:ind w:left="20"/>
              <w:spacing w:after="0"/>
              <w:rPr>
                <w:sz w:val="20"/>
                <w:szCs w:val="20"/>
                <w:color w:val="auto"/>
              </w:rPr>
            </w:pPr>
            <w:r>
              <w:rPr>
                <w:rFonts w:ascii="Arial" w:cs="Arial" w:eastAsia="Arial" w:hAnsi="Arial"/>
                <w:sz w:val="11"/>
                <w:szCs w:val="11"/>
                <w:color w:val="auto"/>
              </w:rPr>
              <w:t>Balance at March 31, 2021</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14,376,272</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353,300</w:t>
            </w:r>
          </w:p>
        </w:tc>
        <w:tc>
          <w:tcPr>
            <w:tcW w:w="120" w:type="dxa"/>
            <w:vAlign w:val="bottom"/>
            <w:tcBorders>
              <w:right w:val="single" w:sz="8" w:color="auto"/>
            </w:tcBorders>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4,093,996</w:t>
            </w:r>
          </w:p>
        </w:tc>
        <w:tc>
          <w:tcPr>
            <w:tcW w:w="120" w:type="dxa"/>
            <w:vAlign w:val="bottom"/>
          </w:tcPr>
          <w:p>
            <w:pPr>
              <w:spacing w:after="0"/>
              <w:rPr>
                <w:sz w:val="11"/>
                <w:szCs w:val="11"/>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136,307</w:t>
            </w:r>
          </w:p>
        </w:tc>
        <w:tc>
          <w:tcPr>
            <w:tcW w:w="12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(817 )</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(437,393 )</w:t>
            </w:r>
          </w:p>
        </w:tc>
        <w:tc>
          <w:tcPr>
            <w:tcW w:w="26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(301,899 )</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Exercise of stock options</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left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30,215</w:t>
            </w: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125</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125</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80" w:type="dxa"/>
            <w:vAlign w:val="bottom"/>
          </w:tcPr>
          <w:p>
            <w:pPr>
              <w:ind w:left="20"/>
              <w:spacing w:after="0"/>
              <w:rPr>
                <w:sz w:val="20"/>
                <w:szCs w:val="20"/>
                <w:color w:val="auto"/>
              </w:rPr>
            </w:pPr>
            <w:r>
              <w:rPr>
                <w:rFonts w:ascii="Arial" w:cs="Arial" w:eastAsia="Arial" w:hAnsi="Arial"/>
                <w:sz w:val="11"/>
                <w:szCs w:val="11"/>
                <w:color w:val="auto"/>
                <w:w w:val="92"/>
              </w:rPr>
              <w:t>Stock-based compensation expense</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Unrealized loss on short-term</w:t>
            </w: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left w:val="single" w:sz="8" w:color="CFF0FC"/>
            </w:tcBorders>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investments and cash equivalents,</w:t>
            </w: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of tax</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left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(4 )</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39"/>
        </w:trPr>
        <w:tc>
          <w:tcPr>
            <w:tcW w:w="1680" w:type="dxa"/>
            <w:vAlign w:val="bottom"/>
          </w:tcPr>
          <w:p>
            <w:pPr>
              <w:ind w:left="20"/>
              <w:spacing w:after="0"/>
              <w:rPr>
                <w:sz w:val="20"/>
                <w:szCs w:val="20"/>
                <w:color w:val="auto"/>
              </w:rPr>
            </w:pPr>
            <w:r>
              <w:rPr>
                <w:rFonts w:ascii="Arial" w:cs="Arial" w:eastAsia="Arial" w:hAnsi="Arial"/>
                <w:sz w:val="11"/>
                <w:szCs w:val="11"/>
                <w:color w:val="auto"/>
              </w:rPr>
              <w:t>Foreign currency translation</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80" w:type="dxa"/>
            <w:vAlign w:val="bottom"/>
          </w:tcPr>
          <w:p>
            <w:pPr>
              <w:ind w:left="20"/>
              <w:spacing w:after="0"/>
              <w:rPr>
                <w:sz w:val="20"/>
                <w:szCs w:val="20"/>
                <w:color w:val="auto"/>
              </w:rPr>
            </w:pPr>
            <w:r>
              <w:rPr>
                <w:rFonts w:ascii="Arial" w:cs="Arial" w:eastAsia="Arial" w:hAnsi="Arial"/>
                <w:sz w:val="11"/>
                <w:szCs w:val="11"/>
                <w:color w:val="auto"/>
              </w:rPr>
              <w:t>adjustment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Change in notes receivable for</w:t>
            </w: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left w:val="single" w:sz="8" w:color="CFF0FC"/>
            </w:tcBorders>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common stock issued</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left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452</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452</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680" w:type="dxa"/>
            <w:vAlign w:val="bottom"/>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(13,477 )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(13,477 )</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June 30, 2021</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left w:val="single" w:sz="8" w:color="CFF0FC"/>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14,376,272</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353,300</w:t>
            </w: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4,124,211</w:t>
            </w: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137,838</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(365 )</w:t>
            </w:r>
          </w:p>
        </w:tc>
        <w:tc>
          <w:tcPr>
            <w:tcW w:w="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(3 )</w:t>
            </w:r>
          </w:p>
        </w:tc>
        <w:tc>
          <w:tcPr>
            <w:tcW w:w="1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(450,870 )</w:t>
            </w:r>
          </w:p>
        </w:tc>
        <w:tc>
          <w:tcPr>
            <w:tcW w:w="260" w:type="dxa"/>
            <w:vAlign w:val="bottom"/>
            <w:tcBorders>
              <w:left w:val="single" w:sz="8" w:color="CFF0FC"/>
              <w:bottom w:val="single" w:sz="8" w:color="CFF0FC"/>
            </w:tcBorders>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(313,396 )</w:t>
            </w:r>
          </w:p>
        </w:tc>
        <w:tc>
          <w:tcPr>
            <w:tcW w:w="0" w:type="dxa"/>
            <w:vAlign w:val="bottom"/>
          </w:tcPr>
          <w:p>
            <w:pPr>
              <w:spacing w:after="0"/>
              <w:rPr>
                <w:sz w:val="1"/>
                <w:szCs w:val="1"/>
                <w:color w:val="auto"/>
              </w:rPr>
            </w:pPr>
          </w:p>
        </w:tc>
      </w:tr>
      <w:tr>
        <w:trPr>
          <w:trHeight w:val="140"/>
        </w:trPr>
        <w:tc>
          <w:tcPr>
            <w:tcW w:w="168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11,051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w w:val="92"/>
              </w:rPr>
              <w:t>Stock-based compensation expense</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left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2,013</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2,013</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80" w:type="dxa"/>
            <w:vAlign w:val="bottom"/>
          </w:tcPr>
          <w:p>
            <w:pPr>
              <w:ind w:left="20"/>
              <w:spacing w:after="0"/>
              <w:rPr>
                <w:sz w:val="20"/>
                <w:szCs w:val="20"/>
                <w:color w:val="auto"/>
              </w:rPr>
            </w:pPr>
            <w:r>
              <w:rPr>
                <w:rFonts w:ascii="Arial" w:cs="Arial" w:eastAsia="Arial" w:hAnsi="Arial"/>
                <w:sz w:val="11"/>
                <w:szCs w:val="11"/>
                <w:color w:val="auto"/>
              </w:rPr>
              <w:t>Proceeds from notes receivable</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Surrender of common stock in</w:t>
            </w: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left w:val="single" w:sz="8" w:color="CFF0FC"/>
            </w:tcBorders>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exchange for cancellation of note</w:t>
            </w: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receivable</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left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6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(11,011 )</w:t>
            </w:r>
          </w:p>
        </w:tc>
        <w:tc>
          <w:tcPr>
            <w:tcW w:w="2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(229 )</w:t>
            </w: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229</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80" w:type="dxa"/>
            <w:vAlign w:val="bottom"/>
          </w:tcPr>
          <w:p>
            <w:pPr>
              <w:ind w:left="20"/>
              <w:spacing w:after="0"/>
              <w:rPr>
                <w:sz w:val="20"/>
                <w:szCs w:val="20"/>
                <w:color w:val="auto"/>
              </w:rPr>
            </w:pPr>
            <w:r>
              <w:rPr>
                <w:rFonts w:ascii="Arial" w:cs="Arial" w:eastAsia="Arial" w:hAnsi="Arial"/>
                <w:sz w:val="11"/>
                <w:szCs w:val="11"/>
                <w:color w:val="auto"/>
              </w:rPr>
              <w:t>Exercise of preferred 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rPr>
                <w:sz w:val="20"/>
                <w:szCs w:val="20"/>
                <w:color w:val="auto"/>
              </w:rPr>
            </w:pPr>
            <w:r>
              <w:rPr>
                <w:rFonts w:ascii="Arial" w:cs="Arial" w:eastAsia="Arial" w:hAnsi="Arial"/>
                <w:sz w:val="11"/>
                <w:szCs w:val="11"/>
                <w:color w:val="auto"/>
                <w:w w:val="95"/>
              </w:rPr>
              <w:t>warrants, net of shares withheld for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80" w:type="dxa"/>
            <w:vAlign w:val="bottom"/>
          </w:tcPr>
          <w:p>
            <w:pPr>
              <w:ind w:left="20"/>
              <w:spacing w:after="0"/>
              <w:rPr>
                <w:sz w:val="20"/>
                <w:szCs w:val="20"/>
                <w:color w:val="auto"/>
              </w:rPr>
            </w:pPr>
            <w:r>
              <w:rPr>
                <w:rFonts w:ascii="Arial" w:cs="Arial" w:eastAsia="Arial" w:hAnsi="Arial"/>
                <w:sz w:val="11"/>
                <w:szCs w:val="11"/>
                <w:color w:val="auto"/>
              </w:rPr>
              <w:t>exercise price</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100,261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3,912</w:t>
            </w:r>
          </w:p>
        </w:tc>
        <w:tc>
          <w:tcPr>
            <w:tcW w:w="120" w:type="dxa"/>
            <w:vAlign w:val="bottom"/>
            <w:tcBorders>
              <w:right w:val="single" w:sz="8" w:color="auto"/>
            </w:tcBorders>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(2,011 )</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(2,011 )</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Conversion of preferred stock to</w:t>
            </w: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left w:val="single" w:sz="8" w:color="CFF0FC"/>
            </w:tcBorders>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common stock upon initial public</w:t>
            </w: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offering, net of fractional shares</w:t>
            </w: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14,951,25</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settled for $11</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60" w:type="dxa"/>
            <w:vAlign w:val="bottom"/>
            <w:tcBorders>
              <w:left w:val="single" w:sz="8" w:color="CFF0FC"/>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1"/>
                <w:szCs w:val="11"/>
                <w:color w:val="auto"/>
              </w:rPr>
              <w:t>(14,476,533 )</w:t>
            </w:r>
          </w:p>
        </w:tc>
        <w:tc>
          <w:tcPr>
            <w:tcW w:w="1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(357,212 )</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357,187</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357,202</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80" w:type="dxa"/>
            <w:vAlign w:val="bottom"/>
          </w:tcPr>
          <w:p>
            <w:pPr>
              <w:ind w:left="20"/>
              <w:spacing w:after="0"/>
              <w:rPr>
                <w:sz w:val="20"/>
                <w:szCs w:val="20"/>
                <w:color w:val="auto"/>
              </w:rPr>
            </w:pPr>
            <w:r>
              <w:rPr>
                <w:rFonts w:ascii="Arial" w:cs="Arial" w:eastAsia="Arial" w:hAnsi="Arial"/>
                <w:sz w:val="11"/>
                <w:szCs w:val="11"/>
                <w:color w:val="auto"/>
              </w:rPr>
              <w:t>Issuance of common stock in</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rPr>
                <w:sz w:val="20"/>
                <w:szCs w:val="20"/>
                <w:color w:val="auto"/>
              </w:rPr>
            </w:pPr>
            <w:r>
              <w:rPr>
                <w:rFonts w:ascii="Arial" w:cs="Arial" w:eastAsia="Arial" w:hAnsi="Arial"/>
                <w:sz w:val="11"/>
                <w:szCs w:val="11"/>
                <w:color w:val="auto"/>
              </w:rPr>
              <w:t>connection with initial public</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rPr>
                <w:sz w:val="20"/>
                <w:szCs w:val="20"/>
                <w:color w:val="auto"/>
              </w:rPr>
            </w:pPr>
            <w:r>
              <w:rPr>
                <w:rFonts w:ascii="Arial" w:cs="Arial" w:eastAsia="Arial" w:hAnsi="Arial"/>
                <w:sz w:val="11"/>
                <w:szCs w:val="11"/>
                <w:color w:val="auto"/>
              </w:rPr>
              <w:t>offering, net of underwriter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rPr>
                <w:sz w:val="20"/>
                <w:szCs w:val="20"/>
                <w:color w:val="auto"/>
              </w:rPr>
            </w:pPr>
            <w:r>
              <w:rPr>
                <w:rFonts w:ascii="Arial" w:cs="Arial" w:eastAsia="Arial" w:hAnsi="Arial"/>
                <w:sz w:val="11"/>
                <w:szCs w:val="11"/>
                <w:color w:val="auto"/>
              </w:rPr>
              <w:t>discounts and issuance costs of</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80" w:type="dxa"/>
            <w:vAlign w:val="bottom"/>
          </w:tcPr>
          <w:p>
            <w:pPr>
              <w:ind w:left="20"/>
              <w:spacing w:after="0"/>
              <w:rPr>
                <w:sz w:val="20"/>
                <w:szCs w:val="20"/>
                <w:color w:val="auto"/>
              </w:rPr>
            </w:pPr>
            <w:r>
              <w:rPr>
                <w:rFonts w:ascii="Arial" w:cs="Arial" w:eastAsia="Arial" w:hAnsi="Arial"/>
                <w:sz w:val="11"/>
                <w:szCs w:val="11"/>
                <w:color w:val="auto"/>
              </w:rPr>
              <w:t>$12.4 million</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8,248,549</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119,574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119,582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Unrealized gain on short-term</w:t>
            </w: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left w:val="single" w:sz="8" w:color="CFF0FC"/>
            </w:tcBorders>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investments and cash equivalents,</w:t>
            </w: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of tax</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left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(5 )</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39"/>
        </w:trPr>
        <w:tc>
          <w:tcPr>
            <w:tcW w:w="1680" w:type="dxa"/>
            <w:vAlign w:val="bottom"/>
          </w:tcPr>
          <w:p>
            <w:pPr>
              <w:ind w:left="20"/>
              <w:spacing w:after="0"/>
              <w:rPr>
                <w:sz w:val="20"/>
                <w:szCs w:val="20"/>
                <w:color w:val="auto"/>
              </w:rPr>
            </w:pPr>
            <w:r>
              <w:rPr>
                <w:rFonts w:ascii="Arial" w:cs="Arial" w:eastAsia="Arial" w:hAnsi="Arial"/>
                <w:sz w:val="11"/>
                <w:szCs w:val="11"/>
                <w:color w:val="auto"/>
              </w:rPr>
              <w:t>Foreign currency translation</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680" w:type="dxa"/>
            <w:vAlign w:val="bottom"/>
          </w:tcPr>
          <w:p>
            <w:pPr>
              <w:ind w:left="20"/>
              <w:spacing w:after="0"/>
              <w:rPr>
                <w:sz w:val="20"/>
                <w:szCs w:val="20"/>
                <w:color w:val="auto"/>
              </w:rPr>
            </w:pPr>
            <w:r>
              <w:rPr>
                <w:rFonts w:ascii="Arial" w:cs="Arial" w:eastAsia="Arial" w:hAnsi="Arial"/>
                <w:sz w:val="11"/>
                <w:szCs w:val="11"/>
                <w:color w:val="auto"/>
              </w:rPr>
              <w:t>adjustment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(3 )</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58"/>
        </w:trPr>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left w:val="single" w:sz="8" w:color="CFF0FC"/>
            </w:tcBorders>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(12,673 )</w:t>
            </w:r>
          </w:p>
        </w:tc>
        <w:tc>
          <w:tcPr>
            <w:tcW w:w="120" w:type="dxa"/>
            <w:vAlign w:val="bottom"/>
            <w:tcBorders>
              <w:lef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(12,673 )</w:t>
            </w:r>
          </w:p>
        </w:tc>
        <w:tc>
          <w:tcPr>
            <w:tcW w:w="0" w:type="dxa"/>
            <w:vAlign w:val="bottom"/>
          </w:tcPr>
          <w:p>
            <w:pPr>
              <w:spacing w:after="0"/>
              <w:rPr>
                <w:sz w:val="1"/>
                <w:szCs w:val="1"/>
                <w:color w:val="auto"/>
              </w:rPr>
            </w:pPr>
          </w:p>
        </w:tc>
      </w:tr>
      <w:tr>
        <w:trPr>
          <w:trHeight w:val="137"/>
        </w:trPr>
        <w:tc>
          <w:tcPr>
            <w:tcW w:w="168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27,324,05</w:t>
            </w:r>
          </w:p>
        </w:tc>
        <w:tc>
          <w:tcPr>
            <w:tcW w:w="12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80" w:type="dxa"/>
            <w:vAlign w:val="bottom"/>
            <w:vMerge w:val="restart"/>
          </w:tcPr>
          <w:p>
            <w:pPr>
              <w:ind w:left="20"/>
              <w:spacing w:after="0"/>
              <w:rPr>
                <w:sz w:val="20"/>
                <w:szCs w:val="20"/>
                <w:color w:val="auto"/>
              </w:rPr>
            </w:pPr>
            <w:r>
              <w:rPr>
                <w:rFonts w:ascii="Arial" w:cs="Arial" w:eastAsia="Arial" w:hAnsi="Arial"/>
                <w:sz w:val="11"/>
                <w:szCs w:val="11"/>
                <w:color w:val="auto"/>
              </w:rPr>
              <w:t>Balance at September 30, 2021</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27</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614,418</w:t>
            </w:r>
          </w:p>
        </w:tc>
        <w:tc>
          <w:tcPr>
            <w:tcW w:w="12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(11 )</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(463,543 )</w:t>
            </w:r>
          </w:p>
        </w:tc>
        <w:tc>
          <w:tcPr>
            <w:tcW w:w="26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150,891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80" w:type="dxa"/>
            <w:vAlign w:val="bottom"/>
            <w:vMerge w:val="continue"/>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-5815330</wp:posOffset>
            </wp:positionV>
            <wp:extent cx="34290" cy="5829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582930"/>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-3630930</wp:posOffset>
            </wp:positionV>
            <wp:extent cx="9461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-3630930</wp:posOffset>
            </wp:positionV>
            <wp:extent cx="9461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-3630930</wp:posOffset>
            </wp:positionV>
            <wp:extent cx="9461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-3630930</wp:posOffset>
            </wp:positionV>
            <wp:extent cx="9461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-3630930</wp:posOffset>
            </wp:positionV>
            <wp:extent cx="939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-3749675</wp:posOffset>
            </wp:positionV>
            <wp:extent cx="73025" cy="136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25" cy="13652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-3630930</wp:posOffset>
            </wp:positionV>
            <wp:extent cx="7747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-3630930</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-3630930</wp:posOffset>
            </wp:positionV>
            <wp:extent cx="7683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-3630930</wp:posOffset>
            </wp:positionV>
            <wp:extent cx="7683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-3630930</wp:posOffset>
            </wp:positionV>
            <wp:extent cx="7747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-3630930</wp:posOffset>
            </wp:positionV>
            <wp:extent cx="7747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-3630930</wp:posOffset>
            </wp:positionV>
            <wp:extent cx="3429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-2677795</wp:posOffset>
            </wp:positionV>
            <wp:extent cx="34290" cy="136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13652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-219075</wp:posOffset>
            </wp:positionV>
            <wp:extent cx="9461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-219075</wp:posOffset>
            </wp:positionV>
            <wp:extent cx="9461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-219075</wp:posOffset>
            </wp:positionV>
            <wp:extent cx="9461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-219075</wp:posOffset>
            </wp:positionV>
            <wp:extent cx="9461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-219075</wp:posOffset>
            </wp:positionV>
            <wp:extent cx="939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-219075</wp:posOffset>
            </wp:positionV>
            <wp:extent cx="7747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-219075</wp:posOffset>
            </wp:positionV>
            <wp:extent cx="685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-219075</wp:posOffset>
            </wp:positionV>
            <wp:extent cx="7683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-219075</wp:posOffset>
            </wp:positionV>
            <wp:extent cx="7683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-219075</wp:posOffset>
            </wp:positionV>
            <wp:extent cx="7747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-219075</wp:posOffset>
            </wp:positionV>
            <wp:extent cx="7747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-219075</wp:posOffset>
            </wp:positionV>
            <wp:extent cx="3429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-337820</wp:posOffset>
            </wp:positionV>
            <wp:extent cx="73025" cy="3511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25" cy="3511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highlight w:val="white"/>
        </w:rPr>
        <w:t>See accompanying notes to unaudited condensed consolidated financial statements</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4"/>
          <w:szCs w:val="14"/>
          <w:b w:val="1"/>
          <w:bCs w:val="1"/>
          <w:color w:val="auto"/>
        </w:rPr>
        <w:t>RXSIGHT,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REDEEMABLE COMMON STOCK, STOCK OPTIONS, CONVERTIBLE PREFERRED STOCK AND STOCKHOLDERS’</w:t>
      </w:r>
    </w:p>
    <w:p>
      <w:pPr>
        <w:spacing w:after="0" w:line="25"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EQUITY (DEFICIT) (UNAUDITED)</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60" w:type="dxa"/>
            <w:vAlign w:val="bottom"/>
            <w:gridSpan w:val="10"/>
          </w:tcPr>
          <w:p>
            <w:pPr>
              <w:ind w:left="20"/>
              <w:spacing w:after="0"/>
              <w:rPr>
                <w:sz w:val="20"/>
                <w:szCs w:val="20"/>
                <w:color w:val="auto"/>
              </w:rPr>
            </w:pPr>
            <w:r>
              <w:rPr>
                <w:rFonts w:ascii="Arial" w:cs="Arial" w:eastAsia="Arial" w:hAnsi="Arial"/>
                <w:sz w:val="11"/>
                <w:szCs w:val="11"/>
                <w:b w:val="1"/>
                <w:bCs w:val="1"/>
                <w:color w:val="auto"/>
                <w:w w:val="88"/>
              </w:rPr>
              <w:t>Three Months and Nine Months Ended September 30, 2020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Notes receivable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restart"/>
          </w:tcPr>
          <w:p>
            <w:pPr>
              <w:jc w:val="center"/>
              <w:ind w:right="160"/>
              <w:spacing w:after="0"/>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8"/>
              </w:rPr>
              <w:t>for redeemable</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other</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86"/>
              </w:rPr>
              <w:t>Redeemable convertible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92"/>
              </w:rPr>
              <w:t>Additional</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56"/>
        </w:trPr>
        <w:tc>
          <w:tcPr>
            <w:tcW w:w="1780" w:type="dxa"/>
            <w:vAlign w:val="bottom"/>
          </w:tcPr>
          <w:p>
            <w:pPr>
              <w:spacing w:after="0"/>
              <w:rPr>
                <w:sz w:val="13"/>
                <w:szCs w:val="13"/>
                <w:color w:val="auto"/>
              </w:rPr>
            </w:pPr>
          </w:p>
        </w:tc>
        <w:tc>
          <w:tcPr>
            <w:tcW w:w="1420" w:type="dxa"/>
            <w:vAlign w:val="bottom"/>
            <w:gridSpan w:val="4"/>
          </w:tcPr>
          <w:p>
            <w:pPr>
              <w:jc w:val="right"/>
              <w:ind w:right="26"/>
              <w:spacing w:after="0"/>
              <w:rPr>
                <w:sz w:val="20"/>
                <w:szCs w:val="20"/>
                <w:color w:val="auto"/>
              </w:rPr>
            </w:pPr>
            <w:r>
              <w:rPr>
                <w:rFonts w:ascii="Arial" w:cs="Arial" w:eastAsia="Arial" w:hAnsi="Arial"/>
                <w:sz w:val="11"/>
                <w:szCs w:val="11"/>
                <w:b w:val="1"/>
                <w:bCs w:val="1"/>
                <w:color w:val="auto"/>
                <w:w w:val="90"/>
              </w:rPr>
              <w:t>Redeemable common stock</w:t>
            </w:r>
          </w:p>
        </w:tc>
        <w:tc>
          <w:tcPr>
            <w:tcW w:w="160" w:type="dxa"/>
            <w:vAlign w:val="bottom"/>
          </w:tcPr>
          <w:p>
            <w:pPr>
              <w:spacing w:after="0"/>
              <w:rPr>
                <w:sz w:val="13"/>
                <w:szCs w:val="13"/>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4"/>
              </w:rPr>
              <w:t>common stock</w:t>
            </w: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rPr>
              <w:t>Redeemable</w:t>
            </w:r>
          </w:p>
        </w:tc>
        <w:tc>
          <w:tcPr>
            <w:tcW w:w="152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89"/>
              </w:rPr>
              <w:t>preferred stock</w:t>
            </w:r>
          </w:p>
        </w:tc>
        <w:tc>
          <w:tcPr>
            <w:tcW w:w="1120" w:type="dxa"/>
            <w:vAlign w:val="bottom"/>
            <w:gridSpan w:val="3"/>
          </w:tcPr>
          <w:p>
            <w:pPr>
              <w:jc w:val="right"/>
              <w:ind w:right="146"/>
              <w:spacing w:after="0"/>
              <w:rPr>
                <w:sz w:val="20"/>
                <w:szCs w:val="20"/>
                <w:color w:val="auto"/>
              </w:rPr>
            </w:pPr>
            <w:r>
              <w:rPr>
                <w:rFonts w:ascii="Arial" w:cs="Arial" w:eastAsia="Arial" w:hAnsi="Arial"/>
                <w:sz w:val="11"/>
                <w:szCs w:val="11"/>
                <w:b w:val="1"/>
                <w:bCs w:val="1"/>
                <w:color w:val="auto"/>
              </w:rPr>
              <w:t>Common stock</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paid-in</w:t>
            </w:r>
          </w:p>
        </w:tc>
        <w:tc>
          <w:tcPr>
            <w:tcW w:w="88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4"/>
              </w:rPr>
              <w:t>comprehensive</w:t>
            </w: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rPr>
              <w:t>Accumulated</w:t>
            </w:r>
          </w:p>
        </w:tc>
        <w:tc>
          <w:tcPr>
            <w:tcW w:w="8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66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1"/>
              </w:rPr>
              <w:t>Amount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0"/>
              </w:rPr>
              <w:t>issued</w:t>
            </w: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stock options</w:t>
            </w:r>
          </w:p>
        </w:tc>
        <w:tc>
          <w:tcPr>
            <w:tcW w:w="700" w:type="dxa"/>
            <w:vAlign w:val="bottom"/>
            <w:tcBorders>
              <w:top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2"/>
                <w:szCs w:val="12"/>
                <w:color w:val="auto"/>
              </w:rPr>
            </w:pPr>
          </w:p>
        </w:tc>
        <w:tc>
          <w:tcPr>
            <w:tcW w:w="5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capital</w:t>
            </w:r>
          </w:p>
        </w:tc>
        <w:tc>
          <w:tcPr>
            <w:tcW w:w="6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4"/>
              </w:rPr>
              <w:t>income (loss)</w:t>
            </w:r>
          </w:p>
        </w:tc>
        <w:tc>
          <w:tcPr>
            <w:tcW w:w="140" w:type="dxa"/>
            <w:vAlign w:val="bottom"/>
          </w:tcPr>
          <w:p>
            <w:pPr>
              <w:spacing w:after="0"/>
              <w:rPr>
                <w:sz w:val="12"/>
                <w:szCs w:val="12"/>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98"/>
              </w:rPr>
              <w:t>deficit</w:t>
            </w:r>
          </w:p>
        </w:tc>
        <w:tc>
          <w:tcPr>
            <w:tcW w:w="16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deficit</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December 31, 2019</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3,563,884</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56,422</w:t>
            </w:r>
          </w:p>
        </w:tc>
        <w:tc>
          <w:tcPr>
            <w:tcW w:w="32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(855 )</w:t>
            </w:r>
          </w:p>
        </w:tc>
        <w:tc>
          <w:tcPr>
            <w:tcW w:w="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59,631</w:t>
            </w:r>
          </w:p>
        </w:tc>
        <w:tc>
          <w:tcPr>
            <w:tcW w:w="16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14,374,455</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327,581</w:t>
            </w:r>
          </w:p>
        </w:tc>
        <w:tc>
          <w:tcPr>
            <w:tcW w:w="80" w:type="dxa"/>
            <w:vAlign w:val="bottom"/>
            <w:tcBorders>
              <w:bottom w:val="single" w:sz="8" w:color="CFF0FC"/>
              <w:right w:val="single" w:sz="8" w:color="auto"/>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600" w:type="dxa"/>
            <w:vAlign w:val="bottom"/>
            <w:tcBorders>
              <w:bottom w:val="single" w:sz="8" w:color="CFF0FC"/>
            </w:tcBorders>
            <w:gridSpan w:val="2"/>
            <w:shd w:val="clear" w:color="auto" w:fill="CFF0FC"/>
          </w:tcPr>
          <w:p>
            <w:pPr>
              <w:jc w:val="right"/>
              <w:ind w:right="34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46</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(419,855 )</w:t>
            </w:r>
          </w:p>
        </w:tc>
        <w:tc>
          <w:tcPr>
            <w:tcW w:w="16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(419,809 )</w:t>
            </w:r>
          </w:p>
        </w:tc>
        <w:tc>
          <w:tcPr>
            <w:tcW w:w="0" w:type="dxa"/>
            <w:vAlign w:val="bottom"/>
          </w:tcPr>
          <w:p>
            <w:pPr>
              <w:spacing w:after="0"/>
              <w:rPr>
                <w:sz w:val="1"/>
                <w:szCs w:val="1"/>
                <w:color w:val="auto"/>
              </w:rPr>
            </w:pPr>
          </w:p>
        </w:tc>
      </w:tr>
      <w:tr>
        <w:trPr>
          <w:trHeight w:val="140"/>
        </w:trPr>
        <w:tc>
          <w:tcPr>
            <w:tcW w:w="178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1"/>
                <w:szCs w:val="11"/>
                <w:color w:val="auto"/>
              </w:rPr>
              <w:t>11,351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(257 )</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right w:val="single" w:sz="8" w:color="auto"/>
            </w:tcBorders>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w w:val="98"/>
              </w:rPr>
              <w:t>Stock-based compensation expense</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right w:val="single" w:sz="8" w:color="auto"/>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623</w:t>
            </w:r>
          </w:p>
        </w:tc>
        <w:tc>
          <w:tcPr>
            <w:tcW w:w="1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623</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80" w:type="dxa"/>
            <w:vAlign w:val="bottom"/>
          </w:tcPr>
          <w:p>
            <w:pPr>
              <w:ind w:left="20"/>
              <w:spacing w:after="0"/>
              <w:rPr>
                <w:sz w:val="20"/>
                <w:szCs w:val="20"/>
                <w:color w:val="auto"/>
              </w:rPr>
            </w:pPr>
            <w:r>
              <w:rPr>
                <w:rFonts w:ascii="Arial" w:cs="Arial" w:eastAsia="Arial" w:hAnsi="Arial"/>
                <w:sz w:val="11"/>
                <w:szCs w:val="11"/>
                <w:color w:val="auto"/>
              </w:rPr>
              <w:t>Accretion to redemption value of</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80" w:type="dxa"/>
            <w:vAlign w:val="bottom"/>
          </w:tcPr>
          <w:p>
            <w:pPr>
              <w:ind w:left="20"/>
              <w:spacing w:after="0"/>
              <w:rPr>
                <w:sz w:val="20"/>
                <w:szCs w:val="20"/>
                <w:color w:val="auto"/>
              </w:rPr>
            </w:pPr>
            <w:r>
              <w:rPr>
                <w:rFonts w:ascii="Arial" w:cs="Arial" w:eastAsia="Arial" w:hAnsi="Arial"/>
                <w:sz w:val="11"/>
                <w:szCs w:val="11"/>
                <w:color w:val="auto"/>
              </w:rPr>
              <w:t>redeemable stock options</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(2,924 )</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right w:val="single" w:sz="8" w:color="auto"/>
            </w:tcBorders>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2,924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2,924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780" w:type="dxa"/>
            <w:vAlign w:val="bottom"/>
            <w:shd w:val="clear" w:color="auto" w:fill="CFF0FC"/>
          </w:tcPr>
          <w:p>
            <w:pPr>
              <w:ind w:left="20"/>
              <w:spacing w:after="0"/>
              <w:rPr>
                <w:sz w:val="20"/>
                <w:szCs w:val="20"/>
                <w:color w:val="auto"/>
              </w:rPr>
            </w:pPr>
            <w:r>
              <w:rPr>
                <w:rFonts w:ascii="Arial" w:cs="Arial" w:eastAsia="Arial" w:hAnsi="Arial"/>
                <w:sz w:val="11"/>
                <w:szCs w:val="11"/>
                <w:color w:val="auto"/>
              </w:rPr>
              <w:t>Accretion to redemption value of</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tcBorders>
              <w:right w:val="single" w:sz="8" w:color="auto"/>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redeemable stock</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3,493</w:t>
            </w:r>
          </w:p>
        </w:tc>
        <w:tc>
          <w:tcPr>
            <w:tcW w:w="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7,170</w:t>
            </w:r>
          </w:p>
        </w:tc>
        <w:tc>
          <w:tcPr>
            <w:tcW w:w="80" w:type="dxa"/>
            <w:vAlign w:val="bottom"/>
            <w:tcBorders>
              <w:bottom w:val="single" w:sz="8" w:color="CFF0FC"/>
              <w:right w:val="single" w:sz="8" w:color="auto"/>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(623 )</w:t>
            </w:r>
          </w:p>
        </w:tc>
        <w:tc>
          <w:tcPr>
            <w:tcW w:w="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(10,040 )</w:t>
            </w:r>
          </w:p>
        </w:tc>
        <w:tc>
          <w:tcPr>
            <w:tcW w:w="16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(10,663 )</w:t>
            </w:r>
          </w:p>
        </w:tc>
        <w:tc>
          <w:tcPr>
            <w:tcW w:w="0" w:type="dxa"/>
            <w:vAlign w:val="bottom"/>
          </w:tcPr>
          <w:p>
            <w:pPr>
              <w:spacing w:after="0"/>
              <w:rPr>
                <w:sz w:val="1"/>
                <w:szCs w:val="1"/>
                <w:color w:val="auto"/>
              </w:rPr>
            </w:pPr>
          </w:p>
        </w:tc>
      </w:tr>
      <w:tr>
        <w:trPr>
          <w:trHeight w:val="139"/>
        </w:trPr>
        <w:tc>
          <w:tcPr>
            <w:tcW w:w="1780" w:type="dxa"/>
            <w:vAlign w:val="bottom"/>
          </w:tcPr>
          <w:p>
            <w:pPr>
              <w:ind w:left="20"/>
              <w:spacing w:after="0"/>
              <w:rPr>
                <w:sz w:val="20"/>
                <w:szCs w:val="20"/>
                <w:color w:val="auto"/>
              </w:rPr>
            </w:pPr>
            <w:r>
              <w:rPr>
                <w:rFonts w:ascii="Arial" w:cs="Arial" w:eastAsia="Arial" w:hAnsi="Arial"/>
                <w:sz w:val="11"/>
                <w:szCs w:val="11"/>
                <w:color w:val="auto"/>
              </w:rPr>
              <w:t>Unrealized gain on short-term</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20"/>
              <w:spacing w:after="0"/>
              <w:rPr>
                <w:sz w:val="20"/>
                <w:szCs w:val="20"/>
                <w:color w:val="auto"/>
              </w:rPr>
            </w:pPr>
            <w:r>
              <w:rPr>
                <w:rFonts w:ascii="Arial" w:cs="Arial" w:eastAsia="Arial" w:hAnsi="Arial"/>
                <w:sz w:val="11"/>
                <w:szCs w:val="11"/>
                <w:color w:val="auto"/>
                <w:w w:val="93"/>
              </w:rPr>
              <w:t>investments and cash equivalents, net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780" w:type="dxa"/>
            <w:vAlign w:val="bottom"/>
          </w:tcPr>
          <w:p>
            <w:pPr>
              <w:ind w:left="20"/>
              <w:spacing w:after="0"/>
              <w:rPr>
                <w:sz w:val="20"/>
                <w:szCs w:val="20"/>
                <w:color w:val="auto"/>
              </w:rPr>
            </w:pPr>
            <w:r>
              <w:rPr>
                <w:rFonts w:ascii="Arial" w:cs="Arial" w:eastAsia="Arial" w:hAnsi="Arial"/>
                <w:sz w:val="11"/>
                <w:szCs w:val="11"/>
                <w:color w:val="auto"/>
              </w:rPr>
              <w:t>of tax</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right w:val="single" w:sz="8" w:color="auto"/>
            </w:tcBorders>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780" w:type="dxa"/>
            <w:vAlign w:val="bottom"/>
            <w:shd w:val="clear" w:color="auto" w:fill="CFF0FC"/>
          </w:tcPr>
          <w:p>
            <w:pPr>
              <w:ind w:left="20"/>
              <w:spacing w:after="0"/>
              <w:rPr>
                <w:sz w:val="20"/>
                <w:szCs w:val="20"/>
                <w:color w:val="auto"/>
              </w:rPr>
            </w:pPr>
            <w:r>
              <w:rPr>
                <w:rFonts w:ascii="Arial" w:cs="Arial" w:eastAsia="Arial" w:hAnsi="Arial"/>
                <w:sz w:val="11"/>
                <w:szCs w:val="11"/>
                <w:color w:val="auto"/>
              </w:rPr>
              <w:t>Foreign currency translation</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tcBorders>
              <w:right w:val="single" w:sz="8" w:color="auto"/>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adjustment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right w:val="single" w:sz="8" w:color="auto"/>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(1 )</w:t>
            </w:r>
          </w:p>
        </w:tc>
        <w:tc>
          <w:tcPr>
            <w:tcW w:w="14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139"/>
        </w:trPr>
        <w:tc>
          <w:tcPr>
            <w:tcW w:w="1780" w:type="dxa"/>
            <w:vAlign w:val="bottom"/>
          </w:tcPr>
          <w:p>
            <w:pPr>
              <w:ind w:left="20"/>
              <w:spacing w:after="0"/>
              <w:rPr>
                <w:sz w:val="20"/>
                <w:szCs w:val="20"/>
                <w:color w:val="auto"/>
              </w:rPr>
            </w:pPr>
            <w:r>
              <w:rPr>
                <w:rFonts w:ascii="Arial" w:cs="Arial" w:eastAsia="Arial" w:hAnsi="Arial"/>
                <w:sz w:val="11"/>
                <w:szCs w:val="11"/>
                <w:color w:val="auto"/>
              </w:rPr>
              <w:t>Change in notes receivable for</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780" w:type="dxa"/>
            <w:vAlign w:val="bottom"/>
          </w:tcPr>
          <w:p>
            <w:pPr>
              <w:ind w:left="20"/>
              <w:spacing w:after="0"/>
              <w:rPr>
                <w:sz w:val="20"/>
                <w:szCs w:val="20"/>
                <w:color w:val="auto"/>
              </w:rPr>
            </w:pPr>
            <w:r>
              <w:rPr>
                <w:rFonts w:ascii="Arial" w:cs="Arial" w:eastAsia="Arial" w:hAnsi="Arial"/>
                <w:sz w:val="11"/>
                <w:szCs w:val="11"/>
                <w:color w:val="auto"/>
              </w:rPr>
              <w:t>common stock issued</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84</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right w:val="single" w:sz="8" w:color="auto"/>
            </w:tcBorders>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8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right w:val="single" w:sz="8" w:color="CFF0FC"/>
            </w:tcBorders>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(16,502 )</w:t>
            </w: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(16,502 )</w:t>
            </w:r>
          </w:p>
        </w:tc>
        <w:tc>
          <w:tcPr>
            <w:tcW w:w="0" w:type="dxa"/>
            <w:vAlign w:val="bottom"/>
          </w:tcPr>
          <w:p>
            <w:pPr>
              <w:spacing w:after="0"/>
              <w:rPr>
                <w:sz w:val="1"/>
                <w:szCs w:val="1"/>
                <w:color w:val="auto"/>
              </w:rPr>
            </w:pPr>
          </w:p>
        </w:tc>
      </w:tr>
      <w:tr>
        <w:trPr>
          <w:trHeight w:val="20"/>
        </w:trPr>
        <w:tc>
          <w:tcPr>
            <w:tcW w:w="17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780" w:type="dxa"/>
            <w:vAlign w:val="bottom"/>
          </w:tcPr>
          <w:p>
            <w:pPr>
              <w:ind w:left="20"/>
              <w:spacing w:after="0"/>
              <w:rPr>
                <w:sz w:val="20"/>
                <w:szCs w:val="20"/>
                <w:color w:val="auto"/>
              </w:rPr>
            </w:pPr>
            <w:r>
              <w:rPr>
                <w:rFonts w:ascii="Arial" w:cs="Arial" w:eastAsia="Arial" w:hAnsi="Arial"/>
                <w:sz w:val="11"/>
                <w:szCs w:val="11"/>
                <w:color w:val="auto"/>
              </w:rPr>
              <w:t>Balance at March 31, 2020</w:t>
            </w:r>
          </w:p>
        </w:tc>
        <w:tc>
          <w:tcPr>
            <w:tcW w:w="660" w:type="dxa"/>
            <w:vAlign w:val="bottom"/>
          </w:tcPr>
          <w:p>
            <w:pPr>
              <w:jc w:val="right"/>
              <w:spacing w:after="0"/>
              <w:rPr>
                <w:sz w:val="20"/>
                <w:szCs w:val="20"/>
                <w:color w:val="auto"/>
              </w:rPr>
            </w:pPr>
            <w:r>
              <w:rPr>
                <w:rFonts w:ascii="Arial" w:cs="Arial" w:eastAsia="Arial" w:hAnsi="Arial"/>
                <w:sz w:val="11"/>
                <w:szCs w:val="11"/>
                <w:color w:val="auto"/>
              </w:rPr>
              <w:t>3,575,235</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60,218</w:t>
            </w:r>
          </w:p>
        </w:tc>
        <w:tc>
          <w:tcPr>
            <w:tcW w:w="160" w:type="dxa"/>
            <w:vAlign w:val="bottom"/>
          </w:tcPr>
          <w:p>
            <w:pPr>
              <w:spacing w:after="0"/>
              <w:rPr>
                <w:sz w:val="11"/>
                <w:szCs w:val="11"/>
                <w:color w:val="auto"/>
              </w:rPr>
            </w:pPr>
          </w:p>
        </w:tc>
        <w:tc>
          <w:tcPr>
            <w:tcW w:w="160" w:type="dxa"/>
            <w:vAlign w:val="bottom"/>
          </w:tcPr>
          <w:p>
            <w:pPr>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(771 )</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56,450</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14,374,455</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334,751</w:t>
            </w:r>
          </w:p>
        </w:tc>
        <w:tc>
          <w:tcPr>
            <w:tcW w:w="80" w:type="dxa"/>
            <w:vAlign w:val="bottom"/>
            <w:tcBorders>
              <w:right w:val="single" w:sz="8" w:color="auto"/>
            </w:tcBorders>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600" w:type="dxa"/>
            <w:vAlign w:val="bottom"/>
            <w:gridSpan w:val="2"/>
          </w:tcPr>
          <w:p>
            <w:pPr>
              <w:jc w:val="right"/>
              <w:ind w:right="346"/>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122</w:t>
            </w:r>
          </w:p>
        </w:tc>
        <w:tc>
          <w:tcPr>
            <w:tcW w:w="120" w:type="dxa"/>
            <w:vAlign w:val="bottom"/>
          </w:tcPr>
          <w:p>
            <w:pPr>
              <w:spacing w:after="0"/>
              <w:rPr>
                <w:sz w:val="11"/>
                <w:szCs w:val="11"/>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(443,473 )</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(443,351 )</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Exercise of stock options</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211,590</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5,128</w:t>
            </w:r>
          </w:p>
        </w:tc>
        <w:tc>
          <w:tcPr>
            <w:tcW w:w="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(4,293 )</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right w:val="single" w:sz="8" w:color="auto"/>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80" w:type="dxa"/>
            <w:vAlign w:val="bottom"/>
          </w:tcPr>
          <w:p>
            <w:pPr>
              <w:ind w:left="20"/>
              <w:spacing w:after="0"/>
              <w:rPr>
                <w:sz w:val="20"/>
                <w:szCs w:val="20"/>
                <w:color w:val="auto"/>
              </w:rPr>
            </w:pPr>
            <w:r>
              <w:rPr>
                <w:rFonts w:ascii="Arial" w:cs="Arial" w:eastAsia="Arial" w:hAnsi="Arial"/>
                <w:sz w:val="11"/>
                <w:szCs w:val="11"/>
                <w:color w:val="auto"/>
                <w:w w:val="98"/>
              </w:rPr>
              <w:t>Stock-based compensation expense</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right w:val="single" w:sz="8" w:color="auto"/>
            </w:tcBorders>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1,083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780" w:type="dxa"/>
            <w:vAlign w:val="bottom"/>
            <w:shd w:val="clear" w:color="auto" w:fill="CFF0FC"/>
          </w:tcPr>
          <w:p>
            <w:pPr>
              <w:ind w:left="20"/>
              <w:spacing w:after="0"/>
              <w:rPr>
                <w:sz w:val="20"/>
                <w:szCs w:val="20"/>
                <w:color w:val="auto"/>
              </w:rPr>
            </w:pPr>
            <w:r>
              <w:rPr>
                <w:rFonts w:ascii="Arial" w:cs="Arial" w:eastAsia="Arial" w:hAnsi="Arial"/>
                <w:sz w:val="11"/>
                <w:szCs w:val="11"/>
                <w:color w:val="auto"/>
              </w:rPr>
              <w:t>Accretion to redemption value of</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tcBorders>
              <w:right w:val="single" w:sz="8" w:color="auto"/>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redeemable stock options</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(2,259 )</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right w:val="single" w:sz="8" w:color="auto"/>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2,259</w:t>
            </w: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2,259</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80" w:type="dxa"/>
            <w:vAlign w:val="bottom"/>
          </w:tcPr>
          <w:p>
            <w:pPr>
              <w:ind w:left="20"/>
              <w:spacing w:after="0"/>
              <w:rPr>
                <w:sz w:val="20"/>
                <w:szCs w:val="20"/>
                <w:color w:val="auto"/>
              </w:rPr>
            </w:pPr>
            <w:r>
              <w:rPr>
                <w:rFonts w:ascii="Arial" w:cs="Arial" w:eastAsia="Arial" w:hAnsi="Arial"/>
                <w:sz w:val="11"/>
                <w:szCs w:val="11"/>
                <w:color w:val="auto"/>
              </w:rPr>
              <w:t>Accretion to redemption value of</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80" w:type="dxa"/>
            <w:vAlign w:val="bottom"/>
          </w:tcPr>
          <w:p>
            <w:pPr>
              <w:ind w:left="20"/>
              <w:spacing w:after="0"/>
              <w:rPr>
                <w:sz w:val="20"/>
                <w:szCs w:val="20"/>
                <w:color w:val="auto"/>
              </w:rPr>
            </w:pPr>
            <w:r>
              <w:rPr>
                <w:rFonts w:ascii="Arial" w:cs="Arial" w:eastAsia="Arial" w:hAnsi="Arial"/>
                <w:sz w:val="11"/>
                <w:szCs w:val="11"/>
                <w:color w:val="auto"/>
              </w:rPr>
              <w:t>redeemable stock</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4,975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6,355</w:t>
            </w:r>
          </w:p>
        </w:tc>
        <w:tc>
          <w:tcPr>
            <w:tcW w:w="80" w:type="dxa"/>
            <w:vAlign w:val="bottom"/>
            <w:tcBorders>
              <w:right w:val="single" w:sz="8" w:color="auto"/>
            </w:tcBorders>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(1,083 )</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(10,247 )</w:t>
            </w:r>
          </w:p>
        </w:tc>
        <w:tc>
          <w:tcPr>
            <w:tcW w:w="16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(11,330 )</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780" w:type="dxa"/>
            <w:vAlign w:val="bottom"/>
            <w:shd w:val="clear" w:color="auto" w:fill="CFF0FC"/>
          </w:tcPr>
          <w:p>
            <w:pPr>
              <w:ind w:left="20"/>
              <w:spacing w:after="0"/>
              <w:rPr>
                <w:sz w:val="20"/>
                <w:szCs w:val="20"/>
                <w:color w:val="auto"/>
              </w:rPr>
            </w:pPr>
            <w:r>
              <w:rPr>
                <w:rFonts w:ascii="Arial" w:cs="Arial" w:eastAsia="Arial" w:hAnsi="Arial"/>
                <w:sz w:val="11"/>
                <w:szCs w:val="11"/>
                <w:color w:val="auto"/>
              </w:rPr>
              <w:t>Unrealized gain on short-term</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tcBorders>
              <w:right w:val="single" w:sz="8" w:color="auto"/>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shd w:val="clear" w:color="auto" w:fill="CFF0FC"/>
          </w:tcPr>
          <w:p>
            <w:pPr>
              <w:ind w:left="20"/>
              <w:spacing w:after="0"/>
              <w:rPr>
                <w:sz w:val="20"/>
                <w:szCs w:val="20"/>
                <w:color w:val="auto"/>
              </w:rPr>
            </w:pPr>
            <w:r>
              <w:rPr>
                <w:rFonts w:ascii="Arial" w:cs="Arial" w:eastAsia="Arial" w:hAnsi="Arial"/>
                <w:sz w:val="11"/>
                <w:szCs w:val="11"/>
                <w:color w:val="auto"/>
                <w:w w:val="93"/>
              </w:rPr>
              <w:t>investments and cash equivalents, net</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tcBorders>
              <w:right w:val="single" w:sz="8" w:color="auto"/>
            </w:tcBorders>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of tax</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right w:val="single" w:sz="8" w:color="auto"/>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(112 )</w:t>
            </w:r>
          </w:p>
        </w:tc>
        <w:tc>
          <w:tcPr>
            <w:tcW w:w="14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(112 )</w:t>
            </w:r>
          </w:p>
        </w:tc>
        <w:tc>
          <w:tcPr>
            <w:tcW w:w="0" w:type="dxa"/>
            <w:vAlign w:val="bottom"/>
          </w:tcPr>
          <w:p>
            <w:pPr>
              <w:spacing w:after="0"/>
              <w:rPr>
                <w:sz w:val="1"/>
                <w:szCs w:val="1"/>
                <w:color w:val="auto"/>
              </w:rPr>
            </w:pPr>
          </w:p>
        </w:tc>
      </w:tr>
      <w:tr>
        <w:trPr>
          <w:trHeight w:val="139"/>
        </w:trPr>
        <w:tc>
          <w:tcPr>
            <w:tcW w:w="1780" w:type="dxa"/>
            <w:vAlign w:val="bottom"/>
          </w:tcPr>
          <w:p>
            <w:pPr>
              <w:ind w:left="20"/>
              <w:spacing w:after="0"/>
              <w:rPr>
                <w:sz w:val="20"/>
                <w:szCs w:val="20"/>
                <w:color w:val="auto"/>
              </w:rPr>
            </w:pPr>
            <w:r>
              <w:rPr>
                <w:rFonts w:ascii="Arial" w:cs="Arial" w:eastAsia="Arial" w:hAnsi="Arial"/>
                <w:sz w:val="11"/>
                <w:szCs w:val="11"/>
                <w:color w:val="auto"/>
              </w:rPr>
              <w:t>Foreign currency translation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80" w:type="dxa"/>
            <w:vAlign w:val="bottom"/>
          </w:tcPr>
          <w:p>
            <w:pPr>
              <w:ind w:left="20"/>
              <w:spacing w:after="0"/>
              <w:rPr>
                <w:sz w:val="20"/>
                <w:szCs w:val="20"/>
                <w:color w:val="auto"/>
              </w:rPr>
            </w:pPr>
            <w:r>
              <w:rPr>
                <w:rFonts w:ascii="Arial" w:cs="Arial" w:eastAsia="Arial" w:hAnsi="Arial"/>
                <w:sz w:val="11"/>
                <w:szCs w:val="11"/>
                <w:color w:val="auto"/>
              </w:rPr>
              <w:t>adjustment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right w:val="single" w:sz="8" w:color="auto"/>
            </w:tcBorders>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7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Change in notes receivable for</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tcBorders>
              <w:right w:val="single" w:sz="8" w:color="auto"/>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common stock issued</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(6 )</w:t>
            </w:r>
          </w:p>
        </w:tc>
        <w:tc>
          <w:tcPr>
            <w:tcW w:w="20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right w:val="single" w:sz="8" w:color="auto"/>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780" w:type="dxa"/>
            <w:vAlign w:val="bottom"/>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(12,882 )</w:t>
            </w:r>
          </w:p>
        </w:tc>
        <w:tc>
          <w:tcPr>
            <w:tcW w:w="1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(12,882 )</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June 30, 2020</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3,786,825</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70,321</w:t>
            </w:r>
          </w:p>
        </w:tc>
        <w:tc>
          <w:tcPr>
            <w:tcW w:w="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(777 )</w:t>
            </w:r>
          </w:p>
        </w:tc>
        <w:tc>
          <w:tcPr>
            <w:tcW w:w="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49,899</w:t>
            </w:r>
          </w:p>
        </w:tc>
        <w:tc>
          <w:tcPr>
            <w:tcW w:w="1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14,374,455</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341,106</w:t>
            </w:r>
          </w:p>
        </w:tc>
        <w:tc>
          <w:tcPr>
            <w:tcW w:w="80" w:type="dxa"/>
            <w:vAlign w:val="bottom"/>
            <w:tcBorders>
              <w:bottom w:val="single" w:sz="8" w:color="CFF0FC"/>
              <w:right w:val="single" w:sz="8" w:color="auto"/>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600" w:type="dxa"/>
            <w:vAlign w:val="bottom"/>
            <w:tcBorders>
              <w:bottom w:val="single" w:sz="8" w:color="CFF0FC"/>
            </w:tcBorders>
            <w:gridSpan w:val="2"/>
            <w:shd w:val="clear" w:color="auto" w:fill="CFF0FC"/>
          </w:tcPr>
          <w:p>
            <w:pPr>
              <w:jc w:val="right"/>
              <w:ind w:right="34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(464,343 )</w:t>
            </w:r>
          </w:p>
        </w:tc>
        <w:tc>
          <w:tcPr>
            <w:tcW w:w="16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(464,330 )</w:t>
            </w:r>
          </w:p>
        </w:tc>
        <w:tc>
          <w:tcPr>
            <w:tcW w:w="0" w:type="dxa"/>
            <w:vAlign w:val="bottom"/>
          </w:tcPr>
          <w:p>
            <w:pPr>
              <w:spacing w:after="0"/>
              <w:rPr>
                <w:sz w:val="1"/>
                <w:szCs w:val="1"/>
                <w:color w:val="auto"/>
              </w:rPr>
            </w:pPr>
          </w:p>
        </w:tc>
      </w:tr>
      <w:tr>
        <w:trPr>
          <w:trHeight w:val="140"/>
        </w:trPr>
        <w:tc>
          <w:tcPr>
            <w:tcW w:w="178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1"/>
                <w:szCs w:val="11"/>
                <w:color w:val="auto"/>
              </w:rPr>
              <w:t>22,749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551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(457 )</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right w:val="single" w:sz="8" w:color="auto"/>
            </w:tcBorders>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w w:val="98"/>
              </w:rPr>
              <w:t>Stock-based compensation expense</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right w:val="single" w:sz="8" w:color="auto"/>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1,242</w:t>
            </w:r>
          </w:p>
        </w:tc>
        <w:tc>
          <w:tcPr>
            <w:tcW w:w="1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1,242</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80" w:type="dxa"/>
            <w:vAlign w:val="bottom"/>
          </w:tcPr>
          <w:p>
            <w:pPr>
              <w:ind w:left="20"/>
              <w:spacing w:after="0"/>
              <w:rPr>
                <w:sz w:val="20"/>
                <w:szCs w:val="20"/>
                <w:color w:val="auto"/>
              </w:rPr>
            </w:pPr>
            <w:r>
              <w:rPr>
                <w:rFonts w:ascii="Arial" w:cs="Arial" w:eastAsia="Arial" w:hAnsi="Arial"/>
                <w:sz w:val="11"/>
                <w:szCs w:val="11"/>
                <w:color w:val="auto"/>
              </w:rPr>
              <w:t>Accretion to redemption value of</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80" w:type="dxa"/>
            <w:vAlign w:val="bottom"/>
          </w:tcPr>
          <w:p>
            <w:pPr>
              <w:ind w:left="20"/>
              <w:spacing w:after="0"/>
              <w:rPr>
                <w:sz w:val="20"/>
                <w:szCs w:val="20"/>
                <w:color w:val="auto"/>
              </w:rPr>
            </w:pPr>
            <w:r>
              <w:rPr>
                <w:rFonts w:ascii="Arial" w:cs="Arial" w:eastAsia="Arial" w:hAnsi="Arial"/>
                <w:sz w:val="11"/>
                <w:szCs w:val="11"/>
                <w:color w:val="auto"/>
              </w:rPr>
              <w:t>redeemable stock options</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1,238</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right w:val="single" w:sz="8" w:color="auto"/>
            </w:tcBorders>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(1,238 )</w:t>
            </w:r>
          </w:p>
        </w:tc>
        <w:tc>
          <w:tcPr>
            <w:tcW w:w="16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(1,238 )</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780" w:type="dxa"/>
            <w:vAlign w:val="bottom"/>
            <w:shd w:val="clear" w:color="auto" w:fill="CFF0FC"/>
          </w:tcPr>
          <w:p>
            <w:pPr>
              <w:ind w:left="20"/>
              <w:spacing w:after="0"/>
              <w:rPr>
                <w:sz w:val="20"/>
                <w:szCs w:val="20"/>
                <w:color w:val="auto"/>
              </w:rPr>
            </w:pPr>
            <w:r>
              <w:rPr>
                <w:rFonts w:ascii="Arial" w:cs="Arial" w:eastAsia="Arial" w:hAnsi="Arial"/>
                <w:sz w:val="11"/>
                <w:szCs w:val="11"/>
                <w:color w:val="auto"/>
              </w:rPr>
              <w:t>Accretion to redemption value of</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tcBorders>
              <w:right w:val="single" w:sz="8" w:color="auto"/>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redeemable stock</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5,590</w:t>
            </w:r>
          </w:p>
        </w:tc>
        <w:tc>
          <w:tcPr>
            <w:tcW w:w="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6,591</w:t>
            </w:r>
          </w:p>
        </w:tc>
        <w:tc>
          <w:tcPr>
            <w:tcW w:w="80" w:type="dxa"/>
            <w:vAlign w:val="bottom"/>
            <w:tcBorders>
              <w:bottom w:val="single" w:sz="8" w:color="CFF0FC"/>
              <w:right w:val="single" w:sz="8" w:color="auto"/>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(1,242 )</w:t>
            </w:r>
          </w:p>
        </w:tc>
        <w:tc>
          <w:tcPr>
            <w:tcW w:w="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(10,939 )</w:t>
            </w:r>
          </w:p>
        </w:tc>
        <w:tc>
          <w:tcPr>
            <w:tcW w:w="16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(12,181 )</w:t>
            </w:r>
          </w:p>
        </w:tc>
        <w:tc>
          <w:tcPr>
            <w:tcW w:w="0" w:type="dxa"/>
            <w:vAlign w:val="bottom"/>
          </w:tcPr>
          <w:p>
            <w:pPr>
              <w:spacing w:after="0"/>
              <w:rPr>
                <w:sz w:val="1"/>
                <w:szCs w:val="1"/>
                <w:color w:val="auto"/>
              </w:rPr>
            </w:pPr>
          </w:p>
        </w:tc>
      </w:tr>
      <w:tr>
        <w:trPr>
          <w:trHeight w:val="139"/>
        </w:trPr>
        <w:tc>
          <w:tcPr>
            <w:tcW w:w="1780" w:type="dxa"/>
            <w:vAlign w:val="bottom"/>
          </w:tcPr>
          <w:p>
            <w:pPr>
              <w:ind w:left="20"/>
              <w:spacing w:after="0"/>
              <w:rPr>
                <w:sz w:val="20"/>
                <w:szCs w:val="20"/>
                <w:color w:val="auto"/>
              </w:rPr>
            </w:pPr>
            <w:r>
              <w:rPr>
                <w:rFonts w:ascii="Arial" w:cs="Arial" w:eastAsia="Arial" w:hAnsi="Arial"/>
                <w:sz w:val="11"/>
                <w:szCs w:val="11"/>
                <w:color w:val="auto"/>
              </w:rPr>
              <w:t>Unrealized gain on short-term</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20"/>
              <w:spacing w:after="0"/>
              <w:rPr>
                <w:sz w:val="20"/>
                <w:szCs w:val="20"/>
                <w:color w:val="auto"/>
              </w:rPr>
            </w:pPr>
            <w:r>
              <w:rPr>
                <w:rFonts w:ascii="Arial" w:cs="Arial" w:eastAsia="Arial" w:hAnsi="Arial"/>
                <w:sz w:val="11"/>
                <w:szCs w:val="11"/>
                <w:color w:val="auto"/>
                <w:w w:val="93"/>
              </w:rPr>
              <w:t>investments and cash equivalents, net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780" w:type="dxa"/>
            <w:vAlign w:val="bottom"/>
          </w:tcPr>
          <w:p>
            <w:pPr>
              <w:ind w:left="20"/>
              <w:spacing w:after="0"/>
              <w:rPr>
                <w:sz w:val="20"/>
                <w:szCs w:val="20"/>
                <w:color w:val="auto"/>
              </w:rPr>
            </w:pPr>
            <w:r>
              <w:rPr>
                <w:rFonts w:ascii="Arial" w:cs="Arial" w:eastAsia="Arial" w:hAnsi="Arial"/>
                <w:sz w:val="11"/>
                <w:szCs w:val="11"/>
                <w:color w:val="auto"/>
              </w:rPr>
              <w:t>of tax</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right w:val="single" w:sz="8" w:color="auto"/>
            </w:tcBorders>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(8 )</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780" w:type="dxa"/>
            <w:vAlign w:val="bottom"/>
            <w:shd w:val="clear" w:color="auto" w:fill="CFF0FC"/>
          </w:tcPr>
          <w:p>
            <w:pPr>
              <w:ind w:left="20"/>
              <w:spacing w:after="0"/>
              <w:rPr>
                <w:sz w:val="20"/>
                <w:szCs w:val="20"/>
                <w:color w:val="auto"/>
              </w:rPr>
            </w:pPr>
            <w:r>
              <w:rPr>
                <w:rFonts w:ascii="Arial" w:cs="Arial" w:eastAsia="Arial" w:hAnsi="Arial"/>
                <w:sz w:val="11"/>
                <w:szCs w:val="11"/>
                <w:color w:val="auto"/>
              </w:rPr>
              <w:t>Foreign currency translation</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tcBorders>
              <w:right w:val="single" w:sz="8" w:color="auto"/>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adjustment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right w:val="single" w:sz="8" w:color="auto"/>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(9 )</w:t>
            </w:r>
          </w:p>
        </w:tc>
        <w:tc>
          <w:tcPr>
            <w:tcW w:w="14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39"/>
        </w:trPr>
        <w:tc>
          <w:tcPr>
            <w:tcW w:w="1780" w:type="dxa"/>
            <w:vAlign w:val="bottom"/>
          </w:tcPr>
          <w:p>
            <w:pPr>
              <w:ind w:left="20"/>
              <w:spacing w:after="0"/>
              <w:rPr>
                <w:sz w:val="20"/>
                <w:szCs w:val="20"/>
                <w:color w:val="auto"/>
              </w:rPr>
            </w:pPr>
            <w:r>
              <w:rPr>
                <w:rFonts w:ascii="Arial" w:cs="Arial" w:eastAsia="Arial" w:hAnsi="Arial"/>
                <w:sz w:val="11"/>
                <w:szCs w:val="11"/>
                <w:color w:val="auto"/>
              </w:rPr>
              <w:t>Change in notes receivable for</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780" w:type="dxa"/>
            <w:vAlign w:val="bottom"/>
          </w:tcPr>
          <w:p>
            <w:pPr>
              <w:ind w:left="20"/>
              <w:spacing w:after="0"/>
              <w:rPr>
                <w:sz w:val="20"/>
                <w:szCs w:val="20"/>
                <w:color w:val="auto"/>
              </w:rPr>
            </w:pPr>
            <w:r>
              <w:rPr>
                <w:rFonts w:ascii="Arial" w:cs="Arial" w:eastAsia="Arial" w:hAnsi="Arial"/>
                <w:sz w:val="11"/>
                <w:szCs w:val="11"/>
                <w:color w:val="auto"/>
              </w:rPr>
              <w:t>common stock issued</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(13 )</w:t>
            </w: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right w:val="single" w:sz="8" w:color="auto"/>
            </w:tcBorders>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income</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right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30,664</w:t>
            </w:r>
          </w:p>
        </w:tc>
        <w:tc>
          <w:tcPr>
            <w:tcW w:w="1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30,664</w:t>
            </w:r>
          </w:p>
        </w:tc>
        <w:tc>
          <w:tcPr>
            <w:tcW w:w="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780" w:type="dxa"/>
            <w:vAlign w:val="bottom"/>
            <w:vMerge w:val="restart"/>
          </w:tcPr>
          <w:p>
            <w:pPr>
              <w:ind w:left="20"/>
              <w:spacing w:after="0"/>
              <w:rPr>
                <w:sz w:val="20"/>
                <w:szCs w:val="20"/>
                <w:color w:val="auto"/>
              </w:rPr>
            </w:pPr>
            <w:r>
              <w:rPr>
                <w:rFonts w:ascii="Arial" w:cs="Arial" w:eastAsia="Arial" w:hAnsi="Arial"/>
                <w:sz w:val="11"/>
                <w:szCs w:val="11"/>
                <w:color w:val="auto"/>
              </w:rPr>
              <w:t>Balance at September 30, 2020</w:t>
            </w:r>
          </w:p>
        </w:tc>
        <w:tc>
          <w:tcPr>
            <w:tcW w:w="660" w:type="dxa"/>
            <w:vAlign w:val="bottom"/>
          </w:tcPr>
          <w:p>
            <w:pPr>
              <w:jc w:val="right"/>
              <w:spacing w:after="0"/>
              <w:rPr>
                <w:sz w:val="20"/>
                <w:szCs w:val="20"/>
                <w:color w:val="auto"/>
              </w:rPr>
            </w:pPr>
            <w:r>
              <w:rPr>
                <w:rFonts w:ascii="Arial" w:cs="Arial" w:eastAsia="Arial" w:hAnsi="Arial"/>
                <w:sz w:val="11"/>
                <w:szCs w:val="11"/>
                <w:color w:val="auto"/>
              </w:rPr>
              <w:t>3,809,574</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76,463</w:t>
            </w:r>
          </w:p>
        </w:tc>
        <w:tc>
          <w:tcPr>
            <w:tcW w:w="3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(790 )</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50,680</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14,374,455</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347,697</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600" w:type="dxa"/>
            <w:vAlign w:val="bottom"/>
            <w:gridSpan w:val="2"/>
          </w:tcPr>
          <w:p>
            <w:pPr>
              <w:jc w:val="right"/>
              <w:ind w:right="346"/>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(0 )</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(4 )</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(445,856 )</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(445,860 )</w:t>
            </w:r>
          </w:p>
        </w:tc>
        <w:tc>
          <w:tcPr>
            <w:tcW w:w="0" w:type="dxa"/>
            <w:vAlign w:val="bottom"/>
          </w:tcPr>
          <w:p>
            <w:pPr>
              <w:spacing w:after="0"/>
              <w:rPr>
                <w:sz w:val="1"/>
                <w:szCs w:val="1"/>
                <w:color w:val="auto"/>
              </w:rPr>
            </w:pPr>
          </w:p>
        </w:tc>
      </w:tr>
      <w:tr>
        <w:trPr>
          <w:trHeight w:val="22"/>
        </w:trPr>
        <w:tc>
          <w:tcPr>
            <w:tcW w:w="1780" w:type="dxa"/>
            <w:vAlign w:val="bottom"/>
            <w:vMerge w:val="continue"/>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-4795520</wp:posOffset>
            </wp:positionV>
            <wp:extent cx="33655" cy="3340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-3030855</wp:posOffset>
            </wp:positionV>
            <wp:extent cx="9461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-3030855</wp:posOffset>
            </wp:positionV>
            <wp:extent cx="939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-3030855</wp:posOffset>
            </wp:positionV>
            <wp:extent cx="10287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-3030855</wp:posOffset>
            </wp:positionV>
            <wp:extent cx="10287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-3030855</wp:posOffset>
            </wp:positionV>
            <wp:extent cx="7683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-3149600</wp:posOffset>
            </wp:positionV>
            <wp:extent cx="4699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6990" cy="13716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-3030855</wp:posOffset>
            </wp:positionV>
            <wp:extent cx="7747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-3030855</wp:posOffset>
            </wp:positionV>
            <wp:extent cx="431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-3030855</wp:posOffset>
            </wp:positionV>
            <wp:extent cx="8572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-3030855</wp:posOffset>
            </wp:positionV>
            <wp:extent cx="8572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-3030855</wp:posOffset>
            </wp:positionV>
            <wp:extent cx="8572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-3030855</wp:posOffset>
            </wp:positionV>
            <wp:extent cx="3429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4166870</wp:posOffset>
            </wp:positionH>
            <wp:positionV relativeFrom="paragraph">
              <wp:posOffset>-1700530</wp:posOffset>
            </wp:positionV>
            <wp:extent cx="33655" cy="1365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13652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-133350</wp:posOffset>
            </wp:positionV>
            <wp:extent cx="9461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-133350</wp:posOffset>
            </wp:positionV>
            <wp:extent cx="939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-133350</wp:posOffset>
            </wp:positionV>
            <wp:extent cx="10287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-133350</wp:posOffset>
            </wp:positionV>
            <wp:extent cx="10287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-133350</wp:posOffset>
            </wp:positionV>
            <wp:extent cx="7683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-133350</wp:posOffset>
            </wp:positionV>
            <wp:extent cx="7747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-133350</wp:posOffset>
            </wp:positionV>
            <wp:extent cx="431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-133350</wp:posOffset>
            </wp:positionV>
            <wp:extent cx="8572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-133350</wp:posOffset>
            </wp:positionV>
            <wp:extent cx="8572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-133350</wp:posOffset>
            </wp:positionV>
            <wp:extent cx="8572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-133350</wp:posOffset>
            </wp:positionV>
            <wp:extent cx="3429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-252095</wp:posOffset>
            </wp:positionV>
            <wp:extent cx="46990" cy="265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6990" cy="2654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highlight w:val="white"/>
        </w:rPr>
        <w:t>See accompanying notes to unaudited condensed consolidated financial statements</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RxSIGHT,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294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7640" w:type="dxa"/>
            <w:vAlign w:val="bottom"/>
          </w:tcPr>
          <w:p>
            <w:pPr>
              <w:spacing w:after="0"/>
              <w:rPr>
                <w:sz w:val="18"/>
                <w:szCs w:val="18"/>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 income</w:t>
            </w:r>
          </w:p>
        </w:tc>
        <w:tc>
          <w:tcPr>
            <w:tcW w:w="1060" w:type="dxa"/>
            <w:vAlign w:val="bottom"/>
            <w:shd w:val="clear" w:color="auto" w:fill="CFF0FC"/>
          </w:tcPr>
          <w:p>
            <w:pPr>
              <w:jc w:val="right"/>
              <w:ind w:right="90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(32,954 )</w:t>
            </w:r>
          </w:p>
        </w:tc>
        <w:tc>
          <w:tcPr>
            <w:tcW w:w="1040" w:type="dxa"/>
            <w:vAlign w:val="bottom"/>
            <w:shd w:val="clear" w:color="auto" w:fill="CFF0FC"/>
          </w:tcPr>
          <w:p>
            <w:pPr>
              <w:jc w:val="right"/>
              <w:ind w:right="88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1,280</w:t>
            </w:r>
          </w:p>
        </w:tc>
        <w:tc>
          <w:tcPr>
            <w:tcW w:w="100" w:type="dxa"/>
            <w:vAlign w:val="bottom"/>
            <w:shd w:val="clear" w:color="auto" w:fill="CFF0FC"/>
          </w:tcPr>
          <w:p>
            <w:pPr>
              <w:spacing w:after="0"/>
              <w:rPr>
                <w:sz w:val="18"/>
                <w:szCs w:val="18"/>
                <w:color w:val="auto"/>
              </w:rPr>
            </w:pPr>
          </w:p>
        </w:tc>
      </w:tr>
      <w:tr>
        <w:trPr>
          <w:trHeight w:val="197"/>
        </w:trPr>
        <w:tc>
          <w:tcPr>
            <w:tcW w:w="7640" w:type="dxa"/>
            <w:vAlign w:val="bottom"/>
          </w:tcPr>
          <w:p>
            <w:pPr>
              <w:ind w:left="20"/>
              <w:spacing w:after="0"/>
              <w:rPr>
                <w:sz w:val="20"/>
                <w:szCs w:val="20"/>
                <w:color w:val="auto"/>
              </w:rPr>
            </w:pPr>
            <w:r>
              <w:rPr>
                <w:rFonts w:ascii="Arial" w:cs="Arial" w:eastAsia="Arial" w:hAnsi="Arial"/>
                <w:sz w:val="14"/>
                <w:szCs w:val="14"/>
                <w:color w:val="auto"/>
              </w:rPr>
              <w:t>Adjustments to reconcile net (loss) income to net cash used in operating activities:</w:t>
            </w: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Depreciation and amortization</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2,950</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2,866</w:t>
            </w:r>
          </w:p>
        </w:tc>
        <w:tc>
          <w:tcPr>
            <w:tcW w:w="100" w:type="dxa"/>
            <w:vAlign w:val="bottom"/>
            <w:shd w:val="clear" w:color="auto" w:fill="CFF0FC"/>
          </w:tcPr>
          <w:p>
            <w:pPr>
              <w:spacing w:after="0"/>
              <w:rPr>
                <w:sz w:val="18"/>
                <w:szCs w:val="18"/>
                <w:color w:val="auto"/>
              </w:rPr>
            </w:pPr>
          </w:p>
        </w:tc>
      </w:tr>
      <w:tr>
        <w:trPr>
          <w:trHeight w:val="197"/>
        </w:trPr>
        <w:tc>
          <w:tcPr>
            <w:tcW w:w="7640" w:type="dxa"/>
            <w:vAlign w:val="bottom"/>
          </w:tcPr>
          <w:p>
            <w:pPr>
              <w:ind w:left="200"/>
              <w:spacing w:after="0"/>
              <w:rPr>
                <w:sz w:val="20"/>
                <w:szCs w:val="20"/>
                <w:color w:val="auto"/>
              </w:rPr>
            </w:pPr>
            <w:r>
              <w:rPr>
                <w:rFonts w:ascii="Arial" w:cs="Arial" w:eastAsia="Arial" w:hAnsi="Arial"/>
                <w:sz w:val="14"/>
                <w:szCs w:val="14"/>
                <w:color w:val="auto"/>
              </w:rPr>
              <w:t>Amortization of right-of-use lease assets</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7"/>
                <w:szCs w:val="17"/>
                <w:color w:val="auto"/>
              </w:rPr>
            </w:pPr>
          </w:p>
        </w:tc>
      </w:tr>
      <w:tr>
        <w:trPr>
          <w:trHeight w:val="208"/>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debt issuance costs and premium</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7"/>
        </w:trPr>
        <w:tc>
          <w:tcPr>
            <w:tcW w:w="7640" w:type="dxa"/>
            <w:vAlign w:val="bottom"/>
          </w:tcPr>
          <w:p>
            <w:pPr>
              <w:ind w:left="200"/>
              <w:spacing w:after="0"/>
              <w:rPr>
                <w:sz w:val="20"/>
                <w:szCs w:val="20"/>
                <w:color w:val="auto"/>
              </w:rPr>
            </w:pPr>
            <w:r>
              <w:rPr>
                <w:rFonts w:ascii="Arial" w:cs="Arial" w:eastAsia="Arial" w:hAnsi="Arial"/>
                <w:sz w:val="14"/>
                <w:szCs w:val="14"/>
                <w:color w:val="auto"/>
              </w:rPr>
              <w:t>Change in fair value of warrants</w:t>
            </w:r>
          </w:p>
        </w:tc>
        <w:tc>
          <w:tcPr>
            <w:tcW w:w="10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(2,717 )</w:t>
            </w:r>
          </w:p>
        </w:tc>
        <w:tc>
          <w:tcPr>
            <w:tcW w:w="10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(27,933 )</w:t>
            </w:r>
          </w:p>
        </w:tc>
      </w:tr>
      <w:tr>
        <w:trPr>
          <w:trHeight w:val="208"/>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Gain on expiration of warrant</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(5,018 )</w:t>
            </w: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7"/>
        </w:trPr>
        <w:tc>
          <w:tcPr>
            <w:tcW w:w="7640" w:type="dxa"/>
            <w:vAlign w:val="bottom"/>
          </w:tcPr>
          <w:p>
            <w:pPr>
              <w:ind w:left="200"/>
              <w:spacing w:after="0"/>
              <w:rPr>
                <w:sz w:val="20"/>
                <w:szCs w:val="20"/>
                <w:color w:val="auto"/>
              </w:rPr>
            </w:pPr>
            <w:r>
              <w:rPr>
                <w:rFonts w:ascii="Arial" w:cs="Arial" w:eastAsia="Arial" w:hAnsi="Arial"/>
                <w:sz w:val="14"/>
                <w:szCs w:val="14"/>
                <w:color w:val="auto"/>
              </w:rPr>
              <w:t>Amortization of discount on short-term investments</w:t>
            </w:r>
          </w:p>
        </w:tc>
        <w:tc>
          <w:tcPr>
            <w:tcW w:w="10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(19 )</w:t>
            </w:r>
          </w:p>
        </w:tc>
        <w:tc>
          <w:tcPr>
            <w:tcW w:w="10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(430 )</w:t>
            </w:r>
          </w:p>
        </w:tc>
      </w:tr>
      <w:tr>
        <w:trPr>
          <w:trHeight w:val="208"/>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4,658</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2,948</w:t>
            </w:r>
          </w:p>
        </w:tc>
        <w:tc>
          <w:tcPr>
            <w:tcW w:w="100" w:type="dxa"/>
            <w:vAlign w:val="bottom"/>
            <w:shd w:val="clear" w:color="auto" w:fill="CFF0FC"/>
          </w:tcPr>
          <w:p>
            <w:pPr>
              <w:spacing w:after="0"/>
              <w:rPr>
                <w:sz w:val="18"/>
                <w:szCs w:val="18"/>
                <w:color w:val="auto"/>
              </w:rPr>
            </w:pPr>
          </w:p>
        </w:tc>
      </w:tr>
      <w:tr>
        <w:trPr>
          <w:trHeight w:val="197"/>
        </w:trPr>
        <w:tc>
          <w:tcPr>
            <w:tcW w:w="7640" w:type="dxa"/>
            <w:vAlign w:val="bottom"/>
          </w:tcPr>
          <w:p>
            <w:pPr>
              <w:ind w:left="200"/>
              <w:spacing w:after="0"/>
              <w:rPr>
                <w:sz w:val="20"/>
                <w:szCs w:val="20"/>
                <w:color w:val="auto"/>
              </w:rPr>
            </w:pPr>
            <w:r>
              <w:rPr>
                <w:rFonts w:ascii="Arial" w:cs="Arial" w:eastAsia="Arial" w:hAnsi="Arial"/>
                <w:sz w:val="14"/>
                <w:szCs w:val="14"/>
                <w:color w:val="auto"/>
              </w:rPr>
              <w:t>Provision for excess and obsolete inventory</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2,357</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r>
      <w:tr>
        <w:trPr>
          <w:trHeight w:val="208"/>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 in operating assets and liabilities:</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7"/>
        </w:trPr>
        <w:tc>
          <w:tcPr>
            <w:tcW w:w="764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10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(1,492 )</w:t>
            </w:r>
          </w:p>
        </w:tc>
        <w:tc>
          <w:tcPr>
            <w:tcW w:w="10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(650 )</w:t>
            </w:r>
          </w:p>
        </w:tc>
      </w:tr>
      <w:tr>
        <w:trPr>
          <w:trHeight w:val="208"/>
        </w:trPr>
        <w:tc>
          <w:tcPr>
            <w:tcW w:w="7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Inventories</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(3,511 )</w:t>
            </w: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(1,940 )</w:t>
            </w:r>
          </w:p>
        </w:tc>
      </w:tr>
      <w:tr>
        <w:trPr>
          <w:trHeight w:val="197"/>
        </w:trPr>
        <w:tc>
          <w:tcPr>
            <w:tcW w:w="7640" w:type="dxa"/>
            <w:vAlign w:val="bottom"/>
          </w:tcPr>
          <w:p>
            <w:pPr>
              <w:ind w:left="380"/>
              <w:spacing w:after="0"/>
              <w:rPr>
                <w:sz w:val="20"/>
                <w:szCs w:val="20"/>
                <w:color w:val="auto"/>
              </w:rPr>
            </w:pPr>
            <w:r>
              <w:rPr>
                <w:rFonts w:ascii="Arial" w:cs="Arial" w:eastAsia="Arial" w:hAnsi="Arial"/>
                <w:sz w:val="14"/>
                <w:szCs w:val="14"/>
                <w:color w:val="auto"/>
              </w:rPr>
              <w:t>Prepaid and other assets</w:t>
            </w:r>
          </w:p>
        </w:tc>
        <w:tc>
          <w:tcPr>
            <w:tcW w:w="10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(3,155 )</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7"/>
                <w:szCs w:val="17"/>
                <w:color w:val="auto"/>
              </w:rPr>
            </w:pPr>
          </w:p>
        </w:tc>
      </w:tr>
      <w:tr>
        <w:trPr>
          <w:trHeight w:val="208"/>
        </w:trPr>
        <w:tc>
          <w:tcPr>
            <w:tcW w:w="7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Accounts payable</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(597 )</w:t>
            </w:r>
          </w:p>
        </w:tc>
      </w:tr>
      <w:tr>
        <w:trPr>
          <w:trHeight w:val="203"/>
        </w:trPr>
        <w:tc>
          <w:tcPr>
            <w:tcW w:w="7640" w:type="dxa"/>
            <w:vAlign w:val="bottom"/>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2,081</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(3,192 )</w:t>
            </w:r>
          </w:p>
        </w:tc>
      </w:tr>
      <w:tr>
        <w:trPr>
          <w:trHeight w:val="20"/>
        </w:trPr>
        <w:tc>
          <w:tcPr>
            <w:tcW w:w="76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cash used in operating activities</w:t>
            </w:r>
          </w:p>
        </w:tc>
        <w:tc>
          <w:tcPr>
            <w:tcW w:w="10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(35,986 )</w:t>
            </w:r>
          </w:p>
        </w:tc>
        <w:tc>
          <w:tcPr>
            <w:tcW w:w="10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(26,976 )</w:t>
            </w:r>
          </w:p>
        </w:tc>
      </w:tr>
      <w:tr>
        <w:trPr>
          <w:trHeight w:val="190"/>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08"/>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 of property and equipment</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(1,575 )</w:t>
            </w: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(2,001 )</w:t>
            </w:r>
          </w:p>
        </w:tc>
      </w:tr>
      <w:tr>
        <w:trPr>
          <w:trHeight w:val="197"/>
        </w:trPr>
        <w:tc>
          <w:tcPr>
            <w:tcW w:w="7640" w:type="dxa"/>
            <w:vAlign w:val="bottom"/>
          </w:tcPr>
          <w:p>
            <w:pPr>
              <w:ind w:left="20"/>
              <w:spacing w:after="0"/>
              <w:rPr>
                <w:sz w:val="20"/>
                <w:szCs w:val="20"/>
                <w:color w:val="auto"/>
              </w:rPr>
            </w:pPr>
            <w:r>
              <w:rPr>
                <w:rFonts w:ascii="Arial" w:cs="Arial" w:eastAsia="Arial" w:hAnsi="Arial"/>
                <w:sz w:val="14"/>
                <w:szCs w:val="14"/>
                <w:color w:val="auto"/>
              </w:rPr>
              <w:t>Proceeds from maturities of short-term investments</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55,000</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95,000</w:t>
            </w:r>
          </w:p>
        </w:tc>
        <w:tc>
          <w:tcPr>
            <w:tcW w:w="100" w:type="dxa"/>
            <w:vAlign w:val="bottom"/>
          </w:tcPr>
          <w:p>
            <w:pPr>
              <w:spacing w:after="0"/>
              <w:rPr>
                <w:sz w:val="17"/>
                <w:szCs w:val="17"/>
                <w:color w:val="auto"/>
              </w:rPr>
            </w:pPr>
          </w:p>
        </w:tc>
      </w:tr>
      <w:tr>
        <w:trPr>
          <w:trHeight w:val="208"/>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 of short-term investments</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(99,986 )</w:t>
            </w: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(62,892 )</w:t>
            </w:r>
          </w:p>
        </w:tc>
      </w:tr>
      <w:tr>
        <w:trPr>
          <w:trHeight w:val="20"/>
        </w:trPr>
        <w:tc>
          <w:tcPr>
            <w:tcW w:w="76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40" w:type="dxa"/>
            <w:vAlign w:val="bottom"/>
          </w:tcPr>
          <w:p>
            <w:pPr>
              <w:ind w:left="60"/>
              <w:spacing w:after="0"/>
              <w:rPr>
                <w:sz w:val="20"/>
                <w:szCs w:val="20"/>
                <w:color w:val="auto"/>
              </w:rPr>
            </w:pPr>
            <w:r>
              <w:rPr>
                <w:rFonts w:ascii="Arial" w:cs="Arial" w:eastAsia="Arial" w:hAnsi="Arial"/>
                <w:sz w:val="14"/>
                <w:szCs w:val="14"/>
                <w:color w:val="auto"/>
              </w:rPr>
              <w:t>Net cash (used in) provided by investing activities</w:t>
            </w:r>
          </w:p>
        </w:tc>
        <w:tc>
          <w:tcPr>
            <w:tcW w:w="10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(46,561 )</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30,107</w:t>
            </w:r>
          </w:p>
        </w:tc>
        <w:tc>
          <w:tcPr>
            <w:tcW w:w="100" w:type="dxa"/>
            <w:vAlign w:val="bottom"/>
          </w:tcPr>
          <w:p>
            <w:pPr>
              <w:spacing w:after="0"/>
              <w:rPr>
                <w:sz w:val="17"/>
                <w:szCs w:val="17"/>
                <w:color w:val="auto"/>
              </w:rPr>
            </w:pPr>
          </w:p>
        </w:tc>
      </w:tr>
      <w:tr>
        <w:trPr>
          <w:trHeight w:val="196"/>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7"/>
        </w:trPr>
        <w:tc>
          <w:tcPr>
            <w:tcW w:w="7640" w:type="dxa"/>
            <w:vAlign w:val="bottom"/>
          </w:tcPr>
          <w:p>
            <w:pPr>
              <w:ind w:left="20"/>
              <w:spacing w:after="0"/>
              <w:rPr>
                <w:sz w:val="20"/>
                <w:szCs w:val="20"/>
                <w:color w:val="auto"/>
              </w:rPr>
            </w:pPr>
            <w:r>
              <w:rPr>
                <w:rFonts w:ascii="Arial" w:cs="Arial" w:eastAsia="Arial" w:hAnsi="Arial"/>
                <w:sz w:val="14"/>
                <w:szCs w:val="14"/>
                <w:color w:val="auto"/>
              </w:rPr>
              <w:t>Proceeds from term loan</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15,000</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8"/>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Payments of debt issuance costs</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(124 )</w:t>
            </w: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7"/>
        </w:trPr>
        <w:tc>
          <w:tcPr>
            <w:tcW w:w="7640" w:type="dxa"/>
            <w:vAlign w:val="bottom"/>
          </w:tcPr>
          <w:p>
            <w:pPr>
              <w:ind w:left="20"/>
              <w:spacing w:after="0"/>
              <w:rPr>
                <w:sz w:val="20"/>
                <w:szCs w:val="20"/>
                <w:color w:val="auto"/>
              </w:rPr>
            </w:pPr>
            <w:r>
              <w:rPr>
                <w:rFonts w:ascii="Arial" w:cs="Arial" w:eastAsia="Arial" w:hAnsi="Arial"/>
                <w:sz w:val="14"/>
                <w:szCs w:val="14"/>
                <w:color w:val="auto"/>
              </w:rPr>
              <w:t>Proceeds from exercise of preferred stock warrants</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790</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8"/>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initial public offering, net of underwriting discounts and commissions and offering costs</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119,582</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7"/>
        </w:trPr>
        <w:tc>
          <w:tcPr>
            <w:tcW w:w="7640" w:type="dxa"/>
            <w:vAlign w:val="bottom"/>
          </w:tcPr>
          <w:p>
            <w:pPr>
              <w:ind w:left="20"/>
              <w:spacing w:after="0"/>
              <w:rPr>
                <w:sz w:val="20"/>
                <w:szCs w:val="20"/>
                <w:color w:val="auto"/>
              </w:rPr>
            </w:pPr>
            <w:r>
              <w:rPr>
                <w:rFonts w:ascii="Arial" w:cs="Arial" w:eastAsia="Arial" w:hAnsi="Arial"/>
                <w:sz w:val="14"/>
                <w:szCs w:val="14"/>
                <w:color w:val="auto"/>
              </w:rPr>
              <w:t>Principal payments on finance lease liabilities</w:t>
            </w:r>
          </w:p>
        </w:tc>
        <w:tc>
          <w:tcPr>
            <w:tcW w:w="10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(21 )</w:t>
            </w:r>
          </w:p>
        </w:tc>
        <w:tc>
          <w:tcPr>
            <w:tcW w:w="10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(131 )</w:t>
            </w:r>
          </w:p>
        </w:tc>
      </w:tr>
      <w:tr>
        <w:trPr>
          <w:trHeight w:val="208"/>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Payments of deferred offering costs</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(242 )</w:t>
            </w: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7"/>
        </w:trPr>
        <w:tc>
          <w:tcPr>
            <w:tcW w:w="7640" w:type="dxa"/>
            <w:vAlign w:val="bottom"/>
          </w:tcPr>
          <w:p>
            <w:pPr>
              <w:ind w:left="20"/>
              <w:spacing w:after="0"/>
              <w:rPr>
                <w:sz w:val="20"/>
                <w:szCs w:val="20"/>
                <w:color w:val="auto"/>
              </w:rPr>
            </w:pPr>
            <w:r>
              <w:rPr>
                <w:rFonts w:ascii="Arial" w:cs="Arial" w:eastAsia="Arial" w:hAnsi="Arial"/>
                <w:sz w:val="14"/>
                <w:szCs w:val="14"/>
                <w:color w:val="auto"/>
              </w:rPr>
              <w:t>Change in notes receivables for redeemable common stock issued</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575</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r>
      <w:tr>
        <w:trPr>
          <w:trHeight w:val="208"/>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0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1,378</w:t>
            </w: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764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0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136,938</w:t>
            </w:r>
          </w:p>
        </w:tc>
        <w:tc>
          <w:tcPr>
            <w:tcW w:w="2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17"/>
                <w:szCs w:val="17"/>
                <w:color w:val="auto"/>
              </w:rPr>
            </w:pPr>
          </w:p>
        </w:tc>
      </w:tr>
      <w:tr>
        <w:trPr>
          <w:trHeight w:val="196"/>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Effect of foreign exchange rate on cash, cash equivalents and restricted cash</w:t>
            </w:r>
          </w:p>
        </w:tc>
        <w:tc>
          <w:tcPr>
            <w:tcW w:w="10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(7 )</w:t>
            </w:r>
          </w:p>
        </w:tc>
        <w:tc>
          <w:tcPr>
            <w:tcW w:w="10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(7 )</w:t>
            </w:r>
          </w:p>
        </w:tc>
      </w:tr>
      <w:tr>
        <w:trPr>
          <w:trHeight w:val="197"/>
        </w:trPr>
        <w:tc>
          <w:tcPr>
            <w:tcW w:w="7640" w:type="dxa"/>
            <w:vAlign w:val="bottom"/>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54,384</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4,033</w:t>
            </w:r>
          </w:p>
        </w:tc>
        <w:tc>
          <w:tcPr>
            <w:tcW w:w="100" w:type="dxa"/>
            <w:vAlign w:val="bottom"/>
          </w:tcPr>
          <w:p>
            <w:pPr>
              <w:spacing w:after="0"/>
              <w:rPr>
                <w:sz w:val="17"/>
                <w:szCs w:val="17"/>
                <w:color w:val="auto"/>
              </w:rPr>
            </w:pPr>
          </w:p>
        </w:tc>
      </w:tr>
      <w:tr>
        <w:trPr>
          <w:trHeight w:val="208"/>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 beginning of period</w:t>
            </w:r>
          </w:p>
        </w:tc>
        <w:tc>
          <w:tcPr>
            <w:tcW w:w="10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14,455</w:t>
            </w: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76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 end of period</w:t>
            </w:r>
          </w:p>
        </w:tc>
        <w:tc>
          <w:tcPr>
            <w:tcW w:w="106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68,839</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12,863</w:t>
            </w:r>
          </w:p>
        </w:tc>
        <w:tc>
          <w:tcPr>
            <w:tcW w:w="10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7"/>
        </w:trPr>
        <w:tc>
          <w:tcPr>
            <w:tcW w:w="7640" w:type="dxa"/>
            <w:vAlign w:val="bottom"/>
          </w:tcPr>
          <w:p>
            <w:pPr>
              <w:ind w:left="20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7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Operating cash flows from operating leases</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932</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740</w:t>
            </w:r>
          </w:p>
        </w:tc>
        <w:tc>
          <w:tcPr>
            <w:tcW w:w="100" w:type="dxa"/>
            <w:vAlign w:val="bottom"/>
            <w:shd w:val="clear" w:color="auto" w:fill="CFF0FC"/>
          </w:tcPr>
          <w:p>
            <w:pPr>
              <w:spacing w:after="0"/>
              <w:rPr>
                <w:sz w:val="18"/>
                <w:szCs w:val="18"/>
                <w:color w:val="auto"/>
              </w:rPr>
            </w:pPr>
          </w:p>
        </w:tc>
      </w:tr>
      <w:tr>
        <w:trPr>
          <w:trHeight w:val="197"/>
        </w:trPr>
        <w:tc>
          <w:tcPr>
            <w:tcW w:w="7640" w:type="dxa"/>
            <w:vAlign w:val="bottom"/>
          </w:tcPr>
          <w:p>
            <w:pPr>
              <w:ind w:left="200"/>
              <w:spacing w:after="0"/>
              <w:rPr>
                <w:sz w:val="20"/>
                <w:szCs w:val="20"/>
                <w:color w:val="auto"/>
              </w:rPr>
            </w:pPr>
            <w:r>
              <w:rPr>
                <w:rFonts w:ascii="Arial" w:cs="Arial" w:eastAsia="Arial" w:hAnsi="Arial"/>
                <w:sz w:val="14"/>
                <w:szCs w:val="14"/>
                <w:color w:val="auto"/>
              </w:rPr>
              <w:t>Cash paid for income taxes</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r>
      <w:tr>
        <w:trPr>
          <w:trHeight w:val="208"/>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paid for interest on financing leases</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FF0FC"/>
          </w:tcPr>
          <w:p>
            <w:pPr>
              <w:spacing w:after="0"/>
              <w:rPr>
                <w:sz w:val="18"/>
                <w:szCs w:val="18"/>
                <w:color w:val="auto"/>
              </w:rPr>
            </w:pPr>
          </w:p>
        </w:tc>
      </w:tr>
      <w:tr>
        <w:trPr>
          <w:trHeight w:val="197"/>
        </w:trPr>
        <w:tc>
          <w:tcPr>
            <w:tcW w:w="7640" w:type="dxa"/>
            <w:vAlign w:val="bottom"/>
          </w:tcPr>
          <w:p>
            <w:pPr>
              <w:ind w:left="200"/>
              <w:spacing w:after="0"/>
              <w:rPr>
                <w:sz w:val="20"/>
                <w:szCs w:val="20"/>
                <w:color w:val="auto"/>
              </w:rPr>
            </w:pPr>
            <w:r>
              <w:rPr>
                <w:rFonts w:ascii="Arial" w:cs="Arial" w:eastAsia="Arial" w:hAnsi="Arial"/>
                <w:sz w:val="14"/>
                <w:szCs w:val="14"/>
                <w:color w:val="auto"/>
              </w:rPr>
              <w:t>Cash paid for interest on term loan</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2,237</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8"/>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7"/>
        </w:trPr>
        <w:tc>
          <w:tcPr>
            <w:tcW w:w="7640" w:type="dxa"/>
            <w:vAlign w:val="bottom"/>
          </w:tcPr>
          <w:p>
            <w:pPr>
              <w:ind w:left="200"/>
              <w:spacing w:after="0"/>
              <w:rPr>
                <w:sz w:val="20"/>
                <w:szCs w:val="20"/>
                <w:color w:val="auto"/>
              </w:rPr>
            </w:pPr>
            <w:r>
              <w:rPr>
                <w:rFonts w:ascii="Arial" w:cs="Arial" w:eastAsia="Arial" w:hAnsi="Arial"/>
                <w:sz w:val="14"/>
                <w:szCs w:val="14"/>
                <w:color w:val="auto"/>
              </w:rPr>
              <w:t>Right-of-use assets obtained in exchange for lease obligations:</w:t>
            </w: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7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Operating lease</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1,923</w:t>
            </w:r>
          </w:p>
        </w:tc>
        <w:tc>
          <w:tcPr>
            <w:tcW w:w="100" w:type="dxa"/>
            <w:vAlign w:val="bottom"/>
            <w:shd w:val="clear" w:color="auto" w:fill="CFF0FC"/>
          </w:tcPr>
          <w:p>
            <w:pPr>
              <w:spacing w:after="0"/>
              <w:rPr>
                <w:sz w:val="18"/>
                <w:szCs w:val="18"/>
                <w:color w:val="auto"/>
              </w:rPr>
            </w:pPr>
          </w:p>
        </w:tc>
      </w:tr>
      <w:tr>
        <w:trPr>
          <w:trHeight w:val="197"/>
        </w:trPr>
        <w:tc>
          <w:tcPr>
            <w:tcW w:w="7640" w:type="dxa"/>
            <w:vAlign w:val="bottom"/>
          </w:tcPr>
          <w:p>
            <w:pPr>
              <w:ind w:left="380"/>
              <w:spacing w:after="0"/>
              <w:rPr>
                <w:sz w:val="20"/>
                <w:szCs w:val="20"/>
                <w:color w:val="auto"/>
              </w:rPr>
            </w:pPr>
            <w:r>
              <w:rPr>
                <w:rFonts w:ascii="Arial" w:cs="Arial" w:eastAsia="Arial" w:hAnsi="Arial"/>
                <w:sz w:val="14"/>
                <w:szCs w:val="14"/>
                <w:color w:val="auto"/>
              </w:rPr>
              <w:t>Finance lease</w:t>
            </w:r>
          </w:p>
        </w:tc>
        <w:tc>
          <w:tcPr>
            <w:tcW w:w="106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r>
      <w:tr>
        <w:trPr>
          <w:trHeight w:val="208"/>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Lease obligations recorded for right-of-use assets:</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7"/>
        </w:trPr>
        <w:tc>
          <w:tcPr>
            <w:tcW w:w="7640" w:type="dxa"/>
            <w:vAlign w:val="bottom"/>
          </w:tcPr>
          <w:p>
            <w:pPr>
              <w:ind w:left="380"/>
              <w:spacing w:after="0"/>
              <w:rPr>
                <w:sz w:val="20"/>
                <w:szCs w:val="20"/>
                <w:color w:val="auto"/>
              </w:rPr>
            </w:pPr>
            <w:r>
              <w:rPr>
                <w:rFonts w:ascii="Arial" w:cs="Arial" w:eastAsia="Arial" w:hAnsi="Arial"/>
                <w:sz w:val="14"/>
                <w:szCs w:val="14"/>
                <w:color w:val="auto"/>
              </w:rPr>
              <w:t>Operating lease</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103</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1,923</w:t>
            </w:r>
          </w:p>
        </w:tc>
        <w:tc>
          <w:tcPr>
            <w:tcW w:w="100" w:type="dxa"/>
            <w:vAlign w:val="bottom"/>
          </w:tcPr>
          <w:p>
            <w:pPr>
              <w:spacing w:after="0"/>
              <w:rPr>
                <w:sz w:val="17"/>
                <w:szCs w:val="17"/>
                <w:color w:val="auto"/>
              </w:rPr>
            </w:pPr>
          </w:p>
        </w:tc>
      </w:tr>
      <w:tr>
        <w:trPr>
          <w:trHeight w:val="209"/>
        </w:trPr>
        <w:tc>
          <w:tcPr>
            <w:tcW w:w="7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Finance lease</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FF0FC"/>
          </w:tcPr>
          <w:p>
            <w:pPr>
              <w:spacing w:after="0"/>
              <w:rPr>
                <w:sz w:val="18"/>
                <w:szCs w:val="18"/>
                <w:color w:val="auto"/>
              </w:rPr>
            </w:pPr>
          </w:p>
        </w:tc>
      </w:tr>
      <w:tr>
        <w:trPr>
          <w:trHeight w:val="196"/>
        </w:trPr>
        <w:tc>
          <w:tcPr>
            <w:tcW w:w="7640" w:type="dxa"/>
            <w:vAlign w:val="bottom"/>
          </w:tcPr>
          <w:p>
            <w:pPr>
              <w:ind w:left="200"/>
              <w:spacing w:after="0"/>
              <w:rPr>
                <w:sz w:val="20"/>
                <w:szCs w:val="20"/>
                <w:color w:val="auto"/>
              </w:rPr>
            </w:pPr>
            <w:r>
              <w:rPr>
                <w:rFonts w:ascii="Arial" w:cs="Arial" w:eastAsia="Arial" w:hAnsi="Arial"/>
                <w:sz w:val="14"/>
                <w:szCs w:val="14"/>
                <w:color w:val="auto"/>
              </w:rPr>
              <w:t>Acquisition of property and equipment included in accounts payable and accrued expenses and other current liabilities</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138</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7"/>
                <w:szCs w:val="17"/>
                <w:color w:val="auto"/>
              </w:rPr>
            </w:pPr>
          </w:p>
        </w:tc>
      </w:tr>
      <w:tr>
        <w:trPr>
          <w:trHeight w:val="209"/>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Accretion to redemption value of redeemable stock and stock options</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39,181</w:t>
            </w:r>
          </w:p>
        </w:tc>
        <w:tc>
          <w:tcPr>
            <w:tcW w:w="100" w:type="dxa"/>
            <w:vAlign w:val="bottom"/>
            <w:shd w:val="clear" w:color="auto" w:fill="CFF0FC"/>
          </w:tcPr>
          <w:p>
            <w:pPr>
              <w:spacing w:after="0"/>
              <w:rPr>
                <w:sz w:val="18"/>
                <w:szCs w:val="18"/>
                <w:color w:val="auto"/>
              </w:rPr>
            </w:pPr>
          </w:p>
        </w:tc>
      </w:tr>
      <w:tr>
        <w:trPr>
          <w:trHeight w:val="196"/>
        </w:trPr>
        <w:tc>
          <w:tcPr>
            <w:tcW w:w="7640" w:type="dxa"/>
            <w:vAlign w:val="bottom"/>
          </w:tcPr>
          <w:p>
            <w:pPr>
              <w:ind w:left="200"/>
              <w:spacing w:after="0"/>
              <w:rPr>
                <w:sz w:val="20"/>
                <w:szCs w:val="20"/>
                <w:color w:val="auto"/>
              </w:rPr>
            </w:pPr>
            <w:r>
              <w:rPr>
                <w:rFonts w:ascii="Arial" w:cs="Arial" w:eastAsia="Arial" w:hAnsi="Arial"/>
                <w:sz w:val="14"/>
                <w:szCs w:val="14"/>
                <w:color w:val="auto"/>
              </w:rPr>
              <w:t>Payment-in-kind interest income added to principal of notes receivable</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r>
      <w:tr>
        <w:trPr>
          <w:trHeight w:val="209"/>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Reclassification from warrant liability to additional paid-in capital for warrants exercised</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1,111</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FF0FC"/>
          </w:tcPr>
          <w:p>
            <w:pPr>
              <w:spacing w:after="0"/>
              <w:rPr>
                <w:sz w:val="18"/>
                <w:szCs w:val="18"/>
                <w:color w:val="auto"/>
              </w:rPr>
            </w:pPr>
          </w:p>
        </w:tc>
      </w:tr>
      <w:tr>
        <w:trPr>
          <w:trHeight w:val="196"/>
        </w:trPr>
        <w:tc>
          <w:tcPr>
            <w:tcW w:w="7640" w:type="dxa"/>
            <w:vAlign w:val="bottom"/>
          </w:tcPr>
          <w:p>
            <w:pPr>
              <w:ind w:left="200"/>
              <w:spacing w:after="0"/>
              <w:rPr>
                <w:sz w:val="20"/>
                <w:szCs w:val="20"/>
                <w:color w:val="auto"/>
              </w:rPr>
            </w:pPr>
            <w:r>
              <w:rPr>
                <w:rFonts w:ascii="Arial" w:cs="Arial" w:eastAsia="Arial" w:hAnsi="Arial"/>
                <w:sz w:val="14"/>
                <w:szCs w:val="14"/>
                <w:color w:val="auto"/>
              </w:rPr>
              <w:t>Reclassification of 4,093,995 shares of redeemable common stock to 4,093,995 shares of common stock</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87,702</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8"/>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Reclassification of redeemable common stock options to common stock options</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47,370</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7"/>
        </w:trPr>
        <w:tc>
          <w:tcPr>
            <w:tcW w:w="7640" w:type="dxa"/>
            <w:vAlign w:val="bottom"/>
          </w:tcPr>
          <w:p>
            <w:pPr>
              <w:ind w:left="200"/>
              <w:spacing w:after="0"/>
              <w:rPr>
                <w:sz w:val="20"/>
                <w:szCs w:val="20"/>
                <w:color w:val="auto"/>
              </w:rPr>
            </w:pPr>
            <w:r>
              <w:rPr>
                <w:rFonts w:ascii="Arial" w:cs="Arial" w:eastAsia="Arial" w:hAnsi="Arial"/>
                <w:sz w:val="14"/>
                <w:szCs w:val="14"/>
                <w:color w:val="auto"/>
              </w:rPr>
              <w:t>Conversion of preferred stock to common stock upon initial public offering</w:t>
            </w: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357,202</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8"/>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Reclassification of deferred financing costs</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3,156</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-5217160</wp:posOffset>
            </wp:positionV>
            <wp:extent cx="17145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-5217160</wp:posOffset>
            </wp:positionV>
            <wp:extent cx="5969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-4693920</wp:posOffset>
            </wp:positionV>
            <wp:extent cx="17145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-4693920</wp:posOffset>
            </wp:positionV>
            <wp:extent cx="5969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-3390900</wp:posOffset>
            </wp:positionV>
            <wp:extent cx="17145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-3390900</wp:posOffset>
            </wp:positionV>
            <wp:extent cx="5969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-2859405</wp:posOffset>
            </wp:positionV>
            <wp:extent cx="17145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-2859405</wp:posOffset>
            </wp:positionV>
            <wp:extent cx="5969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RxSIGHT, INC.</w:t>
      </w:r>
    </w:p>
    <w:p>
      <w:pPr>
        <w:spacing w:after="0" w:line="239"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48" w:lineRule="exact"/>
        <w:rPr>
          <w:sz w:val="20"/>
          <w:szCs w:val="20"/>
          <w:color w:val="auto"/>
        </w:rPr>
      </w:pPr>
    </w:p>
    <w:p>
      <w:pPr>
        <w:ind w:right="40" w:firstLine="374"/>
        <w:spacing w:after="0" w:line="287" w:lineRule="auto"/>
        <w:rPr>
          <w:sz w:val="20"/>
          <w:szCs w:val="20"/>
          <w:color w:val="auto"/>
        </w:rPr>
      </w:pPr>
      <w:r>
        <w:rPr>
          <w:rFonts w:ascii="Arial" w:cs="Arial" w:eastAsia="Arial" w:hAnsi="Arial"/>
          <w:sz w:val="17"/>
          <w:szCs w:val="17"/>
          <w:color w:val="auto"/>
        </w:rPr>
        <w:t>RxSight®, Inc. (the “Company”) is a Delaware corporation headquartered in Aliso Viejo, California with two wholly owned subsidiaries. One subsidiary is located in Amsterdam, Netherlands, with registered branches in the United Kingdom and Ireland. The Ireland registered branch was closed in 2020. The Netherlands entity also has a wholly owned subsidiary in Germany. A second subsidiary, closed in 2020, was located in Tijuana, Mexico. The Company is engaged in the research and development, manufacture and sale of light adjustable intraocular lenses used in cataract surgery along with capital equipment used with the lenses. The Company’s products, which include the light adjustable lens (“RxLAL”®) and a specially designed machine for delivering light to the eye, the Light Delivery Device (“LDD™”), are approved by the United States (“U.S.”) Food and Drug Administration (“FDA”) for sale in the U.S. and have regulatory approval in the U.S and Europe. The Company began marketing its products in the U.S. during the second quarter of 2019 and in Europe during the third quarter of 2019. The RxLAL is a premium intraocular lens (“IOL”) which is partially reimbursable under Medicare. The Company competes with other IOLs in the premium market in the U.S. and Europe.</w:t>
      </w:r>
    </w:p>
    <w:p>
      <w:pPr>
        <w:spacing w:after="0" w:line="110" w:lineRule="exact"/>
        <w:rPr>
          <w:sz w:val="20"/>
          <w:szCs w:val="20"/>
          <w:color w:val="auto"/>
        </w:rPr>
      </w:pPr>
    </w:p>
    <w:p>
      <w:pPr>
        <w:jc w:val="both"/>
        <w:ind w:right="240" w:firstLine="374"/>
        <w:spacing w:after="0" w:line="279" w:lineRule="auto"/>
        <w:rPr>
          <w:sz w:val="20"/>
          <w:szCs w:val="20"/>
          <w:color w:val="auto"/>
        </w:rPr>
      </w:pPr>
      <w:r>
        <w:rPr>
          <w:rFonts w:ascii="Arial" w:cs="Arial" w:eastAsia="Arial" w:hAnsi="Arial"/>
          <w:sz w:val="18"/>
          <w:szCs w:val="18"/>
          <w:color w:val="auto"/>
        </w:rPr>
        <w:t>The accompanying unaudited condensed consolidated financial statements include the accounts of RxSight, Inc. and its wholly owned subsidiaries, RxSight, B.V., located in the Netherlands, RxSight GmbH, located in Germany, and RxSight S de R.L. de C.V., located in Mexico. All significant inter-company balances and transactions have been eliminated in consolidation.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44" w:lineRule="exact"/>
        <w:rPr>
          <w:sz w:val="20"/>
          <w:szCs w:val="20"/>
          <w:color w:val="auto"/>
        </w:rPr>
      </w:pPr>
    </w:p>
    <w:p>
      <w:pPr>
        <w:ind w:right="80" w:firstLine="374"/>
        <w:spacing w:after="0" w:line="286" w:lineRule="auto"/>
        <w:rPr>
          <w:sz w:val="20"/>
          <w:szCs w:val="20"/>
          <w:color w:val="auto"/>
        </w:rPr>
      </w:pPr>
      <w:r>
        <w:rPr>
          <w:rFonts w:ascii="Arial" w:cs="Arial" w:eastAsia="Arial" w:hAnsi="Arial"/>
          <w:sz w:val="17"/>
          <w:szCs w:val="17"/>
          <w:color w:val="auto"/>
        </w:rPr>
        <w:t>The Company’s financial statements have been prepared in accordance with accounting principles generally accepted in the United States of America (“GAAP”) for interim financial information and pursuant to Form 10-Q and Article 10 of Regulation S-X of the Securities and Exchange Commission (“SEC”). Accordingly, the accompanying unaudited condensed consolidated financial statements do not include all of the information and notes required by GAAP for complete financial statements. The unaudited interim financial statements reflect all adjustments which, in the opinion of management, are necessary for a fair statement of the results for the periods presented. All such adjustments are of a normal and recurring nature. The consolidated balance sheet as of December 31, 2020 has been derived from the audited consolidated financial statements at that date but does not include all information and footnotes required by GAAP for complete financial statements. The operating results presented in these unaudited condensed consolidated financial statements are not necessarily indicative of the results that may be expected for any future periods. These unaudited condensed consolidated financial statements should be read in conjunction with the audited consolidated financial statements and the notes thereto included in the Company’s final prospectus for the Company's Initial Public Offering (“IPO”), filed pursuant to Rule 424(b) under the Securities Exchange Act of 1933, as amended, with the SEC on July 29, 2021 (the “Prospectus”).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 (IPO) and Reverse Stock Split</w:t>
      </w:r>
    </w:p>
    <w:p>
      <w:pPr>
        <w:spacing w:after="0" w:line="144" w:lineRule="exact"/>
        <w:rPr>
          <w:sz w:val="20"/>
          <w:szCs w:val="20"/>
          <w:color w:val="auto"/>
        </w:rPr>
      </w:pPr>
    </w:p>
    <w:p>
      <w:pPr>
        <w:ind w:firstLine="374"/>
        <w:spacing w:after="0" w:line="269" w:lineRule="auto"/>
        <w:rPr>
          <w:sz w:val="20"/>
          <w:szCs w:val="20"/>
          <w:color w:val="auto"/>
        </w:rPr>
      </w:pPr>
      <w:r>
        <w:rPr>
          <w:rFonts w:ascii="Arial" w:cs="Arial" w:eastAsia="Arial" w:hAnsi="Arial"/>
          <w:sz w:val="18"/>
          <w:szCs w:val="18"/>
          <w:color w:val="auto"/>
        </w:rPr>
        <w:t>On July 22, 2021, the Company’s Board of Directors approved an amendment to the Company’s Articles of Incorporation to effect a reverse split of shares of the Company’s common stock, excluding Series G and Series W common stock, and convertible preferred stock on a 1-for-10.33 basis (the “Reverse Stock Split”). The par values of the common stock and convertible preferred stock were not adjusted as a result of the Reverse Stock Split. The Reverse Stock Split was effected on July 23, 2021. Accordingly, all common stock, excluding Series G and Series W common stock, options to purchase common stock, convertible preferred stock, share data, per share data and related information contained in the accompanying condensed consolidated financial statements and notes have been retrospectively adjusted to reflect the effect of the Reverse Stock Split for all periods presented. Outstanding stock options were proportionately reduced and the respective exercise prices, if applicable, were proportionately increased. The Reverse Stock Split resulted in an adjustment to the convertible preferred stock conversion prices to reflect a proportional decrease in the number of shares of common stock to be issued upon conversion.</w:t>
      </w:r>
    </w:p>
    <w:p>
      <w:pPr>
        <w:spacing w:after="0" w:line="126" w:lineRule="exact"/>
        <w:rPr>
          <w:sz w:val="20"/>
          <w:szCs w:val="20"/>
          <w:color w:val="auto"/>
        </w:rPr>
      </w:pPr>
    </w:p>
    <w:p>
      <w:pPr>
        <w:ind w:right="140" w:firstLine="374"/>
        <w:spacing w:after="0" w:line="279" w:lineRule="auto"/>
        <w:rPr>
          <w:sz w:val="20"/>
          <w:szCs w:val="20"/>
          <w:color w:val="auto"/>
        </w:rPr>
      </w:pPr>
      <w:r>
        <w:rPr>
          <w:rFonts w:ascii="Arial" w:cs="Arial" w:eastAsia="Arial" w:hAnsi="Arial"/>
          <w:sz w:val="18"/>
          <w:szCs w:val="18"/>
          <w:color w:val="auto"/>
        </w:rPr>
        <w:t>On July 29, 2021, the Company completed its IPO through an underwritten sale of 7,350,000 shares of its common stock at a price of $16.00 per share. The aggregate net proceeds from the offering, inclusive of an additional 898,549 common shares sold upon the partial exercise of the underwriters’ purchase option, after</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1" w:right="359" w:bottom="1440" w:gutter="0" w:footer="0" w:header="0"/>
        </w:sectPr>
      </w:pPr>
    </w:p>
    <w:bookmarkStart w:id="11" w:name="page12"/>
    <w:bookmarkEnd w:id="11"/>
    <w:p>
      <w:pPr>
        <w:ind w:right="180"/>
        <w:spacing w:after="0" w:line="319" w:lineRule="auto"/>
        <w:rPr>
          <w:sz w:val="20"/>
          <w:szCs w:val="20"/>
          <w:color w:val="auto"/>
        </w:rPr>
      </w:pPr>
      <w:r>
        <w:rPr>
          <w:rFonts w:ascii="Arial" w:cs="Arial" w:eastAsia="Arial" w:hAnsi="Arial"/>
          <w:sz w:val="16"/>
          <w:szCs w:val="16"/>
          <w:color w:val="auto"/>
        </w:rPr>
        <w:t>deducting underwriting discounts and commissions of $9.2 million and other offering costs of $3.2 million, were approximately $120.0 million. On July 29, 2021, the Company restated its articles of incorporation and bylaws which provide for, among other things, the Company’s authorized capital stock to consist of 900,000,000 shares of common stock, par value $0.001 per share, and 100,000,000 shares of convertible preferred stock, par value $0.001 per share. The restated articles define the voting rights, dividends, liquidation, rights and preferences of each class of stock.</w:t>
      </w:r>
    </w:p>
    <w:p>
      <w:pPr>
        <w:spacing w:after="0" w:line="88" w:lineRule="exact"/>
        <w:rPr>
          <w:sz w:val="20"/>
          <w:szCs w:val="20"/>
          <w:color w:val="auto"/>
        </w:rPr>
      </w:pPr>
    </w:p>
    <w:p>
      <w:pPr>
        <w:jc w:val="both"/>
        <w:ind w:right="120" w:firstLine="374"/>
        <w:spacing w:after="0" w:line="279" w:lineRule="auto"/>
        <w:rPr>
          <w:sz w:val="20"/>
          <w:szCs w:val="20"/>
          <w:color w:val="auto"/>
        </w:rPr>
      </w:pPr>
      <w:r>
        <w:rPr>
          <w:rFonts w:ascii="Arial" w:cs="Arial" w:eastAsia="Arial" w:hAnsi="Arial"/>
          <w:sz w:val="18"/>
          <w:szCs w:val="18"/>
          <w:color w:val="auto"/>
        </w:rPr>
        <w:t>Immediately prior to the completion of the offering, 14,376,272 outstanding shares of the Company's convertible preferred stock were converted into an aggregate of 14,725,309 shares of common stock and 225,945 warrants to purchase Series H convertible preferred stock were exercised and converted into 100,261 shares of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Financial Position</w:t>
      </w:r>
    </w:p>
    <w:p>
      <w:pPr>
        <w:spacing w:after="0" w:line="144" w:lineRule="exact"/>
        <w:rPr>
          <w:sz w:val="20"/>
          <w:szCs w:val="20"/>
          <w:color w:val="auto"/>
        </w:rPr>
      </w:pPr>
    </w:p>
    <w:p>
      <w:pPr>
        <w:ind w:right="200" w:firstLine="374"/>
        <w:spacing w:after="0" w:line="293" w:lineRule="auto"/>
        <w:rPr>
          <w:sz w:val="20"/>
          <w:szCs w:val="20"/>
          <w:color w:val="auto"/>
        </w:rPr>
      </w:pPr>
      <w:r>
        <w:rPr>
          <w:rFonts w:ascii="Arial" w:cs="Arial" w:eastAsia="Arial" w:hAnsi="Arial"/>
          <w:sz w:val="18"/>
          <w:szCs w:val="18"/>
          <w:color w:val="auto"/>
        </w:rPr>
        <w:t>As of September 30, 2021 and December 31, 2020 the Company had cash, cash equivalents and short-term investments of $168.3 million and $69.0 million, respectively.</w:t>
      </w:r>
    </w:p>
    <w:p>
      <w:pPr>
        <w:spacing w:after="0" w:line="102" w:lineRule="exact"/>
        <w:rPr>
          <w:sz w:val="20"/>
          <w:szCs w:val="20"/>
          <w:color w:val="auto"/>
        </w:rPr>
      </w:pPr>
    </w:p>
    <w:p>
      <w:pPr>
        <w:ind w:right="40" w:firstLine="374"/>
        <w:spacing w:after="0" w:line="309" w:lineRule="auto"/>
        <w:rPr>
          <w:sz w:val="20"/>
          <w:szCs w:val="20"/>
          <w:color w:val="auto"/>
        </w:rPr>
      </w:pPr>
      <w:r>
        <w:rPr>
          <w:rFonts w:ascii="Arial" w:cs="Arial" w:eastAsia="Arial" w:hAnsi="Arial"/>
          <w:sz w:val="16"/>
          <w:szCs w:val="16"/>
          <w:color w:val="auto"/>
        </w:rPr>
        <w:t>The Company began generating revenue from its principal operations in 2019. The Company has a limited operating history, and the revenue and income potential of the Company’s business and market are unproven. The Company has experienced recurring net losses and negative cash flows from operating activities since its inception. For the three months ended September 30, 2021 and 2020 the Company incurred losses from operations of $13.1 million and $8.9 million, respectively. For the nine months ended September 30, 2021 and 2020, the Company incurred losses from operations of $38.1 million and $27.1 million, respectively. Due to the Company’s continuing research and development activities and expansion of its sales and marketing efforts,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p>
    <w:p>
      <w:pPr>
        <w:spacing w:after="0" w:line="97" w:lineRule="exact"/>
        <w:rPr>
          <w:sz w:val="20"/>
          <w:szCs w:val="20"/>
          <w:color w:val="auto"/>
        </w:rPr>
      </w:pPr>
    </w:p>
    <w:p>
      <w:pPr>
        <w:ind w:right="160" w:firstLine="374"/>
        <w:spacing w:after="0" w:line="275" w:lineRule="auto"/>
        <w:rPr>
          <w:sz w:val="20"/>
          <w:szCs w:val="20"/>
          <w:color w:val="auto"/>
        </w:rPr>
      </w:pPr>
      <w:r>
        <w:rPr>
          <w:rFonts w:ascii="Arial" w:cs="Arial" w:eastAsia="Arial" w:hAnsi="Arial"/>
          <w:sz w:val="18"/>
          <w:szCs w:val="18"/>
          <w:color w:val="auto"/>
        </w:rPr>
        <w:t>The accompanying financial statements have been prepared assuming the Company will continue as a going concern. The Company believes that existing capital resources, including the net proceeds from the IPO in July 2021, will be sufficient to meet projected operating requirements for at least 12 months from the date of issuance of the accompanying condensed consolidated financial statements, though the Company expects to continue to incur operating losses and negative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44" w:lineRule="exact"/>
        <w:rPr>
          <w:sz w:val="20"/>
          <w:szCs w:val="20"/>
          <w:color w:val="auto"/>
        </w:rPr>
      </w:pPr>
    </w:p>
    <w:p>
      <w:pPr>
        <w:ind w:right="20" w:firstLine="374"/>
        <w:spacing w:after="0" w:line="270" w:lineRule="auto"/>
        <w:rPr>
          <w:sz w:val="20"/>
          <w:szCs w:val="20"/>
          <w:color w:val="auto"/>
        </w:rPr>
      </w:pPr>
      <w:r>
        <w:rPr>
          <w:rFonts w:ascii="Arial" w:cs="Arial" w:eastAsia="Arial" w:hAnsi="Arial"/>
          <w:sz w:val="18"/>
          <w:szCs w:val="18"/>
          <w:color w:val="auto"/>
        </w:rPr>
        <w:t>The Company has been actively monitoring the novel coronavirus, or COVID-19, situation and its impact. In response to the pandemic, numerous state and local jurisdictions imposed “shelter-in-place” orders, quarantines and other restrictions. Starting in March 2020 in the United States, governmental authorities recommended, and in certain cases required, that elective, specialty and other procedures and appointments be suspended or canceled. Similarly, in March 2020, the governor of California, where the Company’s headquarters are located, issued “stay at home” orders limiting non-essential activities, travel and business operations. Such orders or restrictions resulted in reduced operations at the Company’s headquarters, slowdowns and delays, travel restrictions and cancellation of events. These orders and restrictions significantly decreased the number of procedures performed using the Company’s products during March and April 2020.</w:t>
      </w:r>
    </w:p>
    <w:p>
      <w:pPr>
        <w:spacing w:after="0" w:line="125" w:lineRule="exact"/>
        <w:rPr>
          <w:sz w:val="20"/>
          <w:szCs w:val="20"/>
          <w:color w:val="auto"/>
        </w:rPr>
      </w:pPr>
    </w:p>
    <w:p>
      <w:pPr>
        <w:ind w:firstLine="374"/>
        <w:spacing w:after="0" w:line="288" w:lineRule="auto"/>
        <w:rPr>
          <w:sz w:val="20"/>
          <w:szCs w:val="20"/>
          <w:color w:val="auto"/>
        </w:rPr>
      </w:pPr>
      <w:r>
        <w:rPr>
          <w:rFonts w:ascii="Arial" w:cs="Arial" w:eastAsia="Arial" w:hAnsi="Arial"/>
          <w:sz w:val="17"/>
          <w:szCs w:val="17"/>
          <w:color w:val="auto"/>
        </w:rPr>
        <w:t>In response to the impact of COVID-19, the Company implemented a variety of measures to help manage through the impact and position it to resume operations quickly and efficiently once these restrictions were lifted. These measures included: remote work as needed, suspension of non-essential travel, restrictions on in-person work-related meetings, the wearing of personal protective equipment, social distancing, increased facility cleaning and air purification in all of the Company’s buildings and daily health monitoring of all Company employees to prevent or contain COVID-19 exposure. In addition, the Company took steps to preserve liquidity, reduce expenses and monitor operations to mitigate the impact on its current and future financial condition. The impact of COVID-19 continues to change and cannot be predicted. As a result, the Company expects the pandemic could continue to negatively impact its business, financial condition and results of operations.</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2 - Summary of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44" w:lineRule="exact"/>
        <w:rPr>
          <w:sz w:val="20"/>
          <w:szCs w:val="20"/>
          <w:color w:val="auto"/>
        </w:rPr>
      </w:pPr>
    </w:p>
    <w:p>
      <w:pPr>
        <w:ind w:firstLine="374"/>
        <w:spacing w:after="0" w:line="288"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informed estimates, judgments and assumptions that affect the reported amounts in the condensed consolidated financial statements and disclosures in the accompanying notes as of the date of the accompanying condensed consolidated financial statements. On an on-going basis, management evaluates the most critical estimates and assumptions for continued reasonableness. In particular, management makes estimates with respect to revenue recognition, warrants and other equity awards; estimated probability and timing of redemption of equity instruments, the realization of income tax assets and estimates of tax liabilities, and excess, obsolete and slow-moving inventory. Actual results may differ materially from the estimates used in the preparation of the accompanying condensed consolidated financial statements under different assumptions or conditions.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44" w:lineRule="exact"/>
        <w:rPr>
          <w:sz w:val="20"/>
          <w:szCs w:val="20"/>
          <w:color w:val="auto"/>
        </w:rPr>
      </w:pPr>
    </w:p>
    <w:p>
      <w:pPr>
        <w:jc w:val="both"/>
        <w:ind w:right="180" w:firstLine="374"/>
        <w:spacing w:after="0" w:line="279" w:lineRule="auto"/>
        <w:rPr>
          <w:sz w:val="20"/>
          <w:szCs w:val="20"/>
          <w:color w:val="auto"/>
        </w:rPr>
      </w:pPr>
      <w:r>
        <w:rPr>
          <w:rFonts w:ascii="Arial" w:cs="Arial" w:eastAsia="Arial" w:hAnsi="Arial"/>
          <w:sz w:val="18"/>
          <w:szCs w:val="18"/>
          <w:color w:val="auto"/>
        </w:rPr>
        <w:t>There have been no significant changes to the accounting policies during the nine months ended September 30, 2021, as compared to the significant accounting policies described in Note 2 of the “Notes to Consolidated Financial Statements” in the Company’s audited consolidated financial statements included in the Prospectus.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44" w:lineRule="exact"/>
        <w:rPr>
          <w:sz w:val="20"/>
          <w:szCs w:val="20"/>
          <w:color w:val="auto"/>
        </w:rPr>
      </w:pPr>
    </w:p>
    <w:p>
      <w:pPr>
        <w:ind w:right="160" w:firstLine="374"/>
        <w:spacing w:after="0" w:line="293" w:lineRule="auto"/>
        <w:rPr>
          <w:sz w:val="20"/>
          <w:szCs w:val="20"/>
          <w:color w:val="auto"/>
        </w:rPr>
      </w:pPr>
      <w:r>
        <w:rPr>
          <w:rFonts w:ascii="Arial" w:cs="Arial" w:eastAsia="Arial" w:hAnsi="Arial"/>
          <w:sz w:val="18"/>
          <w:szCs w:val="18"/>
          <w:color w:val="auto"/>
        </w:rPr>
        <w:t>Cash equivalents consist of investments in money market accounts. The Company considers all highly liquid investments with original maturities of three months or less at the date of purchase that can be liquidated without prior notice or penalty to be cash equivalents.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144" w:lineRule="exact"/>
        <w:rPr>
          <w:sz w:val="20"/>
          <w:szCs w:val="20"/>
          <w:color w:val="auto"/>
        </w:rPr>
      </w:pPr>
    </w:p>
    <w:p>
      <w:pPr>
        <w:ind w:firstLine="374"/>
        <w:spacing w:after="0" w:line="286" w:lineRule="auto"/>
        <w:rPr>
          <w:sz w:val="20"/>
          <w:szCs w:val="20"/>
          <w:color w:val="auto"/>
        </w:rPr>
      </w:pPr>
      <w:r>
        <w:rPr>
          <w:rFonts w:ascii="Arial" w:cs="Arial" w:eastAsia="Arial" w:hAnsi="Arial"/>
          <w:sz w:val="17"/>
          <w:szCs w:val="17"/>
          <w:color w:val="auto"/>
        </w:rPr>
        <w:t>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2 financial instruments in the fair value hierarchy. Unrealized gains and losses are recorded as a component of other comprehensive loss within stockholders’ deficit on the condensed consolidated balance sheets. Realized gains and losses are included as other income (expense) in the accompanying condensed consolidated statements of operations and comprehensive income (loss).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w:t>
      </w:r>
    </w:p>
    <w:p>
      <w:pPr>
        <w:spacing w:after="0" w:line="101" w:lineRule="exact"/>
        <w:rPr>
          <w:sz w:val="20"/>
          <w:szCs w:val="20"/>
          <w:color w:val="auto"/>
        </w:rPr>
      </w:pPr>
    </w:p>
    <w:p>
      <w:pPr>
        <w:ind w:left="340" w:right="4360"/>
        <w:spacing w:after="0" w:line="453" w:lineRule="auto"/>
        <w:rPr>
          <w:sz w:val="20"/>
          <w:szCs w:val="20"/>
          <w:color w:val="auto"/>
        </w:rPr>
      </w:pPr>
      <w:r>
        <w:rPr>
          <w:rFonts w:ascii="Arial" w:cs="Arial" w:eastAsia="Arial" w:hAnsi="Arial"/>
          <w:sz w:val="18"/>
          <w:szCs w:val="18"/>
          <w:color w:val="auto"/>
        </w:rPr>
        <w:t>whether the investment has been in a continuous realized loss position for over 12 months; the duration to maturity of investments;</w:t>
      </w:r>
    </w:p>
    <w:p>
      <w:pPr>
        <w:spacing w:after="0" w:line="2" w:lineRule="exact"/>
        <w:rPr>
          <w:sz w:val="20"/>
          <w:szCs w:val="20"/>
          <w:color w:val="auto"/>
        </w:rPr>
      </w:pPr>
    </w:p>
    <w:p>
      <w:pPr>
        <w:ind w:left="340" w:right="560"/>
        <w:spacing w:after="0" w:line="308" w:lineRule="auto"/>
        <w:rPr>
          <w:sz w:val="20"/>
          <w:szCs w:val="20"/>
          <w:color w:val="auto"/>
        </w:rPr>
      </w:pPr>
      <w:r>
        <w:rPr>
          <w:rFonts w:ascii="Arial" w:cs="Arial" w:eastAsia="Arial" w:hAnsi="Arial"/>
          <w:sz w:val="18"/>
          <w:szCs w:val="18"/>
          <w:color w:val="auto"/>
        </w:rPr>
        <w:t>intention and ability to hold the investment to maturity and if it is not more likely than not that we will be required to sell the investment before recovery of the amortized cost basis;</w:t>
      </w:r>
    </w:p>
    <w:p>
      <w:pPr>
        <w:spacing w:after="0" w:line="90" w:lineRule="exact"/>
        <w:rPr>
          <w:sz w:val="20"/>
          <w:szCs w:val="20"/>
          <w:color w:val="auto"/>
        </w:rPr>
      </w:pPr>
    </w:p>
    <w:p>
      <w:pPr>
        <w:ind w:left="340" w:right="5260"/>
        <w:spacing w:after="0" w:line="430" w:lineRule="auto"/>
        <w:rPr>
          <w:sz w:val="20"/>
          <w:szCs w:val="20"/>
          <w:color w:val="auto"/>
        </w:rPr>
      </w:pPr>
      <w:r>
        <w:rPr>
          <w:rFonts w:ascii="Arial" w:cs="Arial" w:eastAsia="Arial" w:hAnsi="Arial"/>
          <w:sz w:val="18"/>
          <w:szCs w:val="18"/>
          <w:color w:val="auto"/>
        </w:rPr>
        <w:t>the credit rating, financial condition and near-term prospects of the issuer; and the type of investments made.</w:t>
      </w:r>
    </w:p>
    <w:p>
      <w:pPr>
        <w:spacing w:after="0" w:line="1" w:lineRule="exact"/>
        <w:rPr>
          <w:sz w:val="20"/>
          <w:szCs w:val="20"/>
          <w:color w:val="auto"/>
        </w:rPr>
      </w:pPr>
    </w:p>
    <w:p>
      <w:pPr>
        <w:ind w:right="220" w:firstLine="374"/>
        <w:spacing w:after="0" w:line="275" w:lineRule="auto"/>
        <w:rPr>
          <w:sz w:val="20"/>
          <w:szCs w:val="20"/>
          <w:color w:val="auto"/>
        </w:rPr>
      </w:pPr>
      <w:r>
        <w:rPr>
          <w:rFonts w:ascii="Arial" w:cs="Arial" w:eastAsia="Arial" w:hAnsi="Arial"/>
          <w:sz w:val="18"/>
          <w:szCs w:val="18"/>
          <w:color w:val="auto"/>
        </w:rPr>
        <w:t>The Company recorded $4,000 of unrealized losses and $2,000 of unrealized losses related to short-term investments as of September 30, 2021 and December 31, 2020, respectively. To date, the Company has not identified any unrealized losses other than credit losses for its short-term investments as determined by prices for identical or similar securities at the balance sheet date. The Company’s short-term investments consist of Level 2 financial instruments in the fair value hierarchy.</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71" w:lineRule="exact"/>
        <w:rPr>
          <w:sz w:val="20"/>
          <w:szCs w:val="20"/>
          <w:color w:val="auto"/>
        </w:rPr>
      </w:pPr>
    </w:p>
    <w:p>
      <w:pPr>
        <w:ind w:right="160" w:firstLine="374"/>
        <w:spacing w:after="0" w:line="287"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short-term money market funds and U.S. treasury bills. Additionally, the Company has established guidelines regarding diversification of its investments and their maturities, which are designed to maintain principal and maximize liquidity. The Company has not experienced material losses on cash equivalents and short-term investments.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44" w:lineRule="exact"/>
        <w:rPr>
          <w:sz w:val="20"/>
          <w:szCs w:val="20"/>
          <w:color w:val="auto"/>
        </w:rPr>
      </w:pPr>
    </w:p>
    <w:p>
      <w:pPr>
        <w:ind w:right="120" w:firstLine="374"/>
        <w:spacing w:after="0" w:line="329" w:lineRule="auto"/>
        <w:rPr>
          <w:sz w:val="20"/>
          <w:szCs w:val="20"/>
          <w:color w:val="auto"/>
        </w:rPr>
      </w:pPr>
      <w:r>
        <w:rPr>
          <w:rFonts w:ascii="Arial" w:cs="Arial" w:eastAsia="Arial" w:hAnsi="Arial"/>
          <w:sz w:val="16"/>
          <w:szCs w:val="16"/>
          <w:color w:val="auto"/>
        </w:rPr>
        <w:t>As of September 30, 2021, the Company did not have any customer who individually accounted for more than 10% of accounts receivable, and as of December 31, 2020, the Company had one customer who individually accounted for approximately 35% of accounts receivable. After evaluation of the collectability of accounts receivable, the Company did not record an allowance for doubtful accounts as of September 30, 2021 or December 31,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44"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Inventories consist of raw materials, work-in-process and finished goods. Raw materials are comprised of chemicals and parts used in the production of the Company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44" w:lineRule="exact"/>
        <w:rPr>
          <w:sz w:val="20"/>
          <w:szCs w:val="20"/>
          <w:color w:val="auto"/>
        </w:rPr>
      </w:pPr>
    </w:p>
    <w:p>
      <w:pPr>
        <w:ind w:right="120" w:firstLine="374"/>
        <w:spacing w:after="0" w:line="290" w:lineRule="auto"/>
        <w:rPr>
          <w:sz w:val="20"/>
          <w:szCs w:val="20"/>
          <w:color w:val="auto"/>
        </w:rPr>
      </w:pPr>
      <w:r>
        <w:rPr>
          <w:rFonts w:ascii="Arial" w:cs="Arial" w:eastAsia="Arial" w:hAnsi="Arial"/>
          <w:sz w:val="17"/>
          <w:szCs w:val="17"/>
          <w:color w:val="auto"/>
        </w:rPr>
        <w:t>The Company uses fair value measurements to record fair value adjustments to certain assets and liabilities and to determine fair value disclosures. The Company’s financial instruments consist principally of cash, cash equivalents, short-term investments, accounts receivable, accounts payable, operating lease liabilities, warrant liabilities and a term loan.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w:t>
      </w:r>
    </w:p>
    <w:p>
      <w:pPr>
        <w:spacing w:after="0" w:line="95" w:lineRule="exact"/>
        <w:rPr>
          <w:sz w:val="20"/>
          <w:szCs w:val="20"/>
          <w:color w:val="auto"/>
        </w:rPr>
      </w:pPr>
    </w:p>
    <w:p>
      <w:pPr>
        <w:ind w:right="80"/>
        <w:spacing w:after="0" w:line="308" w:lineRule="auto"/>
        <w:rPr>
          <w:sz w:val="20"/>
          <w:szCs w:val="20"/>
          <w:color w:val="auto"/>
        </w:rPr>
      </w:pPr>
      <w:r>
        <w:rPr>
          <w:rFonts w:ascii="Arial" w:cs="Arial" w:eastAsia="Arial" w:hAnsi="Arial"/>
          <w:sz w:val="18"/>
          <w:szCs w:val="18"/>
          <w:color w:val="auto"/>
        </w:rPr>
        <w:t>Level 1—Observable inputs such as unadjusted quoted prices in active markets that are accessible at the measurement date for identical unrestricted assets or liabilities.</w:t>
      </w:r>
    </w:p>
    <w:p>
      <w:pPr>
        <w:spacing w:after="0" w:line="103" w:lineRule="exact"/>
        <w:rPr>
          <w:sz w:val="20"/>
          <w:szCs w:val="20"/>
          <w:color w:val="auto"/>
        </w:rPr>
      </w:pPr>
    </w:p>
    <w:p>
      <w:pPr>
        <w:ind w:right="80"/>
        <w:spacing w:after="0" w:line="288" w:lineRule="auto"/>
        <w:rPr>
          <w:sz w:val="20"/>
          <w:szCs w:val="20"/>
          <w:color w:val="auto"/>
        </w:rPr>
      </w:pPr>
      <w:r>
        <w:rPr>
          <w:rFonts w:ascii="Arial" w:cs="Arial" w:eastAsia="Arial" w:hAnsi="Arial"/>
          <w:sz w:val="18"/>
          <w:szCs w:val="18"/>
          <w:color w:val="auto"/>
        </w:rPr>
        <w:t>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w:t>
      </w:r>
    </w:p>
    <w:p>
      <w:pPr>
        <w:spacing w:after="0" w:line="122"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color w:val="auto"/>
        </w:rPr>
        <w:t>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option-pricing model which uses inputs such as expected volatility, risk-free interest rate and expected term to determine fair market valuation.</w:t>
      </w:r>
    </w:p>
    <w:p>
      <w:pPr>
        <w:spacing w:after="0" w:line="156" w:lineRule="exact"/>
        <w:rPr>
          <w:sz w:val="20"/>
          <w:szCs w:val="20"/>
          <w:color w:val="auto"/>
        </w:rPr>
      </w:pPr>
    </w:p>
    <w:p>
      <w:pPr>
        <w:ind w:right="80" w:firstLine="374"/>
        <w:spacing w:after="0" w:line="275"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104" w:lineRule="exact"/>
        <w:rPr>
          <w:sz w:val="20"/>
          <w:szCs w:val="20"/>
          <w:color w:val="auto"/>
        </w:rPr>
      </w:pPr>
    </w:p>
    <w:p>
      <w:pPr>
        <w:ind w:firstLine="374"/>
        <w:spacing w:after="0" w:line="272" w:lineRule="auto"/>
        <w:rPr>
          <w:sz w:val="20"/>
          <w:szCs w:val="20"/>
          <w:color w:val="auto"/>
        </w:rPr>
      </w:pPr>
      <w:r>
        <w:rPr>
          <w:rFonts w:ascii="Arial" w:cs="Arial" w:eastAsia="Arial" w:hAnsi="Arial"/>
          <w:sz w:val="18"/>
          <w:szCs w:val="18"/>
          <w:color w:val="auto"/>
        </w:rPr>
        <w:t>Cash, cash equivalents, accounts receivable and accounts payable are carried at their estimated fair value because of the short-term nature of these assets and liabilities. The Company’s short-term investments in government securities are carried at fair value, determined based on publicly available quoted market prices for identical securities at the measurement date. The Company believes the fair values of its operating lease liabilities and term loan at September 30, 2021 and December 31, 2020 approximated their carrying values, based on the borrowing rates that were available for loans with similar terms as of that date.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Stock</w:t>
      </w:r>
    </w:p>
    <w:p>
      <w:pPr>
        <w:spacing w:after="0" w:line="144" w:lineRule="exact"/>
        <w:rPr>
          <w:sz w:val="20"/>
          <w:szCs w:val="20"/>
          <w:color w:val="auto"/>
        </w:rPr>
      </w:pPr>
    </w:p>
    <w:p>
      <w:pPr>
        <w:ind w:right="100" w:firstLine="374"/>
        <w:spacing w:after="0" w:line="306" w:lineRule="auto"/>
        <w:rPr>
          <w:sz w:val="20"/>
          <w:szCs w:val="20"/>
          <w:color w:val="auto"/>
        </w:rPr>
      </w:pPr>
      <w:r>
        <w:rPr>
          <w:rFonts w:ascii="Arial" w:cs="Arial" w:eastAsia="Arial" w:hAnsi="Arial"/>
          <w:sz w:val="16"/>
          <w:szCs w:val="16"/>
          <w:color w:val="auto"/>
        </w:rPr>
        <w:t>The Company recognizes the freestanding warrants to purchase shares of convertible preferred stock as liabilities at fair value as these warrant instruments are embedded in contracts that may be cash settled. The convertible preferred stock warrants were issued for no cash consideration as detachable freestanding instruments but can be converted to convertible preferred stock at the holder’s option based on the exercise price of the warrant. However, the deemed liquidation provisions of the convertible preferred stock are considered contingent redemption provisions that are not solely within the control of the Company. Therefore, the convertible preferred stock is classified in temporary equity on the accompanying condensed consolidated balance sheets, and the warrants to purchase the convertible preferred stock are classified as liabilities. The Company recognized a freestanding warrant to purchase a share of Series W common stock as a liability at fair value because this instrument was not indexed to the Company’s own stock as the settlement calculation incorporated variables other than those used to determine the fair value of a fixed-for-fixed forward or option on equity shares. The common stock warrant was issued for cash consideration as a freestanding instrument and could be converted to one share of common stock, Series W, at the holder’s option based on the exercise price of the warrant and prior to the expiration date of March 31, 2021.</w:t>
      </w:r>
    </w:p>
    <w:p>
      <w:pPr>
        <w:spacing w:after="0" w:line="98" w:lineRule="exact"/>
        <w:rPr>
          <w:sz w:val="20"/>
          <w:szCs w:val="20"/>
          <w:color w:val="auto"/>
        </w:rPr>
      </w:pPr>
    </w:p>
    <w:p>
      <w:pPr>
        <w:ind w:firstLine="374"/>
        <w:spacing w:after="0" w:line="304" w:lineRule="auto"/>
        <w:rPr>
          <w:sz w:val="20"/>
          <w:szCs w:val="20"/>
          <w:color w:val="auto"/>
        </w:rPr>
      </w:pPr>
      <w:r>
        <w:rPr>
          <w:rFonts w:ascii="Arial" w:cs="Arial" w:eastAsia="Arial" w:hAnsi="Arial"/>
          <w:sz w:val="16"/>
          <w:szCs w:val="16"/>
          <w:color w:val="auto"/>
        </w:rPr>
        <w:t>The warrants were recorded on the accompanying condensed consolidated balance sheets at their fair value on the date of issuance and were subject to re-measurement to fair value at each balance sheet date. Changes in fair value were recognized as a component of other income (expense), net in the accompanying condensed consolidated statements of operations and comprehensive income (loss). Upon issuance of the Series W common stock warrant, the Company engaged valuation specialists to assist with determining its fair value using a Monte Carlo simulation approach. In addition, the Company engaged the valuation specialists to derive an estimated fair value of the preferred stock warrants using a probability weighted expected return model/option pricing model (“PWERM/OPM”) hybrid valuation model. Pursuant to the terms of the preferred stock warrants, upon the conversion of the class of preferred stock underlying the warrant, the warrants automatically become exercisable for shares of the Company’s common stock based upon the conversion ratio of the underlying class of preferred stock. The exercise of the common stock warrant or consummation of a qualified initial public offering would result in the automatic conversion of all classes of the Company’s preferred stock into common stock. Upon such conversion of the underlying classes of preferred stock, the warrants would be classified as a component of equity and would no longer be subject to remeasurement. Accordingly, the Company continued to adjust the warrant liabilities for changes in fair value through the date of the conversion of the underlying convertible preferred stock into common stock which occurred upon the completion of the Company's IPO in July 2021.</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Offering Costs</w:t>
      </w:r>
    </w:p>
    <w:p>
      <w:pPr>
        <w:spacing w:after="0" w:line="239" w:lineRule="exact"/>
        <w:rPr>
          <w:sz w:val="20"/>
          <w:szCs w:val="20"/>
          <w:color w:val="auto"/>
        </w:rPr>
      </w:pPr>
    </w:p>
    <w:p>
      <w:pPr>
        <w:jc w:val="both"/>
        <w:ind w:right="360" w:firstLine="374"/>
        <w:spacing w:after="0" w:line="279" w:lineRule="auto"/>
        <w:rPr>
          <w:sz w:val="20"/>
          <w:szCs w:val="20"/>
          <w:color w:val="auto"/>
        </w:rPr>
      </w:pPr>
      <w:r>
        <w:rPr>
          <w:rFonts w:ascii="Arial" w:cs="Arial" w:eastAsia="Arial" w:hAnsi="Arial"/>
          <w:sz w:val="18"/>
          <w:szCs w:val="18"/>
          <w:color w:val="auto"/>
        </w:rPr>
        <w:t>The Company capitalized deferred offering costs consisting of all direct and incremental legal, professional, accounting and other third-party fees incurred in connection with the Company’s IPO. As of September 30, 2021, total deferred offering costs of $3.2 million were reclassified to additional paid-in capital in the accompanying condensed consolidated balance sheets.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 per Share</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5" w:name="page16"/>
    <w:bookmarkEnd w:id="15"/>
    <w:p>
      <w:pPr>
        <w:ind w:right="20" w:firstLine="374"/>
        <w:spacing w:after="0" w:line="286" w:lineRule="auto"/>
        <w:rPr>
          <w:sz w:val="20"/>
          <w:szCs w:val="20"/>
          <w:color w:val="auto"/>
        </w:rPr>
      </w:pPr>
      <w:r>
        <w:rPr>
          <w:rFonts w:ascii="Arial" w:cs="Arial" w:eastAsia="Arial" w:hAnsi="Arial"/>
          <w:sz w:val="17"/>
          <w:szCs w:val="17"/>
          <w:color w:val="auto"/>
        </w:rPr>
        <w:t>The Company computes basic net (loss) income per share for common stock using the two-class method required for companies with participating securities based upon the weighted-average number of common shares outstanding during the period. Diluted net (loss) income per share assumes the conversion, exercise or issuance of all potential common stock equivalents, unless the effect of inclusion would be anti-dilutive. For purposes of this calculation, common stock equivalents include the Company’s stock options, warrants and the shares issuable upon the conversion of the preferred stock. For stock options and preferred stock, the calculation of diluted (loss) income per share requires an adjustment for the additional share of undistributed earnings and accretion to redemption value for the period that the common stockholders are entitled to if exercise is assumed. For warrants that are recorded as a liability in the accompanying condensed consolidated balance sheets, the calculation of diluted (loss) income per share requires that, to the extent the average market price of the underlying shares for the reporting period exceeds the exercise price of the warrants and the presumed exercise of the warrants is dilutive to the loss per share for the period, an adjustment is made to net (loss) income used in the calculation to remove the change in fair value of the warrants from the numerator for the period. Likewise, an adjustment to the denominator is required to reflect the related dilutive shares, if any, under the treasury stock method.</w:t>
      </w:r>
    </w:p>
    <w:p>
      <w:pPr>
        <w:spacing w:after="0" w:line="111" w:lineRule="exact"/>
        <w:rPr>
          <w:sz w:val="20"/>
          <w:szCs w:val="20"/>
          <w:color w:val="auto"/>
        </w:rPr>
      </w:pPr>
    </w:p>
    <w:p>
      <w:pPr>
        <w:ind w:right="160" w:firstLine="374"/>
        <w:spacing w:after="0" w:line="293" w:lineRule="auto"/>
        <w:rPr>
          <w:sz w:val="20"/>
          <w:szCs w:val="20"/>
          <w:color w:val="auto"/>
        </w:rPr>
      </w:pPr>
      <w:r>
        <w:rPr>
          <w:rFonts w:ascii="Arial" w:cs="Arial" w:eastAsia="Arial" w:hAnsi="Arial"/>
          <w:sz w:val="18"/>
          <w:szCs w:val="18"/>
          <w:color w:val="auto"/>
        </w:rPr>
        <w:t>The following tables show the computation of basic and diluted net income (loss) per share for the three and nine months ended September 30, 2021 and 2020, (common stock in thousands, except share and per share amounts):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4"/>
              </w:rPr>
              <w:t>Three Months Ended September 30,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50"/>
        </w:trPr>
        <w:tc>
          <w:tcPr>
            <w:tcW w:w="39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40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(loss) income available to stockholders,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0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(12,673 )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5,900</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(32,954 )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(14,892 )</w:t>
            </w:r>
          </w:p>
        </w:tc>
      </w:tr>
      <w:tr>
        <w:trPr>
          <w:trHeight w:val="250"/>
        </w:trPr>
        <w:tc>
          <w:tcPr>
            <w:tcW w:w="4080" w:type="dxa"/>
            <w:vAlign w:val="bottom"/>
            <w:gridSpan w:val="2"/>
          </w:tcPr>
          <w:p>
            <w:pPr>
              <w:ind w:left="20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0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Redeemable stock options</w:t>
            </w:r>
          </w:p>
        </w:tc>
        <w:tc>
          <w:tcPr>
            <w:tcW w:w="22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4080" w:type="dxa"/>
            <w:vAlign w:val="bottom"/>
            <w:gridSpan w:val="2"/>
          </w:tcPr>
          <w:p>
            <w:pPr>
              <w:ind w:left="200"/>
              <w:spacing w:after="0"/>
              <w:rPr>
                <w:sz w:val="20"/>
                <w:szCs w:val="20"/>
                <w:color w:val="auto"/>
              </w:rPr>
            </w:pPr>
            <w:r>
              <w:rPr>
                <w:rFonts w:ascii="Arial" w:cs="Arial" w:eastAsia="Arial" w:hAnsi="Arial"/>
                <w:sz w:val="18"/>
                <w:szCs w:val="18"/>
                <w:color w:val="auto"/>
              </w:rPr>
              <w:t>Net (loss) income available to stockholders,</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8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(12,673 )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6,311</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(32,954 )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(14,892 )</w:t>
            </w:r>
          </w:p>
        </w:tc>
      </w:tr>
      <w:tr>
        <w:trPr>
          <w:trHeight w:val="250"/>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tcBorders>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4080" w:type="dxa"/>
            <w:vAlign w:val="bottom"/>
            <w:gridSpan w:val="2"/>
          </w:tcPr>
          <w:p>
            <w:pPr>
              <w:ind w:left="200"/>
              <w:spacing w:after="0"/>
              <w:rPr>
                <w:sz w:val="20"/>
                <w:szCs w:val="20"/>
                <w:color w:val="auto"/>
              </w:rPr>
            </w:pPr>
            <w:r>
              <w:rPr>
                <w:rFonts w:ascii="Arial" w:cs="Arial" w:eastAsia="Arial" w:hAnsi="Arial"/>
                <w:sz w:val="18"/>
                <w:szCs w:val="18"/>
                <w:color w:val="auto"/>
              </w:rPr>
              <w:t>Weighted-average shares outstanding,</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0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18,732,459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3,798,504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8,998,895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3,672,121</w:t>
            </w:r>
          </w:p>
        </w:tc>
        <w:tc>
          <w:tcPr>
            <w:tcW w:w="100" w:type="dxa"/>
            <w:vAlign w:val="bottom"/>
          </w:tcPr>
          <w:p>
            <w:pPr>
              <w:spacing w:after="0"/>
              <w:rPr>
                <w:sz w:val="20"/>
                <w:szCs w:val="20"/>
                <w:color w:val="auto"/>
              </w:rPr>
            </w:pPr>
          </w:p>
        </w:tc>
      </w:tr>
      <w:tr>
        <w:trPr>
          <w:trHeight w:val="263"/>
        </w:trPr>
        <w:tc>
          <w:tcPr>
            <w:tcW w:w="40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080" w:type="dxa"/>
            <w:vAlign w:val="bottom"/>
            <w:gridSpan w:val="2"/>
          </w:tcPr>
          <w:p>
            <w:pPr>
              <w:ind w:left="380"/>
              <w:spacing w:after="0"/>
              <w:rPr>
                <w:sz w:val="20"/>
                <w:szCs w:val="20"/>
                <w:color w:val="auto"/>
              </w:rPr>
            </w:pPr>
            <w:r>
              <w:rPr>
                <w:rFonts w:ascii="Arial" w:cs="Arial" w:eastAsia="Arial" w:hAnsi="Arial"/>
                <w:sz w:val="18"/>
                <w:szCs w:val="18"/>
                <w:color w:val="auto"/>
              </w:rPr>
              <w:t>Redeemable stock options</w:t>
            </w:r>
          </w:p>
        </w:tc>
        <w:tc>
          <w:tcPr>
            <w:tcW w:w="220" w:type="dxa"/>
            <w:vAlign w:val="bottom"/>
          </w:tcPr>
          <w:p>
            <w:pPr>
              <w:spacing w:after="0"/>
              <w:rPr>
                <w:sz w:val="21"/>
                <w:szCs w:val="21"/>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1,757,399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40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Preferred stock warrants</w:t>
            </w:r>
          </w:p>
        </w:tc>
        <w:tc>
          <w:tcPr>
            <w:tcW w:w="22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15,890</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4080" w:type="dxa"/>
            <w:vAlign w:val="bottom"/>
            <w:tcBorders>
              <w:top w:val="single" w:sz="8" w:color="CFF0FC"/>
            </w:tcBorders>
            <w:gridSpan w:val="2"/>
          </w:tcPr>
          <w:p>
            <w:pPr>
              <w:ind w:left="200"/>
              <w:spacing w:after="0"/>
              <w:rPr>
                <w:sz w:val="20"/>
                <w:szCs w:val="20"/>
                <w:color w:val="auto"/>
              </w:rPr>
            </w:pPr>
            <w:r>
              <w:rPr>
                <w:rFonts w:ascii="Arial" w:cs="Arial" w:eastAsia="Arial" w:hAnsi="Arial"/>
                <w:sz w:val="18"/>
                <w:szCs w:val="18"/>
                <w:color w:val="auto"/>
              </w:rPr>
              <w:t>Weighted-average shares, diluted</w:t>
            </w:r>
          </w:p>
        </w:tc>
        <w:tc>
          <w:tcPr>
            <w:tcW w:w="2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18,732,459</w:t>
            </w:r>
          </w:p>
        </w:tc>
        <w:tc>
          <w:tcPr>
            <w:tcW w:w="260" w:type="dxa"/>
            <w:vAlign w:val="bottom"/>
            <w:tcBorders>
              <w:top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5,571,793</w:t>
            </w:r>
          </w:p>
        </w:tc>
        <w:tc>
          <w:tcPr>
            <w:tcW w:w="24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8,998,895</w:t>
            </w:r>
          </w:p>
        </w:tc>
        <w:tc>
          <w:tcPr>
            <w:tcW w:w="220" w:type="dxa"/>
            <w:vAlign w:val="bottom"/>
            <w:tcBorders>
              <w:top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3,672,121</w:t>
            </w:r>
          </w:p>
        </w:tc>
        <w:tc>
          <w:tcPr>
            <w:tcW w:w="100" w:type="dxa"/>
            <w:vAlign w:val="bottom"/>
            <w:tcBorders>
              <w:top w:val="single" w:sz="8" w:color="CFF0FC"/>
            </w:tcBorders>
          </w:tcPr>
          <w:p>
            <w:pPr>
              <w:spacing w:after="0"/>
              <w:rPr>
                <w:sz w:val="21"/>
                <w:szCs w:val="21"/>
                <w:color w:val="auto"/>
              </w:rPr>
            </w:pPr>
          </w:p>
        </w:tc>
      </w:tr>
      <w:tr>
        <w:trPr>
          <w:trHeight w:val="256"/>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Basic net (loss) income per share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(0.68 )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(3.66 )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(4.06 )</w:t>
            </w:r>
          </w:p>
        </w:tc>
      </w:tr>
      <w:tr>
        <w:trPr>
          <w:trHeight w:val="25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Diluted net (loss) income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(0.68 )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(3.66 )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(4.06 )</w:t>
            </w:r>
          </w:p>
        </w:tc>
      </w:tr>
      <w:tr>
        <w:trPr>
          <w:trHeight w:val="263"/>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Series G Common Stock</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0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income (loss) available to stockholder, basic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(0.76 )</w:t>
            </w:r>
          </w:p>
        </w:tc>
      </w:tr>
      <w:tr>
        <w:trPr>
          <w:trHeight w:val="250"/>
        </w:trPr>
        <w:tc>
          <w:tcPr>
            <w:tcW w:w="4080" w:type="dxa"/>
            <w:vAlign w:val="bottom"/>
            <w:gridSpan w:val="2"/>
          </w:tcPr>
          <w:p>
            <w:pPr>
              <w:ind w:left="20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0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Redeemable preferred stock and warrants</w:t>
            </w:r>
          </w:p>
        </w:tc>
        <w:tc>
          <w:tcPr>
            <w:tcW w:w="22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37"/>
        </w:trPr>
        <w:tc>
          <w:tcPr>
            <w:tcW w:w="4080" w:type="dxa"/>
            <w:vAlign w:val="bottom"/>
            <w:gridSpan w:val="2"/>
          </w:tcPr>
          <w:p>
            <w:pPr>
              <w:ind w:left="200"/>
              <w:spacing w:after="0"/>
              <w:rPr>
                <w:sz w:val="20"/>
                <w:szCs w:val="20"/>
                <w:color w:val="auto"/>
              </w:rPr>
            </w:pPr>
            <w:r>
              <w:rPr>
                <w:rFonts w:ascii="Arial" w:cs="Arial" w:eastAsia="Arial" w:hAnsi="Arial"/>
                <w:sz w:val="18"/>
                <w:szCs w:val="18"/>
                <w:color w:val="auto"/>
                <w:w w:val="97"/>
              </w:rPr>
              <w:t>Net income (loss) available to stockholder,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(0.76 )</w:t>
            </w:r>
          </w:p>
        </w:tc>
      </w:tr>
      <w:tr>
        <w:trPr>
          <w:trHeight w:val="250"/>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tcBorders>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4080" w:type="dxa"/>
            <w:vAlign w:val="bottom"/>
            <w:gridSpan w:val="2"/>
          </w:tcPr>
          <w:p>
            <w:pPr>
              <w:ind w:left="200"/>
              <w:spacing w:after="0"/>
              <w:rPr>
                <w:sz w:val="20"/>
                <w:szCs w:val="20"/>
                <w:color w:val="auto"/>
              </w:rPr>
            </w:pPr>
            <w:r>
              <w:rPr>
                <w:rFonts w:ascii="Arial" w:cs="Arial" w:eastAsia="Arial" w:hAnsi="Arial"/>
                <w:sz w:val="18"/>
                <w:szCs w:val="18"/>
                <w:color w:val="auto"/>
                <w:w w:val="98"/>
              </w:rPr>
              <w:t>Weighted-average shares outstanding, basic and</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08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63"/>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Basic net income (loss) per share</w:t>
            </w:r>
          </w:p>
        </w:tc>
        <w:tc>
          <w:tcPr>
            <w:tcW w:w="22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(0.76 )</w:t>
            </w: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Diluted net income (loss) per share</w:t>
            </w:r>
          </w:p>
        </w:tc>
        <w:tc>
          <w:tcPr>
            <w:tcW w:w="220" w:type="dxa"/>
            <w:vAlign w:val="bottom"/>
          </w:tcPr>
          <w:p>
            <w:pPr>
              <w:spacing w:after="0"/>
              <w:rPr>
                <w:sz w:val="21"/>
                <w:szCs w:val="21"/>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(0.76 )</w:t>
            </w:r>
          </w:p>
        </w:tc>
      </w:tr>
      <w:tr>
        <w:trPr>
          <w:trHeight w:val="74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29"/>
        </w:trPr>
        <w:tc>
          <w:tcPr>
            <w:tcW w:w="39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-4144010</wp:posOffset>
            </wp:positionV>
            <wp:extent cx="188595" cy="3340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8595" cy="334010"/>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-4144010</wp:posOffset>
            </wp:positionV>
            <wp:extent cx="171450" cy="3340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 cy="334010"/>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-4144010</wp:posOffset>
            </wp:positionV>
            <wp:extent cx="171450" cy="3340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33401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-4144010</wp:posOffset>
            </wp:positionV>
            <wp:extent cx="93980" cy="3340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33401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-2859405</wp:posOffset>
            </wp:positionV>
            <wp:extent cx="16319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-2859405</wp:posOffset>
            </wp:positionV>
            <wp:extent cx="14605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-2859405</wp:posOffset>
            </wp:positionV>
            <wp:extent cx="14605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-2859405</wp:posOffset>
            </wp:positionV>
            <wp:extent cx="685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-1555115</wp:posOffset>
            </wp:positionV>
            <wp:extent cx="188595" cy="1968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8595" cy="196850"/>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-1555115</wp:posOffset>
            </wp:positionV>
            <wp:extent cx="171450" cy="1968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0" cy="196850"/>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-1555115</wp:posOffset>
            </wp:positionV>
            <wp:extent cx="171450" cy="196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-1555115</wp:posOffset>
            </wp:positionV>
            <wp:extent cx="93980" cy="196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 w:name="page17"/>
    <w:bookmarkEnd w:id="16"/>
    <w:p>
      <w:pPr>
        <w:jc w:val="both"/>
        <w:ind w:right="460" w:firstLine="374"/>
        <w:spacing w:after="0" w:line="359" w:lineRule="auto"/>
        <w:rPr>
          <w:sz w:val="20"/>
          <w:szCs w:val="20"/>
          <w:color w:val="auto"/>
        </w:rPr>
      </w:pPr>
      <w:r>
        <w:rPr>
          <w:rFonts w:ascii="Arial" w:cs="Arial" w:eastAsia="Arial" w:hAnsi="Arial"/>
          <w:sz w:val="16"/>
          <w:szCs w:val="16"/>
          <w:color w:val="auto"/>
        </w:rPr>
        <w:t>The following outstanding potentially dilutive securities were excluded from the calculation of diluted net income (loss) per share attributable to common stockholders because their impact under the “treasury stock method” and “if-converted method” was anti-dilutive for the periods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36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Nine Months Ended September 30,</w:t>
            </w:r>
          </w:p>
        </w:tc>
        <w:tc>
          <w:tcPr>
            <w:tcW w:w="100" w:type="dxa"/>
            <w:vAlign w:val="bottom"/>
          </w:tcPr>
          <w:p>
            <w:pPr>
              <w:spacing w:after="0"/>
              <w:rPr>
                <w:sz w:val="20"/>
                <w:szCs w:val="20"/>
                <w:color w:val="auto"/>
              </w:rPr>
            </w:pPr>
          </w:p>
        </w:tc>
      </w:tr>
      <w:tr>
        <w:trPr>
          <w:trHeight w:val="263"/>
        </w:trPr>
        <w:tc>
          <w:tcPr>
            <w:tcW w:w="39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2"/>
                <w:szCs w:val="22"/>
                <w:color w:val="auto"/>
              </w:rPr>
            </w:pP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2"/>
                <w:szCs w:val="22"/>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2"/>
                <w:szCs w:val="22"/>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r>
      <w:tr>
        <w:trPr>
          <w:trHeight w:val="257"/>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4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14,849,188</w:t>
            </w:r>
          </w:p>
        </w:tc>
        <w:tc>
          <w:tcPr>
            <w:tcW w:w="22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14,849,188</w:t>
            </w:r>
          </w:p>
        </w:tc>
        <w:tc>
          <w:tcPr>
            <w:tcW w:w="100" w:type="dxa"/>
            <w:vAlign w:val="bottom"/>
            <w:shd w:val="clear" w:color="auto" w:fill="CFF0FC"/>
          </w:tcPr>
          <w:p>
            <w:pPr>
              <w:spacing w:after="0"/>
              <w:rPr>
                <w:sz w:val="22"/>
                <w:szCs w:val="22"/>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Preferred stock warrants</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227,762</w:t>
            </w:r>
          </w:p>
        </w:tc>
        <w:tc>
          <w:tcPr>
            <w:tcW w:w="100" w:type="dxa"/>
            <w:vAlign w:val="bottom"/>
          </w:tcPr>
          <w:p>
            <w:pPr>
              <w:spacing w:after="0"/>
              <w:rPr>
                <w:sz w:val="21"/>
                <w:szCs w:val="21"/>
                <w:color w:val="auto"/>
              </w:rPr>
            </w:pPr>
          </w:p>
        </w:tc>
      </w:tr>
      <w:tr>
        <w:trPr>
          <w:trHeight w:val="26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5,046,965</w:t>
            </w:r>
          </w:p>
        </w:tc>
        <w:tc>
          <w:tcPr>
            <w:tcW w:w="24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4,565,932</w:t>
            </w:r>
          </w:p>
        </w:tc>
        <w:tc>
          <w:tcPr>
            <w:tcW w:w="22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Redeemable stock options</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1,803,687</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3,905,753</w:t>
            </w:r>
          </w:p>
        </w:tc>
        <w:tc>
          <w:tcPr>
            <w:tcW w:w="100" w:type="dxa"/>
            <w:vAlign w:val="bottom"/>
          </w:tcPr>
          <w:p>
            <w:pPr>
              <w:spacing w:after="0"/>
              <w:rPr>
                <w:sz w:val="21"/>
                <w:szCs w:val="21"/>
                <w:color w:val="auto"/>
              </w:rPr>
            </w:pPr>
          </w:p>
        </w:tc>
      </w:tr>
      <w:tr>
        <w:trPr>
          <w:trHeight w:val="26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units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232,805</w:t>
            </w:r>
          </w:p>
        </w:tc>
        <w:tc>
          <w:tcPr>
            <w:tcW w:w="24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78,455</w:t>
            </w:r>
          </w:p>
        </w:tc>
        <w:tc>
          <w:tcPr>
            <w:tcW w:w="22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44" w:lineRule="exact"/>
        <w:rPr>
          <w:sz w:val="20"/>
          <w:szCs w:val="20"/>
          <w:color w:val="auto"/>
        </w:rPr>
      </w:pPr>
    </w:p>
    <w:p>
      <w:pPr>
        <w:jc w:val="both"/>
        <w:ind w:right="80" w:firstLine="374"/>
        <w:spacing w:after="0" w:line="275" w:lineRule="auto"/>
        <w:rPr>
          <w:sz w:val="20"/>
          <w:szCs w:val="20"/>
          <w:color w:val="auto"/>
        </w:rPr>
      </w:pPr>
      <w:r>
        <w:rPr>
          <w:rFonts w:ascii="Arial" w:cs="Arial" w:eastAsia="Arial" w:hAnsi="Arial"/>
          <w:sz w:val="18"/>
          <w:szCs w:val="18"/>
          <w:color w:val="auto"/>
        </w:rPr>
        <w:t>The Company’s revenues from sales are generated from the sale of light adjustable intraocular lenses, the RxLAL, used in cataract surgery along with a specifically designed machine for delivering light to the eye, the Light Delivery Device (LDD), to adjust the lens post-surgery, as needed. Revenue from sales is recognized from products sold in the U.S. and Europe. Customers are primarily comprised of ambulatory surgery centers, hospitals, and physician private practices.</w:t>
      </w:r>
    </w:p>
    <w:p>
      <w:pPr>
        <w:spacing w:after="0" w:line="118" w:lineRule="exact"/>
        <w:rPr>
          <w:sz w:val="20"/>
          <w:szCs w:val="20"/>
          <w:color w:val="auto"/>
        </w:rPr>
      </w:pPr>
    </w:p>
    <w:p>
      <w:pPr>
        <w:ind w:right="40" w:firstLine="374"/>
        <w:spacing w:after="0" w:line="304" w:lineRule="auto"/>
        <w:rPr>
          <w:sz w:val="20"/>
          <w:szCs w:val="20"/>
          <w:color w:val="auto"/>
        </w:rPr>
      </w:pPr>
      <w:r>
        <w:rPr>
          <w:rFonts w:ascii="Arial" w:cs="Arial" w:eastAsia="Arial" w:hAnsi="Arial"/>
          <w:sz w:val="16"/>
          <w:szCs w:val="16"/>
          <w:color w:val="auto"/>
        </w:rPr>
        <w:t>The Company recognizes revenue from sales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from sales: (i) identify the contract(s) with a customer; (ii) identify the performance obligations in the contract; (iii) determine the transaction price; (iv) allocate the transaction price to the performance obligations in the contract; and (v) recognize revenue from sales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from sales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p>
    <w:p>
      <w:pPr>
        <w:spacing w:after="0" w:line="106" w:lineRule="exact"/>
        <w:rPr>
          <w:sz w:val="20"/>
          <w:szCs w:val="20"/>
          <w:color w:val="auto"/>
        </w:rPr>
      </w:pPr>
    </w:p>
    <w:p>
      <w:pPr>
        <w:ind w:right="40" w:firstLine="374"/>
        <w:spacing w:after="0" w:line="304" w:lineRule="auto"/>
        <w:rPr>
          <w:sz w:val="20"/>
          <w:szCs w:val="20"/>
          <w:color w:val="auto"/>
        </w:rPr>
      </w:pPr>
      <w:r>
        <w:rPr>
          <w:rFonts w:ascii="Arial" w:cs="Arial" w:eastAsia="Arial" w:hAnsi="Arial"/>
          <w:sz w:val="16"/>
          <w:szCs w:val="16"/>
          <w:color w:val="auto"/>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(1) LDD capital asset and related components, (2) training and (3)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Specifically, revenue for the LDD capital asset is recognized at a point in time at installation. Revenue for training is also recorded at a point in time, generally 30 days after installation. Revenue for the device service is recognized ratably over time after installation, generally 12 months. The Company has determined that the transaction price is the invoice price, net of adjustments, if any. The allocation to the separate performance obligations is based upon the relative standalone selling price. Standalone selling prices are based on</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7" w:name="page18"/>
    <w:bookmarkEnd w:id="17"/>
    <w:p>
      <w:pPr>
        <w:ind w:right="180"/>
        <w:spacing w:after="0" w:line="329" w:lineRule="auto"/>
        <w:rPr>
          <w:sz w:val="20"/>
          <w:szCs w:val="20"/>
          <w:color w:val="auto"/>
        </w:rPr>
      </w:pPr>
      <w:r>
        <w:rPr>
          <w:rFonts w:ascii="Arial" w:cs="Arial" w:eastAsia="Arial" w:hAnsi="Arial"/>
          <w:sz w:val="16"/>
          <w:szCs w:val="16"/>
          <w:color w:val="auto"/>
        </w:rPr>
        <w:t>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spacing w:after="0" w:line="80" w:lineRule="exact"/>
        <w:rPr>
          <w:sz w:val="20"/>
          <w:szCs w:val="20"/>
          <w:color w:val="auto"/>
        </w:rPr>
      </w:pPr>
    </w:p>
    <w:p>
      <w:pPr>
        <w:jc w:val="both"/>
        <w:ind w:right="100" w:firstLine="374"/>
        <w:spacing w:after="0" w:line="279" w:lineRule="auto"/>
        <w:rPr>
          <w:sz w:val="20"/>
          <w:szCs w:val="20"/>
          <w:color w:val="auto"/>
        </w:rPr>
      </w:pPr>
      <w:r>
        <w:rPr>
          <w:rFonts w:ascii="Arial" w:cs="Arial" w:eastAsia="Arial" w:hAnsi="Arial"/>
          <w:sz w:val="18"/>
          <w:szCs w:val="18"/>
          <w:color w:val="auto"/>
        </w:rPr>
        <w:t>RxLALs are held at customer sites on consignment. The single performance obligation is satisfied, and revenue from sales is recognized for RxLALs upon customer notification that the RxLALs have been implanted in a patient. For the three and nine months ended September 30, 2021 and 2020, credits related to returns and rebates on list prices were not significant.</w:t>
      </w:r>
    </w:p>
    <w:p>
      <w:pPr>
        <w:spacing w:after="0" w:line="102" w:lineRule="exact"/>
        <w:rPr>
          <w:sz w:val="20"/>
          <w:szCs w:val="20"/>
          <w:color w:val="auto"/>
        </w:rPr>
      </w:pPr>
    </w:p>
    <w:p>
      <w:pPr>
        <w:ind w:right="360" w:firstLine="374"/>
        <w:spacing w:after="0" w:line="293" w:lineRule="auto"/>
        <w:rPr>
          <w:sz w:val="20"/>
          <w:szCs w:val="20"/>
          <w:color w:val="auto"/>
        </w:rPr>
      </w:pPr>
      <w:r>
        <w:rPr>
          <w:rFonts w:ascii="Arial" w:cs="Arial" w:eastAsia="Arial" w:hAnsi="Arial"/>
          <w:sz w:val="18"/>
          <w:szCs w:val="18"/>
          <w:color w:val="auto"/>
        </w:rPr>
        <w:t>The Company adopted the practical expedient permitting the direct expensing of costs incurred to obtain contracts where the amortization of such costs would occur over one year or less, and it applied to substantially all the Company’s contracts.</w:t>
      </w:r>
    </w:p>
    <w:p>
      <w:pPr>
        <w:spacing w:after="0" w:line="102" w:lineRule="exact"/>
        <w:rPr>
          <w:sz w:val="20"/>
          <w:szCs w:val="20"/>
          <w:color w:val="auto"/>
        </w:rPr>
      </w:pPr>
    </w:p>
    <w:p>
      <w:pPr>
        <w:ind w:right="180" w:firstLine="374"/>
        <w:spacing w:after="0" w:line="293" w:lineRule="auto"/>
        <w:rPr>
          <w:sz w:val="20"/>
          <w:szCs w:val="20"/>
          <w:color w:val="auto"/>
        </w:rPr>
      </w:pPr>
      <w:r>
        <w:rPr>
          <w:rFonts w:ascii="Arial" w:cs="Arial" w:eastAsia="Arial" w:hAnsi="Arial"/>
          <w:sz w:val="18"/>
          <w:szCs w:val="18"/>
          <w:color w:val="auto"/>
        </w:rPr>
        <w:t>For the three and nine months ended September 30, 2021 and 2020, revenue from sales from contracts with customers consisted of the following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34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w w:val="99"/>
              </w:rPr>
              <w:t>Three Months Ended September 30,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5"/>
              </w:rPr>
              <w:t>Nine Months Ended September 30,</w:t>
            </w:r>
          </w:p>
        </w:tc>
        <w:tc>
          <w:tcPr>
            <w:tcW w:w="100" w:type="dxa"/>
            <w:vAlign w:val="bottom"/>
          </w:tcPr>
          <w:p>
            <w:pPr>
              <w:spacing w:after="0"/>
              <w:rPr>
                <w:sz w:val="20"/>
                <w:szCs w:val="20"/>
                <w:color w:val="auto"/>
              </w:rPr>
            </w:pPr>
          </w:p>
        </w:tc>
      </w:tr>
      <w:tr>
        <w:trPr>
          <w:trHeight w:val="263"/>
        </w:trPr>
        <w:tc>
          <w:tcPr>
            <w:tcW w:w="3940" w:type="dxa"/>
            <w:vAlign w:val="bottom"/>
          </w:tcPr>
          <w:p>
            <w:pPr>
              <w:spacing w:after="0"/>
              <w:rPr>
                <w:sz w:val="22"/>
                <w:szCs w:val="22"/>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r>
      <w:tr>
        <w:trPr>
          <w:trHeight w:val="257"/>
        </w:trPr>
        <w:tc>
          <w:tcPr>
            <w:tcW w:w="39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gridSpan w:val="2"/>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1420" w:type="dxa"/>
            <w:vAlign w:val="bottom"/>
          </w:tcPr>
          <w:p>
            <w:pPr>
              <w:spacing w:after="0"/>
              <w:rPr>
                <w:sz w:val="22"/>
                <w:szCs w:val="22"/>
                <w:color w:val="auto"/>
              </w:rPr>
            </w:pPr>
          </w:p>
        </w:tc>
        <w:tc>
          <w:tcPr>
            <w:tcW w:w="620" w:type="dxa"/>
            <w:vAlign w:val="bottom"/>
            <w:gridSpan w:val="2"/>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LDD (including training)</w:t>
            </w:r>
          </w:p>
        </w:tc>
        <w:tc>
          <w:tcPr>
            <w:tcW w:w="118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3,661</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8,463</w:t>
            </w:r>
          </w:p>
        </w:tc>
        <w:tc>
          <w:tcPr>
            <w:tcW w:w="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6,864</w:t>
            </w:r>
          </w:p>
        </w:tc>
        <w:tc>
          <w:tcPr>
            <w:tcW w:w="100" w:type="dxa"/>
            <w:vAlign w:val="bottom"/>
            <w:shd w:val="clear" w:color="auto" w:fill="CFF0FC"/>
          </w:tcPr>
          <w:p>
            <w:pPr>
              <w:spacing w:after="0"/>
              <w:rPr>
                <w:sz w:val="22"/>
                <w:szCs w:val="22"/>
                <w:color w:val="auto"/>
              </w:rPr>
            </w:pPr>
          </w:p>
        </w:tc>
      </w:tr>
      <w:tr>
        <w:trPr>
          <w:trHeight w:val="250"/>
        </w:trPr>
        <w:tc>
          <w:tcPr>
            <w:tcW w:w="3940" w:type="dxa"/>
            <w:vAlign w:val="bottom"/>
          </w:tcPr>
          <w:p>
            <w:pPr>
              <w:ind w:left="20"/>
              <w:spacing w:after="0"/>
              <w:rPr>
                <w:sz w:val="20"/>
                <w:szCs w:val="20"/>
                <w:color w:val="auto"/>
              </w:rPr>
            </w:pPr>
            <w:r>
              <w:rPr>
                <w:rFonts w:ascii="Arial" w:cs="Arial" w:eastAsia="Arial" w:hAnsi="Arial"/>
                <w:sz w:val="18"/>
                <w:szCs w:val="18"/>
                <w:color w:val="auto"/>
              </w:rPr>
              <w:t>RxLAL</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1,944</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5,264</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21"/>
                <w:szCs w:val="21"/>
                <w:color w:val="auto"/>
              </w:rPr>
            </w:pPr>
          </w:p>
        </w:tc>
      </w:tr>
      <w:tr>
        <w:trPr>
          <w:trHeight w:val="263"/>
        </w:trPr>
        <w:tc>
          <w:tcPr>
            <w:tcW w:w="3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3"/>
              </w:rPr>
              <w:t>Service warranty, service contracts, and accessories</w:t>
            </w:r>
          </w:p>
        </w:tc>
        <w:tc>
          <w:tcPr>
            <w:tcW w:w="118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4"/>
        </w:trPr>
        <w:tc>
          <w:tcPr>
            <w:tcW w:w="3940" w:type="dxa"/>
            <w:vAlign w:val="bottom"/>
          </w:tcPr>
          <w:p>
            <w:pPr>
              <w:spacing w:after="0"/>
              <w:rPr>
                <w:sz w:val="21"/>
                <w:szCs w:val="21"/>
                <w:color w:val="auto"/>
              </w:rPr>
            </w:pP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5,786</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4,170</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14,167</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9,764</w:t>
            </w:r>
          </w:p>
        </w:tc>
        <w:tc>
          <w:tcPr>
            <w:tcW w:w="100" w:type="dxa"/>
            <w:vAlign w:val="bottom"/>
          </w:tcPr>
          <w:p>
            <w:pPr>
              <w:spacing w:after="0"/>
              <w:rPr>
                <w:sz w:val="21"/>
                <w:szCs w:val="21"/>
                <w:color w:val="auto"/>
              </w:rPr>
            </w:pPr>
          </w:p>
        </w:tc>
      </w:tr>
      <w:tr>
        <w:trPr>
          <w:trHeight w:val="20"/>
        </w:trPr>
        <w:tc>
          <w:tcPr>
            <w:tcW w:w="39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-193675</wp:posOffset>
            </wp:positionV>
            <wp:extent cx="16256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-193675</wp:posOffset>
            </wp:positionV>
            <wp:extent cx="14605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-193675</wp:posOffset>
            </wp:positionV>
            <wp:extent cx="14605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36" w:lineRule="exact"/>
        <w:rPr>
          <w:sz w:val="20"/>
          <w:szCs w:val="20"/>
          <w:color w:val="auto"/>
        </w:rPr>
      </w:pPr>
    </w:p>
    <w:p>
      <w:pPr>
        <w:ind w:right="120" w:firstLine="374"/>
        <w:spacing w:after="0" w:line="279" w:lineRule="auto"/>
        <w:rPr>
          <w:sz w:val="20"/>
          <w:szCs w:val="20"/>
          <w:color w:val="auto"/>
        </w:rPr>
      </w:pPr>
      <w:r>
        <w:rPr>
          <w:rFonts w:ascii="Arial" w:cs="Arial" w:eastAsia="Arial" w:hAnsi="Arial"/>
          <w:sz w:val="18"/>
          <w:szCs w:val="18"/>
          <w:color w:val="auto"/>
        </w:rPr>
        <w:t>As of September 30, 2021 and December 31, 2020, the Company recognized deferred revenue from sales on its condensed consolidated balance sheets of $449,000 and $248,000, respectively, related to the service agreement performance obligation. Sales for service agreements is recognized ratably over the term of each contract.</w:t>
      </w:r>
    </w:p>
    <w:p>
      <w:pPr>
        <w:spacing w:after="0" w:line="102" w:lineRule="exact"/>
        <w:rPr>
          <w:sz w:val="20"/>
          <w:szCs w:val="20"/>
          <w:color w:val="auto"/>
        </w:rPr>
      </w:pPr>
    </w:p>
    <w:p>
      <w:pPr>
        <w:ind w:right="440" w:firstLine="374"/>
        <w:spacing w:after="0" w:line="293" w:lineRule="auto"/>
        <w:rPr>
          <w:sz w:val="20"/>
          <w:szCs w:val="20"/>
          <w:color w:val="auto"/>
        </w:rPr>
      </w:pPr>
      <w:r>
        <w:rPr>
          <w:rFonts w:ascii="Arial" w:cs="Arial" w:eastAsia="Arial" w:hAnsi="Arial"/>
          <w:sz w:val="18"/>
          <w:szCs w:val="18"/>
          <w:color w:val="auto"/>
        </w:rPr>
        <w:t>The following table represents the deferred revenue from sales activity for the nine months ended September 30, 2021 and 2020, respectively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506"/>
        </w:trPr>
        <w:tc>
          <w:tcPr>
            <w:tcW w:w="598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860" w:type="dxa"/>
            <w:vAlign w:val="bottom"/>
          </w:tcPr>
          <w:p>
            <w:pPr>
              <w:jc w:val="right"/>
              <w:ind w:right="16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345</w:t>
            </w:r>
          </w:p>
        </w:tc>
        <w:tc>
          <w:tcPr>
            <w:tcW w:w="32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r>
      <w:tr>
        <w:trPr>
          <w:trHeight w:val="263"/>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Consideration deferred during the period</w:t>
            </w:r>
          </w:p>
        </w:tc>
        <w:tc>
          <w:tcPr>
            <w:tcW w:w="186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3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FF0FC"/>
          </w:tcPr>
          <w:p>
            <w:pPr>
              <w:spacing w:after="0"/>
              <w:rPr>
                <w:sz w:val="22"/>
                <w:szCs w:val="22"/>
                <w:color w:val="auto"/>
              </w:rPr>
            </w:pPr>
          </w:p>
        </w:tc>
      </w:tr>
      <w:tr>
        <w:trPr>
          <w:trHeight w:val="250"/>
        </w:trPr>
        <w:tc>
          <w:tcPr>
            <w:tcW w:w="5980" w:type="dxa"/>
            <w:vAlign w:val="bottom"/>
          </w:tcPr>
          <w:p>
            <w:pPr>
              <w:ind w:left="20"/>
              <w:spacing w:after="0"/>
              <w:rPr>
                <w:sz w:val="20"/>
                <w:szCs w:val="20"/>
                <w:color w:val="auto"/>
              </w:rPr>
            </w:pPr>
            <w:r>
              <w:rPr>
                <w:rFonts w:ascii="Arial" w:cs="Arial" w:eastAsia="Arial" w:hAnsi="Arial"/>
                <w:sz w:val="18"/>
                <w:szCs w:val="18"/>
                <w:color w:val="auto"/>
              </w:rPr>
              <w:t>Revenue recognized during the period</w:t>
            </w:r>
          </w:p>
        </w:tc>
        <w:tc>
          <w:tcPr>
            <w:tcW w:w="186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(402 )</w:t>
            </w:r>
          </w:p>
        </w:tc>
        <w:tc>
          <w:tcPr>
            <w:tcW w:w="460" w:type="dxa"/>
            <w:vAlign w:val="bottom"/>
          </w:tcPr>
          <w:p>
            <w:pPr>
              <w:spacing w:after="0"/>
              <w:rPr>
                <w:sz w:val="21"/>
                <w:szCs w:val="21"/>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(94 )</w:t>
            </w:r>
          </w:p>
        </w:tc>
      </w:tr>
      <w:tr>
        <w:trPr>
          <w:trHeight w:val="290"/>
        </w:trPr>
        <w:tc>
          <w:tcPr>
            <w:tcW w:w="5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1860" w:type="dxa"/>
            <w:vAlign w:val="bottom"/>
            <w:tcBorders>
              <w:top w:val="single" w:sz="8" w:color="auto"/>
              <w:bottom w:val="single" w:sz="8" w:color="auto"/>
            </w:tcBorders>
            <w:shd w:val="clear" w:color="auto" w:fill="CFF0FC"/>
          </w:tcPr>
          <w:p>
            <w:pPr>
              <w:jc w:val="right"/>
              <w:ind w:right="16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32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2057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20574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2057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-8255</wp:posOffset>
            </wp:positionV>
            <wp:extent cx="20574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371" w:lineRule="exact"/>
        <w:rPr>
          <w:sz w:val="20"/>
          <w:szCs w:val="20"/>
          <w:color w:val="auto"/>
        </w:rPr>
      </w:pPr>
    </w:p>
    <w:p>
      <w:pPr>
        <w:jc w:val="both"/>
        <w:ind w:right="120" w:firstLine="374"/>
        <w:spacing w:after="0" w:line="329" w:lineRule="auto"/>
        <w:rPr>
          <w:sz w:val="20"/>
          <w:szCs w:val="20"/>
          <w:color w:val="auto"/>
        </w:rPr>
      </w:pPr>
      <w:r>
        <w:rPr>
          <w:rFonts w:ascii="Arial" w:cs="Arial" w:eastAsia="Arial" w:hAnsi="Arial"/>
          <w:sz w:val="16"/>
          <w:szCs w:val="16"/>
          <w:color w:val="auto"/>
        </w:rPr>
        <w:t>For the three months ended September 30, 2021, the Company had one customer who individually accounted for approximately 11% of revenue. For nine months ended September 30, 2021, the Company had no customer who individually accounted for more than 10% of revenue. For the three and nine months ended September 30, 2020 the Company had one customer who individually accounted for approximately 33% and 37% of revenue,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85" w:lineRule="exact"/>
        <w:rPr>
          <w:sz w:val="20"/>
          <w:szCs w:val="20"/>
          <w:color w:val="auto"/>
        </w:rPr>
      </w:pPr>
    </w:p>
    <w:p>
      <w:pPr>
        <w:ind w:right="320" w:firstLine="374"/>
        <w:spacing w:after="0" w:line="271"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 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6"/>
          <w:szCs w:val="16"/>
          <w:color w:val="auto"/>
        </w:rPr>
        <w:t>” (</w:t>
      </w:r>
      <w:r>
        <w:rPr>
          <w:rFonts w:ascii="Arial" w:cs="Arial" w:eastAsia="Arial" w:hAnsi="Arial"/>
          <w:sz w:val="18"/>
          <w:szCs w:val="18"/>
          <w:i w:val="1"/>
          <w:iCs w:val="1"/>
          <w:color w:val="auto"/>
        </w:rPr>
        <w:t>“</w:t>
      </w:r>
      <w:r>
        <w:rPr>
          <w:rFonts w:ascii="Arial" w:cs="Arial" w:eastAsia="Arial" w:hAnsi="Arial"/>
          <w:sz w:val="18"/>
          <w:szCs w:val="18"/>
          <w:color w:val="auto"/>
        </w:rPr>
        <w:t>ASU 2018-15</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changes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implementation costs incurred in a cloud computing arrangement that is a service contract. The update aligns the requirements for capitalizing implementation costs incurred in a hosting arrangement with the requirements for capitalizing implementation costs incurred to develop or obtain internal-use software. The implementation costs should be presented as a prepaid expense in the balance sheet and expensed over the term of the hosting arrangement. This standard is effective</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8" w:name="page19"/>
    <w:bookmarkEnd w:id="18"/>
    <w:p>
      <w:pPr>
        <w:ind w:right="260"/>
        <w:spacing w:after="0" w:line="293" w:lineRule="auto"/>
        <w:rPr>
          <w:sz w:val="20"/>
          <w:szCs w:val="20"/>
          <w:color w:val="auto"/>
        </w:rPr>
      </w:pPr>
      <w:r>
        <w:rPr>
          <w:rFonts w:ascii="Arial" w:cs="Arial" w:eastAsia="Arial" w:hAnsi="Arial"/>
          <w:sz w:val="18"/>
          <w:szCs w:val="18"/>
          <w:color w:val="auto"/>
        </w:rPr>
        <w:t>beginning January 1, 2021, and early adoption is permitted. The Company adopted ASU 2018-15 on January 1, 2021, and the adoption of ASU 2018-15 did not have a material impact on its consolidated financial statements.</w:t>
      </w:r>
    </w:p>
    <w:p>
      <w:pPr>
        <w:spacing w:after="0" w:line="89" w:lineRule="exact"/>
        <w:rPr>
          <w:sz w:val="20"/>
          <w:szCs w:val="20"/>
          <w:color w:val="auto"/>
        </w:rPr>
      </w:pPr>
    </w:p>
    <w:p>
      <w:pPr>
        <w:ind w:right="160" w:firstLine="374"/>
        <w:spacing w:after="0" w:line="308" w:lineRule="auto"/>
        <w:rPr>
          <w:sz w:val="20"/>
          <w:szCs w:val="20"/>
          <w:color w:val="auto"/>
        </w:rPr>
      </w:pPr>
      <w:r>
        <w:rPr>
          <w:rFonts w:ascii="Arial" w:cs="Arial" w:eastAsia="Arial" w:hAnsi="Arial"/>
          <w:sz w:val="16"/>
          <w:szCs w:val="16"/>
          <w:color w:val="auto"/>
        </w:rPr>
        <w:t xml:space="preserve">In June 2020, the FASB issued ASU No.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4"/>
          <w:szCs w:val="14"/>
          <w:color w:val="auto"/>
        </w:rPr>
        <w:t>” (</w:t>
      </w:r>
      <w:r>
        <w:rPr>
          <w:rFonts w:ascii="Arial" w:cs="Arial" w:eastAsia="Arial" w:hAnsi="Arial"/>
          <w:sz w:val="16"/>
          <w:szCs w:val="16"/>
          <w:i w:val="1"/>
          <w:iCs w:val="1"/>
          <w:color w:val="auto"/>
        </w:rPr>
        <w:t>“</w:t>
      </w:r>
      <w:r>
        <w:rPr>
          <w:rFonts w:ascii="Arial" w:cs="Arial" w:eastAsia="Arial" w:hAnsi="Arial"/>
          <w:sz w:val="16"/>
          <w:szCs w:val="16"/>
          <w:color w:val="auto"/>
        </w:rPr>
        <w:t>ASU No. 2020-06</w:t>
      </w:r>
      <w:r>
        <w:rPr>
          <w:rFonts w:ascii="Arial" w:cs="Arial" w:eastAsia="Arial" w:hAnsi="Arial"/>
          <w:sz w:val="14"/>
          <w:szCs w:val="14"/>
          <w:color w:val="auto"/>
        </w:rPr>
        <w:t>”)</w:t>
      </w:r>
      <w:r>
        <w:rPr>
          <w:rFonts w:ascii="Arial" w:cs="Arial" w:eastAsia="Arial" w:hAnsi="Arial"/>
          <w:sz w:val="16"/>
          <w:szCs w:val="16"/>
          <w:color w:val="auto"/>
        </w:rPr>
        <w:t xml:space="preserve"> which is intended to simplify the accounting for convertible instruments. This new guidance eliminates certain models that require separate accounting for embedded conversion features and eliminates certain of the conditions for equity classification for contracts in an entity’s own equity. Accordingly, a convertible debt instrument will be accounted for as a single liability measured at its amortized cost, as long as no other features require bifurcation and recognition as derivatives. The new guidance can be adopted through either a modified retrospective method of transition or a fully retrospective method of transition. ASU 2020-06 is effective for public business entities for fiscal years beginning after December 15, 2021, including interim periods within those fiscal years. Early adoption is permitted for fiscal years beginning after December 15, 2020, including interim periods within those fiscal years. The Company is in the process of determining the impact of the adoption of the standard on its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 Status</w:t>
      </w:r>
    </w:p>
    <w:p>
      <w:pPr>
        <w:spacing w:after="0" w:line="144" w:lineRule="exact"/>
        <w:rPr>
          <w:sz w:val="20"/>
          <w:szCs w:val="20"/>
          <w:color w:val="auto"/>
        </w:rPr>
      </w:pPr>
    </w:p>
    <w:p>
      <w:pPr>
        <w:ind w:firstLine="374"/>
        <w:spacing w:after="0" w:line="272"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and, as a result, will adopt new or revised accounting standards on the relevant effective dates on which adoption of such standards is required for other public companies that are not emerging growth companies.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Short-Term Investments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Short-term investments, principally U.S. Treasury bills, are available-for-sale and consisted of the following (in thousands):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As of September 30, 2021</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r>
      <w:tr>
        <w:trPr>
          <w:trHeight w:val="250"/>
        </w:trPr>
        <w:tc>
          <w:tcPr>
            <w:tcW w:w="3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Unrealized Loss, Net</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8"/>
              </w:rPr>
              <w:t>Estimated Fair Value</w:t>
            </w:r>
          </w:p>
        </w:tc>
      </w:tr>
      <w:tr>
        <w:trPr>
          <w:trHeight w:val="257"/>
        </w:trPr>
        <w:tc>
          <w:tcPr>
            <w:tcW w:w="3760" w:type="dxa"/>
            <w:vAlign w:val="bottom"/>
          </w:tcPr>
          <w:p>
            <w:pPr>
              <w:spacing w:after="0"/>
              <w:rPr>
                <w:sz w:val="20"/>
                <w:szCs w:val="20"/>
                <w:color w:val="auto"/>
              </w:rPr>
            </w:pPr>
            <w:r>
              <w:rPr>
                <w:rFonts w:ascii="Arial" w:cs="Arial" w:eastAsia="Arial" w:hAnsi="Arial"/>
                <w:sz w:val="18"/>
                <w:szCs w:val="18"/>
                <w:color w:val="auto"/>
              </w:rPr>
              <w:t>Government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99,989</w:t>
            </w:r>
          </w:p>
        </w:tc>
        <w:tc>
          <w:tcPr>
            <w:tcW w:w="3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42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99,985</w:t>
            </w:r>
          </w:p>
        </w:tc>
      </w:tr>
      <w:tr>
        <w:trPr>
          <w:trHeight w:val="20"/>
        </w:trPr>
        <w:tc>
          <w:tcPr>
            <w:tcW w:w="3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r>
        <w:trPr>
          <w:trHeight w:val="365"/>
        </w:trPr>
        <w:tc>
          <w:tcPr>
            <w:tcW w:w="3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9"/>
              </w:rPr>
              <w:t>As of December 31, 2020</w:t>
            </w: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r>
        <w:trPr>
          <w:trHeight w:val="250"/>
        </w:trPr>
        <w:tc>
          <w:tcPr>
            <w:tcW w:w="3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Amortized Cost</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Unrealized Loss, Net</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8"/>
              </w:rPr>
              <w:t>Estimated Fair Value</w:t>
            </w:r>
          </w:p>
        </w:tc>
      </w:tr>
      <w:tr>
        <w:trPr>
          <w:trHeight w:val="256"/>
        </w:trPr>
        <w:tc>
          <w:tcPr>
            <w:tcW w:w="3760" w:type="dxa"/>
            <w:vAlign w:val="bottom"/>
          </w:tcPr>
          <w:p>
            <w:pPr>
              <w:spacing w:after="0"/>
              <w:rPr>
                <w:sz w:val="20"/>
                <w:szCs w:val="20"/>
                <w:color w:val="auto"/>
              </w:rPr>
            </w:pPr>
            <w:r>
              <w:rPr>
                <w:rFonts w:ascii="Arial" w:cs="Arial" w:eastAsia="Arial" w:hAnsi="Arial"/>
                <w:sz w:val="18"/>
                <w:szCs w:val="18"/>
                <w:color w:val="auto"/>
              </w:rPr>
              <w:t>Government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54,983</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200"/>
              <w:spacing w:after="0"/>
              <w:rPr>
                <w:sz w:val="20"/>
                <w:szCs w:val="20"/>
                <w:color w:val="auto"/>
              </w:rPr>
            </w:pPr>
            <w:r>
              <w:rPr>
                <w:rFonts w:ascii="Arial" w:cs="Arial" w:eastAsia="Arial" w:hAnsi="Arial"/>
                <w:sz w:val="18"/>
                <w:szCs w:val="18"/>
                <w:color w:val="auto"/>
              </w:rPr>
              <w:t>(2 )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54,981</w:t>
            </w:r>
          </w:p>
        </w:tc>
      </w:tr>
      <w:tr>
        <w:trPr>
          <w:trHeight w:val="20"/>
        </w:trPr>
        <w:tc>
          <w:tcPr>
            <w:tcW w:w="3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960" w:firstLine="374"/>
        <w:spacing w:after="0" w:line="422" w:lineRule="auto"/>
        <w:rPr>
          <w:sz w:val="20"/>
          <w:szCs w:val="20"/>
          <w:color w:val="auto"/>
        </w:rPr>
      </w:pPr>
      <w:r>
        <w:rPr>
          <w:rFonts w:ascii="Arial" w:cs="Arial" w:eastAsia="Arial" w:hAnsi="Arial"/>
          <w:sz w:val="18"/>
          <w:szCs w:val="18"/>
          <w:color w:val="auto"/>
        </w:rPr>
        <w:t xml:space="preserve">All available-for-sale securities held as of September 30, 2021 and December 31, 2020 had a maturity of less than one year. </w:t>
      </w:r>
      <w:r>
        <w:rPr>
          <w:rFonts w:ascii="Arial" w:cs="Arial" w:eastAsia="Arial" w:hAnsi="Arial"/>
          <w:sz w:val="18"/>
          <w:szCs w:val="18"/>
          <w:b w:val="1"/>
          <w:bCs w:val="1"/>
          <w:color w:val="auto"/>
        </w:rPr>
        <w:t>Note 4 – Inventories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ind w:left="380"/>
              <w:spacing w:after="0"/>
              <w:rPr>
                <w:sz w:val="20"/>
                <w:szCs w:val="20"/>
                <w:color w:val="auto"/>
              </w:rPr>
            </w:pPr>
            <w:r>
              <w:rPr>
                <w:rFonts w:ascii="Arial" w:cs="Arial" w:eastAsia="Arial" w:hAnsi="Arial"/>
                <w:sz w:val="18"/>
                <w:szCs w:val="18"/>
                <w:color w:val="auto"/>
              </w:rPr>
              <w:t>Inventories consisted of the following (in thousands):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7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5"/>
              </w:rPr>
              <w:t>September 30,</w:t>
            </w:r>
          </w:p>
        </w:tc>
        <w:tc>
          <w:tcPr>
            <w:tcW w:w="200" w:type="dxa"/>
            <w:vAlign w:val="bottom"/>
          </w:tcPr>
          <w:p>
            <w:pPr>
              <w:spacing w:after="0"/>
              <w:rPr>
                <w:sz w:val="24"/>
                <w:szCs w:val="24"/>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December 31,</w:t>
            </w:r>
          </w:p>
        </w:tc>
      </w:tr>
      <w:tr>
        <w:trPr>
          <w:trHeight w:val="263"/>
        </w:trPr>
        <w:tc>
          <w:tcPr>
            <w:tcW w:w="75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r>
      <w:tr>
        <w:trPr>
          <w:trHeight w:val="257"/>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6,443</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5,092</w:t>
            </w:r>
          </w:p>
        </w:tc>
        <w:tc>
          <w:tcPr>
            <w:tcW w:w="100" w:type="dxa"/>
            <w:vAlign w:val="bottom"/>
            <w:shd w:val="clear" w:color="auto" w:fill="CFF0FC"/>
          </w:tcPr>
          <w:p>
            <w:pPr>
              <w:spacing w:after="0"/>
              <w:rPr>
                <w:sz w:val="22"/>
                <w:szCs w:val="22"/>
                <w:color w:val="auto"/>
              </w:rPr>
            </w:pPr>
          </w:p>
        </w:tc>
      </w:tr>
      <w:tr>
        <w:trPr>
          <w:trHeight w:val="250"/>
        </w:trPr>
        <w:tc>
          <w:tcPr>
            <w:tcW w:w="752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3,598</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1"/>
                <w:szCs w:val="21"/>
                <w:color w:val="auto"/>
              </w:rPr>
            </w:pPr>
          </w:p>
        </w:tc>
      </w:tr>
      <w:tr>
        <w:trPr>
          <w:trHeight w:val="257"/>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11,818</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8,604</w:t>
            </w:r>
          </w:p>
        </w:tc>
        <w:tc>
          <w:tcPr>
            <w:tcW w:w="100" w:type="dxa"/>
            <w:vAlign w:val="bottom"/>
          </w:tcPr>
          <w:p>
            <w:pPr>
              <w:spacing w:after="0"/>
              <w:rPr>
                <w:sz w:val="21"/>
                <w:szCs w:val="21"/>
                <w:color w:val="auto"/>
              </w:rPr>
            </w:pPr>
          </w:p>
        </w:tc>
      </w:tr>
      <w:tr>
        <w:trPr>
          <w:trHeight w:val="257"/>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reserve for excess and obsolete inventory</w:t>
            </w:r>
          </w:p>
        </w:tc>
        <w:tc>
          <w:tcPr>
            <w:tcW w:w="180" w:type="dxa"/>
            <w:vAlign w:val="bottom"/>
            <w:shd w:val="clear" w:color="auto" w:fill="CFF0FC"/>
          </w:tcPr>
          <w:p>
            <w:pPr>
              <w:spacing w:after="0"/>
              <w:rPr>
                <w:sz w:val="22"/>
                <w:szCs w:val="22"/>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(2,376 )</w:t>
            </w:r>
          </w:p>
        </w:tc>
        <w:tc>
          <w:tcPr>
            <w:tcW w:w="20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(316 )</w:t>
            </w:r>
          </w:p>
        </w:tc>
      </w:tr>
      <w:tr>
        <w:trPr>
          <w:trHeight w:val="250"/>
        </w:trPr>
        <w:tc>
          <w:tcPr>
            <w:tcW w:w="752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9,442</w:t>
            </w:r>
          </w:p>
        </w:tc>
        <w:tc>
          <w:tcPr>
            <w:tcW w:w="30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8,288</w:t>
            </w:r>
          </w:p>
        </w:tc>
        <w:tc>
          <w:tcPr>
            <w:tcW w:w="100" w:type="dxa"/>
            <w:vAlign w:val="bottom"/>
            <w:tcBorders>
              <w:top w:val="single" w:sz="8" w:color="CFF0FC"/>
            </w:tcBorders>
          </w:tcPr>
          <w:p>
            <w:pPr>
              <w:spacing w:after="0"/>
              <w:rPr>
                <w:sz w:val="21"/>
                <w:szCs w:val="21"/>
                <w:color w:val="auto"/>
              </w:rPr>
            </w:pPr>
          </w:p>
        </w:tc>
      </w:tr>
      <w:tr>
        <w:trPr>
          <w:trHeight w:val="20"/>
        </w:trPr>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-527685</wp:posOffset>
            </wp:positionV>
            <wp:extent cx="18859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-193675</wp:posOffset>
            </wp:positionV>
            <wp:extent cx="18859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36" w:lineRule="exact"/>
        <w:rPr>
          <w:sz w:val="20"/>
          <w:szCs w:val="20"/>
          <w:color w:val="auto"/>
        </w:rPr>
      </w:pPr>
    </w:p>
    <w:p>
      <w:pPr>
        <w:ind w:right="100" w:firstLine="374"/>
        <w:spacing w:after="0" w:line="293" w:lineRule="auto"/>
        <w:rPr>
          <w:sz w:val="20"/>
          <w:szCs w:val="20"/>
          <w:color w:val="auto"/>
        </w:rPr>
      </w:pPr>
      <w:r>
        <w:rPr>
          <w:rFonts w:ascii="Arial" w:cs="Arial" w:eastAsia="Arial" w:hAnsi="Arial"/>
          <w:sz w:val="18"/>
          <w:szCs w:val="18"/>
          <w:color w:val="auto"/>
        </w:rPr>
        <w:t>At September 30, 2021 and December 31, 2020, finished goods included $1.7 million and $2.7 million of inventory held on consignment at customer sites, respectively.</w:t>
      </w: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48" w:lineRule="exact"/>
        <w:rPr>
          <w:sz w:val="20"/>
          <w:szCs w:val="20"/>
          <w:color w:val="auto"/>
        </w:rPr>
      </w:pPr>
    </w:p>
    <w:p>
      <w:pPr>
        <w:ind w:right="20" w:firstLine="374"/>
        <w:spacing w:after="0" w:line="293" w:lineRule="auto"/>
        <w:rPr>
          <w:sz w:val="20"/>
          <w:szCs w:val="20"/>
          <w:color w:val="auto"/>
        </w:rPr>
      </w:pPr>
      <w:r>
        <w:rPr>
          <w:rFonts w:ascii="Arial" w:cs="Arial" w:eastAsia="Arial" w:hAnsi="Arial"/>
          <w:sz w:val="18"/>
          <w:szCs w:val="18"/>
          <w:color w:val="auto"/>
        </w:rPr>
        <w:t>The table and disclosures below (in thousands) present the Company’s assets and liabilities measured at fair value on a recurring basis and indicate the fair value hierarchy of the valuation techniques utilized by the Company to determine such fair value.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93"/>
              </w:rPr>
              <w:t>As of September 30, 2021</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6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I</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II</w:t>
            </w:r>
          </w:p>
        </w:tc>
        <w:tc>
          <w:tcPr>
            <w:tcW w:w="22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III</w:t>
            </w:r>
          </w:p>
        </w:tc>
        <w:tc>
          <w:tcPr>
            <w:tcW w:w="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1"/>
                <w:szCs w:val="21"/>
                <w:color w:val="auto"/>
              </w:rPr>
            </w:pPr>
          </w:p>
        </w:tc>
      </w:tr>
      <w:tr>
        <w:trPr>
          <w:trHeight w:val="25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640" w:type="dxa"/>
            <w:vAlign w:val="bottom"/>
          </w:tcPr>
          <w:p>
            <w:pPr>
              <w:ind w:left="20"/>
              <w:spacing w:after="0"/>
              <w:rPr>
                <w:sz w:val="20"/>
                <w:szCs w:val="20"/>
                <w:color w:val="auto"/>
              </w:rPr>
            </w:pPr>
            <w:r>
              <w:rPr>
                <w:rFonts w:ascii="Arial" w:cs="Arial" w:eastAsia="Arial" w:hAnsi="Arial"/>
                <w:sz w:val="18"/>
                <w:szCs w:val="18"/>
                <w:color w:val="auto"/>
              </w:rPr>
              <w:t>Money market securities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65,368</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65,368</w:t>
            </w:r>
          </w:p>
        </w:tc>
        <w:tc>
          <w:tcPr>
            <w:tcW w:w="100" w:type="dxa"/>
            <w:vAlign w:val="bottom"/>
          </w:tcPr>
          <w:p>
            <w:pPr>
              <w:spacing w:after="0"/>
              <w:rPr>
                <w:sz w:val="21"/>
                <w:szCs w:val="21"/>
                <w:color w:val="auto"/>
              </w:rPr>
            </w:pPr>
          </w:p>
        </w:tc>
      </w:tr>
      <w:tr>
        <w:trPr>
          <w:trHeight w:val="263"/>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Government securities</w:t>
            </w:r>
          </w:p>
        </w:tc>
        <w:tc>
          <w:tcPr>
            <w:tcW w:w="2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99,985</w:t>
            </w:r>
          </w:p>
        </w:tc>
        <w:tc>
          <w:tcPr>
            <w:tcW w:w="22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99,985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40" w:type="dxa"/>
            <w:vAlign w:val="bottom"/>
          </w:tcPr>
          <w:p>
            <w:pPr>
              <w:ind w:left="200"/>
              <w:spacing w:after="0"/>
              <w:rPr>
                <w:sz w:val="20"/>
                <w:szCs w:val="20"/>
                <w:color w:val="auto"/>
              </w:rPr>
            </w:pPr>
            <w:r>
              <w:rPr>
                <w:rFonts w:ascii="Arial" w:cs="Arial" w:eastAsia="Arial" w:hAnsi="Arial"/>
                <w:sz w:val="18"/>
                <w:szCs w:val="18"/>
                <w:color w:val="auto"/>
              </w:rPr>
              <w:t>Total assets at fair value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65,368</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99,985</w:t>
            </w:r>
          </w:p>
        </w:tc>
        <w:tc>
          <w:tcPr>
            <w:tcW w:w="11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165,353</w:t>
            </w:r>
          </w:p>
        </w:tc>
        <w:tc>
          <w:tcPr>
            <w:tcW w:w="100" w:type="dxa"/>
            <w:vAlign w:val="bottom"/>
          </w:tcPr>
          <w:p>
            <w:pPr>
              <w:spacing w:after="0"/>
              <w:rPr>
                <w:sz w:val="21"/>
                <w:szCs w:val="2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-193675</wp:posOffset>
            </wp:positionV>
            <wp:extent cx="15430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-193675</wp:posOffset>
            </wp:positionV>
            <wp:extent cx="13716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-193675</wp:posOffset>
            </wp:positionV>
            <wp:extent cx="13716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b w:val="1"/>
                <w:bCs w:val="1"/>
                <w:color w:val="auto"/>
              </w:rPr>
              <w:t>As of December 31, 2020</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I</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II</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Level III</w:t>
            </w:r>
          </w:p>
        </w:tc>
        <w:tc>
          <w:tcPr>
            <w:tcW w:w="260" w:type="dxa"/>
            <w:vAlign w:val="bottom"/>
          </w:tcPr>
          <w:p>
            <w:pPr>
              <w:spacing w:after="0"/>
              <w:rPr>
                <w:sz w:val="21"/>
                <w:szCs w:val="21"/>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6"/>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10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Money market securities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11,822</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Government securities</w:t>
            </w:r>
          </w:p>
        </w:tc>
        <w:tc>
          <w:tcPr>
            <w:tcW w:w="2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54,981</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gridSpan w:val="2"/>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54,981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11,822</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54,981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66,803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Common stock warrant liability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(5,018 )</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(5,018 )</w:t>
            </w:r>
          </w:p>
        </w:tc>
        <w:tc>
          <w:tcPr>
            <w:tcW w:w="0" w:type="dxa"/>
            <w:vAlign w:val="bottom"/>
          </w:tcPr>
          <w:p>
            <w:pPr>
              <w:spacing w:after="0"/>
              <w:rPr>
                <w:sz w:val="1"/>
                <w:szCs w:val="1"/>
                <w:color w:val="auto"/>
              </w:rPr>
            </w:pPr>
          </w:p>
        </w:tc>
      </w:tr>
      <w:tr>
        <w:trPr>
          <w:trHeight w:val="249"/>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Redeemable convertible preferred stock warrant</w:t>
            </w:r>
          </w:p>
        </w:tc>
        <w:tc>
          <w:tcPr>
            <w:tcW w:w="220" w:type="dxa"/>
            <w:vAlign w:val="bottom"/>
            <w:shd w:val="clear" w:color="auto" w:fill="CFF0FC"/>
          </w:tcPr>
          <w:p>
            <w:pPr>
              <w:spacing w:after="0"/>
              <w:rPr>
                <w:sz w:val="21"/>
                <w:szCs w:val="21"/>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(3,828 )</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(3,828 )</w:t>
            </w: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liability</w:t>
            </w:r>
          </w:p>
        </w:tc>
        <w:tc>
          <w:tcPr>
            <w:tcW w:w="220" w:type="dxa"/>
            <w:vAlign w:val="bottom"/>
            <w:shd w:val="clear" w:color="auto" w:fill="CFF0FC"/>
          </w:tcPr>
          <w:p>
            <w:pPr>
              <w:spacing w:after="0"/>
              <w:rPr>
                <w:sz w:val="20"/>
                <w:szCs w:val="20"/>
                <w:color w:val="auto"/>
              </w:rPr>
            </w:pPr>
          </w:p>
        </w:tc>
        <w:tc>
          <w:tcPr>
            <w:tcW w:w="100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Pr>
          <w:p>
            <w:pPr>
              <w:ind w:left="200"/>
              <w:spacing w:after="0"/>
              <w:rPr>
                <w:sz w:val="20"/>
                <w:szCs w:val="20"/>
                <w:color w:val="auto"/>
              </w:rPr>
            </w:pPr>
            <w:r>
              <w:rPr>
                <w:rFonts w:ascii="Arial" w:cs="Arial" w:eastAsia="Arial" w:hAnsi="Arial"/>
                <w:sz w:val="18"/>
                <w:szCs w:val="18"/>
                <w:color w:val="auto"/>
              </w:rPr>
              <w:t>Total liabilities at fair value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(8,846 )</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(8,846 )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-1016635</wp:posOffset>
            </wp:positionV>
            <wp:extent cx="16319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-1016635</wp:posOffset>
            </wp:positionV>
            <wp:extent cx="16319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-1016635</wp:posOffset>
            </wp:positionV>
            <wp:extent cx="14605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-1016635</wp:posOffset>
            </wp:positionV>
            <wp:extent cx="685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-193675</wp:posOffset>
            </wp:positionV>
            <wp:extent cx="16319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-193675</wp:posOffset>
            </wp:positionV>
            <wp:extent cx="16319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-193675</wp:posOffset>
            </wp:positionV>
            <wp:extent cx="6858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ind w:right="40" w:firstLine="374"/>
        <w:spacing w:after="0" w:line="284" w:lineRule="auto"/>
        <w:rPr>
          <w:sz w:val="20"/>
          <w:szCs w:val="20"/>
          <w:color w:val="auto"/>
        </w:rPr>
      </w:pPr>
      <w:r>
        <w:rPr>
          <w:rFonts w:ascii="Arial" w:cs="Arial" w:eastAsia="Arial" w:hAnsi="Arial"/>
          <w:sz w:val="17"/>
          <w:szCs w:val="17"/>
          <w:color w:val="auto"/>
        </w:rPr>
        <w:t>The Series W warrant fair value was determined by management, with input and assistance from a third-party valuation specialist, upon issuance and was revalued as of each reporting date until expiration. The valuation specialist utilized a Monte Carlo Simulation ("MCS") under the income method utilizing assumptions and financial data prepared by the Company. This valuation approach uses a discounted cash flow (“DCF”) method to calculate the starting equity value of the Company based upon future cash flow generation. The starting equity value of the Company was determined utilizing significant unobservable inputs, including (1) forecasted financial projections for the next five years developed by management, (2) a terminal value assigned using an exit multiple method, and (3) a discount rate based on the weighted average cost of capital. Then a simulated equity value of the Company as of the expected exercise date was determined using the MCS method. The MCS inputs included: (1) the assumed amount of time until the exercise of the warrant, (2) the risk-free interest rate over the period until the assumed warrant exercise, (3) the assumed volatility in the value of the equity of the company, and (4) the starting equity value of the Company as determined from the discounted cash flow method. In order to determine the overall value of the warrant, the valuation specialists also simulated the payments for sales-based, operating and regulatory milestones based upon similar inputs to determine the expected overall purchase price of the Company. The net difference between the expected purchase price and the average simulated equity value determines the “option payoff”. Finally, management assigned a probability that the warrant will be exercised, which was applied to the present value of the “option payoff” to arrive at the recorded value reflected in the accompanying condensed consolidated financial statements. The Series W warrant expired unexercised on March 31, 2021 and the remaining value was recorded in the Statement of Operations and Comprehensive Income (Loss) for the nine months ended September 30, 2021.</w:t>
      </w:r>
    </w:p>
    <w:p>
      <w:pPr>
        <w:spacing w:after="0" w:line="108" w:lineRule="exact"/>
        <w:rPr>
          <w:sz w:val="20"/>
          <w:szCs w:val="20"/>
          <w:color w:val="auto"/>
        </w:rPr>
      </w:pPr>
    </w:p>
    <w:p>
      <w:pPr>
        <w:ind w:right="20" w:firstLine="374"/>
        <w:spacing w:after="0" w:line="287" w:lineRule="auto"/>
        <w:rPr>
          <w:sz w:val="20"/>
          <w:szCs w:val="20"/>
          <w:color w:val="auto"/>
        </w:rPr>
      </w:pPr>
      <w:r>
        <w:rPr>
          <w:rFonts w:ascii="Arial" w:cs="Arial" w:eastAsia="Arial" w:hAnsi="Arial"/>
          <w:sz w:val="17"/>
          <w:szCs w:val="17"/>
          <w:color w:val="auto"/>
        </w:rPr>
        <w:t>The fair value of the preferred stock warrants was determined by management, with input and assistance from a third-party valuation specialist using a probability weighted expected return model/option pricing model (“PWERM/OPM”) hybrid valuation model. This method essentially utilizes a combination of market and income method approaches for each part of the calculation of enterprise value using assumptions and financial data prepared by the Company and combines them in a probabilistic manner. The valuation considered several future scenarios for the Company, each of which assumed a shareholder exit either through initial public offering (“IPO”), sale (“M&amp;A”) or dissolution. Based upon the current IPO market, M&amp;A values for private companies and the historical likelihood of dissolution or no exit, the Company concluded that the probabilities and time frames were reasonable. Implicit in the timing used in the application of the PWERM/OPM Hybrid Method is also the possibility of no exit. The option pricing model's significant unobservable inputs included: (1) the assumed time until a liquidity event, (2)</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0" w:name="page21"/>
    <w:bookmarkEnd w:id="20"/>
    <w:p>
      <w:pPr>
        <w:ind w:right="380"/>
        <w:spacing w:after="0" w:line="319" w:lineRule="auto"/>
        <w:rPr>
          <w:sz w:val="20"/>
          <w:szCs w:val="20"/>
          <w:color w:val="auto"/>
        </w:rPr>
      </w:pPr>
      <w:r>
        <w:rPr>
          <w:rFonts w:ascii="Arial" w:cs="Arial" w:eastAsia="Arial" w:hAnsi="Arial"/>
          <w:sz w:val="16"/>
          <w:szCs w:val="16"/>
          <w:color w:val="auto"/>
        </w:rPr>
        <w:t>the risk-free interest rate over the period until the assumed liquidity event, (3) the assumed volatility in the value of the equity of the company (which corresponds to the model's underlying asset volatility), (4) the enterprise value and preferred investment amount and (5) the key price points in the Company's capital structure in terms of exit levels on the assumed liquidation date. A significant increase (decrease) in any of these inputs in isolation, particularly the estimated price of the Company’s preferred stock, would have resulted in a significantly higher (lower) fair value measurement.</w:t>
      </w:r>
    </w:p>
    <w:p>
      <w:pPr>
        <w:spacing w:after="0" w:line="88" w:lineRule="exact"/>
        <w:rPr>
          <w:sz w:val="20"/>
          <w:szCs w:val="20"/>
          <w:color w:val="auto"/>
        </w:rPr>
      </w:pPr>
    </w:p>
    <w:p>
      <w:pPr>
        <w:ind w:right="440" w:firstLine="374"/>
        <w:spacing w:after="0" w:line="293" w:lineRule="auto"/>
        <w:rPr>
          <w:sz w:val="20"/>
          <w:szCs w:val="20"/>
          <w:color w:val="auto"/>
        </w:rPr>
      </w:pPr>
      <w:r>
        <w:rPr>
          <w:rFonts w:ascii="Arial" w:cs="Arial" w:eastAsia="Arial" w:hAnsi="Arial"/>
          <w:sz w:val="18"/>
          <w:szCs w:val="18"/>
          <w:color w:val="auto"/>
        </w:rPr>
        <w:t>The following table sets forth changes in the estimated fair values for the Company’s warrant liabilities measured using significant unobservable inputs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280" w:type="dxa"/>
            <w:vAlign w:val="bottom"/>
          </w:tcPr>
          <w:p>
            <w:pPr>
              <w:spacing w:after="0"/>
              <w:rPr>
                <w:sz w:val="20"/>
                <w:szCs w:val="20"/>
                <w:color w:val="auto"/>
              </w:rPr>
            </w:pPr>
          </w:p>
        </w:tc>
        <w:tc>
          <w:tcPr>
            <w:tcW w:w="222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Year Ended</w:t>
            </w:r>
          </w:p>
        </w:tc>
      </w:tr>
      <w:tr>
        <w:trPr>
          <w:trHeight w:val="263"/>
        </w:trPr>
        <w:tc>
          <w:tcPr>
            <w:tcW w:w="6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w w:val="99"/>
              </w:rPr>
              <w:t>September 30, 2021</w:t>
            </w:r>
          </w:p>
        </w:tc>
        <w:tc>
          <w:tcPr>
            <w:tcW w:w="280" w:type="dxa"/>
            <w:vAlign w:val="bottom"/>
          </w:tcPr>
          <w:p>
            <w:pPr>
              <w:spacing w:after="0"/>
              <w:rPr>
                <w:sz w:val="22"/>
                <w:szCs w:val="22"/>
                <w:color w:val="auto"/>
              </w:rPr>
            </w:pPr>
          </w:p>
        </w:tc>
        <w:tc>
          <w:tcPr>
            <w:tcW w:w="2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9"/>
              </w:rPr>
              <w:t>December 31, 2020</w:t>
            </w:r>
          </w:p>
        </w:tc>
      </w:tr>
      <w:tr>
        <w:trPr>
          <w:trHeight w:val="257"/>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of period</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8,846</w:t>
            </w:r>
          </w:p>
        </w:tc>
        <w:tc>
          <w:tcPr>
            <w:tcW w:w="300" w:type="dxa"/>
            <w:vAlign w:val="bottom"/>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71,881</w:t>
            </w:r>
          </w:p>
        </w:tc>
        <w:tc>
          <w:tcPr>
            <w:tcW w:w="100" w:type="dxa"/>
            <w:vAlign w:val="bottom"/>
            <w:shd w:val="clear" w:color="auto" w:fill="CFF0FC"/>
          </w:tcPr>
          <w:p>
            <w:pPr>
              <w:spacing w:after="0"/>
              <w:rPr>
                <w:sz w:val="22"/>
                <w:szCs w:val="22"/>
                <w:color w:val="auto"/>
              </w:rPr>
            </w:pP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Exercise of preferred stock warrants</w:t>
            </w:r>
          </w:p>
        </w:tc>
        <w:tc>
          <w:tcPr>
            <w:tcW w:w="260" w:type="dxa"/>
            <w:vAlign w:val="bottom"/>
          </w:tcPr>
          <w:p>
            <w:pPr>
              <w:spacing w:after="0"/>
              <w:rPr>
                <w:sz w:val="21"/>
                <w:szCs w:val="21"/>
                <w:color w:val="auto"/>
              </w:rPr>
            </w:pPr>
          </w:p>
        </w:tc>
        <w:tc>
          <w:tcPr>
            <w:tcW w:w="2460" w:type="dxa"/>
            <w:vAlign w:val="bottom"/>
            <w:gridSpan w:val="2"/>
          </w:tcPr>
          <w:p>
            <w:pPr>
              <w:jc w:val="right"/>
              <w:ind w:right="240"/>
              <w:spacing w:after="0"/>
              <w:rPr>
                <w:sz w:val="20"/>
                <w:szCs w:val="20"/>
                <w:color w:val="auto"/>
              </w:rPr>
            </w:pPr>
            <w:r>
              <w:rPr>
                <w:rFonts w:ascii="Arial" w:cs="Arial" w:eastAsia="Arial" w:hAnsi="Arial"/>
                <w:sz w:val="18"/>
                <w:szCs w:val="18"/>
                <w:color w:val="auto"/>
              </w:rPr>
              <w:t>(1,111 )</w:t>
            </w:r>
          </w:p>
        </w:tc>
        <w:tc>
          <w:tcPr>
            <w:tcW w:w="280" w:type="dxa"/>
            <w:vAlign w:val="bottom"/>
          </w:tcPr>
          <w:p>
            <w:pPr>
              <w:spacing w:after="0"/>
              <w:rPr>
                <w:sz w:val="21"/>
                <w:szCs w:val="21"/>
                <w:color w:val="auto"/>
              </w:rPr>
            </w:pP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(24 )</w:t>
            </w:r>
          </w:p>
        </w:tc>
      </w:tr>
      <w:tr>
        <w:trPr>
          <w:trHeight w:val="263"/>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Expiration of common stock warrant</w:t>
            </w:r>
          </w:p>
        </w:tc>
        <w:tc>
          <w:tcPr>
            <w:tcW w:w="260" w:type="dxa"/>
            <w:vAlign w:val="bottom"/>
            <w:shd w:val="clear" w:color="auto" w:fill="CFF0FC"/>
          </w:tcPr>
          <w:p>
            <w:pPr>
              <w:spacing w:after="0"/>
              <w:rPr>
                <w:sz w:val="22"/>
                <w:szCs w:val="22"/>
                <w:color w:val="auto"/>
              </w:rPr>
            </w:pPr>
          </w:p>
        </w:tc>
        <w:tc>
          <w:tcPr>
            <w:tcW w:w="2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(5,018 )</w:t>
            </w:r>
          </w:p>
        </w:tc>
        <w:tc>
          <w:tcPr>
            <w:tcW w:w="280" w:type="dxa"/>
            <w:vAlign w:val="bottom"/>
            <w:shd w:val="clear" w:color="auto" w:fill="CFF0FC"/>
          </w:tcPr>
          <w:p>
            <w:pPr>
              <w:spacing w:after="0"/>
              <w:rPr>
                <w:sz w:val="22"/>
                <w:szCs w:val="22"/>
                <w:color w:val="auto"/>
              </w:rPr>
            </w:pPr>
          </w:p>
        </w:tc>
        <w:tc>
          <w:tcPr>
            <w:tcW w:w="2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Change in fair value of common stock warrant</w:t>
            </w:r>
          </w:p>
        </w:tc>
        <w:tc>
          <w:tcPr>
            <w:tcW w:w="260" w:type="dxa"/>
            <w:vAlign w:val="bottom"/>
          </w:tcPr>
          <w:p>
            <w:pPr>
              <w:spacing w:after="0"/>
              <w:rPr>
                <w:sz w:val="21"/>
                <w:szCs w:val="21"/>
                <w:color w:val="auto"/>
              </w:rPr>
            </w:pPr>
          </w:p>
        </w:tc>
        <w:tc>
          <w:tcPr>
            <w:tcW w:w="2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(64,628 )</w:t>
            </w:r>
          </w:p>
        </w:tc>
      </w:tr>
      <w:tr>
        <w:trPr>
          <w:trHeight w:val="263"/>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 of preferred stock warrants</w:t>
            </w:r>
          </w:p>
        </w:tc>
        <w:tc>
          <w:tcPr>
            <w:tcW w:w="260" w:type="dxa"/>
            <w:vAlign w:val="bottom"/>
            <w:shd w:val="clear" w:color="auto" w:fill="CFF0FC"/>
          </w:tcPr>
          <w:p>
            <w:pPr>
              <w:spacing w:after="0"/>
              <w:rPr>
                <w:sz w:val="22"/>
                <w:szCs w:val="22"/>
                <w:color w:val="auto"/>
              </w:rPr>
            </w:pPr>
          </w:p>
        </w:tc>
        <w:tc>
          <w:tcPr>
            <w:tcW w:w="2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(2,717 )</w:t>
            </w:r>
          </w:p>
        </w:tc>
        <w:tc>
          <w:tcPr>
            <w:tcW w:w="280" w:type="dxa"/>
            <w:vAlign w:val="bottom"/>
            <w:shd w:val="clear" w:color="auto" w:fill="CFF0FC"/>
          </w:tcPr>
          <w:p>
            <w:pPr>
              <w:spacing w:after="0"/>
              <w:rPr>
                <w:sz w:val="22"/>
                <w:szCs w:val="22"/>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FF0FC"/>
          </w:tcPr>
          <w:p>
            <w:pPr>
              <w:spacing w:after="0"/>
              <w:rPr>
                <w:sz w:val="22"/>
                <w:szCs w:val="22"/>
                <w:color w:val="auto"/>
              </w:rPr>
            </w:pPr>
          </w:p>
        </w:tc>
      </w:tr>
      <w:tr>
        <w:trPr>
          <w:trHeight w:val="250"/>
        </w:trPr>
        <w:tc>
          <w:tcPr>
            <w:tcW w:w="60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8,846</w:t>
            </w:r>
          </w:p>
        </w:tc>
        <w:tc>
          <w:tcPr>
            <w:tcW w:w="100" w:type="dxa"/>
            <w:vAlign w:val="bottom"/>
            <w:tcBorders>
              <w:top w:val="single" w:sz="8" w:color="CFF0FC"/>
            </w:tcBorders>
          </w:tcPr>
          <w:p>
            <w:pPr>
              <w:spacing w:after="0"/>
              <w:rPr>
                <w:sz w:val="21"/>
                <w:szCs w:val="21"/>
                <w:color w:val="auto"/>
              </w:rPr>
            </w:pPr>
          </w:p>
        </w:tc>
      </w:tr>
      <w:tr>
        <w:trPr>
          <w:trHeight w:val="20"/>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-193675</wp:posOffset>
            </wp:positionV>
            <wp:extent cx="19685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Term Loan</w:t>
      </w:r>
    </w:p>
    <w:p>
      <w:pPr>
        <w:spacing w:after="0" w:line="148" w:lineRule="exact"/>
        <w:rPr>
          <w:sz w:val="20"/>
          <w:szCs w:val="20"/>
          <w:color w:val="auto"/>
        </w:rPr>
      </w:pPr>
    </w:p>
    <w:p>
      <w:pPr>
        <w:ind w:right="340" w:firstLine="374"/>
        <w:spacing w:after="0" w:line="314" w:lineRule="auto"/>
        <w:rPr>
          <w:sz w:val="20"/>
          <w:szCs w:val="20"/>
          <w:color w:val="auto"/>
        </w:rPr>
      </w:pPr>
      <w:r>
        <w:rPr>
          <w:rFonts w:ascii="Arial" w:cs="Arial" w:eastAsia="Arial" w:hAnsi="Arial"/>
          <w:sz w:val="16"/>
          <w:szCs w:val="16"/>
          <w:color w:val="auto"/>
        </w:rPr>
        <w:t>In October 2020, the Company entered into a loan facility (“Term Loan”) with an initial draw of $25 million. Proceeds were used to help fund the Company’s ongoing operations. As part of the Term Loan, the lender committed to providing further loans of up to $35 million to the Company at its election (or for one specific draw, upon occurrence of a revenue milestone) during various draw periods in the future, provided the Company is not in default at the time of the additional loan draws. In March 2021, the Company drew an additional $5 million from the facility for the purpose of funding ongoing operations. In June 2021, the Company drew an additional $10 million from the facility for the purpose of funding ongoing operations.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September 30, 2021 and December 31, 2020, the Company was in compliance with all covenants.</w:t>
      </w:r>
    </w:p>
    <w:p>
      <w:pPr>
        <w:spacing w:after="0" w:line="158" w:lineRule="exact"/>
        <w:rPr>
          <w:sz w:val="20"/>
          <w:szCs w:val="20"/>
          <w:color w:val="auto"/>
        </w:rPr>
      </w:pPr>
    </w:p>
    <w:p>
      <w:pPr>
        <w:ind w:right="60" w:firstLine="374"/>
        <w:spacing w:after="0" w:line="293" w:lineRule="auto"/>
        <w:rPr>
          <w:sz w:val="20"/>
          <w:szCs w:val="20"/>
          <w:color w:val="auto"/>
        </w:rPr>
      </w:pPr>
      <w:r>
        <w:rPr>
          <w:rFonts w:ascii="Arial" w:cs="Arial" w:eastAsia="Arial" w:hAnsi="Arial"/>
          <w:sz w:val="18"/>
          <w:szCs w:val="18"/>
          <w:color w:val="auto"/>
        </w:rPr>
        <w:t>For the three and nine months ended September 30, 2021, cash interest paid for all borrowings under the Term Loan was 9.25%. The effective interest rate during the three and nine months ended September 30, 2021 was 10.69% and 10.97%, respectively.</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September 30, 2021 future principal payments due under the Term Loan were as follows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1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9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2021 (remainder)</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9180" w:type="dxa"/>
            <w:vAlign w:val="bottom"/>
          </w:tcPr>
          <w:p>
            <w:pPr>
              <w:ind w:left="380"/>
              <w:spacing w:after="0"/>
              <w:rPr>
                <w:sz w:val="20"/>
                <w:szCs w:val="20"/>
                <w:color w:val="auto"/>
              </w:rPr>
            </w:pPr>
            <w:r>
              <w:rPr>
                <w:rFonts w:ascii="Arial" w:cs="Arial" w:eastAsia="Arial" w:hAnsi="Arial"/>
                <w:sz w:val="18"/>
                <w:szCs w:val="18"/>
                <w:color w:val="auto"/>
              </w:rPr>
              <w:t>2022</w:t>
            </w:r>
          </w:p>
        </w:tc>
        <w:tc>
          <w:tcPr>
            <w:tcW w:w="78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9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2023</w:t>
            </w:r>
          </w:p>
        </w:tc>
        <w:tc>
          <w:tcPr>
            <w:tcW w:w="7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FF0FC"/>
          </w:tcPr>
          <w:p>
            <w:pPr>
              <w:spacing w:after="0"/>
              <w:rPr>
                <w:sz w:val="22"/>
                <w:szCs w:val="22"/>
                <w:color w:val="auto"/>
              </w:rPr>
            </w:pPr>
          </w:p>
        </w:tc>
      </w:tr>
      <w:tr>
        <w:trPr>
          <w:trHeight w:val="250"/>
        </w:trPr>
        <w:tc>
          <w:tcPr>
            <w:tcW w:w="9180" w:type="dxa"/>
            <w:vAlign w:val="bottom"/>
          </w:tcPr>
          <w:p>
            <w:pPr>
              <w:ind w:left="380"/>
              <w:spacing w:after="0"/>
              <w:rPr>
                <w:sz w:val="20"/>
                <w:szCs w:val="20"/>
                <w:color w:val="auto"/>
              </w:rPr>
            </w:pPr>
            <w:r>
              <w:rPr>
                <w:rFonts w:ascii="Arial" w:cs="Arial" w:eastAsia="Arial" w:hAnsi="Arial"/>
                <w:sz w:val="18"/>
                <w:szCs w:val="18"/>
                <w:color w:val="auto"/>
              </w:rPr>
              <w:t>2024</w:t>
            </w: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20,870</w:t>
            </w:r>
          </w:p>
        </w:tc>
        <w:tc>
          <w:tcPr>
            <w:tcW w:w="100" w:type="dxa"/>
            <w:vAlign w:val="bottom"/>
          </w:tcPr>
          <w:p>
            <w:pPr>
              <w:spacing w:after="0"/>
              <w:rPr>
                <w:sz w:val="21"/>
                <w:szCs w:val="21"/>
                <w:color w:val="auto"/>
              </w:rPr>
            </w:pPr>
          </w:p>
        </w:tc>
      </w:tr>
      <w:tr>
        <w:trPr>
          <w:trHeight w:val="257"/>
        </w:trPr>
        <w:tc>
          <w:tcPr>
            <w:tcW w:w="91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2025</w:t>
            </w:r>
          </w:p>
        </w:tc>
        <w:tc>
          <w:tcPr>
            <w:tcW w:w="78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r>
      <w:tr>
        <w:trPr>
          <w:trHeight w:val="257"/>
        </w:trPr>
        <w:tc>
          <w:tcPr>
            <w:tcW w:w="9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unamortized issuance costs and exit fee</w:t>
            </w:r>
          </w:p>
        </w:tc>
        <w:tc>
          <w:tcPr>
            <w:tcW w:w="78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(364 )</w:t>
            </w:r>
          </w:p>
        </w:tc>
      </w:tr>
      <w:tr>
        <w:trPr>
          <w:trHeight w:val="250"/>
        </w:trPr>
        <w:tc>
          <w:tcPr>
            <w:tcW w:w="91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Term loan, net</w:t>
            </w: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39,636</w:t>
            </w:r>
          </w:p>
        </w:tc>
        <w:tc>
          <w:tcPr>
            <w:tcW w:w="100" w:type="dxa"/>
            <w:vAlign w:val="bottom"/>
            <w:tcBorders>
              <w:top w:val="single" w:sz="8" w:color="CFF0FC"/>
            </w:tcBorders>
          </w:tcPr>
          <w:p>
            <w:pPr>
              <w:spacing w:after="0"/>
              <w:rPr>
                <w:sz w:val="21"/>
                <w:szCs w:val="21"/>
                <w:color w:val="auto"/>
              </w:rPr>
            </w:pPr>
          </w:p>
        </w:tc>
      </w:tr>
      <w:tr>
        <w:trPr>
          <w:trHeight w:val="20"/>
        </w:trPr>
        <w:tc>
          <w:tcPr>
            <w:tcW w:w="9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 Warrant Liability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Agreement and Share Purchase Agreement</w:t>
      </w:r>
    </w:p>
    <w:p>
      <w:pPr>
        <w:spacing w:after="0" w:line="144" w:lineRule="exact"/>
        <w:rPr>
          <w:sz w:val="20"/>
          <w:szCs w:val="20"/>
          <w:color w:val="auto"/>
        </w:rPr>
      </w:pPr>
    </w:p>
    <w:p>
      <w:pPr>
        <w:ind w:right="300" w:firstLine="374"/>
        <w:spacing w:after="0" w:line="272" w:lineRule="auto"/>
        <w:rPr>
          <w:sz w:val="20"/>
          <w:szCs w:val="20"/>
          <w:color w:val="auto"/>
        </w:rPr>
      </w:pPr>
      <w:r>
        <w:rPr>
          <w:rFonts w:ascii="Arial" w:cs="Arial" w:eastAsia="Arial" w:hAnsi="Arial"/>
          <w:sz w:val="18"/>
          <w:szCs w:val="18"/>
          <w:color w:val="auto"/>
        </w:rPr>
        <w:t>On October 12, 2017, the Company issued to a “Strategic Partner” a warrant to purchase Series W common stock (the “Warrant Agreement”) for a non-refundable payment of $60 million. This Series W common stock warrant (the “Series W Warrant”) had an initial expiration date of December 31, 2018 unless extended as provided for in the Warrant Agreement. On December 27, 2018, the Strategic Partner chose to extend the expiration date of the Series W Warrant, by making an additional non-refundable payment of $40 million, until the sooner of the achievement of performance milestones (as defined in the Warrant Agreement) or November 22, 2021. On March</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spacing w:after="0" w:line="293" w:lineRule="auto"/>
        <w:rPr>
          <w:sz w:val="20"/>
          <w:szCs w:val="20"/>
          <w:color w:val="auto"/>
        </w:rPr>
      </w:pPr>
      <w:r>
        <w:rPr>
          <w:rFonts w:ascii="Arial" w:cs="Arial" w:eastAsia="Arial" w:hAnsi="Arial"/>
          <w:sz w:val="18"/>
          <w:szCs w:val="18"/>
          <w:color w:val="auto"/>
        </w:rPr>
        <w:t>18, 2020, the Company and the Strategic Partner signed an amendment to the Warrant Agreement that removed the milestone triggers for early exercise and changed the expiration date to March 31, 2021.</w:t>
      </w:r>
    </w:p>
    <w:p>
      <w:pPr>
        <w:spacing w:after="0" w:line="102" w:lineRule="exact"/>
        <w:rPr>
          <w:sz w:val="20"/>
          <w:szCs w:val="20"/>
          <w:color w:val="auto"/>
        </w:rPr>
      </w:pPr>
    </w:p>
    <w:p>
      <w:pPr>
        <w:ind w:firstLine="374"/>
        <w:spacing w:after="0" w:line="306" w:lineRule="auto"/>
        <w:rPr>
          <w:sz w:val="20"/>
          <w:szCs w:val="20"/>
          <w:color w:val="auto"/>
        </w:rPr>
      </w:pPr>
      <w:r>
        <w:rPr>
          <w:rFonts w:ascii="Arial" w:cs="Arial" w:eastAsia="Arial" w:hAnsi="Arial"/>
          <w:sz w:val="16"/>
          <w:szCs w:val="16"/>
          <w:color w:val="auto"/>
        </w:rPr>
        <w:t>Concurrent with the Warrant Agreement, the Strategic Partner and the Company entered into a Share Purchase Agreement (the “Purchase Agreement”). Under the Purchase Agreement, the Strategic Partner purchased one share of the Company’s non-voting $0.001 par value per share Series G common stock for $0.01. Upon exercise of the Series W Warrant, the Strategic Partner would have received one share of voting, $0.001 par value, Series W common stock. Per the Warrant Agreement, the exercise price of the Series W Warrant was $630.0 million plus adjustments for the Company’s cash, working capital, indebtedness, and transaction expenses, subject to an escrow holdback of $92.0 million and a shareholder representative holdback of $0.5M. The Warrant Agreement also provided for potential aggregate milestone payments of up to $827 million for various sales-based and operating milestones and $185 million for certain regulatory milestones, either at the time of the Series W Warrant’s exercise or at dates subsequent, as defined in the Warrant Agreement. Upon notice of exercise of the Series W Warrant by the Strategic Partner and receipt of the required funds, a Special Redemption, as defined in the Company’s Articles of Incorporation, would have triggered automatic redemption of all the Company’s outstanding capital instruments, except for the Series G common stock and Series W common stock, and the Strategic Partner would have acquired the Company.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Redemption</w:t>
      </w:r>
    </w:p>
    <w:p>
      <w:pPr>
        <w:spacing w:after="0" w:line="144" w:lineRule="exact"/>
        <w:rPr>
          <w:sz w:val="20"/>
          <w:szCs w:val="20"/>
          <w:color w:val="auto"/>
        </w:rPr>
      </w:pPr>
    </w:p>
    <w:p>
      <w:pPr>
        <w:ind w:right="80" w:firstLine="374"/>
        <w:spacing w:after="0" w:line="287" w:lineRule="auto"/>
        <w:rPr>
          <w:sz w:val="20"/>
          <w:szCs w:val="20"/>
          <w:color w:val="auto"/>
        </w:rPr>
      </w:pPr>
      <w:r>
        <w:rPr>
          <w:rFonts w:ascii="Arial" w:cs="Arial" w:eastAsia="Arial" w:hAnsi="Arial"/>
          <w:sz w:val="17"/>
          <w:szCs w:val="17"/>
          <w:color w:val="auto"/>
        </w:rPr>
        <w:t>On October 25, 2017, the Company adopted the 12th Amended and Restated Articles of Incorporation (the “Amendment”). Under Article IV of the Amendment, if the Strategic Partner had exercised the Series W Warrant, an automatic redemption, conversion, termination and cancellation of all then outstanding shares of the Company’s capital stock, options and warrants would have occurred without any further action required. Immediately prior to the automatic redemption, all outstanding preferred shares would have converted to common shares, unvested stock options would have accelerated and became fully vested and all stock options would have terminated along with any preferred stock warrants outstanding. Shareholders, option holders and warrant holders would have had the right to receive the initial per share price less the strike price as defined in the Warrant Agreement. The Strategic Partner would have advanced (through an exchange agent) the funds to the Company, which would then have disbursed the funds to all shareholders, option holders and warrant holders. If the Series W Warrant was terminated or expired unexercised, Article IV of the Amendment would terminate and would be of no further force and effect.</w:t>
      </w:r>
    </w:p>
    <w:p>
      <w:pPr>
        <w:spacing w:after="0" w:line="110" w:lineRule="exact"/>
        <w:rPr>
          <w:sz w:val="20"/>
          <w:szCs w:val="20"/>
          <w:color w:val="auto"/>
        </w:rPr>
      </w:pPr>
    </w:p>
    <w:p>
      <w:pPr>
        <w:ind w:right="660" w:firstLine="374"/>
        <w:spacing w:after="0" w:line="293" w:lineRule="auto"/>
        <w:rPr>
          <w:sz w:val="20"/>
          <w:szCs w:val="20"/>
          <w:color w:val="auto"/>
        </w:rPr>
      </w:pPr>
      <w:r>
        <w:rPr>
          <w:rFonts w:ascii="Arial" w:cs="Arial" w:eastAsia="Arial" w:hAnsi="Arial"/>
          <w:sz w:val="18"/>
          <w:szCs w:val="18"/>
          <w:color w:val="auto"/>
        </w:rPr>
        <w:t>In December 2020, management determined that exercise of the Series W Warrant was no longer probable, at which point further accretion to redemption value of common stock, preferred stock and stock options ceased.</w:t>
      </w:r>
    </w:p>
    <w:p>
      <w:pPr>
        <w:spacing w:after="0" w:line="102" w:lineRule="exact"/>
        <w:rPr>
          <w:sz w:val="20"/>
          <w:szCs w:val="20"/>
          <w:color w:val="auto"/>
        </w:rPr>
      </w:pPr>
    </w:p>
    <w:p>
      <w:pPr>
        <w:jc w:val="both"/>
        <w:ind w:right="80" w:firstLine="374"/>
        <w:spacing w:after="0" w:line="296" w:lineRule="auto"/>
        <w:rPr>
          <w:sz w:val="20"/>
          <w:szCs w:val="20"/>
          <w:color w:val="auto"/>
        </w:rPr>
      </w:pPr>
      <w:r>
        <w:rPr>
          <w:rFonts w:ascii="Arial" w:cs="Arial" w:eastAsia="Arial" w:hAnsi="Arial"/>
          <w:sz w:val="17"/>
          <w:szCs w:val="17"/>
          <w:color w:val="auto"/>
        </w:rPr>
        <w:t>On March 31, 2021, the Series W Warrant terminated as the Strategic Partner did not provide notice of exercise. A gain of $5.0 million was recorded on the expiration of the Series W Warrant in the accompanying condensed consolidated statements of operations and comprehensive income (loss) for the nine months ended September 30, 2021. Upon termination, amounts recorded in temporary equity for common stock and stock options were reclassified to common stock and additional paid-in capital within permanent equity as these instruments were no longer redeemable.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Convertible Preferred Stock and Stockholders’ Deficit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w:t>
      </w:r>
    </w:p>
    <w:p>
      <w:pPr>
        <w:spacing w:after="0" w:line="144" w:lineRule="exact"/>
        <w:rPr>
          <w:sz w:val="20"/>
          <w:szCs w:val="20"/>
          <w:color w:val="auto"/>
        </w:rPr>
      </w:pPr>
    </w:p>
    <w:p>
      <w:pPr>
        <w:ind w:right="20" w:firstLine="374"/>
        <w:spacing w:after="0" w:line="269" w:lineRule="auto"/>
        <w:rPr>
          <w:sz w:val="20"/>
          <w:szCs w:val="20"/>
          <w:color w:val="auto"/>
        </w:rPr>
      </w:pPr>
      <w:r>
        <w:rPr>
          <w:rFonts w:ascii="Arial" w:cs="Arial" w:eastAsia="Arial" w:hAnsi="Arial"/>
          <w:sz w:val="18"/>
          <w:szCs w:val="18"/>
          <w:color w:val="auto"/>
        </w:rPr>
        <w:t>The Amendment authorized eight classes of preferred stock, Series A through F, the “Prior Preferred Stock” and Series G and H, the “Senior Preferred Stock”. As of December 31, 2020 the Company’s convertible preferred stock was classified as temporary equity in the accompanying condensed consolidated balance sheets, as all such preferred stock is redeemable either at the option of the holder or upon an event outside the control of the Company (i.e., a change in control). The redeemable convertible preferred stock was previously redeemable per the Special Redemption (see Note 7) or upon certain change in control events (including liquidation, sale or transfer of control of the Company); however, all change in control events are outside of the Company’s control. In the event of the Special Redemption, the holders would have received redemption proceeds as defined in the Warrant Agreement. In the event of liquidation, holders of the convertible preferred stock may have the right to receive its liquidation preference under the terms of the Company’s Amendment.</w:t>
      </w: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2" w:name="page23"/>
    <w:bookmarkEnd w:id="22"/>
    <w:p>
      <w:pPr>
        <w:ind w:right="20" w:firstLine="374"/>
        <w:spacing w:after="0" w:line="272" w:lineRule="auto"/>
        <w:rPr>
          <w:sz w:val="20"/>
          <w:szCs w:val="20"/>
          <w:color w:val="auto"/>
        </w:rPr>
      </w:pPr>
      <w:r>
        <w:rPr>
          <w:rFonts w:ascii="Arial" w:cs="Arial" w:eastAsia="Arial" w:hAnsi="Arial"/>
          <w:sz w:val="18"/>
          <w:szCs w:val="18"/>
          <w:color w:val="auto"/>
        </w:rPr>
        <w:t>As a result of management’s determination that the Special Redemption was probable, but not certain, the Company began accreting to the expected redemption value of the redeemable convertible preferred stock in October 2017. In December 2020, management determined that the Special Redemption was no longer probable, at which point accretion to redemption value ceased. As of March 31, 2021, the Series W Warrant expired unexercised, and all redemption provisions of the Special Redemption lapsed. Upon completion of the Company's IPO in July 2021, all Convertible Preferred Stock outstanding was converted to Common Stock.</w:t>
      </w:r>
    </w:p>
    <w:p>
      <w:pPr>
        <w:spacing w:after="0" w:line="123" w:lineRule="exact"/>
        <w:rPr>
          <w:sz w:val="20"/>
          <w:szCs w:val="20"/>
          <w:color w:val="auto"/>
        </w:rPr>
      </w:pPr>
    </w:p>
    <w:p>
      <w:pPr>
        <w:ind w:right="380" w:firstLine="374"/>
        <w:spacing w:after="0" w:line="293" w:lineRule="auto"/>
        <w:rPr>
          <w:sz w:val="20"/>
          <w:szCs w:val="20"/>
          <w:color w:val="auto"/>
        </w:rPr>
      </w:pPr>
      <w:r>
        <w:rPr>
          <w:rFonts w:ascii="Arial" w:cs="Arial" w:eastAsia="Arial" w:hAnsi="Arial"/>
          <w:sz w:val="18"/>
          <w:szCs w:val="18"/>
          <w:color w:val="auto"/>
        </w:rPr>
        <w:t>The following table summarizes information related to issuance of the Company’s preferred stock (in thousands, except number of shares and per share amounts):</w:t>
      </w:r>
    </w:p>
    <w:p>
      <w:pPr>
        <w:spacing w:after="0" w:line="36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5"/>
              </w:rPr>
              <w:t>As of December 31, 2020</w:t>
            </w:r>
          </w:p>
        </w:tc>
        <w:tc>
          <w:tcPr>
            <w:tcW w:w="1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9"/>
        </w:trPr>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75"/>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5"/>
                <w:szCs w:val="15"/>
                <w:color w:val="auto"/>
              </w:rPr>
            </w:pPr>
          </w:p>
        </w:tc>
      </w:tr>
      <w:tr>
        <w:trPr>
          <w:trHeight w:val="176"/>
        </w:trPr>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135"/>
              <w:spacing w:after="0"/>
              <w:rPr>
                <w:sz w:val="20"/>
                <w:szCs w:val="20"/>
                <w:color w:val="auto"/>
              </w:rPr>
            </w:pPr>
            <w:r>
              <w:rPr>
                <w:rFonts w:ascii="Arial" w:cs="Arial" w:eastAsia="Arial" w:hAnsi="Arial"/>
                <w:sz w:val="14"/>
                <w:szCs w:val="14"/>
                <w:b w:val="1"/>
                <w:bCs w:val="1"/>
                <w:color w:val="auto"/>
                <w:w w:val="90"/>
              </w:rPr>
              <w:t>Price at</w:t>
            </w:r>
          </w:p>
        </w:tc>
        <w:tc>
          <w:tcPr>
            <w:tcW w:w="240" w:type="dxa"/>
            <w:vAlign w:val="bottom"/>
          </w:tcPr>
          <w:p>
            <w:pPr>
              <w:spacing w:after="0"/>
              <w:rPr>
                <w:sz w:val="15"/>
                <w:szCs w:val="15"/>
                <w:color w:val="auto"/>
              </w:rPr>
            </w:pPr>
          </w:p>
        </w:tc>
        <w:tc>
          <w:tcPr>
            <w:tcW w:w="154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Issued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53"/>
              <w:spacing w:after="0"/>
              <w:rPr>
                <w:sz w:val="20"/>
                <w:szCs w:val="20"/>
                <w:color w:val="auto"/>
              </w:rPr>
            </w:pPr>
            <w:r>
              <w:rPr>
                <w:rFonts w:ascii="Arial" w:cs="Arial" w:eastAsia="Arial" w:hAnsi="Arial"/>
                <w:sz w:val="14"/>
                <w:szCs w:val="14"/>
                <w:b w:val="1"/>
                <w:bCs w:val="1"/>
                <w:color w:val="auto"/>
              </w:rPr>
              <w:t>Liquidation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75"/>
              <w:spacing w:after="0"/>
              <w:rPr>
                <w:sz w:val="20"/>
                <w:szCs w:val="20"/>
                <w:color w:val="auto"/>
              </w:rPr>
            </w:pPr>
            <w:r>
              <w:rPr>
                <w:rFonts w:ascii="Arial" w:cs="Arial" w:eastAsia="Arial" w:hAnsi="Arial"/>
                <w:sz w:val="14"/>
                <w:szCs w:val="14"/>
                <w:b w:val="1"/>
                <w:bCs w:val="1"/>
                <w:color w:val="auto"/>
                <w:w w:val="95"/>
              </w:rPr>
              <w:t>Value (2)</w:t>
            </w:r>
          </w:p>
        </w:tc>
        <w:tc>
          <w:tcPr>
            <w:tcW w:w="80" w:type="dxa"/>
            <w:vAlign w:val="bottom"/>
          </w:tcPr>
          <w:p>
            <w:pPr>
              <w:spacing w:after="0"/>
              <w:rPr>
                <w:sz w:val="15"/>
                <w:szCs w:val="15"/>
                <w:color w:val="auto"/>
              </w:rPr>
            </w:pPr>
          </w:p>
        </w:tc>
      </w:tr>
      <w:tr>
        <w:trPr>
          <w:trHeight w:val="192"/>
        </w:trPr>
        <w:tc>
          <w:tcPr>
            <w:tcW w:w="1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Par Value</w:t>
            </w:r>
          </w:p>
        </w:tc>
        <w:tc>
          <w:tcPr>
            <w:tcW w:w="2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Issuance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Issuance</w:t>
            </w:r>
          </w:p>
        </w:tc>
        <w:tc>
          <w:tcPr>
            <w:tcW w:w="240" w:type="dxa"/>
            <w:vAlign w:val="bottom"/>
          </w:tcPr>
          <w:p>
            <w:pPr>
              <w:spacing w:after="0"/>
              <w:rPr>
                <w:sz w:val="16"/>
                <w:szCs w:val="16"/>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Authorized(1)</w:t>
            </w:r>
          </w:p>
        </w:tc>
        <w:tc>
          <w:tcPr>
            <w:tcW w:w="2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Outstanding(1)</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Preference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Share Capital</w:t>
            </w:r>
          </w:p>
        </w:tc>
        <w:tc>
          <w:tcPr>
            <w:tcW w:w="80" w:type="dxa"/>
            <w:vAlign w:val="bottom"/>
          </w:tcPr>
          <w:p>
            <w:pPr>
              <w:spacing w:after="0"/>
              <w:rPr>
                <w:sz w:val="16"/>
                <w:szCs w:val="16"/>
                <w:color w:val="auto"/>
              </w:rPr>
            </w:pPr>
          </w:p>
        </w:tc>
      </w:tr>
      <w:tr>
        <w:trPr>
          <w:trHeight w:val="256"/>
        </w:trPr>
        <w:tc>
          <w:tcPr>
            <w:tcW w:w="1040" w:type="dxa"/>
            <w:vAlign w:val="bottom"/>
            <w:shd w:val="clear" w:color="auto" w:fill="CFF0FC"/>
          </w:tcPr>
          <w:p>
            <w:pPr>
              <w:spacing w:after="0"/>
              <w:rPr>
                <w:sz w:val="20"/>
                <w:szCs w:val="20"/>
                <w:color w:val="auto"/>
              </w:rPr>
            </w:pPr>
            <w:r>
              <w:rPr>
                <w:rFonts w:ascii="Arial" w:cs="Arial" w:eastAsia="Arial" w:hAnsi="Arial"/>
                <w:sz w:val="18"/>
                <w:szCs w:val="18"/>
                <w:color w:val="auto"/>
              </w:rPr>
              <w:t>Series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0.001</w:t>
            </w:r>
          </w:p>
        </w:tc>
        <w:tc>
          <w:tcPr>
            <w:tcW w:w="240" w:type="dxa"/>
            <w:vAlign w:val="bottom"/>
            <w:shd w:val="clear" w:color="auto" w:fill="CFF0FC"/>
          </w:tcPr>
          <w:p>
            <w:pPr>
              <w:spacing w:after="0"/>
              <w:rPr>
                <w:sz w:val="22"/>
                <w:szCs w:val="22"/>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Feb-2000</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355,921</w:t>
            </w:r>
          </w:p>
        </w:tc>
        <w:tc>
          <w:tcPr>
            <w:tcW w:w="20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355,903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13,535</w:t>
            </w:r>
          </w:p>
        </w:tc>
        <w:tc>
          <w:tcPr>
            <w:tcW w:w="80" w:type="dxa"/>
            <w:vAlign w:val="bottom"/>
            <w:shd w:val="clear" w:color="auto" w:fill="CFF0FC"/>
          </w:tcPr>
          <w:p>
            <w:pPr>
              <w:spacing w:after="0"/>
              <w:rPr>
                <w:sz w:val="22"/>
                <w:szCs w:val="22"/>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Series B</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0.001</w:t>
            </w:r>
          </w:p>
        </w:tc>
        <w:tc>
          <w:tcPr>
            <w:tcW w:w="2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May-2003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1,741,452</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1,741,399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15,795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39,715</w:t>
            </w:r>
          </w:p>
        </w:tc>
        <w:tc>
          <w:tcPr>
            <w:tcW w:w="80" w:type="dxa"/>
            <w:vAlign w:val="bottom"/>
          </w:tcPr>
          <w:p>
            <w:pPr>
              <w:spacing w:after="0"/>
              <w:rPr>
                <w:sz w:val="21"/>
                <w:szCs w:val="21"/>
                <w:color w:val="auto"/>
              </w:rPr>
            </w:pPr>
          </w:p>
        </w:tc>
      </w:tr>
      <w:tr>
        <w:trPr>
          <w:trHeight w:val="263"/>
        </w:trPr>
        <w:tc>
          <w:tcPr>
            <w:tcW w:w="104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0.001</w:t>
            </w:r>
          </w:p>
        </w:tc>
        <w:tc>
          <w:tcPr>
            <w:tcW w:w="240" w:type="dxa"/>
            <w:vAlign w:val="bottom"/>
            <w:shd w:val="clear" w:color="auto" w:fill="CFF0FC"/>
          </w:tcPr>
          <w:p>
            <w:pPr>
              <w:spacing w:after="0"/>
              <w:rPr>
                <w:sz w:val="22"/>
                <w:szCs w:val="22"/>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Feb-2007</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1,168,344</w:t>
            </w:r>
          </w:p>
        </w:tc>
        <w:tc>
          <w:tcPr>
            <w:tcW w:w="20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1,168,311</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15,086</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28,136</w:t>
            </w:r>
          </w:p>
        </w:tc>
        <w:tc>
          <w:tcPr>
            <w:tcW w:w="80" w:type="dxa"/>
            <w:vAlign w:val="bottom"/>
            <w:shd w:val="clear" w:color="auto" w:fill="CFF0FC"/>
          </w:tcPr>
          <w:p>
            <w:pPr>
              <w:spacing w:after="0"/>
              <w:rPr>
                <w:sz w:val="22"/>
                <w:szCs w:val="22"/>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Series 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0.001</w:t>
            </w:r>
          </w:p>
        </w:tc>
        <w:tc>
          <w:tcPr>
            <w:tcW w:w="2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Aug-2009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18.08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663,808</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663,728</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18,503</w:t>
            </w:r>
          </w:p>
        </w:tc>
        <w:tc>
          <w:tcPr>
            <w:tcW w:w="80" w:type="dxa"/>
            <w:vAlign w:val="bottom"/>
          </w:tcPr>
          <w:p>
            <w:pPr>
              <w:spacing w:after="0"/>
              <w:rPr>
                <w:sz w:val="21"/>
                <w:szCs w:val="21"/>
                <w:color w:val="auto"/>
              </w:rPr>
            </w:pPr>
          </w:p>
        </w:tc>
      </w:tr>
      <w:tr>
        <w:trPr>
          <w:trHeight w:val="263"/>
        </w:trPr>
        <w:tc>
          <w:tcPr>
            <w:tcW w:w="1040" w:type="dxa"/>
            <w:vAlign w:val="bottom"/>
            <w:shd w:val="clear" w:color="auto" w:fill="CFF0FC"/>
          </w:tcPr>
          <w:p>
            <w:pPr>
              <w:spacing w:after="0"/>
              <w:rPr>
                <w:sz w:val="20"/>
                <w:szCs w:val="20"/>
                <w:color w:val="auto"/>
              </w:rPr>
            </w:pPr>
            <w:r>
              <w:rPr>
                <w:rFonts w:ascii="Arial" w:cs="Arial" w:eastAsia="Arial" w:hAnsi="Arial"/>
                <w:sz w:val="18"/>
                <w:szCs w:val="18"/>
                <w:color w:val="auto"/>
              </w:rPr>
              <w:t>Series 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0.001</w:t>
            </w:r>
          </w:p>
        </w:tc>
        <w:tc>
          <w:tcPr>
            <w:tcW w:w="240" w:type="dxa"/>
            <w:vAlign w:val="bottom"/>
            <w:shd w:val="clear" w:color="auto" w:fill="CFF0FC"/>
          </w:tcPr>
          <w:p>
            <w:pPr>
              <w:spacing w:after="0"/>
              <w:rPr>
                <w:sz w:val="22"/>
                <w:szCs w:val="22"/>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Oct-2011</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353,339</w:t>
            </w:r>
          </w:p>
        </w:tc>
        <w:tc>
          <w:tcPr>
            <w:tcW w:w="20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353,327</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7,300</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10,350</w:t>
            </w:r>
          </w:p>
        </w:tc>
        <w:tc>
          <w:tcPr>
            <w:tcW w:w="80" w:type="dxa"/>
            <w:vAlign w:val="bottom"/>
            <w:shd w:val="clear" w:color="auto" w:fill="CFF0FC"/>
          </w:tcPr>
          <w:p>
            <w:pPr>
              <w:spacing w:after="0"/>
              <w:rPr>
                <w:sz w:val="22"/>
                <w:szCs w:val="22"/>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Series F</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0.001</w:t>
            </w:r>
          </w:p>
        </w:tc>
        <w:tc>
          <w:tcPr>
            <w:tcW w:w="2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May-2012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507,744</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499,159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12,891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18,305</w:t>
            </w:r>
          </w:p>
        </w:tc>
        <w:tc>
          <w:tcPr>
            <w:tcW w:w="80" w:type="dxa"/>
            <w:vAlign w:val="bottom"/>
          </w:tcPr>
          <w:p>
            <w:pPr>
              <w:spacing w:after="0"/>
              <w:rPr>
                <w:sz w:val="21"/>
                <w:szCs w:val="21"/>
                <w:color w:val="auto"/>
              </w:rPr>
            </w:pPr>
          </w:p>
        </w:tc>
      </w:tr>
      <w:tr>
        <w:trPr>
          <w:trHeight w:val="263"/>
        </w:trPr>
        <w:tc>
          <w:tcPr>
            <w:tcW w:w="1040" w:type="dxa"/>
            <w:vAlign w:val="bottom"/>
            <w:shd w:val="clear" w:color="auto" w:fill="CFF0FC"/>
          </w:tcPr>
          <w:p>
            <w:pPr>
              <w:spacing w:after="0"/>
              <w:rPr>
                <w:sz w:val="20"/>
                <w:szCs w:val="20"/>
                <w:color w:val="auto"/>
              </w:rPr>
            </w:pPr>
            <w:r>
              <w:rPr>
                <w:rFonts w:ascii="Arial" w:cs="Arial" w:eastAsia="Arial" w:hAnsi="Arial"/>
                <w:sz w:val="18"/>
                <w:szCs w:val="18"/>
                <w:color w:val="auto"/>
              </w:rPr>
              <w:t>Series G</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0.001</w:t>
            </w:r>
          </w:p>
        </w:tc>
        <w:tc>
          <w:tcPr>
            <w:tcW w:w="240" w:type="dxa"/>
            <w:vAlign w:val="bottom"/>
            <w:shd w:val="clear" w:color="auto" w:fill="CFF0FC"/>
          </w:tcPr>
          <w:p>
            <w:pPr>
              <w:spacing w:after="0"/>
              <w:rPr>
                <w:sz w:val="22"/>
                <w:szCs w:val="22"/>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Jun-2015</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5,832,685</w:t>
            </w:r>
          </w:p>
        </w:tc>
        <w:tc>
          <w:tcPr>
            <w:tcW w:w="20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5,788,878</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71,759</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135,682</w:t>
            </w:r>
          </w:p>
        </w:tc>
        <w:tc>
          <w:tcPr>
            <w:tcW w:w="80" w:type="dxa"/>
            <w:vAlign w:val="bottom"/>
            <w:shd w:val="clear" w:color="auto" w:fill="CFF0FC"/>
          </w:tcPr>
          <w:p>
            <w:pPr>
              <w:spacing w:after="0"/>
              <w:rPr>
                <w:sz w:val="22"/>
                <w:szCs w:val="22"/>
                <w:color w:val="auto"/>
              </w:rPr>
            </w:pP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Series 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0.001</w:t>
            </w:r>
          </w:p>
        </w:tc>
        <w:tc>
          <w:tcPr>
            <w:tcW w:w="24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Feb-2017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12.40</w:t>
            </w:r>
          </w:p>
        </w:tc>
        <w:tc>
          <w:tcPr>
            <w:tcW w:w="240" w:type="dxa"/>
            <w:vAlign w:val="bottom"/>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5,949,499</w:t>
            </w:r>
          </w:p>
        </w:tc>
        <w:tc>
          <w:tcPr>
            <w:tcW w:w="20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3,805,567</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47,174</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89,074</w:t>
            </w:r>
          </w:p>
        </w:tc>
        <w:tc>
          <w:tcPr>
            <w:tcW w:w="80" w:type="dxa"/>
            <w:vAlign w:val="bottom"/>
          </w:tcPr>
          <w:p>
            <w:pPr>
              <w:spacing w:after="0"/>
              <w:rPr>
                <w:sz w:val="22"/>
                <w:szCs w:val="22"/>
                <w:color w:val="auto"/>
              </w:rPr>
            </w:pPr>
          </w:p>
        </w:tc>
      </w:tr>
      <w:tr>
        <w:trPr>
          <w:trHeight w:val="283"/>
        </w:trPr>
        <w:tc>
          <w:tcPr>
            <w:tcW w:w="10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16,572,792</w:t>
            </w:r>
          </w:p>
        </w:tc>
        <w:tc>
          <w:tcPr>
            <w:tcW w:w="2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14,376,272</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196,528</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353,300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-24765</wp:posOffset>
            </wp:positionV>
            <wp:extent cx="137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137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1200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1200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137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596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596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27" w:lineRule="exact"/>
        <w:rPr>
          <w:sz w:val="20"/>
          <w:szCs w:val="20"/>
          <w:color w:val="auto"/>
        </w:rPr>
      </w:pPr>
    </w:p>
    <w:p>
      <w:pPr>
        <w:ind w:left="340" w:right="640" w:hanging="332"/>
        <w:spacing w:after="0" w:line="310"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shares authorized, issued and outstanding do not reflect any anti-dilution provisions of Series C, Series D, Series E and Series F as a result of the Series G financing.</w:t>
      </w:r>
    </w:p>
    <w:p>
      <w:pPr>
        <w:spacing w:after="0" w:line="105" w:lineRule="exact"/>
        <w:rPr>
          <w:rFonts w:ascii="Arial" w:cs="Arial" w:eastAsia="Arial" w:hAnsi="Arial"/>
          <w:sz w:val="16"/>
          <w:szCs w:val="16"/>
          <w:color w:val="auto"/>
        </w:rPr>
      </w:pPr>
    </w:p>
    <w:p>
      <w:pPr>
        <w:ind w:left="340" w:right="80" w:hanging="332"/>
        <w:spacing w:after="0" w:line="310"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carrying value reflects the gross proceeds received from the sale of the preferred stock less issuance costs and the fair value at issuance of preferred stock warrants classified as a liability, plus accretion of redemption value.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Each share of common stock is entitled to one vote. Common stock reserved for future issuance consisted of the following:</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4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September 30, 2021</w:t>
            </w:r>
          </w:p>
        </w:tc>
        <w:tc>
          <w:tcPr>
            <w:tcW w:w="28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December 31, 2020</w:t>
            </w:r>
          </w:p>
        </w:tc>
        <w:tc>
          <w:tcPr>
            <w:tcW w:w="100" w:type="dxa"/>
            <w:vAlign w:val="bottom"/>
          </w:tcPr>
          <w:p>
            <w:pPr>
              <w:spacing w:after="0"/>
              <w:rPr>
                <w:sz w:val="20"/>
                <w:szCs w:val="20"/>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Conversion of preferred stock</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14,851,007</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Preferred stock warrants</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225,945</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warrant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Stock options issued and outstanding under the 2006, 2015 and 2021 plans</w:t>
            </w:r>
          </w:p>
        </w:tc>
        <w:tc>
          <w:tcPr>
            <w:tcW w:w="1620" w:type="dxa"/>
            <w:vAlign w:val="bottom"/>
          </w:tcPr>
          <w:p>
            <w:pPr>
              <w:jc w:val="right"/>
              <w:spacing w:after="0"/>
              <w:rPr>
                <w:sz w:val="20"/>
                <w:szCs w:val="20"/>
                <w:color w:val="auto"/>
              </w:rPr>
            </w:pPr>
            <w:r>
              <w:rPr>
                <w:rFonts w:ascii="Arial" w:cs="Arial" w:eastAsia="Arial" w:hAnsi="Arial"/>
                <w:sz w:val="18"/>
                <w:szCs w:val="18"/>
                <w:color w:val="auto"/>
              </w:rPr>
              <w:t>5,454,112</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4,201,935</w:t>
            </w:r>
          </w:p>
        </w:tc>
        <w:tc>
          <w:tcPr>
            <w:tcW w:w="100" w:type="dxa"/>
            <w:vAlign w:val="bottom"/>
          </w:tcPr>
          <w:p>
            <w:pPr>
              <w:spacing w:after="0"/>
              <w:rPr>
                <w:sz w:val="21"/>
                <w:szCs w:val="21"/>
                <w:color w:val="auto"/>
              </w:rPr>
            </w:pPr>
          </w:p>
        </w:tc>
      </w:tr>
      <w:tr>
        <w:trPr>
          <w:trHeight w:val="263"/>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stock units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657,729</w:t>
            </w:r>
          </w:p>
        </w:tc>
        <w:tc>
          <w:tcPr>
            <w:tcW w:w="28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Total shares of common stock reserved</w:t>
            </w:r>
          </w:p>
        </w:tc>
        <w:tc>
          <w:tcPr>
            <w:tcW w:w="1620" w:type="dxa"/>
            <w:vAlign w:val="bottom"/>
          </w:tcPr>
          <w:p>
            <w:pPr>
              <w:jc w:val="right"/>
              <w:spacing w:after="0"/>
              <w:rPr>
                <w:sz w:val="20"/>
                <w:szCs w:val="20"/>
                <w:color w:val="auto"/>
              </w:rPr>
            </w:pPr>
            <w:r>
              <w:rPr>
                <w:rFonts w:ascii="Arial" w:cs="Arial" w:eastAsia="Arial" w:hAnsi="Arial"/>
                <w:sz w:val="18"/>
                <w:szCs w:val="18"/>
                <w:color w:val="auto"/>
              </w:rPr>
              <w:t>6,111,841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19,278,888</w:t>
            </w:r>
          </w:p>
        </w:tc>
        <w:tc>
          <w:tcPr>
            <w:tcW w:w="100" w:type="dxa"/>
            <w:vAlign w:val="bottom"/>
          </w:tcPr>
          <w:p>
            <w:pPr>
              <w:spacing w:after="0"/>
              <w:rPr>
                <w:sz w:val="21"/>
                <w:szCs w:val="21"/>
                <w:color w:val="auto"/>
              </w:rPr>
            </w:pPr>
          </w:p>
        </w:tc>
      </w:tr>
      <w:tr>
        <w:trPr>
          <w:trHeight w:val="20"/>
        </w:trPr>
        <w:tc>
          <w:tcPr>
            <w:tcW w:w="76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-193675</wp:posOffset>
            </wp:positionV>
            <wp:extent cx="17145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 Expense</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has three stock-based incentive compensation plans, the Calhoun Vision, Inc. 2015 Equity Incentive Plan, the Calhoun Vision,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2006 Stock Plan, and the 2021 Equity Incentive Plan (collectively the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Plan</w:t>
      </w:r>
    </w:p>
    <w:p>
      <w:pPr>
        <w:spacing w:after="0" w:line="131" w:lineRule="exact"/>
        <w:rPr>
          <w:sz w:val="20"/>
          <w:szCs w:val="20"/>
          <w:color w:val="auto"/>
        </w:rPr>
      </w:pPr>
    </w:p>
    <w:p>
      <w:pPr>
        <w:ind w:right="160" w:firstLine="374"/>
        <w:spacing w:after="0" w:line="275" w:lineRule="auto"/>
        <w:rPr>
          <w:sz w:val="20"/>
          <w:szCs w:val="20"/>
          <w:color w:val="auto"/>
        </w:rPr>
      </w:pPr>
      <w:r>
        <w:rPr>
          <w:rFonts w:ascii="Arial" w:cs="Arial" w:eastAsia="Arial" w:hAnsi="Arial"/>
          <w:sz w:val="18"/>
          <w:szCs w:val="18"/>
          <w:color w:val="auto"/>
        </w:rPr>
        <w:t>The Company’s 2006 Stock Plan (the “2006 Plan”) was originally adopted by the board of directors and approved by the Company’s stockholders in 2006. The Company’s 2006 Plan was terminated in 2015 in connection with the adoption of the Company’s 2015 Plan and as a result no new awards may be issued under the 2006 Plan. However, the 2006 Plan will continue to govern the terms and conditions of the outstanding awards previously granted under the 2006 Plan.</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31" w:lineRule="exact"/>
        <w:rPr>
          <w:sz w:val="20"/>
          <w:szCs w:val="20"/>
          <w:color w:val="auto"/>
        </w:rPr>
      </w:pPr>
    </w:p>
    <w:p>
      <w:pPr>
        <w:ind w:right="320" w:firstLine="374"/>
        <w:spacing w:after="0" w:line="329" w:lineRule="auto"/>
        <w:rPr>
          <w:sz w:val="20"/>
          <w:szCs w:val="20"/>
          <w:color w:val="auto"/>
        </w:rPr>
      </w:pPr>
      <w:r>
        <w:rPr>
          <w:rFonts w:ascii="Arial" w:cs="Arial" w:eastAsia="Arial" w:hAnsi="Arial"/>
          <w:sz w:val="16"/>
          <w:szCs w:val="16"/>
          <w:color w:val="auto"/>
        </w:rPr>
        <w:t>The Company’s 2015 Equity Incentive Plan (the “2015 Plan”) was originally adopted by the Company’s board of directors and approved by the Company’s stockholders in 2015. The 2015 Plan was most recently amended in March 2021. In July 2021, upon completion of the Company's IPO, the 2015 Plan terminated immediately prior to effectiveness of the 2021 Equity Incentive Plan with respect to the grant of future awards.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31" w:lineRule="exact"/>
        <w:rPr>
          <w:sz w:val="20"/>
          <w:szCs w:val="20"/>
          <w:color w:val="auto"/>
        </w:rPr>
      </w:pPr>
    </w:p>
    <w:p>
      <w:pPr>
        <w:ind w:right="80" w:firstLine="374"/>
        <w:spacing w:after="0" w:line="308" w:lineRule="auto"/>
        <w:rPr>
          <w:sz w:val="20"/>
          <w:szCs w:val="20"/>
          <w:color w:val="auto"/>
        </w:rPr>
      </w:pPr>
      <w:r>
        <w:rPr>
          <w:rFonts w:ascii="Arial" w:cs="Arial" w:eastAsia="Arial" w:hAnsi="Arial"/>
          <w:sz w:val="16"/>
          <w:szCs w:val="16"/>
          <w:color w:val="auto"/>
        </w:rPr>
        <w:t>On July 28, 2021, the Company’s Board of Directors and stockholders adopted and approved the Company’s 2021 Equity Incentive Plan (the “2021 Plan”). The 2021 Plan provides for the grant of incentive stock options to employees and any subsidiary corporations’ employees, and for the grant of nonstatutory stock options, stock appreciation rights, restricted stock, restricted stock units, or (“RSUs”), and performance awards to employees, directors, and consultants and subsidiary corporations’ employees and consultants. The number of shares of the Company’s common stock available for issuance under the 2021 Plan is equal to 2,420,135 shares of common stock plus any shares subject to awards granted under the 2015 Plan and the 2006 Plan that, after the effectiveness of the 2021 Plan,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from the 2015 Plan and 2006 Plan is equal to 4,569,530 shares of common stock.</w:t>
      </w:r>
    </w:p>
    <w:p>
      <w:pPr>
        <w:spacing w:after="0" w:line="82" w:lineRule="exact"/>
        <w:rPr>
          <w:sz w:val="20"/>
          <w:szCs w:val="20"/>
          <w:color w:val="auto"/>
        </w:rPr>
      </w:pPr>
    </w:p>
    <w:p>
      <w:pPr>
        <w:ind w:firstLine="374"/>
        <w:spacing w:after="0" w:line="272" w:lineRule="auto"/>
        <w:rPr>
          <w:sz w:val="20"/>
          <w:szCs w:val="20"/>
          <w:color w:val="auto"/>
        </w:rPr>
      </w:pPr>
      <w:r>
        <w:rPr>
          <w:rFonts w:ascii="Arial" w:cs="Arial" w:eastAsia="Arial" w:hAnsi="Arial"/>
          <w:sz w:val="18"/>
          <w:szCs w:val="18"/>
          <w:color w:val="auto"/>
        </w:rPr>
        <w:t>The number of common shares reserved for issuance under the 2021 Plan will be increased automatically on the first day of each fiscal year beginning with the 2022 fiscal year and ending on the ten year anniversary of the date our board of directors approved the 2021 Plan, by a number equal to the least of: (i) 7,260,406 shares of our common stock; (ii) 4% of the outstanding shares of our common stock on the last day of our immediately preceding fiscal year; or (iii) such lesser number of shares of our common stock as the administrator may determine. The 2021 Plan is administered by the Company’s Board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31" w:lineRule="exact"/>
        <w:rPr>
          <w:sz w:val="20"/>
          <w:szCs w:val="20"/>
          <w:color w:val="auto"/>
        </w:rPr>
      </w:pPr>
    </w:p>
    <w:p>
      <w:pPr>
        <w:ind w:right="80" w:firstLine="374"/>
        <w:spacing w:after="0" w:line="279" w:lineRule="auto"/>
        <w:rPr>
          <w:sz w:val="20"/>
          <w:szCs w:val="20"/>
          <w:color w:val="auto"/>
        </w:rPr>
      </w:pPr>
      <w:r>
        <w:rPr>
          <w:rFonts w:ascii="Arial" w:cs="Arial" w:eastAsia="Arial" w:hAnsi="Arial"/>
          <w:sz w:val="18"/>
          <w:szCs w:val="18"/>
          <w:color w:val="auto"/>
        </w:rPr>
        <w:t>On July 28, 2021, the Company’s Board of Directors and stockholders adopted and approved the Company’s 2021 Employee Stock Purchase Plan (“2021 ESPP”). The number of shares of the Company’s common stock available for issuance under the 2021 ESPP is equal to 484,027 shares of common stock.</w:t>
      </w:r>
    </w:p>
    <w:p>
      <w:pPr>
        <w:spacing w:after="0" w:line="115" w:lineRule="exact"/>
        <w:rPr>
          <w:sz w:val="20"/>
          <w:szCs w:val="20"/>
          <w:color w:val="auto"/>
        </w:rPr>
      </w:pPr>
    </w:p>
    <w:p>
      <w:pPr>
        <w:ind w:right="100" w:firstLine="374"/>
        <w:spacing w:after="0" w:line="275" w:lineRule="auto"/>
        <w:rPr>
          <w:sz w:val="20"/>
          <w:szCs w:val="20"/>
          <w:color w:val="auto"/>
        </w:rPr>
      </w:pPr>
      <w:r>
        <w:rPr>
          <w:rFonts w:ascii="Arial" w:cs="Arial" w:eastAsia="Arial" w:hAnsi="Arial"/>
          <w:sz w:val="18"/>
          <w:szCs w:val="18"/>
          <w:color w:val="auto"/>
        </w:rPr>
        <w:t>The 2021 ESPP provides eligible employees of the Company and its subsidiaries with the opportunity to purchase shares of the Company’s Common Stock at a purchase price equal to 85% of the common stock’s fair market value on the first trading day or last trading day of each purchase period, whichever is lower. The 2021 ESPP generally provides for two six-month purchase periods every twelve months: May 1 through October 31 and November 1 through April 30. The initial purchase period began on November 1, 2021.</w:t>
      </w:r>
    </w:p>
    <w:p>
      <w:pPr>
        <w:spacing w:after="0" w:line="104" w:lineRule="exact"/>
        <w:rPr>
          <w:sz w:val="20"/>
          <w:szCs w:val="20"/>
          <w:color w:val="auto"/>
        </w:rPr>
      </w:pPr>
    </w:p>
    <w:p>
      <w:pPr>
        <w:ind w:right="180" w:firstLine="374"/>
        <w:spacing w:after="0" w:line="275" w:lineRule="auto"/>
        <w:rPr>
          <w:sz w:val="20"/>
          <w:szCs w:val="20"/>
          <w:color w:val="auto"/>
        </w:rPr>
      </w:pPr>
      <w:r>
        <w:rPr>
          <w:rFonts w:ascii="Arial" w:cs="Arial" w:eastAsia="Arial" w:hAnsi="Arial"/>
          <w:sz w:val="18"/>
          <w:szCs w:val="18"/>
          <w:color w:val="auto"/>
        </w:rPr>
        <w:t>The number of common shares reserved for issuance under the 2021 ESPP plan will be increased automatically on the first day of each fiscal year beginning with our 2022 fiscal year, by a number equal to the least of: (i) 1,452,081 shares; (ii) 1% of the outstanding shares of our common stock on the last day of our immediately preceding fiscal year; or (iii) such other amount as the administrator may determine. The 2021 ESPP is administered by the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89" w:lineRule="exact"/>
        <w:rPr>
          <w:sz w:val="20"/>
          <w:szCs w:val="20"/>
          <w:color w:val="auto"/>
        </w:rPr>
      </w:pPr>
    </w:p>
    <w:p>
      <w:pPr>
        <w:ind w:right="160" w:firstLine="509"/>
        <w:spacing w:after="0" w:line="303" w:lineRule="auto"/>
        <w:rPr>
          <w:sz w:val="20"/>
          <w:szCs w:val="20"/>
          <w:color w:val="auto"/>
        </w:rPr>
      </w:pPr>
      <w:r>
        <w:rPr>
          <w:rFonts w:ascii="Arial" w:cs="Arial" w:eastAsia="Arial" w:hAnsi="Arial"/>
          <w:sz w:val="17"/>
          <w:szCs w:val="17"/>
          <w:color w:val="auto"/>
        </w:rPr>
        <w:t>The purpose of the 2021 Plan and 2021 ESPP plan is to provide a means by which eligible recipients of stock awards may be given an opportunity to benefit from increases in the value of the common stock in order to retain or procure the services of the employees, members of the Board and consultants and provide them with an incentive to promote the Company’s success and accomplish corporate goals.</w:t>
      </w:r>
    </w:p>
    <w:p>
      <w:pPr>
        <w:spacing w:after="0" w:line="83" w:lineRule="exact"/>
        <w:rPr>
          <w:sz w:val="20"/>
          <w:szCs w:val="20"/>
          <w:color w:val="auto"/>
        </w:rPr>
      </w:pPr>
    </w:p>
    <w:p>
      <w:pPr>
        <w:jc w:val="both"/>
        <w:ind w:right="60" w:firstLine="374"/>
        <w:spacing w:after="0" w:line="329" w:lineRule="auto"/>
        <w:rPr>
          <w:sz w:val="20"/>
          <w:szCs w:val="20"/>
          <w:color w:val="auto"/>
        </w:rPr>
      </w:pPr>
      <w:r>
        <w:rPr>
          <w:rFonts w:ascii="Arial" w:cs="Arial" w:eastAsia="Arial" w:hAnsi="Arial"/>
          <w:sz w:val="16"/>
          <w:szCs w:val="16"/>
          <w:color w:val="auto"/>
        </w:rPr>
        <w:t>Stock option awards are generally granted with an exercise price of no less than 100% of estimated fair market value on the date of grant. Time based awards generally vest over four years as follows: one fourth of the total number of shares vest and become exercisable on the one-year anniversary; 1/48th of the total number of shares subject to the option vest and become exercisable on each monthly anniversary thereafter for the remaining three years.</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24" w:name="page25"/>
    <w:bookmarkEnd w:id="24"/>
    <w:p>
      <w:pPr>
        <w:ind w:right="40" w:firstLine="374"/>
        <w:spacing w:after="0" w:line="309" w:lineRule="auto"/>
        <w:rPr>
          <w:sz w:val="20"/>
          <w:szCs w:val="20"/>
          <w:color w:val="auto"/>
        </w:rPr>
      </w:pPr>
      <w:r>
        <w:rPr>
          <w:rFonts w:ascii="Arial" w:cs="Arial" w:eastAsia="Arial" w:hAnsi="Arial"/>
          <w:sz w:val="16"/>
          <w:szCs w:val="16"/>
          <w:color w:val="auto"/>
        </w:rPr>
        <w:t>Prior to the Company's IPO in July 2021, the Company’s board of directors, with input from management, considered numerous objective and subjective factors to determine the fair value of common stock. The factors included, but were not limited to: (i) third-party valuations of the Company’s common stock; (ii) the Company’s stage of development; (iii) the status of research and development efforts; (iv) the rights, preferences and privileges of the Company’s convertible preferred stock relative to those of the Company’s common stock; (v) the Company’s operating results and financial condition, including the Company’s levels of available capital resources; (vi) equity market conditions affecting comparable public companies; (vii) general U.S. market conditions and (viii) the lack of marketability of the Company’s common stock. After completion of the Company’s IPO in July 2021, the fair value of common stock is based on the closing price of the Company’s common stock as reported on the Nasdaq Global Select Market.</w:t>
      </w:r>
    </w:p>
    <w:p>
      <w:pPr>
        <w:spacing w:after="0" w:line="97" w:lineRule="exact"/>
        <w:rPr>
          <w:sz w:val="20"/>
          <w:szCs w:val="20"/>
          <w:color w:val="auto"/>
        </w:rPr>
      </w:pPr>
    </w:p>
    <w:p>
      <w:pPr>
        <w:ind w:right="460" w:firstLine="374"/>
        <w:spacing w:after="0" w:line="293" w:lineRule="auto"/>
        <w:rPr>
          <w:sz w:val="20"/>
          <w:szCs w:val="20"/>
          <w:color w:val="auto"/>
        </w:rPr>
      </w:pPr>
      <w:r>
        <w:rPr>
          <w:rFonts w:ascii="Arial" w:cs="Arial" w:eastAsia="Arial" w:hAnsi="Arial"/>
          <w:sz w:val="18"/>
          <w:szCs w:val="18"/>
          <w:color w:val="auto"/>
        </w:rPr>
        <w:t>In determining the fair value of the stock options granted, the Company uses the Black-Scholes option-pricing model and assumptions discussed below. Each of these inputs is subjective and generally requires significant judgment.</w:t>
      </w:r>
    </w:p>
    <w:p>
      <w:pPr>
        <w:spacing w:after="0" w:line="170" w:lineRule="exact"/>
        <w:rPr>
          <w:sz w:val="20"/>
          <w:szCs w:val="20"/>
          <w:color w:val="auto"/>
        </w:rPr>
      </w:pPr>
    </w:p>
    <w:p>
      <w:pPr>
        <w:ind w:left="660" w:right="140"/>
        <w:spacing w:after="0" w:line="295"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Company’s expected term represents the period that the Company’s stock-based awards are expected to be outstanding.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used the simplified method (based on the mid-point between the vesting date and the end of the contractual term) to determine the expected term.</w:t>
      </w:r>
    </w:p>
    <w:p>
      <w:pPr>
        <w:spacing w:after="0" w:line="209" w:lineRule="exact"/>
        <w:rPr>
          <w:sz w:val="20"/>
          <w:szCs w:val="20"/>
          <w:color w:val="auto"/>
        </w:rPr>
      </w:pPr>
    </w:p>
    <w:p>
      <w:pPr>
        <w:jc w:val="both"/>
        <w:ind w:left="660" w:right="60"/>
        <w:spacing w:after="0" w:line="316"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—Since the Company was privately held and did not have any trading history for its common stock, the expected volatility was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based on the average historical volatilities for comparable publicly traded medical device companies over a period equal to the expected term of the stock option grants. The comparable companies were chosen based on their similar size, stage in the life cycle and area of specialty.</w:t>
      </w:r>
    </w:p>
    <w:p>
      <w:pPr>
        <w:spacing w:after="0" w:line="2" w:lineRule="exact"/>
        <w:rPr>
          <w:sz w:val="20"/>
          <w:szCs w:val="20"/>
          <w:color w:val="auto"/>
        </w:rPr>
      </w:pPr>
    </w:p>
    <w:p>
      <w:pPr>
        <w:ind w:left="660" w:right="160"/>
        <w:spacing w:after="0" w:line="308" w:lineRule="auto"/>
        <w:rPr>
          <w:sz w:val="20"/>
          <w:szCs w:val="20"/>
          <w:color w:val="auto"/>
        </w:rPr>
      </w:pPr>
      <w:r>
        <w:rPr>
          <w:rFonts w:ascii="Arial" w:cs="Arial" w:eastAsia="Arial" w:hAnsi="Arial"/>
          <w:sz w:val="18"/>
          <w:szCs w:val="18"/>
          <w:color w:val="auto"/>
        </w:rPr>
        <w:t>The Company will continue to apply this process until a sufficient amount of historical information regarding the volatility of its own stock price becomes available.</w:t>
      </w:r>
    </w:p>
    <w:p>
      <w:pPr>
        <w:spacing w:after="0" w:line="171" w:lineRule="exact"/>
        <w:rPr>
          <w:sz w:val="20"/>
          <w:szCs w:val="20"/>
          <w:color w:val="auto"/>
        </w:rPr>
      </w:pPr>
    </w:p>
    <w:p>
      <w:pPr>
        <w:ind w:left="640" w:right="600"/>
        <w:spacing w:after="0" w:line="293"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170" w:lineRule="exact"/>
        <w:rPr>
          <w:sz w:val="20"/>
          <w:szCs w:val="20"/>
          <w:color w:val="auto"/>
        </w:rPr>
      </w:pPr>
    </w:p>
    <w:p>
      <w:pPr>
        <w:ind w:left="640" w:right="120"/>
        <w:spacing w:after="0" w:line="293"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never paid dividends on its common stock and has no plans to pay dividends on its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used an expected dividend yield of zero.</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stock option activities for the nine months ended September 30, 2021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45"/>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45"/>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Avg</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45"/>
              <w:spacing w:after="0"/>
              <w:rPr>
                <w:sz w:val="20"/>
                <w:szCs w:val="20"/>
                <w:color w:val="auto"/>
              </w:rPr>
            </w:pPr>
            <w:r>
              <w:rPr>
                <w:rFonts w:ascii="Arial" w:cs="Arial" w:eastAsia="Arial" w:hAnsi="Arial"/>
                <w:sz w:val="14"/>
                <w:szCs w:val="14"/>
                <w:b w:val="1"/>
                <w:bCs w:val="1"/>
                <w:color w:val="auto"/>
              </w:rPr>
              <w:t>Grant</w:t>
            </w: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ind w:right="143"/>
              <w:spacing w:after="0"/>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65"/>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Number of Options</w:t>
            </w:r>
          </w:p>
        </w:tc>
        <w:tc>
          <w:tcPr>
            <w:tcW w:w="240" w:type="dxa"/>
            <w:vAlign w:val="bottom"/>
          </w:tcPr>
          <w:p>
            <w:pPr>
              <w:spacing w:after="0"/>
              <w:rPr>
                <w:sz w:val="16"/>
                <w:szCs w:val="16"/>
                <w:color w:val="auto"/>
              </w:rPr>
            </w:pPr>
          </w:p>
        </w:tc>
        <w:tc>
          <w:tcPr>
            <w:tcW w:w="1100" w:type="dxa"/>
            <w:vAlign w:val="bottom"/>
          </w:tcPr>
          <w:p>
            <w:pPr>
              <w:jc w:val="center"/>
              <w:ind w:right="143"/>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65"/>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0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Options outstanding as of</w:t>
            </w:r>
          </w:p>
        </w:tc>
        <w:tc>
          <w:tcPr>
            <w:tcW w:w="13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0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December 31, 2020</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4,201,935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Arial" w:cs="Arial" w:eastAsia="Arial" w:hAnsi="Arial"/>
                <w:sz w:val="16"/>
                <w:szCs w:val="16"/>
                <w:color w:val="auto"/>
              </w:rPr>
              <w:t>Issued</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Granted</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1,652,751</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15.51</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8.94</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(321,812 )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4.28</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2.12</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Forfeited</w:t>
            </w: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(61,053 )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19.47</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080" w:type="dxa"/>
            <w:vAlign w:val="bottom"/>
          </w:tcPr>
          <w:p>
            <w:pPr>
              <w:ind w:left="20"/>
              <w:spacing w:after="0"/>
              <w:rPr>
                <w:sz w:val="20"/>
                <w:szCs w:val="20"/>
                <w:color w:val="auto"/>
              </w:rPr>
            </w:pPr>
            <w:r>
              <w:rPr>
                <w:rFonts w:ascii="Arial" w:cs="Arial" w:eastAsia="Arial" w:hAnsi="Arial"/>
                <w:sz w:val="16"/>
                <w:szCs w:val="16"/>
                <w:color w:val="auto"/>
              </w:rPr>
              <w:t>Expired</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(17,709 )</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Options outstanding as of</w:t>
            </w:r>
          </w:p>
        </w:tc>
        <w:tc>
          <w:tcPr>
            <w:tcW w:w="13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5,454,112</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September 30, 2021</w:t>
            </w:r>
          </w:p>
        </w:tc>
        <w:tc>
          <w:tcPr>
            <w:tcW w:w="13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11.59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6.97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color w:val="auto"/>
              </w:rPr>
              <w:t>Exercisable as of September 30, 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3,174,863</w:t>
            </w:r>
          </w:p>
        </w:tc>
        <w:tc>
          <w:tcPr>
            <w:tcW w:w="26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5.35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-196850</wp:posOffset>
            </wp:positionV>
            <wp:extent cx="17145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-179705</wp:posOffset>
            </wp:positionV>
            <wp:extent cx="1714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9000" w:type="dxa"/>
            <w:vAlign w:val="bottom"/>
            <w:gridSpan w:val="3"/>
          </w:tcPr>
          <w:p>
            <w:pPr>
              <w:ind w:left="380"/>
              <w:spacing w:after="0"/>
              <w:rPr>
                <w:sz w:val="20"/>
                <w:szCs w:val="20"/>
                <w:color w:val="auto"/>
              </w:rPr>
            </w:pPr>
            <w:r>
              <w:rPr>
                <w:rFonts w:ascii="Arial" w:cs="Arial" w:eastAsia="Arial" w:hAnsi="Arial"/>
                <w:sz w:val="18"/>
                <w:szCs w:val="18"/>
                <w:color w:val="auto"/>
                <w:w w:val="92"/>
              </w:rPr>
              <w:t>A summary of non-vested restricted stock unit activities for the nine months ended September 30, 2021 is as follows:</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7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jc w:val="center"/>
              <w:ind w:right="213"/>
              <w:spacing w:after="0"/>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24"/>
                <w:szCs w:val="24"/>
                <w:color w:val="auto"/>
              </w:rPr>
            </w:pPr>
          </w:p>
        </w:tc>
      </w:tr>
      <w:tr>
        <w:trPr>
          <w:trHeight w:val="256"/>
        </w:trPr>
        <w:tc>
          <w:tcPr>
            <w:tcW w:w="7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tcPr>
          <w:p>
            <w:pPr>
              <w:jc w:val="center"/>
              <w:ind w:right="213"/>
              <w:spacing w:after="0"/>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22"/>
                <w:szCs w:val="22"/>
                <w:color w:val="auto"/>
              </w:rPr>
            </w:pPr>
          </w:p>
        </w:tc>
      </w:tr>
      <w:tr>
        <w:trPr>
          <w:trHeight w:val="257"/>
        </w:trPr>
        <w:tc>
          <w:tcPr>
            <w:tcW w:w="7100" w:type="dxa"/>
            <w:vAlign w:val="bottom"/>
          </w:tcPr>
          <w:p>
            <w:pPr>
              <w:spacing w:after="0"/>
              <w:rPr>
                <w:sz w:val="22"/>
                <w:szCs w:val="22"/>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tcPr>
          <w:p>
            <w:pPr>
              <w:jc w:val="center"/>
              <w:ind w:right="213"/>
              <w:spacing w:after="0"/>
              <w:rPr>
                <w:sz w:val="20"/>
                <w:szCs w:val="20"/>
                <w:color w:val="auto"/>
              </w:rPr>
            </w:pPr>
            <w:r>
              <w:rPr>
                <w:rFonts w:ascii="Arial" w:cs="Arial" w:eastAsia="Arial" w:hAnsi="Arial"/>
                <w:sz w:val="18"/>
                <w:szCs w:val="18"/>
                <w:b w:val="1"/>
                <w:bCs w:val="1"/>
                <w:color w:val="auto"/>
                <w:w w:val="95"/>
              </w:rPr>
              <w:t>Grant Date</w:t>
            </w:r>
          </w:p>
        </w:tc>
        <w:tc>
          <w:tcPr>
            <w:tcW w:w="80" w:type="dxa"/>
            <w:vAlign w:val="bottom"/>
          </w:tcPr>
          <w:p>
            <w:pPr>
              <w:spacing w:after="0"/>
              <w:rPr>
                <w:sz w:val="22"/>
                <w:szCs w:val="22"/>
                <w:color w:val="auto"/>
              </w:rPr>
            </w:pPr>
          </w:p>
        </w:tc>
      </w:tr>
      <w:tr>
        <w:trPr>
          <w:trHeight w:val="263"/>
        </w:trPr>
        <w:tc>
          <w:tcPr>
            <w:tcW w:w="7100" w:type="dxa"/>
            <w:vAlign w:val="bottom"/>
          </w:tcPr>
          <w:p>
            <w:pPr>
              <w:spacing w:after="0"/>
              <w:rPr>
                <w:sz w:val="22"/>
                <w:szCs w:val="22"/>
                <w:color w:val="auto"/>
              </w:rPr>
            </w:pPr>
          </w:p>
        </w:tc>
        <w:tc>
          <w:tcPr>
            <w:tcW w:w="128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86"/>
              </w:rPr>
              <w:t>Shares</w:t>
            </w:r>
          </w:p>
        </w:tc>
        <w:tc>
          <w:tcPr>
            <w:tcW w:w="62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213"/>
              <w:spacing w:after="0"/>
              <w:rPr>
                <w:sz w:val="20"/>
                <w:szCs w:val="20"/>
                <w:color w:val="auto"/>
              </w:rPr>
            </w:pPr>
            <w:r>
              <w:rPr>
                <w:rFonts w:ascii="Arial" w:cs="Arial" w:eastAsia="Arial" w:hAnsi="Arial"/>
                <w:sz w:val="18"/>
                <w:szCs w:val="18"/>
                <w:b w:val="1"/>
                <w:bCs w:val="1"/>
                <w:color w:val="auto"/>
                <w:w w:val="92"/>
              </w:rPr>
              <w:t>Fair Value</w:t>
            </w:r>
          </w:p>
        </w:tc>
        <w:tc>
          <w:tcPr>
            <w:tcW w:w="80" w:type="dxa"/>
            <w:vAlign w:val="bottom"/>
          </w:tcPr>
          <w:p>
            <w:pPr>
              <w:spacing w:after="0"/>
              <w:rPr>
                <w:sz w:val="22"/>
                <w:szCs w:val="22"/>
                <w:color w:val="auto"/>
              </w:rPr>
            </w:pPr>
          </w:p>
        </w:tc>
      </w:tr>
      <w:tr>
        <w:trPr>
          <w:trHeight w:val="257"/>
        </w:trPr>
        <w:tc>
          <w:tcPr>
            <w:tcW w:w="8380" w:type="dxa"/>
            <w:vAlign w:val="bottom"/>
            <w:gridSpan w:val="2"/>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7"/>
        </w:trPr>
        <w:tc>
          <w:tcPr>
            <w:tcW w:w="83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Unvested at December 31, 2020</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20"/>
        </w:trPr>
        <w:tc>
          <w:tcPr>
            <w:tcW w:w="838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620" w:type="dxa"/>
            <w:vAlign w:val="bottom"/>
          </w:tcPr>
          <w:p>
            <w:pPr>
              <w:jc w:val="right"/>
              <w:spacing w:after="0"/>
              <w:rPr>
                <w:sz w:val="20"/>
                <w:szCs w:val="20"/>
                <w:color w:val="auto"/>
              </w:rPr>
            </w:pPr>
            <w:r>
              <w:rPr>
                <w:rFonts w:ascii="Arial" w:cs="Arial" w:eastAsia="Arial" w:hAnsi="Arial"/>
                <w:sz w:val="16"/>
                <w:szCs w:val="16"/>
                <w:color w:val="auto"/>
              </w:rPr>
              <w:t>657,729</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15.46</w:t>
            </w:r>
          </w:p>
        </w:tc>
        <w:tc>
          <w:tcPr>
            <w:tcW w:w="80" w:type="dxa"/>
            <w:vAlign w:val="bottom"/>
          </w:tcPr>
          <w:p>
            <w:pPr>
              <w:spacing w:after="0"/>
              <w:rPr>
                <w:sz w:val="19"/>
                <w:szCs w:val="19"/>
                <w:color w:val="auto"/>
              </w:rPr>
            </w:pPr>
          </w:p>
        </w:tc>
      </w:tr>
      <w:tr>
        <w:trPr>
          <w:trHeight w:val="266"/>
        </w:trPr>
        <w:tc>
          <w:tcPr>
            <w:tcW w:w="83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5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r>
      <w:tr>
        <w:trPr>
          <w:trHeight w:val="253"/>
        </w:trPr>
        <w:tc>
          <w:tcPr>
            <w:tcW w:w="710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6"/>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Unvested at September 30, 2021</w:t>
            </w:r>
          </w:p>
        </w:tc>
        <w:tc>
          <w:tcPr>
            <w:tcW w:w="1280" w:type="dxa"/>
            <w:vAlign w:val="bottom"/>
            <w:tcBorders>
              <w:bottom w:val="single" w:sz="8" w:color="auto"/>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657,729</w:t>
            </w:r>
          </w:p>
        </w:tc>
        <w:tc>
          <w:tcPr>
            <w:tcW w:w="58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15.46</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-25400</wp:posOffset>
            </wp:positionV>
            <wp:extent cx="17970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1797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87" w:lineRule="exact"/>
        <w:rPr>
          <w:sz w:val="20"/>
          <w:szCs w:val="20"/>
          <w:color w:val="auto"/>
        </w:rPr>
      </w:pPr>
    </w:p>
    <w:p>
      <w:pPr>
        <w:ind w:right="60" w:firstLine="374"/>
        <w:spacing w:after="0" w:line="275" w:lineRule="auto"/>
        <w:rPr>
          <w:sz w:val="20"/>
          <w:szCs w:val="20"/>
          <w:color w:val="auto"/>
        </w:rPr>
      </w:pPr>
      <w:r>
        <w:rPr>
          <w:rFonts w:ascii="Arial" w:cs="Arial" w:eastAsia="Arial" w:hAnsi="Arial"/>
          <w:sz w:val="18"/>
          <w:szCs w:val="18"/>
          <w:color w:val="auto"/>
        </w:rPr>
        <w:t>As of September 30, 2021 and December 31, 2020 the intrinsic value of options vested was $17.9 million and $26.2 million, respectively, and of all options outstanding was $18.0 million and $26.4 million, respectively. During the nine months ended September 30, 2021 and 2020, the total cash received from the exercise of stock options was $1.4 million and $1.0 million, respectively. The total fair value less strike price of these options was $3.6 million and $2.7 million, respectively.</w:t>
      </w:r>
    </w:p>
    <w:p>
      <w:pPr>
        <w:spacing w:after="0" w:line="104" w:lineRule="exact"/>
        <w:rPr>
          <w:sz w:val="20"/>
          <w:szCs w:val="20"/>
          <w:color w:val="auto"/>
        </w:rPr>
      </w:pPr>
    </w:p>
    <w:p>
      <w:pPr>
        <w:ind w:right="160" w:firstLine="374"/>
        <w:spacing w:after="0" w:line="293" w:lineRule="auto"/>
        <w:rPr>
          <w:sz w:val="20"/>
          <w:szCs w:val="20"/>
          <w:color w:val="auto"/>
        </w:rPr>
      </w:pPr>
      <w:r>
        <w:rPr>
          <w:rFonts w:ascii="Arial" w:cs="Arial" w:eastAsia="Arial" w:hAnsi="Arial"/>
          <w:sz w:val="18"/>
          <w:szCs w:val="18"/>
          <w:color w:val="auto"/>
        </w:rPr>
        <w:t>Stock-based compensation expense was classified in the accompanying condensed consolidated statements of operations and comprehensive income (loss)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w w:val="99"/>
              </w:rPr>
              <w:t>Nine Months Ended September 30,</w:t>
            </w:r>
          </w:p>
        </w:tc>
        <w:tc>
          <w:tcPr>
            <w:tcW w:w="100" w:type="dxa"/>
            <w:vAlign w:val="bottom"/>
          </w:tcPr>
          <w:p>
            <w:pPr>
              <w:spacing w:after="0"/>
              <w:rPr>
                <w:sz w:val="16"/>
                <w:szCs w:val="16"/>
                <w:color w:val="auto"/>
              </w:rPr>
            </w:pPr>
          </w:p>
        </w:tc>
      </w:tr>
      <w:tr>
        <w:trPr>
          <w:trHeight w:val="196"/>
        </w:trPr>
        <w:tc>
          <w:tcPr>
            <w:tcW w:w="4320" w:type="dxa"/>
            <w:vAlign w:val="bottom"/>
          </w:tcPr>
          <w:p>
            <w:pPr>
              <w:spacing w:after="0"/>
              <w:rPr>
                <w:sz w:val="17"/>
                <w:szCs w:val="17"/>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300" w:type="dxa"/>
            <w:vAlign w:val="bottom"/>
            <w:shd w:val="clear" w:color="auto" w:fill="CFF0FC"/>
          </w:tcPr>
          <w:p>
            <w:pPr>
              <w:jc w:val="right"/>
              <w:ind w:right="111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10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FF0FC"/>
          </w:tcPr>
          <w:p>
            <w:pPr>
              <w:spacing w:after="0"/>
              <w:rPr>
                <w:sz w:val="22"/>
                <w:szCs w:val="22"/>
                <w:color w:val="auto"/>
              </w:rPr>
            </w:pPr>
          </w:p>
        </w:tc>
      </w:tr>
      <w:tr>
        <w:trPr>
          <w:trHeight w:val="250"/>
        </w:trPr>
        <w:tc>
          <w:tcPr>
            <w:tcW w:w="43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1,168</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2,317</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r>
      <w:tr>
        <w:trPr>
          <w:trHeight w:val="263"/>
        </w:trPr>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130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4"/>
        </w:trPr>
        <w:tc>
          <w:tcPr>
            <w:tcW w:w="4320" w:type="dxa"/>
            <w:vAlign w:val="bottom"/>
          </w:tcPr>
          <w:p>
            <w:pPr>
              <w:spacing w:after="0"/>
              <w:rPr>
                <w:sz w:val="21"/>
                <w:szCs w:val="21"/>
                <w:color w:val="auto"/>
              </w:rPr>
            </w:pPr>
          </w:p>
        </w:tc>
        <w:tc>
          <w:tcPr>
            <w:tcW w:w="1300" w:type="dxa"/>
            <w:vAlign w:val="bottom"/>
          </w:tcPr>
          <w:p>
            <w:pPr>
              <w:jc w:val="right"/>
              <w:ind w:right="111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2,013</w:t>
            </w:r>
          </w:p>
        </w:tc>
        <w:tc>
          <w:tcPr>
            <w:tcW w:w="110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1,242</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4,658</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21"/>
                <w:szCs w:val="21"/>
                <w:color w:val="auto"/>
              </w:rPr>
            </w:pPr>
          </w:p>
        </w:tc>
      </w:tr>
      <w:tr>
        <w:trPr>
          <w:trHeight w:val="20"/>
        </w:trPr>
        <w:tc>
          <w:tcPr>
            <w:tcW w:w="4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-193675</wp:posOffset>
            </wp:positionV>
            <wp:extent cx="17145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-193675</wp:posOffset>
            </wp:positionV>
            <wp:extent cx="15430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-193675</wp:posOffset>
            </wp:positionV>
            <wp:extent cx="15430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22" w:lineRule="exact"/>
        <w:rPr>
          <w:sz w:val="20"/>
          <w:szCs w:val="20"/>
          <w:color w:val="auto"/>
        </w:rPr>
      </w:pPr>
    </w:p>
    <w:p>
      <w:pPr>
        <w:ind w:right="220" w:firstLine="374"/>
        <w:spacing w:after="0" w:line="303" w:lineRule="auto"/>
        <w:rPr>
          <w:sz w:val="20"/>
          <w:szCs w:val="20"/>
          <w:color w:val="auto"/>
        </w:rPr>
      </w:pPr>
      <w:r>
        <w:rPr>
          <w:rFonts w:ascii="Arial" w:cs="Arial" w:eastAsia="Arial" w:hAnsi="Arial"/>
          <w:sz w:val="17"/>
          <w:szCs w:val="17"/>
          <w:color w:val="auto"/>
        </w:rPr>
        <w:t>As of September 30, 2021 and December 31, 2020, there were 2,270,175 and 1,177,165 unvested options, respectively. Total unrecognized expense related to unvested stock options was approximately $19.7 million and $9.8 million as of September 30, 2021 and December 31, 2020, respectively. Amounts are expected to be recognized over a weighted average period of approximately 3.1 and 2.9 years, respectively.</w:t>
      </w:r>
    </w:p>
    <w:p>
      <w:pPr>
        <w:spacing w:after="0" w:line="97" w:lineRule="exact"/>
        <w:rPr>
          <w:sz w:val="20"/>
          <w:szCs w:val="20"/>
          <w:color w:val="auto"/>
        </w:rPr>
      </w:pPr>
    </w:p>
    <w:p>
      <w:pPr>
        <w:ind w:right="20" w:firstLine="374"/>
        <w:spacing w:after="0" w:line="279" w:lineRule="auto"/>
        <w:rPr>
          <w:sz w:val="20"/>
          <w:szCs w:val="20"/>
          <w:color w:val="auto"/>
        </w:rPr>
      </w:pPr>
      <w:r>
        <w:rPr>
          <w:rFonts w:ascii="Arial" w:cs="Arial" w:eastAsia="Arial" w:hAnsi="Arial"/>
          <w:sz w:val="18"/>
          <w:szCs w:val="18"/>
          <w:color w:val="auto"/>
        </w:rPr>
        <w:t>As of September 30, 2021, there was $9.8 million of total unrecognized compensation costs adjusted for any estimated forfeitures, related to non-vested restricted stock units granted under the 2021 Plan. The unrecognized compensation cost is expected to be recognized over a weighted average period of 3.7 years.</w:t>
      </w:r>
    </w:p>
    <w:p>
      <w:pPr>
        <w:spacing w:after="0" w:line="102" w:lineRule="exact"/>
        <w:rPr>
          <w:sz w:val="20"/>
          <w:szCs w:val="20"/>
          <w:color w:val="auto"/>
        </w:rPr>
      </w:pPr>
    </w:p>
    <w:p>
      <w:pPr>
        <w:ind w:right="80" w:firstLine="374"/>
        <w:spacing w:after="0" w:line="293" w:lineRule="auto"/>
        <w:rPr>
          <w:sz w:val="20"/>
          <w:szCs w:val="20"/>
          <w:color w:val="auto"/>
        </w:rPr>
      </w:pPr>
      <w:r>
        <w:rPr>
          <w:rFonts w:ascii="Arial" w:cs="Arial" w:eastAsia="Arial" w:hAnsi="Arial"/>
          <w:sz w:val="18"/>
          <w:szCs w:val="18"/>
          <w:color w:val="auto"/>
        </w:rPr>
        <w:t>The following table presents the range and weighted-average assumptions, used in the Black-Scholes option pricing model to determine the fair value of stock options: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3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09"/>
        </w:trPr>
        <w:tc>
          <w:tcPr>
            <w:tcW w:w="728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1759"/>
              <w:spacing w:after="0"/>
              <w:rPr>
                <w:sz w:val="20"/>
                <w:szCs w:val="20"/>
                <w:color w:val="auto"/>
              </w:rPr>
            </w:pPr>
            <w:r>
              <w:rPr>
                <w:rFonts w:ascii="Arial" w:cs="Arial" w:eastAsia="Arial" w:hAnsi="Arial"/>
                <w:sz w:val="14"/>
                <w:szCs w:val="14"/>
                <w:b w:val="1"/>
                <w:bCs w:val="1"/>
                <w:color w:val="auto"/>
              </w:rPr>
              <w:t>2021</w:t>
            </w:r>
          </w:p>
        </w:tc>
      </w:tr>
      <w:tr>
        <w:trPr>
          <w:trHeight w:val="196"/>
        </w:trPr>
        <w:tc>
          <w:tcPr>
            <w:tcW w:w="7280" w:type="dxa"/>
            <w:vAlign w:val="bottom"/>
          </w:tcPr>
          <w:p>
            <w:pPr>
              <w:spacing w:after="0"/>
              <w:rPr>
                <w:sz w:val="17"/>
                <w:szCs w:val="17"/>
                <w:color w:val="auto"/>
              </w:rPr>
            </w:pPr>
          </w:p>
        </w:tc>
        <w:tc>
          <w:tcPr>
            <w:tcW w:w="1740" w:type="dxa"/>
            <w:vAlign w:val="bottom"/>
            <w:tcBorders>
              <w:bottom w:val="single" w:sz="8" w:color="auto"/>
            </w:tcBorders>
          </w:tcPr>
          <w:p>
            <w:pPr>
              <w:jc w:val="center"/>
              <w:ind w:left="95"/>
              <w:spacing w:after="0"/>
              <w:rPr>
                <w:sz w:val="20"/>
                <w:szCs w:val="20"/>
                <w:color w:val="auto"/>
              </w:rPr>
            </w:pPr>
            <w:r>
              <w:rPr>
                <w:rFonts w:ascii="Arial" w:cs="Arial" w:eastAsia="Arial" w:hAnsi="Arial"/>
                <w:sz w:val="14"/>
                <w:szCs w:val="14"/>
                <w:b w:val="1"/>
                <w:bCs w:val="1"/>
                <w:color w:val="auto"/>
                <w:w w:val="93"/>
              </w:rPr>
              <w:t>Range</w:t>
            </w: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256"/>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740" w:type="dxa"/>
            <w:vAlign w:val="bottom"/>
            <w:shd w:val="clear" w:color="auto" w:fill="CFF0FC"/>
          </w:tcPr>
          <w:p>
            <w:pPr>
              <w:jc w:val="center"/>
              <w:ind w:left="95"/>
              <w:spacing w:after="0"/>
              <w:rPr>
                <w:sz w:val="20"/>
                <w:szCs w:val="20"/>
                <w:color w:val="auto"/>
              </w:rPr>
            </w:pPr>
            <w:r>
              <w:rPr>
                <w:rFonts w:ascii="Arial" w:cs="Arial" w:eastAsia="Arial" w:hAnsi="Arial"/>
                <w:sz w:val="18"/>
                <w:szCs w:val="18"/>
                <w:color w:val="auto"/>
                <w:w w:val="91"/>
              </w:rPr>
              <w:t>62.3% to 63.7%</w:t>
            </w:r>
          </w:p>
        </w:tc>
        <w:tc>
          <w:tcPr>
            <w:tcW w:w="2220" w:type="dxa"/>
            <w:vAlign w:val="bottom"/>
            <w:gridSpan w:val="3"/>
            <w:shd w:val="clear" w:color="auto" w:fill="CFF0FC"/>
          </w:tcPr>
          <w:p>
            <w:pPr>
              <w:jc w:val="center"/>
              <w:ind w:left="234"/>
              <w:spacing w:after="0"/>
              <w:rPr>
                <w:sz w:val="20"/>
                <w:szCs w:val="20"/>
                <w:color w:val="auto"/>
              </w:rPr>
            </w:pPr>
            <w:r>
              <w:rPr>
                <w:rFonts w:ascii="Arial" w:cs="Arial" w:eastAsia="Arial" w:hAnsi="Arial"/>
                <w:sz w:val="18"/>
                <w:szCs w:val="18"/>
                <w:color w:val="auto"/>
                <w:w w:val="90"/>
              </w:rPr>
              <w:t>63.3%</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40" w:type="dxa"/>
            <w:vAlign w:val="bottom"/>
          </w:tcPr>
          <w:p>
            <w:pPr>
              <w:jc w:val="center"/>
              <w:ind w:left="75"/>
              <w:spacing w:after="0"/>
              <w:rPr>
                <w:sz w:val="20"/>
                <w:szCs w:val="20"/>
                <w:color w:val="auto"/>
              </w:rPr>
            </w:pPr>
            <w:r>
              <w:rPr>
                <w:rFonts w:ascii="Arial" w:cs="Arial" w:eastAsia="Arial" w:hAnsi="Arial"/>
                <w:sz w:val="18"/>
                <w:szCs w:val="18"/>
                <w:color w:val="auto"/>
                <w:w w:val="91"/>
              </w:rPr>
              <w:t>0.6% to 1.6%</w:t>
            </w:r>
          </w:p>
        </w:tc>
        <w:tc>
          <w:tcPr>
            <w:tcW w:w="2220" w:type="dxa"/>
            <w:vAlign w:val="bottom"/>
            <w:gridSpan w:val="3"/>
          </w:tcPr>
          <w:p>
            <w:pPr>
              <w:jc w:val="center"/>
              <w:ind w:left="234"/>
              <w:spacing w:after="0"/>
              <w:rPr>
                <w:sz w:val="20"/>
                <w:szCs w:val="20"/>
                <w:color w:val="auto"/>
              </w:rPr>
            </w:pPr>
            <w:r>
              <w:rPr>
                <w:rFonts w:ascii="Arial" w:cs="Arial" w:eastAsia="Arial" w:hAnsi="Arial"/>
                <w:sz w:val="18"/>
                <w:szCs w:val="18"/>
                <w:color w:val="auto"/>
                <w:w w:val="92"/>
              </w:rPr>
              <w:t>1.0%</w:t>
            </w:r>
          </w:p>
        </w:tc>
      </w:tr>
      <w:tr>
        <w:trPr>
          <w:trHeight w:val="26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life (in years)</w:t>
            </w:r>
          </w:p>
        </w:tc>
        <w:tc>
          <w:tcPr>
            <w:tcW w:w="1740" w:type="dxa"/>
            <w:vAlign w:val="bottom"/>
            <w:shd w:val="clear" w:color="auto" w:fill="CFF0FC"/>
          </w:tcPr>
          <w:p>
            <w:pPr>
              <w:jc w:val="center"/>
              <w:ind w:left="75"/>
              <w:spacing w:after="0"/>
              <w:rPr>
                <w:sz w:val="20"/>
                <w:szCs w:val="20"/>
                <w:color w:val="auto"/>
              </w:rPr>
            </w:pPr>
            <w:r>
              <w:rPr>
                <w:rFonts w:ascii="Arial" w:cs="Arial" w:eastAsia="Arial" w:hAnsi="Arial"/>
                <w:sz w:val="18"/>
                <w:szCs w:val="18"/>
                <w:color w:val="auto"/>
                <w:w w:val="89"/>
              </w:rPr>
              <w:t>5.52 to 10.00 years</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6 years</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740" w:type="dxa"/>
            <w:vAlign w:val="bottom"/>
          </w:tcPr>
          <w:p>
            <w:pPr>
              <w:jc w:val="center"/>
              <w:ind w:left="75"/>
              <w:spacing w:after="0"/>
              <w:rPr>
                <w:sz w:val="20"/>
                <w:szCs w:val="20"/>
                <w:color w:val="auto"/>
              </w:rPr>
            </w:pPr>
            <w:r>
              <w:rPr>
                <w:rFonts w:ascii="Arial" w:cs="Arial" w:eastAsia="Arial" w:hAnsi="Arial"/>
                <w:sz w:val="18"/>
                <w:szCs w:val="18"/>
                <w:color w:val="auto"/>
                <w:w w:val="92"/>
              </w:rPr>
              <w:t>0.0%</w:t>
            </w:r>
          </w:p>
        </w:tc>
        <w:tc>
          <w:tcPr>
            <w:tcW w:w="2220" w:type="dxa"/>
            <w:vAlign w:val="bottom"/>
            <w:gridSpan w:val="3"/>
          </w:tcPr>
          <w:p>
            <w:pPr>
              <w:jc w:val="center"/>
              <w:ind w:left="234"/>
              <w:spacing w:after="0"/>
              <w:rPr>
                <w:sz w:val="20"/>
                <w:szCs w:val="20"/>
                <w:color w:val="auto"/>
              </w:rPr>
            </w:pPr>
            <w:r>
              <w:rPr>
                <w:rFonts w:ascii="Arial" w:cs="Arial" w:eastAsia="Arial" w:hAnsi="Arial"/>
                <w:sz w:val="18"/>
                <w:szCs w:val="18"/>
                <w:color w:val="auto"/>
                <w:w w:val="92"/>
              </w:rPr>
              <w:t>0.0%</w:t>
            </w:r>
          </w:p>
        </w:tc>
      </w:tr>
      <w:tr>
        <w:trPr>
          <w:trHeight w:val="26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 date fair value</w:t>
            </w:r>
          </w:p>
        </w:tc>
        <w:tc>
          <w:tcPr>
            <w:tcW w:w="1740" w:type="dxa"/>
            <w:vAlign w:val="bottom"/>
            <w:shd w:val="clear" w:color="auto" w:fill="CFF0FC"/>
          </w:tcPr>
          <w:p>
            <w:pPr>
              <w:jc w:val="center"/>
              <w:ind w:left="75"/>
              <w:spacing w:after="0"/>
              <w:rPr>
                <w:sz w:val="20"/>
                <w:szCs w:val="20"/>
                <w:color w:val="auto"/>
              </w:rPr>
            </w:pPr>
            <w:r>
              <w:rPr>
                <w:rFonts w:ascii="Arial" w:cs="Arial" w:eastAsia="Arial" w:hAnsi="Arial"/>
                <w:sz w:val="18"/>
                <w:szCs w:val="18"/>
                <w:color w:val="auto"/>
                <w:w w:val="90"/>
              </w:rPr>
              <w:t>$12.54 to $19.94</w:t>
            </w:r>
          </w:p>
        </w:tc>
        <w:tc>
          <w:tcPr>
            <w:tcW w:w="2220" w:type="dxa"/>
            <w:vAlign w:val="bottom"/>
            <w:gridSpan w:val="3"/>
            <w:shd w:val="clear" w:color="auto" w:fill="CFF0FC"/>
          </w:tcPr>
          <w:p>
            <w:pPr>
              <w:jc w:val="center"/>
              <w:ind w:left="234"/>
              <w:spacing w:after="0"/>
              <w:rPr>
                <w:sz w:val="20"/>
                <w:szCs w:val="20"/>
                <w:color w:val="auto"/>
              </w:rPr>
            </w:pPr>
            <w:r>
              <w:rPr>
                <w:rFonts w:ascii="Arial" w:cs="Arial" w:eastAsia="Arial" w:hAnsi="Arial"/>
                <w:sz w:val="18"/>
                <w:szCs w:val="18"/>
                <w:color w:val="auto"/>
                <w:w w:val="90"/>
              </w:rPr>
              <w:t>$15.51</w:t>
            </w:r>
          </w:p>
        </w:tc>
      </w:tr>
    </w:tbl>
    <w:p>
      <w:pPr>
        <w:spacing w:after="0" w:line="107" w:lineRule="exact"/>
        <w:rPr>
          <w:sz w:val="20"/>
          <w:szCs w:val="20"/>
          <w:color w:val="auto"/>
        </w:rPr>
      </w:pPr>
    </w:p>
    <w:p>
      <w:pPr>
        <w:ind w:right="40" w:firstLine="374"/>
        <w:spacing w:after="0" w:line="359" w:lineRule="auto"/>
        <w:rPr>
          <w:sz w:val="20"/>
          <w:szCs w:val="20"/>
          <w:color w:val="auto"/>
        </w:rPr>
      </w:pPr>
      <w:r>
        <w:rPr>
          <w:rFonts w:ascii="Arial" w:cs="Arial" w:eastAsia="Arial" w:hAnsi="Arial"/>
          <w:sz w:val="16"/>
          <w:szCs w:val="16"/>
          <w:color w:val="auto"/>
        </w:rPr>
        <w:t>On July 30, 2021, the Board of Directors approved the issuance of 640,567 equity awards to the Company's named executive officers and certain non-employee directors, consisting of 17,577 restricted stock units and 622,990 stock option awards. The awards will vest over one to four years of service.</w:t>
      </w:r>
    </w:p>
    <w:p>
      <w:pPr>
        <w:spacing w:after="0" w:line="57" w:lineRule="exact"/>
        <w:rPr>
          <w:sz w:val="20"/>
          <w:szCs w:val="20"/>
          <w:color w:val="auto"/>
        </w:rPr>
      </w:pPr>
    </w:p>
    <w:p>
      <w:pPr>
        <w:ind w:right="160" w:firstLine="374"/>
        <w:spacing w:after="0" w:line="293" w:lineRule="auto"/>
        <w:rPr>
          <w:sz w:val="20"/>
          <w:szCs w:val="20"/>
          <w:color w:val="auto"/>
        </w:rPr>
      </w:pPr>
      <w:r>
        <w:rPr>
          <w:rFonts w:ascii="Arial" w:cs="Arial" w:eastAsia="Arial" w:hAnsi="Arial"/>
          <w:sz w:val="18"/>
          <w:szCs w:val="18"/>
          <w:color w:val="auto"/>
        </w:rPr>
        <w:t>On August 3, 2021, the Board of Directors approved the issuance of equity awards to certain non-employee directors, consisting of 40,134 restricted stock units. The awards will vest over one to three years of service.</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10 – Income Taxes</w:t>
      </w:r>
    </w:p>
    <w:p>
      <w:pPr>
        <w:spacing w:after="0" w:line="148" w:lineRule="exact"/>
        <w:rPr>
          <w:sz w:val="20"/>
          <w:szCs w:val="20"/>
          <w:color w:val="auto"/>
        </w:rPr>
      </w:pPr>
    </w:p>
    <w:p>
      <w:pPr>
        <w:jc w:val="both"/>
        <w:ind w:right="120" w:firstLine="374"/>
        <w:spacing w:after="0" w:line="329" w:lineRule="auto"/>
        <w:rPr>
          <w:sz w:val="20"/>
          <w:szCs w:val="20"/>
          <w:color w:val="auto"/>
        </w:rPr>
      </w:pPr>
      <w:r>
        <w:rPr>
          <w:rFonts w:ascii="Arial" w:cs="Arial" w:eastAsia="Arial" w:hAnsi="Arial"/>
          <w:sz w:val="16"/>
          <w:szCs w:val="16"/>
          <w:color w:val="auto"/>
        </w:rPr>
        <w:t>The Company maintains a full valuation allowance against its net deferred tax assets as of September 30, 2021 and December 31, 2020 based on the current assessment that it is not more likely than not these future benefits will be realized before expiration. No material income tax expense or benefit has been recorded given the valuation allowance position and projected taxable losses in the jurisdictions where the Company files income tax returns.</w:t>
      </w:r>
    </w:p>
    <w:p>
      <w:pPr>
        <w:spacing w:after="0" w:line="67" w:lineRule="exact"/>
        <w:rPr>
          <w:sz w:val="20"/>
          <w:szCs w:val="20"/>
          <w:color w:val="auto"/>
        </w:rPr>
      </w:pPr>
    </w:p>
    <w:p>
      <w:pPr>
        <w:ind w:right="500" w:firstLine="374"/>
        <w:spacing w:after="0" w:line="293" w:lineRule="auto"/>
        <w:rPr>
          <w:sz w:val="20"/>
          <w:szCs w:val="20"/>
          <w:color w:val="auto"/>
        </w:rPr>
      </w:pPr>
      <w:r>
        <w:rPr>
          <w:rFonts w:ascii="Arial" w:cs="Arial" w:eastAsia="Arial" w:hAnsi="Arial"/>
          <w:sz w:val="18"/>
          <w:szCs w:val="18"/>
          <w:color w:val="auto"/>
        </w:rPr>
        <w:t>The Company has not experienced any significant increases or decreases to its unrecognized tax benefits since December 31, 2020 and does not expect any within the next 12 months.</w:t>
      </w:r>
    </w:p>
    <w:p>
      <w:pPr>
        <w:spacing w:after="0" w:line="102" w:lineRule="exact"/>
        <w:rPr>
          <w:sz w:val="20"/>
          <w:szCs w:val="20"/>
          <w:color w:val="auto"/>
        </w:rPr>
      </w:pPr>
    </w:p>
    <w:p>
      <w:pPr>
        <w:ind w:right="340" w:firstLine="374"/>
        <w:spacing w:after="0" w:line="275" w:lineRule="auto"/>
        <w:rPr>
          <w:sz w:val="20"/>
          <w:szCs w:val="20"/>
          <w:color w:val="auto"/>
        </w:rPr>
      </w:pPr>
      <w:r>
        <w:rPr>
          <w:rFonts w:ascii="Arial" w:cs="Arial" w:eastAsia="Arial" w:hAnsi="Arial"/>
          <w:sz w:val="18"/>
          <w:szCs w:val="18"/>
          <w:color w:val="auto"/>
        </w:rPr>
        <w:t>The Company is subject to U.S. federal and various states income taxes. The federal returns for tax years 2017 through 2020 remain open to examination and the state returns remain subject to examination for tax years 2016 through 2020. Carryforward attributes that were generated in years where the statute of limitations is closed may still be adjusted upon examination by the Internal Revenue Service or other respective tax authorities. All other state jurisdictions remain open to examination.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148" w:lineRule="exact"/>
        <w:rPr>
          <w:sz w:val="20"/>
          <w:szCs w:val="20"/>
          <w:color w:val="auto"/>
        </w:rPr>
      </w:pPr>
    </w:p>
    <w:p>
      <w:pPr>
        <w:jc w:val="both"/>
        <w:ind w:right="200" w:firstLine="374"/>
        <w:spacing w:after="0" w:line="279" w:lineRule="auto"/>
        <w:rPr>
          <w:sz w:val="20"/>
          <w:szCs w:val="20"/>
          <w:color w:val="auto"/>
        </w:rPr>
      </w:pPr>
      <w:r>
        <w:rPr>
          <w:rFonts w:ascii="Arial" w:cs="Arial" w:eastAsia="Arial" w:hAnsi="Arial"/>
          <w:sz w:val="18"/>
          <w:szCs w:val="18"/>
          <w:color w:val="auto"/>
        </w:rPr>
        <w:t>The Company has operating and finance leases for facilities and certain equipment. Leases with an initial term of 12 months or less are not recorded on the consolidated balance sheets. Lease expense for operating leases is recognized on a straight-line basis over the lease term. The Company does not combine lease and non-lease components in the recognition of lease expense.</w:t>
      </w:r>
    </w:p>
    <w:p>
      <w:pPr>
        <w:spacing w:after="0" w:line="115" w:lineRule="exact"/>
        <w:rPr>
          <w:sz w:val="20"/>
          <w:szCs w:val="20"/>
          <w:color w:val="auto"/>
        </w:rPr>
      </w:pPr>
    </w:p>
    <w:p>
      <w:pPr>
        <w:ind w:right="220" w:firstLine="374"/>
        <w:spacing w:after="0" w:line="279" w:lineRule="auto"/>
        <w:rPr>
          <w:sz w:val="20"/>
          <w:szCs w:val="20"/>
          <w:color w:val="auto"/>
        </w:rPr>
      </w:pPr>
      <w:r>
        <w:rPr>
          <w:rFonts w:ascii="Arial" w:cs="Arial" w:eastAsia="Arial" w:hAnsi="Arial"/>
          <w:sz w:val="18"/>
          <w:szCs w:val="18"/>
          <w:color w:val="auto"/>
        </w:rPr>
        <w:t>As of September 30, 2021 and December 31, 2020 the Company held three leases for office, manufacturing and warehouse facilities in Aliso Viejo, California. The three leases are for 19,680, 42,106 and 48,036 square feet and expire on June 30, 2023, September 30, 2024 and January 31, 2026, respectively. For one of the facilities operating leases, the lessor provided $900,000 in tenant allowances.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the lease balances within the condensed consolidated balance sheets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September 30,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20"/>
                <w:szCs w:val="20"/>
                <w:color w:val="auto"/>
              </w:rPr>
            </w:pPr>
          </w:p>
        </w:tc>
      </w:tr>
      <w:tr>
        <w:trPr>
          <w:trHeight w:val="263"/>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Leases</w:t>
            </w:r>
          </w:p>
        </w:tc>
        <w:tc>
          <w:tcPr>
            <w:tcW w:w="200" w:type="dxa"/>
            <w:vAlign w:val="bottom"/>
          </w:tcPr>
          <w:p>
            <w:pPr>
              <w:spacing w:after="0"/>
              <w:rPr>
                <w:sz w:val="22"/>
                <w:szCs w:val="22"/>
                <w:color w:val="auto"/>
              </w:rPr>
            </w:pP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Classification</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r>
      <w:tr>
        <w:trPr>
          <w:trHeight w:val="257"/>
        </w:trPr>
        <w:tc>
          <w:tcPr>
            <w:tcW w:w="3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9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w:t>
            </w:r>
          </w:p>
        </w:tc>
        <w:tc>
          <w:tcPr>
            <w:tcW w:w="200" w:type="dxa"/>
            <w:vAlign w:val="bottom"/>
            <w:shd w:val="clear" w:color="auto" w:fill="CFF0FC"/>
          </w:tcPr>
          <w:p>
            <w:pPr>
              <w:spacing w:after="0"/>
              <w:rPr>
                <w:sz w:val="22"/>
                <w:szCs w:val="22"/>
                <w:color w:val="auto"/>
              </w:rPr>
            </w:pPr>
          </w:p>
        </w:tc>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 right-of-use assets</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4,561</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5,319</w:t>
            </w:r>
          </w:p>
        </w:tc>
        <w:tc>
          <w:tcPr>
            <w:tcW w:w="100" w:type="dxa"/>
            <w:vAlign w:val="bottom"/>
            <w:shd w:val="clear" w:color="auto" w:fill="CFF0FC"/>
          </w:tcPr>
          <w:p>
            <w:pPr>
              <w:spacing w:after="0"/>
              <w:rPr>
                <w:sz w:val="22"/>
                <w:szCs w:val="22"/>
                <w:color w:val="auto"/>
              </w:rPr>
            </w:pPr>
          </w:p>
        </w:tc>
      </w:tr>
      <w:tr>
        <w:trPr>
          <w:trHeight w:val="256"/>
        </w:trPr>
        <w:tc>
          <w:tcPr>
            <w:tcW w:w="3240" w:type="dxa"/>
            <w:vAlign w:val="bottom"/>
          </w:tcPr>
          <w:p>
            <w:pPr>
              <w:ind w:left="20"/>
              <w:spacing w:after="0"/>
              <w:rPr>
                <w:sz w:val="20"/>
                <w:szCs w:val="20"/>
                <w:color w:val="auto"/>
              </w:rPr>
            </w:pPr>
            <w:r>
              <w:rPr>
                <w:rFonts w:ascii="Arial" w:cs="Arial" w:eastAsia="Arial" w:hAnsi="Arial"/>
                <w:sz w:val="18"/>
                <w:szCs w:val="18"/>
                <w:color w:val="auto"/>
              </w:rPr>
              <w:t>Finance</w:t>
            </w:r>
          </w:p>
        </w:tc>
        <w:tc>
          <w:tcPr>
            <w:tcW w:w="200" w:type="dxa"/>
            <w:vAlign w:val="bottom"/>
          </w:tcPr>
          <w:p>
            <w:pPr>
              <w:spacing w:after="0"/>
              <w:rPr>
                <w:sz w:val="22"/>
                <w:szCs w:val="22"/>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r>
      <w:tr>
        <w:trPr>
          <w:trHeight w:val="290"/>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assets</w:t>
            </w:r>
          </w:p>
        </w:tc>
        <w:tc>
          <w:tcPr>
            <w:tcW w:w="200" w:type="dxa"/>
            <w:vAlign w:val="bottom"/>
            <w:tcBorders>
              <w:bottom w:val="single" w:sz="8" w:color="CFF0FC"/>
            </w:tcBorders>
            <w:shd w:val="clear" w:color="auto" w:fill="CFF0FC"/>
          </w:tcPr>
          <w:p>
            <w:pPr>
              <w:spacing w:after="0"/>
              <w:rPr>
                <w:sz w:val="24"/>
                <w:szCs w:val="24"/>
                <w:color w:val="auto"/>
              </w:rPr>
            </w:pPr>
          </w:p>
        </w:tc>
        <w:tc>
          <w:tcPr>
            <w:tcW w:w="39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4,599</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FF0FC"/>
          </w:tcPr>
          <w:p>
            <w:pPr>
              <w:spacing w:after="0"/>
              <w:rPr>
                <w:sz w:val="22"/>
                <w:szCs w:val="22"/>
                <w:color w:val="auto"/>
              </w:rPr>
            </w:pPr>
          </w:p>
        </w:tc>
        <w:tc>
          <w:tcPr>
            <w:tcW w:w="39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24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1,449</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r>
      <w:tr>
        <w:trPr>
          <w:trHeight w:val="263"/>
        </w:trPr>
        <w:tc>
          <w:tcPr>
            <w:tcW w:w="3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w:t>
            </w:r>
          </w:p>
        </w:tc>
        <w:tc>
          <w:tcPr>
            <w:tcW w:w="200" w:type="dxa"/>
            <w:vAlign w:val="bottom"/>
            <w:shd w:val="clear" w:color="auto" w:fill="CFF0FC"/>
          </w:tcPr>
          <w:p>
            <w:pPr>
              <w:spacing w:after="0"/>
              <w:rPr>
                <w:sz w:val="22"/>
                <w:szCs w:val="22"/>
                <w:color w:val="auto"/>
              </w:rPr>
            </w:pPr>
          </w:p>
        </w:tc>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liabilities</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22"/>
                <w:szCs w:val="22"/>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2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w:t>
            </w:r>
          </w:p>
        </w:tc>
        <w:tc>
          <w:tcPr>
            <w:tcW w:w="200" w:type="dxa"/>
            <w:vAlign w:val="bottom"/>
            <w:shd w:val="clear" w:color="auto" w:fill="CFF0FC"/>
          </w:tcPr>
          <w:p>
            <w:pPr>
              <w:spacing w:after="0"/>
              <w:rPr>
                <w:sz w:val="22"/>
                <w:szCs w:val="22"/>
                <w:color w:val="auto"/>
              </w:rPr>
            </w:pPr>
          </w:p>
        </w:tc>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lease liabilities</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5,042</w:t>
            </w:r>
          </w:p>
        </w:tc>
        <w:tc>
          <w:tcPr>
            <w:tcW w:w="100" w:type="dxa"/>
            <w:vAlign w:val="bottom"/>
            <w:shd w:val="clear" w:color="auto" w:fill="CFF0FC"/>
          </w:tcPr>
          <w:p>
            <w:pPr>
              <w:spacing w:after="0"/>
              <w:rPr>
                <w:sz w:val="22"/>
                <w:szCs w:val="22"/>
                <w:color w:val="auto"/>
              </w:rPr>
            </w:pPr>
          </w:p>
        </w:tc>
      </w:tr>
      <w:tr>
        <w:trPr>
          <w:trHeight w:val="256"/>
        </w:trPr>
        <w:tc>
          <w:tcPr>
            <w:tcW w:w="3240" w:type="dxa"/>
            <w:vAlign w:val="bottom"/>
          </w:tcPr>
          <w:p>
            <w:pPr>
              <w:ind w:left="200"/>
              <w:spacing w:after="0"/>
              <w:rPr>
                <w:sz w:val="20"/>
                <w:szCs w:val="20"/>
                <w:color w:val="auto"/>
              </w:rPr>
            </w:pPr>
            <w:r>
              <w:rPr>
                <w:rFonts w:ascii="Arial" w:cs="Arial" w:eastAsia="Arial" w:hAnsi="Arial"/>
                <w:sz w:val="18"/>
                <w:szCs w:val="18"/>
                <w:color w:val="auto"/>
              </w:rPr>
              <w:t>Finance</w:t>
            </w:r>
          </w:p>
        </w:tc>
        <w:tc>
          <w:tcPr>
            <w:tcW w:w="200" w:type="dxa"/>
            <w:vAlign w:val="bottom"/>
          </w:tcPr>
          <w:p>
            <w:pPr>
              <w:spacing w:after="0"/>
              <w:rPr>
                <w:sz w:val="22"/>
                <w:szCs w:val="22"/>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Long-term lease liabilities</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r>
      <w:tr>
        <w:trPr>
          <w:trHeight w:val="290"/>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200" w:type="dxa"/>
            <w:vAlign w:val="bottom"/>
            <w:shd w:val="clear" w:color="auto" w:fill="CFF0FC"/>
          </w:tcPr>
          <w:p>
            <w:pPr>
              <w:spacing w:after="0"/>
              <w:rPr>
                <w:sz w:val="24"/>
                <w:szCs w:val="24"/>
                <w:color w:val="auto"/>
              </w:rPr>
            </w:pPr>
          </w:p>
        </w:tc>
        <w:tc>
          <w:tcPr>
            <w:tcW w:w="396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5,502</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6,353</w:t>
            </w:r>
          </w:p>
        </w:tc>
        <w:tc>
          <w:tcPr>
            <w:tcW w:w="100" w:type="dxa"/>
            <w:vAlign w:val="bottom"/>
            <w:shd w:val="clear" w:color="auto" w:fill="CFF0FC"/>
          </w:tcPr>
          <w:p>
            <w:pPr>
              <w:spacing w:after="0"/>
              <w:rPr>
                <w:sz w:val="24"/>
                <w:szCs w:val="24"/>
                <w:color w:val="auto"/>
              </w:rPr>
            </w:pPr>
          </w:p>
        </w:tc>
      </w:tr>
      <w:tr>
        <w:trPr>
          <w:trHeight w:val="703"/>
        </w:trPr>
        <w:tc>
          <w:tcPr>
            <w:tcW w:w="3240" w:type="dxa"/>
            <w:vAlign w:val="bottom"/>
            <w:tcBorders>
              <w:top w:val="single" w:sz="8" w:color="CFF0FC"/>
              <w:bottom w:val="single" w:sz="8" w:color="auto"/>
            </w:tcBorders>
          </w:tcPr>
          <w:p>
            <w:pPr>
              <w:ind w:left="20"/>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FF0FC"/>
              <w:bottom w:val="single" w:sz="8" w:color="auto"/>
            </w:tcBorders>
          </w:tcPr>
          <w:p>
            <w:pPr>
              <w:spacing w:after="0"/>
              <w:rPr>
                <w:sz w:val="24"/>
                <w:szCs w:val="24"/>
                <w:color w:val="auto"/>
              </w:rPr>
            </w:pPr>
          </w:p>
        </w:tc>
        <w:tc>
          <w:tcPr>
            <w:tcW w:w="3960" w:type="dxa"/>
            <w:vAlign w:val="bottom"/>
            <w:tcBorders>
              <w:top w:val="single" w:sz="8" w:color="CFF0FC"/>
              <w:bottom w:val="single" w:sz="8" w:color="auto"/>
            </w:tcBorders>
          </w:tcPr>
          <w:p>
            <w:pPr>
              <w:spacing w:after="0"/>
              <w:rPr>
                <w:sz w:val="24"/>
                <w:szCs w:val="24"/>
                <w:color w:val="auto"/>
              </w:rPr>
            </w:pPr>
          </w:p>
        </w:tc>
        <w:tc>
          <w:tcPr>
            <w:tcW w:w="200" w:type="dxa"/>
            <w:vAlign w:val="bottom"/>
            <w:tcBorders>
              <w:top w:val="single" w:sz="8" w:color="CFF0FC"/>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CFF0FC"/>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-1919605</wp:posOffset>
            </wp:positionV>
            <wp:extent cx="17970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-1902460</wp:posOffset>
            </wp:positionV>
            <wp:extent cx="17970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-582295</wp:posOffset>
            </wp:positionV>
            <wp:extent cx="17970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-565150</wp:posOffset>
            </wp:positionV>
            <wp:extent cx="17970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7" w:name="page28"/>
    <w:bookmarkEnd w:id="27"/>
    <w:p>
      <w:pPr>
        <w:ind w:right="440" w:firstLine="419"/>
        <w:spacing w:after="0" w:line="293" w:lineRule="auto"/>
        <w:rPr>
          <w:sz w:val="20"/>
          <w:szCs w:val="20"/>
          <w:color w:val="auto"/>
        </w:rPr>
      </w:pPr>
      <w:r>
        <w:rPr>
          <w:rFonts w:ascii="Arial" w:cs="Arial" w:eastAsia="Arial" w:hAnsi="Arial"/>
          <w:sz w:val="18"/>
          <w:szCs w:val="18"/>
          <w:color w:val="auto"/>
        </w:rPr>
        <w:t>For the three and nine months ended September 30, 2021 and 2020, the components of operating and finance lease expenses were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Nine Months Ended September</w:t>
            </w:r>
          </w:p>
        </w:tc>
        <w:tc>
          <w:tcPr>
            <w:tcW w:w="100" w:type="dxa"/>
            <w:vAlign w:val="bottom"/>
          </w:tcPr>
          <w:p>
            <w:pPr>
              <w:spacing w:after="0"/>
              <w:rPr>
                <w:sz w:val="19"/>
                <w:szCs w:val="19"/>
                <w:color w:val="auto"/>
              </w:rPr>
            </w:pPr>
          </w:p>
        </w:tc>
      </w:tr>
      <w:tr>
        <w:trPr>
          <w:trHeight w:val="241"/>
        </w:trPr>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1"/>
              </w:rPr>
              <w:t>Three Months Ended September 30,</w:t>
            </w:r>
          </w:p>
        </w:tc>
        <w:tc>
          <w:tcPr>
            <w:tcW w:w="2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30,</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Lease Cost</w:t>
            </w:r>
          </w:p>
        </w:tc>
        <w:tc>
          <w:tcPr>
            <w:tcW w:w="180" w:type="dxa"/>
            <w:vAlign w:val="bottom"/>
          </w:tcPr>
          <w:p>
            <w:pPr>
              <w:spacing w:after="0"/>
              <w:rPr>
                <w:sz w:val="21"/>
                <w:szCs w:val="21"/>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Classification</w:t>
            </w:r>
          </w:p>
        </w:tc>
        <w:tc>
          <w:tcPr>
            <w:tcW w:w="16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1880" w:type="dxa"/>
            <w:vAlign w:val="bottom"/>
            <w:gridSpan w:val="2"/>
            <w:shd w:val="clear" w:color="auto" w:fill="CFF0FC"/>
          </w:tcPr>
          <w:p>
            <w:pPr>
              <w:spacing w:after="0"/>
              <w:rPr>
                <w:sz w:val="22"/>
                <w:szCs w:val="22"/>
                <w:color w:val="auto"/>
              </w:rPr>
            </w:pPr>
          </w:p>
        </w:tc>
        <w:tc>
          <w:tcPr>
            <w:tcW w:w="3560" w:type="dxa"/>
            <w:vAlign w:val="bottom"/>
            <w:gridSpan w:val="2"/>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gridSpan w:val="2"/>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60" w:type="dxa"/>
            <w:vAlign w:val="bottom"/>
            <w:gridSpan w:val="2"/>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Operating lease cost</w:t>
            </w:r>
          </w:p>
        </w:tc>
        <w:tc>
          <w:tcPr>
            <w:tcW w:w="35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r>
      <w:tr>
        <w:trPr>
          <w:trHeight w:val="263"/>
        </w:trPr>
        <w:tc>
          <w:tcPr>
            <w:tcW w:w="1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FF0FC"/>
          </w:tcPr>
          <w:p>
            <w:pPr>
              <w:spacing w:after="0"/>
              <w:rPr>
                <w:sz w:val="22"/>
                <w:szCs w:val="2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8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402</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1,205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r>
      <w:tr>
        <w:trPr>
          <w:trHeight w:val="263"/>
        </w:trPr>
        <w:tc>
          <w:tcPr>
            <w:tcW w:w="1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560" w:type="dxa"/>
            <w:vAlign w:val="bottom"/>
            <w:gridSpan w:val="2"/>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w w:val="99"/>
              </w:rPr>
              <w:t>Amortization of right-of-use asset included in</w:t>
            </w: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35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r>
      <w:tr>
        <w:trPr>
          <w:trHeight w:val="249"/>
        </w:trPr>
        <w:tc>
          <w:tcPr>
            <w:tcW w:w="1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Amortization of right-of-use asset included in</w:t>
            </w:r>
          </w:p>
        </w:tc>
        <w:tc>
          <w:tcPr>
            <w:tcW w:w="8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1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8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21"/>
                <w:szCs w:val="21"/>
                <w:color w:val="auto"/>
              </w:rPr>
            </w:pPr>
          </w:p>
        </w:tc>
      </w:tr>
      <w:tr>
        <w:trPr>
          <w:trHeight w:val="257"/>
        </w:trPr>
        <w:tc>
          <w:tcPr>
            <w:tcW w:w="1880" w:type="dxa"/>
            <w:vAlign w:val="bottom"/>
            <w:gridSpan w:val="2"/>
          </w:tcPr>
          <w:p>
            <w:pPr>
              <w:spacing w:after="0"/>
              <w:rPr>
                <w:sz w:val="22"/>
                <w:szCs w:val="22"/>
                <w:color w:val="auto"/>
              </w:rPr>
            </w:pPr>
          </w:p>
        </w:tc>
        <w:tc>
          <w:tcPr>
            <w:tcW w:w="3560" w:type="dxa"/>
            <w:vAlign w:val="bottom"/>
            <w:gridSpan w:val="2"/>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18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Finance lease cost</w:t>
            </w:r>
          </w:p>
        </w:tc>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FF0FC"/>
          </w:tcPr>
          <w:p>
            <w:pPr>
              <w:spacing w:after="0"/>
              <w:rPr>
                <w:sz w:val="22"/>
                <w:szCs w:val="2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22"/>
                <w:szCs w:val="22"/>
                <w:color w:val="auto"/>
              </w:rPr>
            </w:pPr>
          </w:p>
        </w:tc>
      </w:tr>
      <w:tr>
        <w:trPr>
          <w:trHeight w:val="338"/>
        </w:trPr>
        <w:tc>
          <w:tcPr>
            <w:tcW w:w="9640" w:type="dxa"/>
            <w:vAlign w:val="bottom"/>
            <w:gridSpan w:val="16"/>
          </w:tcPr>
          <w:p>
            <w:pPr>
              <w:ind w:left="380"/>
              <w:spacing w:after="0"/>
              <w:rPr>
                <w:sz w:val="20"/>
                <w:szCs w:val="20"/>
                <w:color w:val="auto"/>
              </w:rPr>
            </w:pPr>
            <w:r>
              <w:rPr>
                <w:rFonts w:ascii="Arial" w:cs="Arial" w:eastAsia="Arial" w:hAnsi="Arial"/>
                <w:sz w:val="18"/>
                <w:szCs w:val="18"/>
                <w:color w:val="auto"/>
                <w:w w:val="93"/>
              </w:rPr>
              <w:t>Maturities of the Company’s operating and finance lease liabilities as of September 30, 2021 were as follows (in thousands):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3"/>
        </w:trPr>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Operating</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w w:val="91"/>
              </w:rPr>
              <w:t>Finance</w:t>
            </w:r>
          </w:p>
        </w:tc>
        <w:tc>
          <w:tcPr>
            <w:tcW w:w="100" w:type="dxa"/>
            <w:vAlign w:val="bottom"/>
          </w:tcPr>
          <w:p>
            <w:pPr>
              <w:spacing w:after="0"/>
              <w:rPr>
                <w:sz w:val="24"/>
                <w:szCs w:val="24"/>
                <w:color w:val="auto"/>
              </w:rPr>
            </w:pPr>
          </w:p>
        </w:tc>
      </w:tr>
      <w:tr>
        <w:trPr>
          <w:trHeight w:val="263"/>
        </w:trPr>
        <w:tc>
          <w:tcPr>
            <w:tcW w:w="54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8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Leases</w:t>
            </w:r>
          </w:p>
        </w:tc>
        <w:tc>
          <w:tcPr>
            <w:tcW w:w="2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1"/>
              </w:rPr>
              <w:t>Leases</w:t>
            </w:r>
          </w:p>
        </w:tc>
        <w:tc>
          <w:tcPr>
            <w:tcW w:w="100" w:type="dxa"/>
            <w:vAlign w:val="bottom"/>
          </w:tcPr>
          <w:p>
            <w:pPr>
              <w:spacing w:after="0"/>
              <w:rPr>
                <w:sz w:val="22"/>
                <w:szCs w:val="22"/>
                <w:color w:val="auto"/>
              </w:rPr>
            </w:pPr>
          </w:p>
        </w:tc>
      </w:tr>
      <w:tr>
        <w:trPr>
          <w:trHeight w:val="257"/>
        </w:trPr>
        <w:tc>
          <w:tcPr>
            <w:tcW w:w="18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2021 (remainder)</w:t>
            </w:r>
          </w:p>
        </w:tc>
        <w:tc>
          <w:tcPr>
            <w:tcW w:w="34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80" w:type="dxa"/>
            <w:vAlign w:val="bottom"/>
            <w:gridSpan w:val="4"/>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2"/>
                <w:szCs w:val="22"/>
                <w:color w:val="auto"/>
              </w:rPr>
            </w:pPr>
          </w:p>
        </w:tc>
      </w:tr>
      <w:tr>
        <w:trPr>
          <w:trHeight w:val="250"/>
        </w:trPr>
        <w:tc>
          <w:tcPr>
            <w:tcW w:w="1700" w:type="dxa"/>
            <w:vAlign w:val="bottom"/>
          </w:tcPr>
          <w:p>
            <w:pPr>
              <w:ind w:left="38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1,955</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r>
      <w:tr>
        <w:trPr>
          <w:trHeight w:val="263"/>
        </w:trPr>
        <w:tc>
          <w:tcPr>
            <w:tcW w:w="1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22"/>
                <w:szCs w:val="22"/>
                <w:color w:val="auto"/>
              </w:rPr>
            </w:pPr>
          </w:p>
        </w:tc>
        <w:tc>
          <w:tcPr>
            <w:tcW w:w="34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2"/>
                <w:szCs w:val="22"/>
                <w:color w:val="auto"/>
              </w:rPr>
            </w:pPr>
          </w:p>
        </w:tc>
      </w:tr>
      <w:tr>
        <w:trPr>
          <w:trHeight w:val="250"/>
        </w:trPr>
        <w:tc>
          <w:tcPr>
            <w:tcW w:w="1700" w:type="dxa"/>
            <w:vAlign w:val="bottom"/>
          </w:tcPr>
          <w:p>
            <w:pPr>
              <w:ind w:left="38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1,456</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1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22"/>
                <w:szCs w:val="22"/>
                <w:color w:val="auto"/>
              </w:rPr>
            </w:pPr>
          </w:p>
        </w:tc>
        <w:tc>
          <w:tcPr>
            <w:tcW w:w="34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6"/>
        </w:trPr>
        <w:tc>
          <w:tcPr>
            <w:tcW w:w="1700" w:type="dxa"/>
            <w:vAlign w:val="bottom"/>
          </w:tcPr>
          <w:p>
            <w:pPr>
              <w:ind w:left="38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50"/>
        </w:trPr>
        <w:tc>
          <w:tcPr>
            <w:tcW w:w="18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3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6,608</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21"/>
                <w:szCs w:val="21"/>
                <w:color w:val="auto"/>
              </w:rPr>
            </w:pPr>
          </w:p>
        </w:tc>
      </w:tr>
      <w:tr>
        <w:trPr>
          <w:trHeight w:val="257"/>
        </w:trPr>
        <w:tc>
          <w:tcPr>
            <w:tcW w:w="1880" w:type="dxa"/>
            <w:vAlign w:val="bottom"/>
            <w:gridSpan w:val="2"/>
          </w:tcPr>
          <w:p>
            <w:pPr>
              <w:ind w:left="200"/>
              <w:spacing w:after="0"/>
              <w:rPr>
                <w:sz w:val="20"/>
                <w:szCs w:val="20"/>
                <w:color w:val="auto"/>
              </w:rPr>
            </w:pPr>
            <w:r>
              <w:rPr>
                <w:rFonts w:ascii="Arial" w:cs="Arial" w:eastAsia="Arial" w:hAnsi="Arial"/>
                <w:sz w:val="18"/>
                <w:szCs w:val="18"/>
                <w:color w:val="auto"/>
                <w:w w:val="94"/>
              </w:rPr>
              <w:t>Less: imputed interest</w:t>
            </w:r>
          </w:p>
        </w:tc>
        <w:tc>
          <w:tcPr>
            <w:tcW w:w="3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1,148</w:t>
            </w:r>
          </w:p>
        </w:tc>
        <w:tc>
          <w:tcPr>
            <w:tcW w:w="2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r>
      <w:tr>
        <w:trPr>
          <w:trHeight w:val="290"/>
        </w:trPr>
        <w:tc>
          <w:tcPr>
            <w:tcW w:w="18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34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gridSpan w:val="3"/>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5,460</w:t>
            </w:r>
          </w:p>
        </w:tc>
        <w:tc>
          <w:tcPr>
            <w:tcW w:w="20" w:type="dxa"/>
            <w:vAlign w:val="bottom"/>
            <w:tcBorders>
              <w:bottom w:val="single" w:sz="8" w:color="auto"/>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1797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17970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6" w:lineRule="exact"/>
        <w:rPr>
          <w:sz w:val="20"/>
          <w:szCs w:val="20"/>
          <w:color w:val="auto"/>
        </w:rPr>
      </w:pPr>
    </w:p>
    <w:p>
      <w:pPr>
        <w:jc w:val="both"/>
        <w:ind w:right="120" w:firstLine="374"/>
        <w:spacing w:after="0" w:line="293" w:lineRule="auto"/>
        <w:rPr>
          <w:sz w:val="20"/>
          <w:szCs w:val="20"/>
          <w:color w:val="auto"/>
        </w:rPr>
      </w:pPr>
      <w:r>
        <w:rPr>
          <w:rFonts w:ascii="Arial" w:cs="Arial" w:eastAsia="Arial" w:hAnsi="Arial"/>
          <w:sz w:val="18"/>
          <w:szCs w:val="18"/>
          <w:color w:val="auto"/>
        </w:rPr>
        <w:t>The weighted average remaining lease term and weighted average discount rate used to determine lease liabilities related to the Company’s operating and finance leases as of September 30, 2021 and December 31, 2020 were: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80" w:type="dxa"/>
            <w:vAlign w:val="bottom"/>
            <w:gridSpan w:val="2"/>
          </w:tcPr>
          <w:p>
            <w:pPr>
              <w:ind w:left="580"/>
              <w:spacing w:after="0"/>
              <w:rPr>
                <w:sz w:val="20"/>
                <w:szCs w:val="20"/>
                <w:color w:val="auto"/>
              </w:rPr>
            </w:pPr>
            <w:r>
              <w:rPr>
                <w:rFonts w:ascii="Arial" w:cs="Arial" w:eastAsia="Arial" w:hAnsi="Arial"/>
                <w:sz w:val="18"/>
                <w:szCs w:val="18"/>
                <w:b w:val="1"/>
                <w:bCs w:val="1"/>
                <w:color w:val="auto"/>
              </w:rPr>
              <w:t>December 31,</w:t>
            </w:r>
          </w:p>
        </w:tc>
      </w:tr>
      <w:tr>
        <w:trPr>
          <w:trHeight w:val="26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8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0" w:type="dxa"/>
            <w:vAlign w:val="bottom"/>
          </w:tcPr>
          <w:p>
            <w:pPr>
              <w:ind w:left="92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2"/>
                <w:szCs w:val="22"/>
                <w:color w:val="auto"/>
              </w:rPr>
            </w:pPr>
          </w:p>
        </w:tc>
      </w:tr>
      <w:tr>
        <w:trPr>
          <w:trHeight w:val="256"/>
        </w:trPr>
        <w:tc>
          <w:tcPr>
            <w:tcW w:w="6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80" w:type="dxa"/>
            <w:vAlign w:val="bottom"/>
            <w:shd w:val="clear" w:color="auto" w:fill="CFF0FC"/>
          </w:tcPr>
          <w:p>
            <w:pPr>
              <w:spacing w:after="0"/>
              <w:rPr>
                <w:sz w:val="22"/>
                <w:szCs w:val="22"/>
                <w:color w:val="auto"/>
              </w:rPr>
            </w:pPr>
          </w:p>
        </w:tc>
        <w:tc>
          <w:tcPr>
            <w:tcW w:w="1640" w:type="dxa"/>
            <w:vAlign w:val="bottom"/>
            <w:tcBorders>
              <w:top w:val="single" w:sz="8" w:color="auto"/>
            </w:tcBorders>
            <w:shd w:val="clear" w:color="auto" w:fill="CFF0FC"/>
          </w:tcPr>
          <w:p>
            <w:pPr>
              <w:spacing w:after="0"/>
              <w:rPr>
                <w:sz w:val="22"/>
                <w:szCs w:val="22"/>
                <w:color w:val="auto"/>
              </w:rPr>
            </w:pPr>
          </w:p>
        </w:tc>
        <w:tc>
          <w:tcPr>
            <w:tcW w:w="400" w:type="dxa"/>
            <w:vAlign w:val="bottom"/>
            <w:tcBorders>
              <w:top w:val="single" w:sz="8" w:color="auto"/>
            </w:tcBorders>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220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610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91"/>
              </w:rPr>
              <w:t>3.53</w:t>
            </w:r>
          </w:p>
        </w:tc>
        <w:tc>
          <w:tcPr>
            <w:tcW w:w="440" w:type="dxa"/>
            <w:vAlign w:val="bottom"/>
          </w:tcPr>
          <w:p>
            <w:pPr>
              <w:spacing w:after="0"/>
              <w:rPr>
                <w:sz w:val="21"/>
                <w:szCs w:val="21"/>
                <w:color w:val="auto"/>
              </w:rPr>
            </w:pPr>
          </w:p>
        </w:tc>
        <w:tc>
          <w:tcPr>
            <w:tcW w:w="2200" w:type="dxa"/>
            <w:vAlign w:val="bottom"/>
          </w:tcPr>
          <w:p>
            <w:pPr>
              <w:ind w:left="1860"/>
              <w:spacing w:after="0"/>
              <w:rPr>
                <w:sz w:val="20"/>
                <w:szCs w:val="20"/>
                <w:color w:val="auto"/>
              </w:rPr>
            </w:pPr>
            <w:r>
              <w:rPr>
                <w:rFonts w:ascii="Arial" w:cs="Arial" w:eastAsia="Arial" w:hAnsi="Arial"/>
                <w:sz w:val="18"/>
                <w:szCs w:val="18"/>
                <w:color w:val="auto"/>
                <w:w w:val="91"/>
              </w:rPr>
              <w:t>4.21</w:t>
            </w:r>
          </w:p>
        </w:tc>
        <w:tc>
          <w:tcPr>
            <w:tcW w:w="280" w:type="dxa"/>
            <w:vAlign w:val="bottom"/>
          </w:tcPr>
          <w:p>
            <w:pPr>
              <w:spacing w:after="0"/>
              <w:rPr>
                <w:sz w:val="21"/>
                <w:szCs w:val="21"/>
                <w:color w:val="auto"/>
              </w:rPr>
            </w:pPr>
          </w:p>
        </w:tc>
      </w:tr>
      <w:tr>
        <w:trPr>
          <w:trHeight w:val="263"/>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FF0FC"/>
          </w:tcPr>
          <w:p>
            <w:pPr>
              <w:spacing w:after="0"/>
              <w:rPr>
                <w:sz w:val="22"/>
                <w:szCs w:val="22"/>
                <w:color w:val="auto"/>
              </w:rPr>
            </w:pPr>
          </w:p>
        </w:tc>
        <w:tc>
          <w:tcPr>
            <w:tcW w:w="1640" w:type="dxa"/>
            <w:vAlign w:val="bottom"/>
            <w:shd w:val="clear" w:color="auto" w:fill="CFF0FC"/>
          </w:tcPr>
          <w:p>
            <w:pPr>
              <w:spacing w:after="0"/>
              <w:rPr>
                <w:sz w:val="22"/>
                <w:szCs w:val="22"/>
                <w:color w:val="auto"/>
              </w:rPr>
            </w:pPr>
          </w:p>
        </w:tc>
        <w:tc>
          <w:tcPr>
            <w:tcW w:w="4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1"/>
              </w:rPr>
              <w:t>1.95</w:t>
            </w:r>
          </w:p>
        </w:tc>
        <w:tc>
          <w:tcPr>
            <w:tcW w:w="440" w:type="dxa"/>
            <w:vAlign w:val="bottom"/>
            <w:shd w:val="clear" w:color="auto" w:fill="CFF0FC"/>
          </w:tcPr>
          <w:p>
            <w:pPr>
              <w:spacing w:after="0"/>
              <w:rPr>
                <w:sz w:val="22"/>
                <w:szCs w:val="22"/>
                <w:color w:val="auto"/>
              </w:rPr>
            </w:pPr>
          </w:p>
        </w:tc>
        <w:tc>
          <w:tcPr>
            <w:tcW w:w="2200" w:type="dxa"/>
            <w:vAlign w:val="bottom"/>
            <w:shd w:val="clear" w:color="auto" w:fill="CFF0FC"/>
          </w:tcPr>
          <w:p>
            <w:pPr>
              <w:ind w:left="1860"/>
              <w:spacing w:after="0"/>
              <w:rPr>
                <w:sz w:val="20"/>
                <w:szCs w:val="20"/>
                <w:color w:val="auto"/>
              </w:rPr>
            </w:pPr>
            <w:r>
              <w:rPr>
                <w:rFonts w:ascii="Arial" w:cs="Arial" w:eastAsia="Arial" w:hAnsi="Arial"/>
                <w:sz w:val="18"/>
                <w:szCs w:val="18"/>
                <w:color w:val="auto"/>
                <w:w w:val="91"/>
              </w:rPr>
              <w:t>2.42</w:t>
            </w:r>
          </w:p>
        </w:tc>
        <w:tc>
          <w:tcPr>
            <w:tcW w:w="280" w:type="dxa"/>
            <w:vAlign w:val="bottom"/>
            <w:shd w:val="clear" w:color="auto" w:fill="CFF0FC"/>
          </w:tcPr>
          <w:p>
            <w:pPr>
              <w:spacing w:after="0"/>
              <w:rPr>
                <w:sz w:val="22"/>
                <w:szCs w:val="22"/>
                <w:color w:val="auto"/>
              </w:rPr>
            </w:pPr>
          </w:p>
        </w:tc>
      </w:tr>
      <w:tr>
        <w:trPr>
          <w:trHeight w:val="250"/>
        </w:trPr>
        <w:tc>
          <w:tcPr>
            <w:tcW w:w="610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63"/>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FF0FC"/>
          </w:tcPr>
          <w:p>
            <w:pPr>
              <w:spacing w:after="0"/>
              <w:rPr>
                <w:sz w:val="22"/>
                <w:szCs w:val="22"/>
                <w:color w:val="auto"/>
              </w:rPr>
            </w:pPr>
          </w:p>
        </w:tc>
        <w:tc>
          <w:tcPr>
            <w:tcW w:w="1640" w:type="dxa"/>
            <w:vAlign w:val="bottom"/>
            <w:shd w:val="clear" w:color="auto" w:fill="CFF0FC"/>
          </w:tcPr>
          <w:p>
            <w:pPr>
              <w:spacing w:after="0"/>
              <w:rPr>
                <w:sz w:val="22"/>
                <w:szCs w:val="22"/>
                <w:color w:val="auto"/>
              </w:rPr>
            </w:pPr>
          </w:p>
        </w:tc>
        <w:tc>
          <w:tcPr>
            <w:tcW w:w="8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10.5 %</w:t>
            </w:r>
          </w:p>
        </w:tc>
        <w:tc>
          <w:tcPr>
            <w:tcW w:w="2480" w:type="dxa"/>
            <w:vAlign w:val="bottom"/>
            <w:gridSpan w:val="2"/>
            <w:shd w:val="clear" w:color="auto" w:fill="CFF0FC"/>
          </w:tcPr>
          <w:p>
            <w:pPr>
              <w:ind w:left="1860"/>
              <w:spacing w:after="0"/>
              <w:rPr>
                <w:sz w:val="20"/>
                <w:szCs w:val="20"/>
                <w:color w:val="auto"/>
              </w:rPr>
            </w:pPr>
            <w:r>
              <w:rPr>
                <w:rFonts w:ascii="Arial" w:cs="Arial" w:eastAsia="Arial" w:hAnsi="Arial"/>
                <w:sz w:val="18"/>
                <w:szCs w:val="18"/>
                <w:color w:val="auto"/>
              </w:rPr>
              <w:t>10.5 %</w:t>
            </w:r>
          </w:p>
        </w:tc>
      </w:tr>
      <w:tr>
        <w:trPr>
          <w:trHeight w:val="243"/>
        </w:trPr>
        <w:tc>
          <w:tcPr>
            <w:tcW w:w="610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10.5 %</w:t>
            </w:r>
          </w:p>
        </w:tc>
        <w:tc>
          <w:tcPr>
            <w:tcW w:w="2480" w:type="dxa"/>
            <w:vAlign w:val="bottom"/>
            <w:gridSpan w:val="2"/>
          </w:tcPr>
          <w:p>
            <w:pPr>
              <w:ind w:left="1860"/>
              <w:spacing w:after="0"/>
              <w:rPr>
                <w:sz w:val="20"/>
                <w:szCs w:val="20"/>
                <w:color w:val="auto"/>
              </w:rPr>
            </w:pPr>
            <w:r>
              <w:rPr>
                <w:rFonts w:ascii="Arial" w:cs="Arial" w:eastAsia="Arial" w:hAnsi="Arial"/>
                <w:sz w:val="18"/>
                <w:szCs w:val="18"/>
                <w:color w:val="auto"/>
              </w:rPr>
              <w:t>10.5 %</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8" w:name="page29"/>
    <w:bookmarkEnd w:id="28"/>
    <w:p>
      <w:pPr>
        <w:ind w:firstLine="374"/>
        <w:spacing w:after="0" w:line="306" w:lineRule="auto"/>
        <w:rPr>
          <w:sz w:val="20"/>
          <w:szCs w:val="20"/>
          <w:color w:val="auto"/>
        </w:rPr>
      </w:pPr>
      <w:r>
        <w:rPr>
          <w:rFonts w:ascii="Arial" w:cs="Arial" w:eastAsia="Arial" w:hAnsi="Arial"/>
          <w:sz w:val="16"/>
          <w:szCs w:val="16"/>
          <w:color w:val="auto"/>
        </w:rPr>
        <w:t>From time-to-time, the Company may be involved in certain legal proceedings or regulatory matters arising in the ordinary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September 30, 2021 and December 31, 2020,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right="20" w:firstLine="374"/>
        <w:spacing w:after="0" w:line="28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the related notes to those statements included elsewhere in this Quarterly Report on Form 10-Q and our audited financial statements and related notes thereto for the year ended December 31, 2020, included in our prospectus dated July 29, 2021 filed with the U.S. Securities and Exchange Commission, pursuant to Rule 424(b)(4) under the Securities Act.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this Quarterly Report on Form 10-Q. See “Special Note Regarding Forward-Looking Statements.”</w:t>
      </w:r>
    </w:p>
    <w:p>
      <w:pPr>
        <w:spacing w:after="0" w:line="73" w:lineRule="exact"/>
        <w:rPr>
          <w:sz w:val="20"/>
          <w:szCs w:val="20"/>
          <w:color w:val="auto"/>
        </w:rPr>
      </w:pPr>
    </w:p>
    <w:p>
      <w:pPr>
        <w:ind w:firstLine="374"/>
        <w:spacing w:after="0" w:line="285" w:lineRule="auto"/>
        <w:rPr>
          <w:sz w:val="20"/>
          <w:szCs w:val="20"/>
          <w:color w:val="auto"/>
        </w:rPr>
      </w:pPr>
      <w:r>
        <w:rPr>
          <w:rFonts w:ascii="Arial" w:cs="Arial" w:eastAsia="Arial" w:hAnsi="Arial"/>
          <w:sz w:val="17"/>
          <w:szCs w:val="17"/>
          <w:color w:val="auto"/>
        </w:rPr>
        <w:t>We are a commercial-stage medical technology company dedicated to improving the vision of patients following cataract surgery. Our proprietary RxSight system, comprised of our RxLAL, LDD and accessories, is the first and only commercially available IOL technology that enables doctors to customize and optimize visual acuity for patients after cataract surgery. Our RxLAL is made of proprietary photosensitive material that changes shape in response to specific patterns of ultraviolet light generated by our LDD. With the RxSight system, the surgeon performs a standard cataract procedure to implant the RxLAL, determines refractive error with patient input after healing is complete, and then uses the LDD to modify the lens with the exact amount of visual correction needed to achieve the patient’s desired vision outcomes. Alternative IOL technologies, in contrast, are not adjustable following the procedure and therefore require patients to make pre-operative choices about their visual preferences, which can often result in patient dissatisfaction when visual outcomes fail to meet expectations. We designed our RxSight system to maximize patient and doctor satisfaction through superior visual outcomes. In the pivotal study that formed the basis for our FDA approval, the observed rate of eyes with 20/20 or better uncorrected distance visual acuity for our RxLAL was 70.1%. This compares favorably to the results of pivotal studies with similar study designs and patient populations that supported FDA approval of Alcon’s Acrysof Toric (38.4%), and J&amp;J’s Tecnis Toric (43.6%). We began commercializing our solution in the United States in the third quarter of 2019 and are focused on establishing the RxSight system as the standard of care for premium IOL procedures. As of September 30, 2021, we had an installed base of 161 LDDs in ophthalmology practices, and since our inception, surgeons have performed over 13,000 surgeries with our RxSight system.</w:t>
      </w:r>
    </w:p>
    <w:p>
      <w:pPr>
        <w:spacing w:after="0" w:line="71" w:lineRule="exact"/>
        <w:rPr>
          <w:sz w:val="20"/>
          <w:szCs w:val="20"/>
          <w:color w:val="auto"/>
        </w:rPr>
      </w:pPr>
    </w:p>
    <w:p>
      <w:pPr>
        <w:ind w:right="80" w:firstLine="374"/>
        <w:spacing w:after="0" w:line="287" w:lineRule="auto"/>
        <w:rPr>
          <w:sz w:val="20"/>
          <w:szCs w:val="20"/>
          <w:color w:val="auto"/>
        </w:rPr>
      </w:pPr>
      <w:r>
        <w:rPr>
          <w:rFonts w:ascii="Arial" w:cs="Arial" w:eastAsia="Arial" w:hAnsi="Arial"/>
          <w:sz w:val="17"/>
          <w:szCs w:val="17"/>
          <w:color w:val="auto"/>
        </w:rPr>
        <w:t>We compete in the IOL market in the U.S. The RxLAL is a premium IOL which is partially reimbursable under Medicare, and in some cases by private payors. Premium IOLs are sold at a higher price point than conventional IOLs, as they provide refractive correction of vision unlike a conventional IOL that only replaces the natural lens with a clear lens (which is the standard for Medicare reimbursement). Our products are also approved for sale in Europe and Mexico. We are not actively marketing our products for sale in Europe or Mexico; however, we have approval in both for improving uncorrected visual acuity by adjusting the RxLAL power to correct residual postoperative refractive error. We have one customer in Germany and one in Mexico, both of which have participated in our clinical studies and perform commercial cases. We compete in the IOL market in the U.S. We are a Delaware corporation, headquartered in Aliso Viejo, California, and have one wholly owned subsidiary. Our subsidiary is located in Amsterdam, Netherlands, which itself has one wholly owned subsidiary in Germany and a registered branch in the United Kingdom.</w:t>
      </w:r>
    </w:p>
    <w:p>
      <w:pPr>
        <w:spacing w:after="0" w:line="74" w:lineRule="exact"/>
        <w:rPr>
          <w:sz w:val="20"/>
          <w:szCs w:val="20"/>
          <w:color w:val="auto"/>
        </w:rPr>
      </w:pPr>
    </w:p>
    <w:p>
      <w:pPr>
        <w:ind w:right="40" w:firstLine="374"/>
        <w:spacing w:after="0" w:line="286" w:lineRule="auto"/>
        <w:rPr>
          <w:sz w:val="20"/>
          <w:szCs w:val="20"/>
          <w:color w:val="auto"/>
        </w:rPr>
      </w:pPr>
      <w:r>
        <w:rPr>
          <w:rFonts w:ascii="Arial" w:cs="Arial" w:eastAsia="Arial" w:hAnsi="Arial"/>
          <w:sz w:val="17"/>
          <w:szCs w:val="17"/>
          <w:color w:val="auto"/>
        </w:rPr>
        <w:t>Our commercial strategy is focused on a “land and expand” model through which we aim to drive new customer adoption, which generally begins with the sale of an LDD, and then helps the customer incorporate the RxLAL into their practice to drive utilization and premium procedure growth. We believe this commercial strategy over time may provide a degree of predictability in terms of our commercial growth and a consumable revenue stream from sales of our RxLALs. We are currently focused on driving adoption with surgeons performing a high volume of premium cataract procedures. Market Scope estimates that there are approximately 4,000 surgeons that perform cataract surgeries in the United States as of 2020, and we estimate that approximately 1,600 surgeons performed approximately 70% to 80% of the premium procedures in the United States in 2020. We believe this provides an attractive and concentrated market opportunity addressable with a focused sales force. We currently employ a sales team that, as of September 30, 2021 includes 12 sales directors, and a group of over 56 clinical specialists, field service and customer service personnel. We believe increasing the number of sales representatives, practice development personnel and clinical trainers will help facilitate further adoption of our products among existing customer accounts as well as broaden awareness of our products to new accounts. While we intend to initially focus our growing commercial efforts in the U.S., in the future, we may selectively pursue commercial expansion in Asia,</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Europe, Australia or other geographies with significant market opportunity for premium IOLs, leveraging our CE and FDA approvals.</w:t>
      </w:r>
    </w:p>
    <w:p>
      <w:pPr>
        <w:spacing w:after="0" w:line="131" w:lineRule="exact"/>
        <w:rPr>
          <w:sz w:val="20"/>
          <w:szCs w:val="20"/>
          <w:color w:val="auto"/>
        </w:rPr>
      </w:pPr>
    </w:p>
    <w:p>
      <w:pPr>
        <w:jc w:val="both"/>
        <w:ind w:right="40" w:firstLine="374"/>
        <w:spacing w:after="0" w:line="299" w:lineRule="auto"/>
        <w:rPr>
          <w:sz w:val="20"/>
          <w:szCs w:val="20"/>
          <w:color w:val="auto"/>
        </w:rPr>
      </w:pPr>
      <w:r>
        <w:rPr>
          <w:rFonts w:ascii="Arial" w:cs="Arial" w:eastAsia="Arial" w:hAnsi="Arial"/>
          <w:sz w:val="16"/>
          <w:szCs w:val="16"/>
          <w:color w:val="auto"/>
        </w:rPr>
        <w:t>Our near-term research and development activities are focused on enhancements to the RxSight system to improve the patient and doctor experience, expand the range of patients that can be treated, as well as expand its indications and drive adoption. We believe that over time, our adjustable lens solution can be used to address a broad range of cataract surgery patients, including those that would otherwise elect for a conventional cataract procedure today.</w:t>
      </w:r>
    </w:p>
    <w:p>
      <w:pPr>
        <w:spacing w:after="0" w:line="2" w:lineRule="exact"/>
        <w:rPr>
          <w:sz w:val="20"/>
          <w:szCs w:val="20"/>
          <w:color w:val="auto"/>
        </w:rPr>
      </w:pPr>
    </w:p>
    <w:p>
      <w:pPr>
        <w:ind w:right="220"/>
        <w:spacing w:after="0" w:line="302" w:lineRule="auto"/>
        <w:rPr>
          <w:sz w:val="20"/>
          <w:szCs w:val="20"/>
          <w:color w:val="auto"/>
        </w:rPr>
      </w:pPr>
      <w:r>
        <w:rPr>
          <w:rFonts w:ascii="Arial" w:cs="Arial" w:eastAsia="Arial" w:hAnsi="Arial"/>
          <w:sz w:val="17"/>
          <w:szCs w:val="17"/>
          <w:color w:val="auto"/>
        </w:rPr>
        <w:t>Additional development and clinical studies that are designed to provide clinical evidence of the safety and effectiveness of our existing and future generations of products are also anticipated. Finally, we may in the future seek to acquire or invest in additional businesses, products or technologies that we believe could complement or expand our portfolio, enhance our technical capabilities or otherwise offer growth opportunities.</w:t>
      </w:r>
    </w:p>
    <w:p>
      <w:pPr>
        <w:spacing w:after="0" w:line="58" w:lineRule="exact"/>
        <w:rPr>
          <w:sz w:val="20"/>
          <w:szCs w:val="20"/>
          <w:color w:val="auto"/>
        </w:rPr>
      </w:pPr>
    </w:p>
    <w:p>
      <w:pPr>
        <w:ind w:firstLine="374"/>
        <w:spacing w:after="0" w:line="275" w:lineRule="auto"/>
        <w:rPr>
          <w:sz w:val="20"/>
          <w:szCs w:val="20"/>
          <w:color w:val="auto"/>
        </w:rPr>
      </w:pPr>
      <w:r>
        <w:rPr>
          <w:rFonts w:ascii="Arial" w:cs="Arial" w:eastAsia="Arial" w:hAnsi="Arial"/>
          <w:sz w:val="18"/>
          <w:szCs w:val="18"/>
          <w:color w:val="auto"/>
        </w:rPr>
        <w:t>On July 29, 2021, we completed our Initial Public Offering ("IPO"), which resulted in the issuance and sale of 8,248,549 shares of common stock, including 898,549 shares sold pursuant to the exercise of the underwriters’ over-allotment option at the IPO price of $16.00 per share. We received net proceeds of approximately $120.0 million from the IPO, after deducting underwriters’ discounts and commissions of $9.2 million and offering costs of $3.2 million.</w:t>
      </w:r>
    </w:p>
    <w:p>
      <w:pPr>
        <w:spacing w:after="0" w:line="77" w:lineRule="exact"/>
        <w:rPr>
          <w:sz w:val="20"/>
          <w:szCs w:val="20"/>
          <w:color w:val="auto"/>
        </w:rPr>
      </w:pPr>
    </w:p>
    <w:p>
      <w:pPr>
        <w:ind w:right="20" w:firstLine="374"/>
        <w:spacing w:after="0" w:line="270" w:lineRule="auto"/>
        <w:rPr>
          <w:sz w:val="20"/>
          <w:szCs w:val="20"/>
          <w:color w:val="auto"/>
        </w:rPr>
      </w:pPr>
      <w:r>
        <w:rPr>
          <w:rFonts w:ascii="Arial" w:cs="Arial" w:eastAsia="Arial" w:hAnsi="Arial"/>
          <w:sz w:val="18"/>
          <w:szCs w:val="18"/>
          <w:color w:val="auto"/>
        </w:rPr>
        <w:t>Prior to our IPO, our primary sources of capital had been private placements of preferred stock, a structured transaction with a strategic partner, debt financing and revenue from sales of our products. Since inception, we raised a total of $191.3 million in net proceeds from private placements of preferred stock, $120 million from a strategic partner, approximately $39.2 million in net proceeds from a credit facility, and approximately $11.0 million from issuance of common stock primarily from stock option exercises. As of September 30, 2021, we had cash and cash equivalents of $68.3 million, short-term investments of $100.0 million, long-term debt of $39.6 million and an accumulated deficit of $463.5 million. We generated net sales of $14.2 million and had a net loss of $33.0 million for the nine months ended September 30, 2021, as compared to sales of $9.8 million and net income of $1.3 million for the nine months ended September 30, 2020.</w:t>
      </w:r>
    </w:p>
    <w:p>
      <w:pPr>
        <w:spacing w:after="0" w:line="85" w:lineRule="exact"/>
        <w:rPr>
          <w:sz w:val="20"/>
          <w:szCs w:val="20"/>
          <w:color w:val="auto"/>
        </w:rPr>
      </w:pPr>
    </w:p>
    <w:p>
      <w:pPr>
        <w:ind w:right="80" w:firstLine="374"/>
        <w:spacing w:after="0" w:line="308" w:lineRule="auto"/>
        <w:rPr>
          <w:sz w:val="20"/>
          <w:szCs w:val="20"/>
          <w:color w:val="auto"/>
        </w:rPr>
      </w:pPr>
      <w:r>
        <w:rPr>
          <w:rFonts w:ascii="Arial" w:cs="Arial" w:eastAsia="Arial" w:hAnsi="Arial"/>
          <w:sz w:val="16"/>
          <w:szCs w:val="16"/>
          <w:color w:val="auto"/>
        </w:rPr>
        <w:t>We intend to continue to make significant investments in our sales and marketing organization, primarily sales representatives, clinical applications specialists and technical service personnel to support new customers and upgrades and practice development personnel to facilitate adoption of use of our RxLALs among existing accounts. We will expand our marketing efforts with additional advertising and customer tools to expand their local advertising. We will also continue to make significant investments in research and development and clinical expenses to make enhancements in our current products. As a public company, we will incur costs that we have not previously incurred or have previously incurred at lower rates, including increased costs for employee-related expenses, director and officer insurance premiums, audit and legal fees, investor relations fees, fees to members of our board of directors and expenses for compliance with public-company reporting requirements. Because of these and other factors, we expect to continue to incur substantial net losses and negative cash flows from operations for at least the next several years.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lease agreements</w:t>
      </w:r>
    </w:p>
    <w:p>
      <w:pPr>
        <w:spacing w:after="0" w:line="135" w:lineRule="exact"/>
        <w:rPr>
          <w:sz w:val="20"/>
          <w:szCs w:val="20"/>
          <w:color w:val="auto"/>
        </w:rPr>
      </w:pPr>
    </w:p>
    <w:p>
      <w:pPr>
        <w:ind w:right="20" w:firstLine="374"/>
        <w:spacing w:after="0" w:line="275" w:lineRule="auto"/>
        <w:rPr>
          <w:sz w:val="20"/>
          <w:szCs w:val="20"/>
          <w:color w:val="auto"/>
        </w:rPr>
      </w:pPr>
      <w:r>
        <w:rPr>
          <w:rFonts w:ascii="Arial" w:cs="Arial" w:eastAsia="Arial" w:hAnsi="Arial"/>
          <w:sz w:val="18"/>
          <w:szCs w:val="18"/>
          <w:color w:val="auto"/>
        </w:rPr>
        <w:t>We currently lease three facilities housing our headquarters, manufacturing, research and development and administrative offices in Aliso Viejo, California. The facility leases are for approximately 109,822 square feet in the aggregate. The leases terminate, respectively, on (i) September 30, 2024, with one option to extend for five years; (ii) January 31, 2026, with three options to extend for five years each; and (iii) March 31, 2023 with two options to extend for five years each.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48" w:lineRule="exact"/>
        <w:rPr>
          <w:sz w:val="20"/>
          <w:szCs w:val="20"/>
          <w:color w:val="auto"/>
        </w:rPr>
      </w:pPr>
    </w:p>
    <w:p>
      <w:pPr>
        <w:ind w:right="80" w:firstLine="374"/>
        <w:spacing w:after="0" w:line="288" w:lineRule="auto"/>
        <w:rPr>
          <w:sz w:val="20"/>
          <w:szCs w:val="20"/>
          <w:color w:val="auto"/>
        </w:rPr>
      </w:pPr>
      <w:r>
        <w:rPr>
          <w:rFonts w:ascii="Arial" w:cs="Arial" w:eastAsia="Arial" w:hAnsi="Arial"/>
          <w:sz w:val="17"/>
          <w:szCs w:val="17"/>
          <w:color w:val="auto"/>
        </w:rPr>
        <w:t>We are subject to the continuing risks related to the public health crises, primarily the global pandemic associated with COVID-19. In December 2019, a novel strain of coronavirus, SARS-CoV-2, was reported to have surfaced in Wuhan, China. Since then, SARS-CoV-2, and the resulting disease COVID-19, has spread to most countries, and all 50 states within the United States. The COVID-19 outbreak has negatively impacted and may continue to negatively impact our operations and revenues and overall financial condition, similar to other medical device manufacturers, by decreasing the number of our products sold. RxSight has a limited commercial history, as all but eight months of commercial history has occurred during the COVID-19 crisis. Total IOL procedure volume dropped 17% in the US and 25% globally from 2019 to 2020 due principally to the COVID-19 pandemic, as health care organizations globally have prioritized the treatment of patients with COVID-19. In the United States,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1" w:name="page32"/>
    <w:bookmarkEnd w:id="31"/>
    <w:p>
      <w:pPr>
        <w:ind w:right="100"/>
        <w:spacing w:after="0" w:line="275" w:lineRule="auto"/>
        <w:rPr>
          <w:sz w:val="20"/>
          <w:szCs w:val="20"/>
          <w:color w:val="auto"/>
        </w:rPr>
      </w:pPr>
      <w:r>
        <w:rPr>
          <w:rFonts w:ascii="Arial" w:cs="Arial" w:eastAsia="Arial" w:hAnsi="Arial"/>
          <w:sz w:val="18"/>
          <w:szCs w:val="18"/>
          <w:color w:val="auto"/>
        </w:rPr>
        <w:t>governmental authorities had recommended, and in certain cases required, that elective, specialty and other procedures and appointments, be suspended or canceled to avoid non-essential patient exposure to medical environments and potential infection with COVID-19 and to focus limited resources and personnel capacity toward the treatment of COVID-19. These measures and challenges may continue for the duration of the pandemic, which is uncertain, and will reduce our revenue while the pandemic continues.</w:t>
      </w:r>
    </w:p>
    <w:p>
      <w:pPr>
        <w:spacing w:after="0" w:line="77" w:lineRule="exact"/>
        <w:rPr>
          <w:sz w:val="20"/>
          <w:szCs w:val="20"/>
          <w:color w:val="auto"/>
        </w:rPr>
      </w:pPr>
    </w:p>
    <w:p>
      <w:pPr>
        <w:ind w:right="100" w:firstLine="374"/>
        <w:spacing w:after="0" w:line="305" w:lineRule="auto"/>
        <w:rPr>
          <w:sz w:val="20"/>
          <w:szCs w:val="20"/>
          <w:color w:val="auto"/>
        </w:rPr>
      </w:pPr>
      <w:r>
        <w:rPr>
          <w:rFonts w:ascii="Arial" w:cs="Arial" w:eastAsia="Arial" w:hAnsi="Arial"/>
          <w:sz w:val="16"/>
          <w:szCs w:val="16"/>
          <w:color w:val="auto"/>
        </w:rPr>
        <w:t>Numerous state and local jurisdictions imposed, and in the future may impose, “shelter-in-place” orders, quarantines, executive orders and similar government orders and restrictions for their residents to control the spread of COVID-19. Starting in mid-March 2020, the governor of California, where our headquarters is located, issued “shelter-in-place” or “stay at home” orders restricting non-essential activities, travel and business operations for an indefinite period of time, subject to certain exceptions for necessary activities. Such orders or restrictions have resulted in our headquarters closing, work stoppages, slowdowns and delays, travel restrictions and cancellation of training and other events, among other effects, thereby negatively impacting our operations. Other disruptions or potential disruptions to our business and supply chain include restrictions on our personnel and personnel of partners to travel and access customers for training and case support; delays in approvals by regulatory bodies; delays in product development efforts; and additional government requirements or other incremental mitigation efforts that may further impact our capacity to manufacture, sell and support the use of our RxSight system. In addition, even after the “shelter-in-place” orders, quarantines, executive orders and similar government orders and restrictions for their residents to control the spread of COVID-19 were significantly reduced in the second quarter of 2021, we continue to experience disruptions to our business, including patients and customers continuing to be cautious in restarting elective procedures in light of the continued risk posed by the virus.</w:t>
      </w:r>
    </w:p>
    <w:p>
      <w:pPr>
        <w:spacing w:after="0" w:line="61" w:lineRule="exact"/>
        <w:rPr>
          <w:sz w:val="20"/>
          <w:szCs w:val="20"/>
          <w:color w:val="auto"/>
        </w:rPr>
      </w:pPr>
    </w:p>
    <w:p>
      <w:pPr>
        <w:ind w:right="20" w:firstLine="374"/>
        <w:spacing w:after="0" w:line="287" w:lineRule="auto"/>
        <w:rPr>
          <w:sz w:val="20"/>
          <w:szCs w:val="20"/>
          <w:color w:val="auto"/>
        </w:rPr>
      </w:pPr>
      <w:r>
        <w:rPr>
          <w:rFonts w:ascii="Arial" w:cs="Arial" w:eastAsia="Arial" w:hAnsi="Arial"/>
          <w:sz w:val="17"/>
          <w:szCs w:val="17"/>
          <w:color w:val="auto"/>
        </w:rPr>
        <w:t>As we continue to actively advance our clinical, discovery and research programs, we are in close contact with the third parties we engage with, who are primarily located in the United States, and are assessing the impact of the COVID-19 pandemic on each of our programs, expected timelines and costs on an ongoing basis. In light of ongoing developments relating to the COVID-19 pandemic, the focus of healthcare providers on fighting the virus, and consistent with the FDA’s industry guidance for conducting clinical trials, we and our contract research organizations have made certain adjustments to the operation of our clinical trials in an effort to ensure the monitoring and safety of patients and minimize risk to trial integrity during the pandemic and generally. Other COVID-related guidance recently released by the FDA includes statistical considerations for clinical trials conducted during the COVID-19 public health emergency and post marketing adverse event reporting for medical products during a pandemic. We may need to make further adjustments in the future, including implementation of new policies and procedures.</w:t>
      </w:r>
    </w:p>
    <w:p>
      <w:pPr>
        <w:spacing w:after="0" w:line="74" w:lineRule="exact"/>
        <w:rPr>
          <w:sz w:val="20"/>
          <w:szCs w:val="20"/>
          <w:color w:val="auto"/>
        </w:rPr>
      </w:pPr>
    </w:p>
    <w:p>
      <w:pPr>
        <w:ind w:right="40" w:firstLine="374"/>
        <w:spacing w:after="0" w:line="269" w:lineRule="auto"/>
        <w:rPr>
          <w:sz w:val="20"/>
          <w:szCs w:val="20"/>
          <w:color w:val="auto"/>
        </w:rPr>
      </w:pPr>
      <w:r>
        <w:rPr>
          <w:rFonts w:ascii="Arial" w:cs="Arial" w:eastAsia="Arial" w:hAnsi="Arial"/>
          <w:sz w:val="18"/>
          <w:szCs w:val="18"/>
          <w:color w:val="auto"/>
        </w:rPr>
        <w:t>While the potential economic impact brought by and the duration of COVID-19 may be difficult to assess or predict, the widespread pandemic has resulted in, and may continue to result in, significant disruption of global financial markets, reducing our ability to access capital, which could in the future negatively affect our liquidity. We expect any further shelter-in-place policies and restrictions on elective surgical procedures worldwide to have a substantial near-term impact on our revenue. During the COVID-19 pandemic, our customers, including doctors, have experienced financial hardship and some of them may not fully recover. This could lead to some of these customers temporarily or permanently shutting down, filing for bankruptcy or being acquired by larger health systems, leading to reduced procedures and/or additional pricing pressure on our products. The COVID-19 pandemic has also resulted in a significant increase in unemployment in the United States which may continue even after the pandemic. The occurrence of any such events may lead to reduced disposable income and access to health insurance which could adversely affect the number of our RxSight systems sold after the pandemic has ended.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48"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We regularly review several operating and financial metrics to evaluate our business, measure our performance, identify trends affecting our business, formulate our business plan and make strategic decisions. We believe the number of LDDs installed, RxLALs implanted and the number of doctors performing surgery with our products are indicators of our ability to drive adoption and generate revenue. We believe these are important metrics for our business. Due to our limited commercial history, all but eight months of which have occurred during the COVID-19 pandemic, we are not yet able to assess seasonality and other trends, and we will continue to evaluate our business in the future using these and other financial metrics as we observe trends in our business.</w:t>
      </w:r>
    </w:p>
    <w:p>
      <w:pPr>
        <w:spacing w:after="0" w:line="83" w:lineRule="exact"/>
        <w:rPr>
          <w:sz w:val="20"/>
          <w:szCs w:val="20"/>
          <w:color w:val="auto"/>
        </w:rPr>
      </w:pPr>
    </w:p>
    <w:p>
      <w:pPr>
        <w:ind w:right="140" w:firstLine="374"/>
        <w:spacing w:after="0" w:line="293" w:lineRule="auto"/>
        <w:rPr>
          <w:sz w:val="20"/>
          <w:szCs w:val="20"/>
          <w:color w:val="auto"/>
        </w:rPr>
      </w:pPr>
      <w:r>
        <w:rPr>
          <w:rFonts w:ascii="Arial" w:cs="Arial" w:eastAsia="Arial" w:hAnsi="Arial"/>
          <w:sz w:val="18"/>
          <w:szCs w:val="18"/>
          <w:color w:val="auto"/>
        </w:rPr>
        <w:t>We believe the number of LDDs sold in each quarter and our LDD installed base at the end of each period are important metrics as they represent an installed base into which we can sell our RxLALs.</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2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17"/>
                <w:szCs w:val="17"/>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Q3</w:t>
            </w:r>
          </w:p>
        </w:tc>
        <w:tc>
          <w:tcPr>
            <w:tcW w:w="220" w:type="dxa"/>
            <w:vAlign w:val="bottom"/>
          </w:tcPr>
          <w:p>
            <w:pPr>
              <w:spacing w:after="0"/>
              <w:rPr>
                <w:sz w:val="17"/>
                <w:szCs w:val="17"/>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7"/>
                <w:szCs w:val="17"/>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Q3</w:t>
            </w:r>
          </w:p>
        </w:tc>
        <w:tc>
          <w:tcPr>
            <w:tcW w:w="220" w:type="dxa"/>
            <w:vAlign w:val="bottom"/>
          </w:tcPr>
          <w:p>
            <w:pPr>
              <w:spacing w:after="0"/>
              <w:rPr>
                <w:sz w:val="17"/>
                <w:szCs w:val="17"/>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7"/>
                <w:szCs w:val="17"/>
                <w:color w:val="auto"/>
              </w:rPr>
            </w:pP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7"/>
                <w:szCs w:val="17"/>
                <w:color w:val="auto"/>
              </w:rPr>
            </w:pPr>
          </w:p>
        </w:tc>
        <w:tc>
          <w:tcPr>
            <w:tcW w:w="5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Q3</w:t>
            </w:r>
          </w:p>
        </w:tc>
        <w:tc>
          <w:tcPr>
            <w:tcW w:w="200" w:type="dxa"/>
            <w:vAlign w:val="bottom"/>
          </w:tcPr>
          <w:p>
            <w:pPr>
              <w:spacing w:after="0"/>
              <w:rPr>
                <w:sz w:val="17"/>
                <w:szCs w:val="17"/>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7"/>
                <w:szCs w:val="17"/>
                <w:color w:val="auto"/>
              </w:rPr>
            </w:pPr>
          </w:p>
        </w:tc>
      </w:tr>
      <w:tr>
        <w:trPr>
          <w:trHeight w:val="256"/>
        </w:trPr>
        <w:tc>
          <w:tcPr>
            <w:tcW w:w="2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LDDs Sold</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22"/>
                <w:szCs w:val="22"/>
                <w:color w:val="auto"/>
              </w:rPr>
            </w:pPr>
          </w:p>
        </w:tc>
        <w:tc>
          <w:tcPr>
            <w:tcW w:w="56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88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22"/>
                <w:szCs w:val="22"/>
                <w:color w:val="auto"/>
              </w:rPr>
            </w:pPr>
          </w:p>
        </w:tc>
      </w:tr>
      <w:tr>
        <w:trPr>
          <w:trHeight w:val="25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Installed Base at End of Period</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21"/>
                <w:szCs w:val="21"/>
                <w:color w:val="auto"/>
              </w:rPr>
            </w:pP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r>
    </w:tbl>
    <w:p>
      <w:pPr>
        <w:spacing w:after="0" w:line="130" w:lineRule="exact"/>
        <w:rPr>
          <w:sz w:val="20"/>
          <w:szCs w:val="20"/>
          <w:color w:val="auto"/>
        </w:rPr>
      </w:pPr>
    </w:p>
    <w:p>
      <w:pPr>
        <w:ind w:left="360" w:hanging="339"/>
        <w:spacing w:after="0"/>
        <w:tabs>
          <w:tab w:leader="none" w:pos="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One LDD placed for rent Q3 2019 at a university &amp; one LDD converted from clinical to commercial use in Q3 2020</w:t>
      </w:r>
    </w:p>
    <w:p>
      <w:pPr>
        <w:spacing w:after="0" w:line="140" w:lineRule="exact"/>
        <w:rPr>
          <w:sz w:val="20"/>
          <w:szCs w:val="20"/>
          <w:color w:val="auto"/>
        </w:rPr>
      </w:pPr>
    </w:p>
    <w:p>
      <w:pPr>
        <w:ind w:right="120" w:firstLine="374"/>
        <w:spacing w:after="0" w:line="287" w:lineRule="auto"/>
        <w:rPr>
          <w:sz w:val="20"/>
          <w:szCs w:val="20"/>
          <w:color w:val="auto"/>
        </w:rPr>
      </w:pPr>
      <w:r>
        <w:rPr>
          <w:rFonts w:ascii="Arial" w:cs="Arial" w:eastAsia="Arial" w:hAnsi="Arial"/>
          <w:sz w:val="17"/>
          <w:szCs w:val="17"/>
          <w:color w:val="auto"/>
        </w:rPr>
        <w:t>We believe the number of RxLALs sold (reported as implanted in a patient) in each quarter is an important metric indicative of adoption and utilization of our RxSight system. While an important metric, the COVID-19 pandemic and severe weather in the first quarter 2021 impacted trends in our business. In the second quarter of 2020, the number of our RxLALs sold decreased as compared to the first quarter of 2020 as ambulatory surgery centers (ASCs), where most cataract surgeries are performed, were closed for elective surgeries for six or more weeks. In the third quarter 2020, LALs sold increased as compared to the second quarter of 2020, reflecting, we believe, some resurgence of surgeries when ASCs re-opened, with sales of RxLALs in the fourth quarter of 2020 continuing to increase sequentially, despite seasonal holidays. During the first quarter of 2021, however, the U.S. saw a resurgence in COVID-19 cases attributed to holiday travel and gatherings and severe weather in Texas and other southern states, resulting in reduced LAL sales for such period. During the third quarter of 2021, we saw increased RxLAL sales from strong adoption of our RxSight technology by practices and doctors combined with an increased LDD installed base.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Q2</w:t>
            </w: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Q3</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7"/>
                <w:szCs w:val="17"/>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Q2</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Q3</w:t>
            </w:r>
          </w:p>
        </w:tc>
        <w:tc>
          <w:tcPr>
            <w:tcW w:w="180" w:type="dxa"/>
            <w:vAlign w:val="bottom"/>
          </w:tcPr>
          <w:p>
            <w:pPr>
              <w:spacing w:after="0"/>
              <w:rPr>
                <w:sz w:val="17"/>
                <w:szCs w:val="17"/>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Q1</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Q3</w:t>
            </w:r>
          </w:p>
        </w:tc>
        <w:tc>
          <w:tcPr>
            <w:tcW w:w="140" w:type="dxa"/>
            <w:vAlign w:val="bottom"/>
          </w:tcPr>
          <w:p>
            <w:pPr>
              <w:spacing w:after="0"/>
              <w:rPr>
                <w:sz w:val="17"/>
                <w:szCs w:val="17"/>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7"/>
                <w:szCs w:val="17"/>
                <w:color w:val="auto"/>
              </w:rPr>
            </w:pPr>
          </w:p>
        </w:tc>
      </w:tr>
      <w:tr>
        <w:trPr>
          <w:trHeight w:val="256"/>
        </w:trPr>
        <w:tc>
          <w:tcPr>
            <w:tcW w:w="15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RxLALs Sold</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1,825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FF0FC"/>
          </w:tcPr>
          <w:p>
            <w:pPr>
              <w:spacing w:after="0"/>
              <w:rPr>
                <w:sz w:val="22"/>
                <w:szCs w:val="22"/>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31" w:lineRule="exact"/>
        <w:rPr>
          <w:sz w:val="20"/>
          <w:szCs w:val="20"/>
          <w:color w:val="auto"/>
        </w:rPr>
      </w:pPr>
    </w:p>
    <w:p>
      <w:pPr>
        <w:ind w:right="40" w:firstLine="374"/>
        <w:spacing w:after="0" w:line="314" w:lineRule="auto"/>
        <w:rPr>
          <w:sz w:val="20"/>
          <w:szCs w:val="20"/>
          <w:color w:val="auto"/>
        </w:rPr>
      </w:pPr>
      <w:r>
        <w:rPr>
          <w:rFonts w:ascii="Arial" w:cs="Arial" w:eastAsia="Arial" w:hAnsi="Arial"/>
          <w:sz w:val="16"/>
          <w:szCs w:val="16"/>
          <w:color w:val="auto"/>
        </w:rPr>
        <w:t>Our sales consists of the sale of RxLALs used in cataract surgeries, the LDDs for delivering light to the RxLALs to adjust the lens post-surgery, as needed, and service and accessories. Revenue is derived from sales of products primarily in the U.S. and sales to a single customer in each of Germany and Mexico. Customers are primarily comprised of ophthalmic practices (LDD sales) and ambulatory surgery centers (LAL sales). We expect revenue to increase in absolute dollars as we expand our sales organization and sales territories, add customers, expand the base of doctors that are trained to use our products, and expand awareness of our products with new and existing customers and as doctors perform more procedures using our products.</w:t>
      </w:r>
    </w:p>
    <w:p>
      <w:pPr>
        <w:spacing w:after="0" w:line="52" w:lineRule="exact"/>
        <w:rPr>
          <w:sz w:val="20"/>
          <w:szCs w:val="20"/>
          <w:color w:val="auto"/>
        </w:rPr>
      </w:pPr>
    </w:p>
    <w:p>
      <w:pPr>
        <w:ind w:firstLine="374"/>
        <w:spacing w:after="0" w:line="293" w:lineRule="auto"/>
        <w:rPr>
          <w:sz w:val="20"/>
          <w:szCs w:val="20"/>
          <w:color w:val="auto"/>
        </w:rPr>
      </w:pPr>
      <w:r>
        <w:rPr>
          <w:rFonts w:ascii="Arial" w:cs="Arial" w:eastAsia="Arial" w:hAnsi="Arial"/>
          <w:sz w:val="18"/>
          <w:szCs w:val="18"/>
          <w:color w:val="auto"/>
        </w:rPr>
        <w:t>RxLALs are held at customer sites on consignment. The single performance obligation is satisfied, and revenue is recognized for LALs upon customer notification that the RxLALs have been implanted in a patient.</w:t>
      </w:r>
    </w:p>
    <w:p>
      <w:pPr>
        <w:spacing w:after="0" w:line="62" w:lineRule="exact"/>
        <w:rPr>
          <w:sz w:val="20"/>
          <w:szCs w:val="20"/>
          <w:color w:val="auto"/>
        </w:rPr>
      </w:pPr>
    </w:p>
    <w:p>
      <w:pPr>
        <w:ind w:right="40" w:firstLine="374"/>
        <w:spacing w:after="0" w:line="271" w:lineRule="auto"/>
        <w:rPr>
          <w:sz w:val="20"/>
          <w:szCs w:val="20"/>
          <w:color w:val="auto"/>
        </w:rPr>
      </w:pPr>
      <w:r>
        <w:rPr>
          <w:rFonts w:ascii="Arial" w:cs="Arial" w:eastAsia="Arial" w:hAnsi="Arial"/>
          <w:sz w:val="18"/>
          <w:szCs w:val="18"/>
          <w:color w:val="auto"/>
        </w:rPr>
        <w:t>Our LDD contracts contain multiple performance obligations bundled into one transaction price, with all obligations generally satisfied within one year. The LDD capital asset and related components revenue is recognized upon installation and customer acceptance, training is recognized upon completion of training by at least one doctor, and the initial warranty and service agreement are recognized ratably over the service period. After the first year, service contracts can be purchased separately on a standalone basis. The Company deferred revenue of $449,000 and $248,000 related to such service agreements as of September 30, 2021 and December 31, 2020, respectively. Revenue for such service agreements will be recognized over the term of each contract.</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the three and nine months ended September 30, 2021 and 2020, sales from contracts with customers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40" w:type="dxa"/>
            <w:vAlign w:val="bottom"/>
          </w:tcPr>
          <w:p>
            <w:pPr>
              <w:spacing w:after="0"/>
              <w:rPr>
                <w:sz w:val="19"/>
                <w:szCs w:val="19"/>
                <w:color w:val="auto"/>
              </w:rPr>
            </w:pPr>
          </w:p>
        </w:tc>
        <w:tc>
          <w:tcPr>
            <w:tcW w:w="27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Three Months Ended September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4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30,</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0"/>
              </w:rPr>
              <w:t>Nine Months Ended September 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LDD (including training)</w:t>
            </w:r>
          </w:p>
        </w:tc>
        <w:tc>
          <w:tcPr>
            <w:tcW w:w="84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3,661</w:t>
            </w: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w:t>
            </w:r>
          </w:p>
        </w:tc>
        <w:tc>
          <w:tcPr>
            <w:tcW w:w="100" w:type="dxa"/>
            <w:vAlign w:val="bottom"/>
            <w:shd w:val="clear" w:color="auto" w:fill="CFF0FC"/>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8,463</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6,864</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RxLALs</w:t>
            </w: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1,944</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5,264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Accessories and Service Warranty</w:t>
            </w:r>
          </w:p>
        </w:tc>
        <w:tc>
          <w:tcPr>
            <w:tcW w:w="84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5,786</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4,170</w:t>
            </w:r>
          </w:p>
        </w:tc>
        <w:tc>
          <w:tcPr>
            <w:tcW w:w="5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14,167</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9,764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33</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544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4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-759460</wp:posOffset>
            </wp:positionV>
            <wp:extent cx="14541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-759460</wp:posOffset>
            </wp:positionV>
            <wp:extent cx="14605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-759460</wp:posOffset>
            </wp:positionV>
            <wp:extent cx="12890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-759460</wp:posOffset>
            </wp:positionV>
            <wp:extent cx="5143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33" w:name="page34"/>
    <w:bookmarkEnd w:id="33"/>
    <w:p>
      <w:pPr>
        <w:jc w:val="both"/>
        <w:ind w:right="220" w:firstLine="374"/>
        <w:spacing w:after="0" w:line="329" w:lineRule="auto"/>
        <w:rPr>
          <w:sz w:val="20"/>
          <w:szCs w:val="20"/>
          <w:color w:val="auto"/>
        </w:rPr>
      </w:pPr>
      <w:r>
        <w:rPr>
          <w:rFonts w:ascii="Arial" w:cs="Arial" w:eastAsia="Arial" w:hAnsi="Arial"/>
          <w:sz w:val="16"/>
          <w:szCs w:val="16"/>
          <w:color w:val="auto"/>
        </w:rPr>
        <w:t>For the three months ended September 30, 2021, we had one customer who individually accounted for approximately 11% of revenue. For the nine months ended September 30, 2021, we had no customer who individually accounted for more than 10% of revenue. For the three and nine months ended September 30, 2020, we had one customer who individually each accounted for approximately 33% and 37% of revenue,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31" w:lineRule="exact"/>
        <w:rPr>
          <w:sz w:val="20"/>
          <w:szCs w:val="20"/>
          <w:color w:val="auto"/>
        </w:rPr>
      </w:pPr>
    </w:p>
    <w:p>
      <w:pPr>
        <w:ind w:firstLine="374"/>
        <w:spacing w:after="0" w:line="292" w:lineRule="auto"/>
        <w:rPr>
          <w:sz w:val="20"/>
          <w:szCs w:val="20"/>
          <w:color w:val="auto"/>
        </w:rPr>
      </w:pPr>
      <w:r>
        <w:rPr>
          <w:rFonts w:ascii="Arial" w:cs="Arial" w:eastAsia="Arial" w:hAnsi="Arial"/>
          <w:sz w:val="17"/>
          <w:szCs w:val="17"/>
          <w:color w:val="auto"/>
        </w:rPr>
        <w:t>Cost of sales consists of materials, labor and manufacturing overhead internally to produce the Company’s products as well as the cost of shipping and handling. Overhead costs include the cost of quality assurance, material procurement, inventory control, facilities, equipment and operations supervision and management, including stock-based compensation. Cost of sales also includes depreciation expense for production equipment and certain direct costs such as shipping costs and royalty and license fee expense. Shipping costs billed to customers are included in sales. We expect cost of sales to increase in absolute dollars as our revenue grows and more of our products are sold.</w:t>
      </w:r>
    </w:p>
    <w:p>
      <w:pPr>
        <w:spacing w:after="0" w:line="66" w:lineRule="exact"/>
        <w:rPr>
          <w:sz w:val="20"/>
          <w:szCs w:val="20"/>
          <w:color w:val="auto"/>
        </w:rPr>
      </w:pPr>
    </w:p>
    <w:p>
      <w:pPr>
        <w:ind w:right="220" w:firstLine="374"/>
        <w:spacing w:after="0" w:line="275" w:lineRule="auto"/>
        <w:rPr>
          <w:sz w:val="20"/>
          <w:szCs w:val="20"/>
          <w:color w:val="auto"/>
        </w:rPr>
      </w:pPr>
      <w:r>
        <w:rPr>
          <w:rFonts w:ascii="Arial" w:cs="Arial" w:eastAsia="Arial" w:hAnsi="Arial"/>
          <w:sz w:val="18"/>
          <w:szCs w:val="18"/>
          <w:color w:val="auto"/>
        </w:rPr>
        <w:t>We calculate gross margin as gross profit/loss divided by sales.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as we introduce new products, and as we adopt new manufacturing processes and technologies.</w:t>
      </w:r>
    </w:p>
    <w:p>
      <w:pPr>
        <w:spacing w:after="0" w:line="77" w:lineRule="exact"/>
        <w:rPr>
          <w:sz w:val="20"/>
          <w:szCs w:val="20"/>
          <w:color w:val="auto"/>
        </w:rPr>
      </w:pPr>
    </w:p>
    <w:p>
      <w:pPr>
        <w:ind w:right="340" w:firstLine="374"/>
        <w:spacing w:after="0" w:line="275" w:lineRule="auto"/>
        <w:rPr>
          <w:sz w:val="20"/>
          <w:szCs w:val="20"/>
          <w:color w:val="auto"/>
        </w:rPr>
      </w:pPr>
      <w:r>
        <w:rPr>
          <w:rFonts w:ascii="Arial" w:cs="Arial" w:eastAsia="Arial" w:hAnsi="Arial"/>
          <w:sz w:val="18"/>
          <w:szCs w:val="18"/>
          <w:color w:val="auto"/>
        </w:rPr>
        <w:t>Our LDD, as is typical of many medical device capital equipment products, has a low gross margin, as the material cost of the LDD is significant, representing close to 50% of the total cost to manufacture. In addition, we do not mark up our LDD substantially, as LDDs, as sold, generate RxLAL procedures. Our RxLAL gross margin is higher, with low material cost but high fixed overhead costs. As our manufacturing volume of the RxLAL increases, we expect the gross margin may improve significantly.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1" w:lineRule="exact"/>
        <w:rPr>
          <w:sz w:val="20"/>
          <w:szCs w:val="20"/>
          <w:color w:val="auto"/>
        </w:rPr>
      </w:pPr>
    </w:p>
    <w:p>
      <w:pPr>
        <w:ind w:right="20" w:firstLine="374"/>
        <w:spacing w:after="0" w:line="269" w:lineRule="auto"/>
        <w:rPr>
          <w:sz w:val="20"/>
          <w:szCs w:val="20"/>
          <w:color w:val="auto"/>
        </w:rPr>
      </w:pPr>
      <w:r>
        <w:rPr>
          <w:rFonts w:ascii="Arial" w:cs="Arial" w:eastAsia="Arial" w:hAnsi="Arial"/>
          <w:sz w:val="18"/>
          <w:szCs w:val="18"/>
          <w:color w:val="auto"/>
        </w:rPr>
        <w:t>Selling, general and administrative, or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and tax fees, board of directors’ expenses, insurance costs, general corporate expenses and facilities-related expenses. We expect SG&amp;A expenses to continue to increase in absolute dollars as we expand our sales and marketing organization and infrastructure to both drive and support the anticipated growth in revenue and due to additional legal, accounting audit and tax fees, insurance and other expenses associated with being a public company.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 and benefits,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R&amp;D expenses as a percentage of revenue to vary over time depending on the level and timing of our new product development efforts, as well as our clinical development, clinical trials and registries and other related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w:t>
      </w:r>
    </w:p>
    <w:p>
      <w:pPr>
        <w:spacing w:after="0" w:line="131" w:lineRule="exact"/>
        <w:rPr>
          <w:sz w:val="20"/>
          <w:szCs w:val="20"/>
          <w:color w:val="auto"/>
        </w:rPr>
      </w:pPr>
    </w:p>
    <w:p>
      <w:pPr>
        <w:ind w:right="640" w:firstLine="374"/>
        <w:spacing w:after="0" w:line="293" w:lineRule="auto"/>
        <w:rPr>
          <w:sz w:val="20"/>
          <w:szCs w:val="20"/>
          <w:color w:val="auto"/>
        </w:rPr>
      </w:pPr>
      <w:r>
        <w:rPr>
          <w:rFonts w:ascii="Arial" w:cs="Arial" w:eastAsia="Arial" w:hAnsi="Arial"/>
          <w:sz w:val="18"/>
          <w:szCs w:val="18"/>
          <w:color w:val="auto"/>
        </w:rPr>
        <w:t>Change in fair value of warrants consists of gains and losses resulting from the remeasurement of the fair value of our preferred stock warrant liabilities at each balance sheet date. We continued to record adjustments to the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34" w:name="page35"/>
    <w:bookmarkEnd w:id="34"/>
    <w:p>
      <w:pPr>
        <w:ind w:right="220"/>
        <w:spacing w:after="0" w:line="293" w:lineRule="auto"/>
        <w:rPr>
          <w:sz w:val="20"/>
          <w:szCs w:val="20"/>
          <w:color w:val="auto"/>
        </w:rPr>
      </w:pPr>
      <w:r>
        <w:rPr>
          <w:rFonts w:ascii="Arial" w:cs="Arial" w:eastAsia="Arial" w:hAnsi="Arial"/>
          <w:sz w:val="18"/>
          <w:szCs w:val="18"/>
          <w:color w:val="auto"/>
        </w:rPr>
        <w:t>estimated fair value of the preferred stock warrants until the conversion of the underlying convertible preferred stock into common stock which occurred immediately prior to the completion of our IPO in July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1" w:lineRule="exact"/>
        <w:rPr>
          <w:sz w:val="20"/>
          <w:szCs w:val="20"/>
          <w:color w:val="auto"/>
        </w:rPr>
      </w:pPr>
    </w:p>
    <w:p>
      <w:pPr>
        <w:ind w:right="500" w:firstLine="374"/>
        <w:spacing w:after="0" w:line="293" w:lineRule="auto"/>
        <w:rPr>
          <w:sz w:val="20"/>
          <w:szCs w:val="20"/>
          <w:color w:val="auto"/>
        </w:rPr>
      </w:pPr>
      <w:r>
        <w:rPr>
          <w:rFonts w:ascii="Arial" w:cs="Arial" w:eastAsia="Arial" w:hAnsi="Arial"/>
          <w:sz w:val="18"/>
          <w:szCs w:val="18"/>
          <w:color w:val="auto"/>
        </w:rPr>
        <w:t>Interest expense consists primarily of interest incurred on our outstanding indebtedness and non-cash interest related to the amortization of debt discount and issuance costs associated with our indebtedness.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and other income, net consists primarily of interest income earned on our 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Accretion to redemption value of redeemable preferred stock and preferred stock options</w:t>
      </w:r>
    </w:p>
    <w:p>
      <w:pPr>
        <w:spacing w:after="0" w:line="131"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Due to the Special Redemption provision in place in our Articles of Incorporation and until the unexercised Series W Warrant expiration on March 31, 2021, all equity instruments were redeemable and evaluated as probable of redemption through early December 2020. No accretion was calculated during the three and nine months ended September 30, 2021. For common and preferred stock, the value of the accretion was calculated as the estimated future redemption amount accreted to the estimated redemption date using the effective interest rate. For stock options the value of accretion was calculated at the estimated future redemption amount less the strike price, recognized over the same period as the corresponding service period for which stock-based compensation is recognized.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31" w:lineRule="exact"/>
        <w:rPr>
          <w:sz w:val="20"/>
          <w:szCs w:val="20"/>
          <w:color w:val="auto"/>
        </w:rPr>
      </w:pPr>
    </w:p>
    <w:p>
      <w:pPr>
        <w:ind w:right="100" w:firstLine="374"/>
        <w:spacing w:after="0" w:line="329" w:lineRule="auto"/>
        <w:rPr>
          <w:sz w:val="20"/>
          <w:szCs w:val="20"/>
          <w:color w:val="auto"/>
        </w:rPr>
      </w:pPr>
      <w:r>
        <w:rPr>
          <w:rFonts w:ascii="Arial" w:cs="Arial" w:eastAsia="Arial" w:hAnsi="Arial"/>
          <w:sz w:val="16"/>
          <w:szCs w:val="16"/>
          <w:color w:val="auto"/>
        </w:rPr>
        <w:t>All components of comprehensive income (loss), including net income (loss), are reported in the condensed consolidated financial statements in the period in which they are recognized. Comprehensive income (loss) is defined as the change in equity during a period from transactions and other events and circumstances from non-owner sources, including unrealized gains and losses on short-term investments and foreign currency translation adjustments.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31" w:lineRule="exact"/>
        <w:rPr>
          <w:sz w:val="20"/>
          <w:szCs w:val="20"/>
          <w:color w:val="auto"/>
        </w:rPr>
      </w:pPr>
    </w:p>
    <w:p>
      <w:pPr>
        <w:ind w:firstLine="374"/>
        <w:spacing w:after="0" w:line="293" w:lineRule="auto"/>
        <w:rPr>
          <w:sz w:val="20"/>
          <w:szCs w:val="20"/>
          <w:color w:val="auto"/>
        </w:rPr>
      </w:pPr>
      <w:r>
        <w:rPr>
          <w:rFonts w:ascii="Arial" w:cs="Arial" w:eastAsia="Arial" w:hAnsi="Arial"/>
          <w:sz w:val="18"/>
          <w:szCs w:val="18"/>
          <w:color w:val="auto"/>
        </w:rPr>
        <w:t>The following table summarizes our results of operations for the three months ended September 30, 2021 and 2020 together with the dollar increase or decrease and percentage change in those items.</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1"/>
              </w:rPr>
              <w:t>Three Months Ended September 30,</w:t>
            </w:r>
          </w:p>
        </w:tc>
        <w:tc>
          <w:tcPr>
            <w:tcW w:w="360" w:type="dxa"/>
            <w:vAlign w:val="bottom"/>
          </w:tcPr>
          <w:p>
            <w:pPr>
              <w:spacing w:after="0"/>
              <w:rPr>
                <w:sz w:val="20"/>
                <w:szCs w:val="20"/>
                <w:color w:val="auto"/>
              </w:rPr>
            </w:pPr>
          </w:p>
        </w:tc>
        <w:tc>
          <w:tcPr>
            <w:tcW w:w="154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8"/>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w w:val="93"/>
              </w:rPr>
              <w:t>(in thousands, except share amounts, per-share data and</w:t>
            </w: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41"/>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percentages)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0"/>
                <w:szCs w:val="20"/>
                <w:color w:val="auto"/>
              </w:rPr>
            </w:pPr>
          </w:p>
        </w:tc>
      </w:tr>
      <w:tr>
        <w:trPr>
          <w:trHeight w:val="257"/>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5,786</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4,170</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38.8 %</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400" w:type="dxa"/>
            <w:vAlign w:val="bottom"/>
          </w:tcPr>
          <w:p>
            <w:pPr>
              <w:spacing w:after="0"/>
              <w:rPr>
                <w:sz w:val="21"/>
                <w:szCs w:val="21"/>
                <w:color w:val="auto"/>
              </w:rPr>
            </w:pPr>
          </w:p>
        </w:tc>
      </w:tr>
      <w:tr>
        <w:trPr>
          <w:trHeight w:val="250"/>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86.3 %</w:t>
            </w:r>
          </w:p>
        </w:tc>
      </w:tr>
      <w:tr>
        <w:trPr>
          <w:trHeight w:val="250"/>
        </w:trPr>
        <w:tc>
          <w:tcPr>
            <w:tcW w:w="4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00" w:type="dxa"/>
            <w:vAlign w:val="bottom"/>
            <w:tcBorders>
              <w:top w:val="single" w:sz="8" w:color="CFF0FC"/>
            </w:tcBorders>
          </w:tcPr>
          <w:p>
            <w:pPr>
              <w:spacing w:after="0"/>
              <w:rPr>
                <w:sz w:val="21"/>
                <w:szCs w:val="21"/>
                <w:color w:val="auto"/>
              </w:rPr>
            </w:pPr>
          </w:p>
        </w:tc>
      </w:tr>
      <w:tr>
        <w:trPr>
          <w:trHeight w:val="263"/>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9,076</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3,825</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5,251</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400" w:type="dxa"/>
            <w:vAlign w:val="bottom"/>
            <w:shd w:val="clear" w:color="auto" w:fill="CFF0FC"/>
          </w:tcPr>
          <w:p>
            <w:pPr>
              <w:spacing w:after="0"/>
              <w:rPr>
                <w:sz w:val="22"/>
                <w:szCs w:val="22"/>
                <w:color w:val="auto"/>
              </w:rPr>
            </w:pPr>
          </w:p>
        </w:tc>
      </w:tr>
      <w:tr>
        <w:trPr>
          <w:trHeight w:val="277"/>
        </w:trPr>
        <w:tc>
          <w:tcPr>
            <w:tcW w:w="46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5,377</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5,801</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(424 )</w:t>
            </w:r>
          </w:p>
        </w:tc>
        <w:tc>
          <w:tcPr>
            <w:tcW w:w="24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(7.3 )</w:t>
            </w:r>
          </w:p>
        </w:tc>
      </w:tr>
      <w:tr>
        <w:trPr>
          <w:trHeight w:val="230"/>
        </w:trPr>
        <w:tc>
          <w:tcPr>
            <w:tcW w:w="46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14,453</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9,626</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4,827</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4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(13,112 )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(8,906 )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(4,206 )</w:t>
            </w:r>
          </w:p>
        </w:tc>
        <w:tc>
          <w:tcPr>
            <w:tcW w:w="24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47.2 %</w:t>
            </w: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r>
      <w:tr>
        <w:trPr>
          <w:trHeight w:val="250"/>
        </w:trPr>
        <w:tc>
          <w:tcPr>
            <w:tcW w:w="4620" w:type="dxa"/>
            <w:vAlign w:val="bottom"/>
          </w:tcPr>
          <w:p>
            <w:pPr>
              <w:ind w:left="200"/>
              <w:spacing w:after="0"/>
              <w:rPr>
                <w:sz w:val="20"/>
                <w:szCs w:val="20"/>
                <w:color w:val="auto"/>
              </w:rPr>
            </w:pPr>
            <w:r>
              <w:rPr>
                <w:rFonts w:ascii="Arial" w:cs="Arial" w:eastAsia="Arial" w:hAnsi="Arial"/>
                <w:sz w:val="18"/>
                <w:szCs w:val="18"/>
                <w:color w:val="auto"/>
              </w:rPr>
              <w:t>Change in fair value of warrants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1,503</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39,518</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(38,015 )</w:t>
            </w:r>
          </w:p>
        </w:tc>
        <w:tc>
          <w:tcPr>
            <w:tcW w:w="2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(96.2 )%</w:t>
            </w:r>
          </w:p>
        </w:tc>
      </w:tr>
      <w:tr>
        <w:trPr>
          <w:trHeight w:val="263"/>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(1,079 )</w:t>
            </w:r>
          </w:p>
        </w:tc>
        <w:tc>
          <w:tcPr>
            <w:tcW w:w="32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(3 )</w:t>
            </w:r>
          </w:p>
        </w:tc>
        <w:tc>
          <w:tcPr>
            <w:tcW w:w="3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(1,076 )</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35,866.7</w:t>
            </w:r>
          </w:p>
        </w:tc>
        <w:tc>
          <w:tcPr>
            <w:tcW w:w="400" w:type="dxa"/>
            <w:vAlign w:val="bottom"/>
            <w:shd w:val="clear" w:color="auto" w:fill="CFF0FC"/>
          </w:tcPr>
          <w:p>
            <w:pPr>
              <w:spacing w:after="0"/>
              <w:rPr>
                <w:sz w:val="22"/>
                <w:szCs w:val="22"/>
                <w:color w:val="auto"/>
              </w:rPr>
            </w:pPr>
          </w:p>
        </w:tc>
      </w:tr>
      <w:tr>
        <w:trPr>
          <w:trHeight w:val="250"/>
        </w:trPr>
        <w:tc>
          <w:tcPr>
            <w:tcW w:w="462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(52 )</w:t>
            </w:r>
          </w:p>
        </w:tc>
        <w:tc>
          <w:tcPr>
            <w:tcW w:w="2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(82.5 )</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other income (expense), net:</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39,578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(39,143 )</w:t>
            </w: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(98.9 )%</w:t>
            </w:r>
          </w:p>
        </w:tc>
      </w:tr>
      <w:tr>
        <w:trPr>
          <w:trHeight w:val="20"/>
        </w:trPr>
        <w:tc>
          <w:tcPr>
            <w:tcW w:w="46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(12,677 )</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30,672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(43,349 )</w:t>
            </w:r>
          </w:p>
        </w:tc>
        <w:tc>
          <w:tcPr>
            <w:tcW w:w="2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(141.3 )</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7"/>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(4 )</w:t>
            </w: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(12 )</w:t>
            </w:r>
          </w:p>
        </w:tc>
        <w:tc>
          <w:tcPr>
            <w:tcW w:w="2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(150.0 )</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(12,673 )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30,664</w:t>
            </w:r>
          </w:p>
        </w:tc>
        <w:tc>
          <w:tcPr>
            <w:tcW w:w="2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(43,337 )</w:t>
            </w:r>
          </w:p>
        </w:tc>
        <w:tc>
          <w:tcPr>
            <w:tcW w:w="2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(141.3 )%</w:t>
            </w:r>
          </w:p>
        </w:tc>
      </w:tr>
      <w:tr>
        <w:trPr>
          <w:trHeight w:val="242"/>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Accretion to redemption value of redeemable</w:t>
            </w:r>
          </w:p>
        </w:tc>
        <w:tc>
          <w:tcPr>
            <w:tcW w:w="140" w:type="dxa"/>
            <w:vAlign w:val="bottom"/>
            <w:tcBorders>
              <w:top w:val="single" w:sz="8" w:color="auto"/>
            </w:tcBorders>
            <w:shd w:val="clear" w:color="auto" w:fill="CFF0FC"/>
          </w:tcPr>
          <w:p>
            <w:pPr>
              <w:spacing w:after="0"/>
              <w:rPr>
                <w:sz w:val="21"/>
                <w:szCs w:val="21"/>
                <w:color w:val="auto"/>
              </w:rPr>
            </w:pPr>
          </w:p>
        </w:tc>
        <w:tc>
          <w:tcPr>
            <w:tcW w:w="128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r>
      <w:tr>
        <w:trPr>
          <w:trHeight w:val="244"/>
        </w:trPr>
        <w:tc>
          <w:tcPr>
            <w:tcW w:w="46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preferred stock and redeemable stock options</w:t>
            </w:r>
          </w:p>
        </w:tc>
        <w:tc>
          <w:tcPr>
            <w:tcW w:w="1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(24,764 )</w:t>
            </w: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24,764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(100.0 )</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(12,673 )</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5,900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(18,573 )</w:t>
            </w:r>
          </w:p>
        </w:tc>
        <w:tc>
          <w:tcPr>
            <w:tcW w:w="2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(314.8 )</w:t>
            </w: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r>
      <w:tr>
        <w:trPr>
          <w:trHeight w:val="250"/>
        </w:trPr>
        <w:tc>
          <w:tcPr>
            <w:tcW w:w="4620" w:type="dxa"/>
            <w:vAlign w:val="bottom"/>
          </w:tcPr>
          <w:p>
            <w:pPr>
              <w:ind w:left="200"/>
              <w:spacing w:after="0"/>
              <w:rPr>
                <w:sz w:val="20"/>
                <w:szCs w:val="20"/>
                <w:color w:val="auto"/>
              </w:rPr>
            </w:pPr>
            <w:r>
              <w:rPr>
                <w:rFonts w:ascii="Arial" w:cs="Arial" w:eastAsia="Arial" w:hAnsi="Arial"/>
                <w:sz w:val="18"/>
                <w:szCs w:val="18"/>
                <w:color w:val="auto"/>
              </w:rPr>
              <w:t>Unrealized loss on short-term investments</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(5 )</w:t>
            </w: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(8 )</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(35.4 )</w:t>
            </w:r>
          </w:p>
        </w:tc>
      </w:tr>
      <w:tr>
        <w:trPr>
          <w:trHeight w:val="257"/>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loss</w:t>
            </w:r>
          </w:p>
        </w:tc>
        <w:tc>
          <w:tcPr>
            <w:tcW w:w="14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(3 )</w:t>
            </w:r>
          </w:p>
        </w:tc>
        <w:tc>
          <w:tcPr>
            <w:tcW w:w="32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(9 )</w:t>
            </w:r>
          </w:p>
        </w:tc>
        <w:tc>
          <w:tcPr>
            <w:tcW w:w="3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(64.2 )</w:t>
            </w:r>
          </w:p>
        </w:tc>
      </w:tr>
      <w:tr>
        <w:trPr>
          <w:trHeight w:val="20"/>
        </w:trPr>
        <w:tc>
          <w:tcPr>
            <w:tcW w:w="46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Total other comprehensive loss</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(8 )</w:t>
            </w: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(17 )</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(50.7 )</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0"/>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(12,681 )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30,647</w:t>
            </w:r>
          </w:p>
        </w:tc>
        <w:tc>
          <w:tcPr>
            <w:tcW w:w="280" w:type="dxa"/>
            <w:vAlign w:val="bottom"/>
            <w:shd w:val="clear" w:color="auto" w:fill="CFF0FC"/>
          </w:tcPr>
          <w:p>
            <w:pPr>
              <w:spacing w:after="0"/>
              <w:rPr>
                <w:sz w:val="23"/>
                <w:szCs w:val="23"/>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(43,328 )</w:t>
            </w:r>
          </w:p>
        </w:tc>
        <w:tc>
          <w:tcPr>
            <w:tcW w:w="240" w:type="dxa"/>
            <w:vAlign w:val="bottom"/>
            <w:shd w:val="clear" w:color="auto" w:fill="CFF0FC"/>
          </w:tcPr>
          <w:p>
            <w:pPr>
              <w:spacing w:after="0"/>
              <w:rPr>
                <w:sz w:val="23"/>
                <w:szCs w:val="23"/>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(141.4 )%</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-3502660</wp:posOffset>
            </wp:positionV>
            <wp:extent cx="17970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-3502660</wp:posOffset>
            </wp:positionV>
            <wp:extent cx="17970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-3502660</wp:posOffset>
            </wp:positionV>
            <wp:extent cx="16256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-3502660</wp:posOffset>
            </wp:positionV>
            <wp:extent cx="25717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-2834005</wp:posOffset>
            </wp:positionV>
            <wp:extent cx="17970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-2834005</wp:posOffset>
            </wp:positionV>
            <wp:extent cx="17970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-2834005</wp:posOffset>
            </wp:positionV>
            <wp:extent cx="16256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6867525</wp:posOffset>
            </wp:positionH>
            <wp:positionV relativeFrom="paragraph">
              <wp:posOffset>-3012440</wp:posOffset>
            </wp:positionV>
            <wp:extent cx="282575" cy="1968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2575" cy="19685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-1839595</wp:posOffset>
            </wp:positionV>
            <wp:extent cx="17970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-1839595</wp:posOffset>
            </wp:positionV>
            <wp:extent cx="17970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-1839595</wp:posOffset>
            </wp:positionV>
            <wp:extent cx="16256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-1839595</wp:posOffset>
            </wp:positionV>
            <wp:extent cx="25717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-365125</wp:posOffset>
            </wp:positionV>
            <wp:extent cx="17970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-365125</wp:posOffset>
            </wp:positionV>
            <wp:extent cx="17970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-365125</wp:posOffset>
            </wp:positionV>
            <wp:extent cx="16256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-365125</wp:posOffset>
            </wp:positionV>
            <wp:extent cx="25717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17970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-8255</wp:posOffset>
            </wp:positionV>
            <wp:extent cx="17970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17970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17970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1625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1625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-24765</wp:posOffset>
            </wp:positionV>
            <wp:extent cx="25717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-8255</wp:posOffset>
            </wp:positionV>
            <wp:extent cx="25717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31" w:lineRule="exact"/>
        <w:rPr>
          <w:sz w:val="20"/>
          <w:szCs w:val="20"/>
          <w:color w:val="auto"/>
        </w:rPr>
      </w:pPr>
    </w:p>
    <w:p>
      <w:pPr>
        <w:ind w:right="280" w:firstLine="374"/>
        <w:spacing w:after="0" w:line="279" w:lineRule="auto"/>
        <w:rPr>
          <w:sz w:val="20"/>
          <w:szCs w:val="20"/>
          <w:color w:val="auto"/>
        </w:rPr>
      </w:pPr>
      <w:r>
        <w:rPr>
          <w:rFonts w:ascii="Arial" w:cs="Arial" w:eastAsia="Arial" w:hAnsi="Arial"/>
          <w:sz w:val="18"/>
          <w:szCs w:val="18"/>
          <w:color w:val="auto"/>
        </w:rPr>
        <w:t>Sales increased by $1.6 million, or 38.8%, to $5.8 million for the three months ended September 30, 2021, from $4.2 million for the three months ended September 30, 2020. The increase in total sales was primarily due to sales of 464 more LALs with an increased average selling price and 11 more LDDs.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Cost of sales</w:t>
      </w:r>
    </w:p>
    <w:p>
      <w:pPr>
        <w:spacing w:after="0" w:line="131" w:lineRule="exact"/>
        <w:rPr>
          <w:sz w:val="20"/>
          <w:szCs w:val="20"/>
          <w:color w:val="auto"/>
        </w:rPr>
      </w:pPr>
    </w:p>
    <w:p>
      <w:pPr>
        <w:ind w:right="60" w:firstLine="374"/>
        <w:spacing w:after="0" w:line="272" w:lineRule="auto"/>
        <w:rPr>
          <w:sz w:val="20"/>
          <w:szCs w:val="20"/>
          <w:color w:val="auto"/>
        </w:rPr>
      </w:pPr>
      <w:r>
        <w:rPr>
          <w:rFonts w:ascii="Arial" w:cs="Arial" w:eastAsia="Arial" w:hAnsi="Arial"/>
          <w:sz w:val="18"/>
          <w:szCs w:val="18"/>
          <w:color w:val="auto"/>
        </w:rPr>
        <w:t>Cost of sales increased by $0.9 million, or 28.8%, to $4.4 million for the three months ended September 30, 2021, from $3.5 million for the three months ended September 30, 2020, primarily due to the increase in the number of RxLALs and LDDs sold and by the recording of an additional $0.6 million reserve for excess LAL inventory as a result of the recent introduction of an updated RxLAL including our ActivShield technology. Gross margin increased to 23.2% in the three months ended September 30, 2021, from 17.3% for the three months ended September 30, 2020 due to improved operating leverage.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1" w:lineRule="exact"/>
        <w:rPr>
          <w:sz w:val="20"/>
          <w:szCs w:val="20"/>
          <w:color w:val="auto"/>
        </w:rPr>
      </w:pPr>
    </w:p>
    <w:p>
      <w:pPr>
        <w:ind w:right="160" w:firstLine="374"/>
        <w:spacing w:after="0" w:line="271" w:lineRule="auto"/>
        <w:rPr>
          <w:sz w:val="20"/>
          <w:szCs w:val="20"/>
          <w:color w:val="auto"/>
        </w:rPr>
      </w:pPr>
      <w:r>
        <w:rPr>
          <w:rFonts w:ascii="Arial" w:cs="Arial" w:eastAsia="Arial" w:hAnsi="Arial"/>
          <w:sz w:val="18"/>
          <w:szCs w:val="18"/>
          <w:color w:val="auto"/>
        </w:rPr>
        <w:t>Selling, general and administrative expenses increased by $5.3 million, or 137.3%, to $9.1 million for the three months ended September 30, 2021, from $3.8 million for the three months ended September 30, 2020 . This increase was primarily attributable to an increase in selling and marketing personnel costs of $2.0 million due mainly to additional headcount as well as increased travel costs of $0.3 million and increased trade show costs of $0.3 million when compared to the three months ended September 30, 2020, due to temporary reduction in travel costs caused by COVID-19 for the three months ended September 30, 2020. General and administrative personnel expenses increased by $2.2 million due primarily to increased costs related to operating as a public company,</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ind w:right="220"/>
        <w:spacing w:after="0" w:line="293" w:lineRule="auto"/>
        <w:rPr>
          <w:sz w:val="20"/>
          <w:szCs w:val="20"/>
          <w:color w:val="auto"/>
        </w:rPr>
      </w:pPr>
      <w:r>
        <w:rPr>
          <w:rFonts w:ascii="Arial" w:cs="Arial" w:eastAsia="Arial" w:hAnsi="Arial"/>
          <w:sz w:val="18"/>
          <w:szCs w:val="18"/>
          <w:color w:val="auto"/>
        </w:rPr>
        <w:t>increased headcount, reinstatement of incentive bonuses and increased stock-based compensation as well as temporary reductions in salaries that were in place for the three months ended September 30, 2020.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ind w:right="140" w:firstLine="374"/>
        <w:spacing w:after="0" w:line="275" w:lineRule="auto"/>
        <w:rPr>
          <w:sz w:val="20"/>
          <w:szCs w:val="20"/>
          <w:color w:val="auto"/>
        </w:rPr>
      </w:pPr>
      <w:r>
        <w:rPr>
          <w:rFonts w:ascii="Arial" w:cs="Arial" w:eastAsia="Arial" w:hAnsi="Arial"/>
          <w:sz w:val="18"/>
          <w:szCs w:val="18"/>
          <w:color w:val="auto"/>
        </w:rPr>
        <w:t>Research and development expenses decreased by $0.4 million, or 7.3%, to $5.4 million for the three months ended September 30, 2021, from $5.8 million for the three months ended September 30, 2020. This decrease was primarily attributable to decreased clinical study costs of $0.4 million and reduced material costs of $0.4 million which were partially offset by increased personnel costs of $0.4 million due to temporary reductions in salaries that were in place for the three months ended September 30,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1" w:lineRule="exact"/>
        <w:rPr>
          <w:sz w:val="20"/>
          <w:szCs w:val="20"/>
          <w:color w:val="auto"/>
        </w:rPr>
      </w:pPr>
    </w:p>
    <w:p>
      <w:pPr>
        <w:ind w:right="260" w:firstLine="374"/>
        <w:spacing w:after="0" w:line="279" w:lineRule="auto"/>
        <w:rPr>
          <w:sz w:val="20"/>
          <w:szCs w:val="20"/>
          <w:color w:val="auto"/>
        </w:rPr>
      </w:pPr>
      <w:r>
        <w:rPr>
          <w:rFonts w:ascii="Arial" w:cs="Arial" w:eastAsia="Arial" w:hAnsi="Arial"/>
          <w:sz w:val="18"/>
          <w:szCs w:val="18"/>
          <w:color w:val="auto"/>
        </w:rPr>
        <w:t>Other income (expense), net, decreased by $39.2 million to income of $0.4 million for the three months ended September 30, 2021 from income of $39.6 million for the three months ended September 30, 2020 due to the change in the fair value of liability classified warrants of $38.0 million and an increase in interest expense of $1.1 million on our term loan.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Accretion to redemption value of redeemable preferred stock and redeemable stock options</w:t>
      </w:r>
    </w:p>
    <w:p>
      <w:pPr>
        <w:spacing w:after="0" w:line="131" w:lineRule="exact"/>
        <w:rPr>
          <w:sz w:val="20"/>
          <w:szCs w:val="20"/>
          <w:color w:val="auto"/>
        </w:rPr>
      </w:pPr>
    </w:p>
    <w:p>
      <w:pPr>
        <w:ind w:firstLine="374"/>
        <w:spacing w:after="0" w:line="279" w:lineRule="auto"/>
        <w:rPr>
          <w:sz w:val="20"/>
          <w:szCs w:val="20"/>
          <w:color w:val="auto"/>
        </w:rPr>
      </w:pPr>
      <w:r>
        <w:rPr>
          <w:rFonts w:ascii="Arial" w:cs="Arial" w:eastAsia="Arial" w:hAnsi="Arial"/>
          <w:sz w:val="18"/>
          <w:szCs w:val="18"/>
          <w:color w:val="auto"/>
        </w:rPr>
        <w:t>No accretion to redemption value of redeemable preferred stock and redeemable stock options was recorded during the three months ended September 30, 2021 due to the expiration of the Common W warrant on March 31, 2021. Accretion to redemption value of redeemable preferred stock and redeemable stock options was $24.8 million for the three months ended September 30, 2020.</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7" w:name="page38"/>
    <w:bookmarkEnd w:id="37"/>
    <w:p>
      <w:pPr>
        <w:ind w:left="20"/>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31" w:lineRule="exact"/>
        <w:rPr>
          <w:sz w:val="20"/>
          <w:szCs w:val="20"/>
          <w:color w:val="auto"/>
        </w:rPr>
      </w:pPr>
    </w:p>
    <w:p>
      <w:pPr>
        <w:ind w:right="320" w:firstLine="374"/>
        <w:spacing w:after="0" w:line="293" w:lineRule="auto"/>
        <w:rPr>
          <w:sz w:val="20"/>
          <w:szCs w:val="20"/>
          <w:color w:val="auto"/>
        </w:rPr>
      </w:pPr>
      <w:r>
        <w:rPr>
          <w:rFonts w:ascii="Arial" w:cs="Arial" w:eastAsia="Arial" w:hAnsi="Arial"/>
          <w:sz w:val="18"/>
          <w:szCs w:val="18"/>
          <w:color w:val="auto"/>
        </w:rPr>
        <w:t>The following table summarizes our results of operations for nine months ended September 30, 2021 and 2020 together with the dollar increase or decrease and percentage change in those items: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1"/>
              </w:rPr>
              <w:t>Nine Months Ended September 30,</w:t>
            </w:r>
          </w:p>
        </w:tc>
        <w:tc>
          <w:tcPr>
            <w:tcW w:w="360" w:type="dxa"/>
            <w:vAlign w:val="bottom"/>
          </w:tcPr>
          <w:p>
            <w:pPr>
              <w:spacing w:after="0"/>
              <w:rPr>
                <w:sz w:val="20"/>
                <w:szCs w:val="20"/>
                <w:color w:val="auto"/>
              </w:rPr>
            </w:pPr>
          </w:p>
        </w:tc>
        <w:tc>
          <w:tcPr>
            <w:tcW w:w="154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8"/>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w w:val="93"/>
              </w:rPr>
              <w:t>(in thousands, except share amounts, per-share data and</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41"/>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percentages)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0"/>
                <w:szCs w:val="20"/>
                <w:color w:val="auto"/>
              </w:rPr>
            </w:pPr>
          </w:p>
        </w:tc>
      </w:tr>
      <w:tr>
        <w:trPr>
          <w:trHeight w:val="257"/>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14,167</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9,764</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4,403</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45.1 %</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12,519</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400" w:type="dxa"/>
            <w:vAlign w:val="bottom"/>
          </w:tcPr>
          <w:p>
            <w:pPr>
              <w:spacing w:after="0"/>
              <w:rPr>
                <w:sz w:val="21"/>
                <w:szCs w:val="21"/>
                <w:color w:val="auto"/>
              </w:rPr>
            </w:pPr>
          </w:p>
        </w:tc>
      </w:tr>
      <w:tr>
        <w:trPr>
          <w:trHeight w:val="250"/>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407.1 %</w:t>
            </w:r>
          </w:p>
        </w:tc>
      </w:tr>
      <w:tr>
        <w:trPr>
          <w:trHeight w:val="250"/>
        </w:trPr>
        <w:tc>
          <w:tcPr>
            <w:tcW w:w="4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00" w:type="dxa"/>
            <w:vAlign w:val="bottom"/>
            <w:tcBorders>
              <w:top w:val="single" w:sz="8" w:color="CFF0FC"/>
            </w:tcBorders>
          </w:tcPr>
          <w:p>
            <w:pPr>
              <w:spacing w:after="0"/>
              <w:rPr>
                <w:sz w:val="21"/>
                <w:szCs w:val="21"/>
                <w:color w:val="auto"/>
              </w:rPr>
            </w:pPr>
          </w:p>
        </w:tc>
      </w:tr>
      <w:tr>
        <w:trPr>
          <w:trHeight w:val="263"/>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21,189</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10,773</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10,416</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400" w:type="dxa"/>
            <w:vAlign w:val="bottom"/>
            <w:shd w:val="clear" w:color="auto" w:fill="CFF0FC"/>
          </w:tcPr>
          <w:p>
            <w:pPr>
              <w:spacing w:after="0"/>
              <w:rPr>
                <w:sz w:val="22"/>
                <w:szCs w:val="22"/>
                <w:color w:val="auto"/>
              </w:rPr>
            </w:pPr>
          </w:p>
        </w:tc>
      </w:tr>
      <w:tr>
        <w:trPr>
          <w:trHeight w:val="277"/>
        </w:trPr>
        <w:tc>
          <w:tcPr>
            <w:tcW w:w="46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18,583</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16,662</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400" w:type="dxa"/>
            <w:vAlign w:val="bottom"/>
          </w:tcPr>
          <w:p>
            <w:pPr>
              <w:spacing w:after="0"/>
              <w:rPr>
                <w:sz w:val="24"/>
                <w:szCs w:val="24"/>
                <w:color w:val="auto"/>
              </w:rPr>
            </w:pPr>
          </w:p>
        </w:tc>
      </w:tr>
      <w:tr>
        <w:trPr>
          <w:trHeight w:val="224"/>
        </w:trPr>
        <w:tc>
          <w:tcPr>
            <w:tcW w:w="46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CFF0FC"/>
              <w:bottom w:val="single" w:sz="8" w:color="auto"/>
            </w:tcBorders>
            <w:shd w:val="clear" w:color="auto" w:fill="CFF0FC"/>
          </w:tcPr>
          <w:p>
            <w:pPr>
              <w:spacing w:after="0"/>
              <w:rPr>
                <w:sz w:val="19"/>
                <w:szCs w:val="19"/>
                <w:color w:val="auto"/>
              </w:rPr>
            </w:pPr>
          </w:p>
        </w:tc>
        <w:tc>
          <w:tcPr>
            <w:tcW w:w="12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39,772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auto"/>
            </w:tcBorders>
            <w:shd w:val="clear" w:color="auto" w:fill="CFF0FC"/>
          </w:tcPr>
          <w:p>
            <w:pPr>
              <w:spacing w:after="0"/>
              <w:rPr>
                <w:sz w:val="19"/>
                <w:szCs w:val="19"/>
                <w:color w:val="auto"/>
              </w:rPr>
            </w:pPr>
          </w:p>
        </w:tc>
        <w:tc>
          <w:tcPr>
            <w:tcW w:w="11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(38,124 )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(27,110 )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(11,014 )</w:t>
            </w:r>
          </w:p>
        </w:tc>
        <w:tc>
          <w:tcPr>
            <w:tcW w:w="24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40.6 %</w:t>
            </w: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r>
      <w:tr>
        <w:trPr>
          <w:trHeight w:val="250"/>
        </w:trPr>
        <w:tc>
          <w:tcPr>
            <w:tcW w:w="4620" w:type="dxa"/>
            <w:vAlign w:val="bottom"/>
          </w:tcPr>
          <w:p>
            <w:pPr>
              <w:ind w:left="200"/>
              <w:spacing w:after="0"/>
              <w:rPr>
                <w:sz w:val="20"/>
                <w:szCs w:val="20"/>
                <w:color w:val="auto"/>
              </w:rPr>
            </w:pPr>
            <w:r>
              <w:rPr>
                <w:rFonts w:ascii="Arial" w:cs="Arial" w:eastAsia="Arial" w:hAnsi="Arial"/>
                <w:sz w:val="18"/>
                <w:szCs w:val="18"/>
                <w:color w:val="auto"/>
              </w:rPr>
              <w:t>Change in fair value of warrants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2,717</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27,933</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(25,216 )</w:t>
            </w:r>
          </w:p>
        </w:tc>
        <w:tc>
          <w:tcPr>
            <w:tcW w:w="2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(90.3 )</w:t>
            </w:r>
          </w:p>
        </w:tc>
      </w:tr>
      <w:tr>
        <w:trPr>
          <w:trHeight w:val="263"/>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Expiration of warrant</w:t>
            </w:r>
          </w:p>
        </w:tc>
        <w:tc>
          <w:tcPr>
            <w:tcW w:w="16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5,018</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5,018</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2"/>
                <w:szCs w:val="22"/>
                <w:color w:val="auto"/>
              </w:rPr>
            </w:pPr>
          </w:p>
        </w:tc>
      </w:tr>
      <w:tr>
        <w:trPr>
          <w:trHeight w:val="250"/>
        </w:trPr>
        <w:tc>
          <w:tcPr>
            <w:tcW w:w="46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(2,603 )</w:t>
            </w: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(12 )</w:t>
            </w: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(2,591 )</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21,591.7</w:t>
            </w:r>
          </w:p>
        </w:tc>
        <w:tc>
          <w:tcPr>
            <w:tcW w:w="400" w:type="dxa"/>
            <w:vAlign w:val="bottom"/>
          </w:tcPr>
          <w:p>
            <w:pPr>
              <w:spacing w:after="0"/>
              <w:rPr>
                <w:sz w:val="21"/>
                <w:szCs w:val="21"/>
                <w:color w:val="auto"/>
              </w:rPr>
            </w:pPr>
          </w:p>
        </w:tc>
      </w:tr>
      <w:tr>
        <w:trPr>
          <w:trHeight w:val="257"/>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and other income</w:t>
            </w:r>
          </w:p>
        </w:tc>
        <w:tc>
          <w:tcPr>
            <w:tcW w:w="16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(478 )</w:t>
            </w:r>
          </w:p>
        </w:tc>
        <w:tc>
          <w:tcPr>
            <w:tcW w:w="2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(91.6 )</w:t>
            </w:r>
          </w:p>
        </w:tc>
      </w:tr>
      <w:tr>
        <w:trPr>
          <w:trHeight w:val="20"/>
        </w:trPr>
        <w:tc>
          <w:tcPr>
            <w:tcW w:w="46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r>
      <w:tr>
        <w:trPr>
          <w:trHeight w:val="250"/>
        </w:trPr>
        <w:tc>
          <w:tcPr>
            <w:tcW w:w="462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5,176</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28,443</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(23,267 )</w:t>
            </w:r>
          </w:p>
        </w:tc>
        <w:tc>
          <w:tcPr>
            <w:tcW w:w="2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(81.8 )%</w:t>
            </w:r>
          </w:p>
        </w:tc>
      </w:tr>
      <w:tr>
        <w:trPr>
          <w:trHeight w:val="20"/>
        </w:trPr>
        <w:tc>
          <w:tcPr>
            <w:tcW w:w="4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7"/>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before income taxes</w:t>
            </w:r>
          </w:p>
        </w:tc>
        <w:tc>
          <w:tcPr>
            <w:tcW w:w="16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(32,948 )</w:t>
            </w: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(34,281 )</w:t>
            </w:r>
          </w:p>
        </w:tc>
        <w:tc>
          <w:tcPr>
            <w:tcW w:w="2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(2,571.7 )</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(47 )</w:t>
            </w:r>
          </w:p>
        </w:tc>
        <w:tc>
          <w:tcPr>
            <w:tcW w:w="2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(88.7 )</w:t>
            </w:r>
          </w:p>
        </w:tc>
      </w:tr>
      <w:tr>
        <w:trPr>
          <w:trHeight w:val="20"/>
        </w:trPr>
        <w:tc>
          <w:tcPr>
            <w:tcW w:w="4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(32,954 )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(34,234 )</w:t>
            </w:r>
          </w:p>
        </w:tc>
        <w:tc>
          <w:tcPr>
            <w:tcW w:w="2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(2674.5 )%</w:t>
            </w:r>
          </w:p>
        </w:tc>
      </w:tr>
      <w:tr>
        <w:trPr>
          <w:trHeight w:val="242"/>
        </w:trPr>
        <w:tc>
          <w:tcPr>
            <w:tcW w:w="4620" w:type="dxa"/>
            <w:vAlign w:val="bottom"/>
          </w:tcPr>
          <w:p>
            <w:pPr>
              <w:ind w:left="20"/>
              <w:spacing w:after="0"/>
              <w:rPr>
                <w:sz w:val="20"/>
                <w:szCs w:val="20"/>
                <w:color w:val="auto"/>
              </w:rPr>
            </w:pPr>
            <w:r>
              <w:rPr>
                <w:rFonts w:ascii="Arial" w:cs="Arial" w:eastAsia="Arial" w:hAnsi="Arial"/>
                <w:sz w:val="18"/>
                <w:szCs w:val="18"/>
                <w:color w:val="auto"/>
              </w:rPr>
              <w:t>Accretion to redemption value of redeemable</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4620" w:type="dxa"/>
            <w:vAlign w:val="bottom"/>
          </w:tcPr>
          <w:p>
            <w:pPr>
              <w:ind w:left="160"/>
              <w:spacing w:after="0"/>
              <w:rPr>
                <w:sz w:val="20"/>
                <w:szCs w:val="20"/>
                <w:color w:val="auto"/>
              </w:rPr>
            </w:pPr>
            <w:r>
              <w:rPr>
                <w:rFonts w:ascii="Arial" w:cs="Arial" w:eastAsia="Arial" w:hAnsi="Arial"/>
                <w:sz w:val="18"/>
                <w:szCs w:val="18"/>
                <w:color w:val="auto"/>
              </w:rPr>
              <w:t>preferred stock and redeemable stock options</w:t>
            </w:r>
          </w:p>
        </w:tc>
        <w:tc>
          <w:tcPr>
            <w:tcW w:w="16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(16,172 )</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16,172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(100.0 )</w:t>
            </w: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(32,954 )</w:t>
            </w:r>
          </w:p>
        </w:tc>
        <w:tc>
          <w:tcPr>
            <w:tcW w:w="32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(14,892 )</w:t>
            </w:r>
          </w:p>
        </w:tc>
        <w:tc>
          <w:tcPr>
            <w:tcW w:w="3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(18,062 )</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400" w:type="dxa"/>
            <w:vAlign w:val="bottom"/>
            <w:shd w:val="clear" w:color="auto" w:fill="CFF0FC"/>
          </w:tcPr>
          <w:p>
            <w:pPr>
              <w:spacing w:after="0"/>
              <w:rPr>
                <w:sz w:val="22"/>
                <w:szCs w:val="22"/>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63"/>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on short-term investments</w:t>
            </w:r>
          </w:p>
        </w:tc>
        <w:tc>
          <w:tcPr>
            <w:tcW w:w="16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(2 )</w:t>
            </w:r>
          </w:p>
        </w:tc>
        <w:tc>
          <w:tcPr>
            <w:tcW w:w="32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(43 )</w:t>
            </w:r>
          </w:p>
        </w:tc>
        <w:tc>
          <w:tcPr>
            <w:tcW w:w="3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(95.0 )</w:t>
            </w:r>
          </w:p>
        </w:tc>
      </w:tr>
      <w:tr>
        <w:trPr>
          <w:trHeight w:val="250"/>
        </w:trPr>
        <w:tc>
          <w:tcPr>
            <w:tcW w:w="4620" w:type="dxa"/>
            <w:vAlign w:val="bottom"/>
          </w:tcPr>
          <w:p>
            <w:pPr>
              <w:ind w:left="200"/>
              <w:spacing w:after="0"/>
              <w:rPr>
                <w:sz w:val="20"/>
                <w:szCs w:val="20"/>
                <w:color w:val="auto"/>
              </w:rPr>
            </w:pPr>
            <w:r>
              <w:rPr>
                <w:rFonts w:ascii="Arial" w:cs="Arial" w:eastAsia="Arial" w:hAnsi="Arial"/>
                <w:sz w:val="18"/>
                <w:szCs w:val="18"/>
                <w:color w:val="auto"/>
              </w:rPr>
              <w:t>Foreign currency translation loss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(7 )</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(9.5 )</w:t>
            </w:r>
          </w:p>
        </w:tc>
      </w:tr>
      <w:tr>
        <w:trPr>
          <w:trHeight w:val="20"/>
        </w:trPr>
        <w:tc>
          <w:tcPr>
            <w:tcW w:w="4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comprehensive loss</w:t>
            </w:r>
          </w:p>
        </w:tc>
        <w:tc>
          <w:tcPr>
            <w:tcW w:w="1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(8 )</w:t>
            </w: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(50 )</w:t>
            </w: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(83.2 )</w:t>
            </w:r>
          </w:p>
        </w:tc>
      </w:tr>
      <w:tr>
        <w:trPr>
          <w:trHeight w:val="20"/>
        </w:trPr>
        <w:tc>
          <w:tcPr>
            <w:tcW w:w="46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(32,962 )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1,230</w:t>
            </w:r>
          </w:p>
        </w:tc>
        <w:tc>
          <w:tcPr>
            <w:tcW w:w="2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(34,192 )</w:t>
            </w:r>
          </w:p>
        </w:tc>
        <w:tc>
          <w:tcPr>
            <w:tcW w:w="2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(2779.6 )%</w:t>
            </w: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-3656965</wp:posOffset>
            </wp:positionV>
            <wp:extent cx="17970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-3656965</wp:posOffset>
            </wp:positionV>
            <wp:extent cx="17970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-3656965</wp:posOffset>
            </wp:positionV>
            <wp:extent cx="16256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-3656965</wp:posOffset>
            </wp:positionV>
            <wp:extent cx="25717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-2988310</wp:posOffset>
            </wp:positionV>
            <wp:extent cx="17970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-2988310</wp:posOffset>
            </wp:positionV>
            <wp:extent cx="17970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-3166745</wp:posOffset>
            </wp:positionV>
            <wp:extent cx="187960" cy="1968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87960" cy="196850"/>
                    </a:xfrm>
                    <a:prstGeom prst="rect">
                      <a:avLst/>
                    </a:prstGeom>
                    <a:noFill/>
                  </pic:spPr>
                </pic:pic>
              </a:graphicData>
            </a:graphic>
          </wp:anchor>
        </w:drawing>
        <w:drawing>
          <wp:anchor simplePos="0" relativeHeight="251657728" behindDoc="1" locked="0" layoutInCell="0" allowOverlap="1">
            <wp:simplePos x="0" y="0"/>
            <wp:positionH relativeFrom="column">
              <wp:posOffset>6867525</wp:posOffset>
            </wp:positionH>
            <wp:positionV relativeFrom="paragraph">
              <wp:posOffset>-3166745</wp:posOffset>
            </wp:positionV>
            <wp:extent cx="282575" cy="1968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2575" cy="19685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-2002155</wp:posOffset>
            </wp:positionV>
            <wp:extent cx="17970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-2002155</wp:posOffset>
            </wp:positionV>
            <wp:extent cx="17970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-2002155</wp:posOffset>
            </wp:positionV>
            <wp:extent cx="16256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-2002155</wp:posOffset>
            </wp:positionV>
            <wp:extent cx="25717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-193675</wp:posOffset>
            </wp:positionV>
            <wp:extent cx="17970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-193675</wp:posOffset>
            </wp:positionV>
            <wp:extent cx="17970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-193675</wp:posOffset>
            </wp:positionV>
            <wp:extent cx="16256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-193675</wp:posOffset>
            </wp:positionV>
            <wp:extent cx="25717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7175" cy="57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31" w:lineRule="exact"/>
        <w:rPr>
          <w:sz w:val="20"/>
          <w:szCs w:val="20"/>
          <w:color w:val="auto"/>
        </w:rPr>
      </w:pPr>
    </w:p>
    <w:p>
      <w:pPr>
        <w:ind w:right="120" w:firstLine="374"/>
        <w:spacing w:after="0" w:line="275" w:lineRule="auto"/>
        <w:rPr>
          <w:sz w:val="20"/>
          <w:szCs w:val="20"/>
          <w:color w:val="auto"/>
        </w:rPr>
      </w:pPr>
      <w:r>
        <w:rPr>
          <w:rFonts w:ascii="Arial" w:cs="Arial" w:eastAsia="Arial" w:hAnsi="Arial"/>
          <w:sz w:val="18"/>
          <w:szCs w:val="18"/>
          <w:color w:val="auto"/>
        </w:rPr>
        <w:t>Sales increased by $4.4 million, or 45.1%, to $14.2 million for the nine months ended September 30, 2021, from $9.8 million for the nine months ended September 30, 2020. The increase was due to sales of 2,475 more RxLALs with an increased average selling price and 19 more LDDs sold. In mid-March 2020, ambulatory surgery centers (ASCs), where most cataract surgeries were performed, were closed to elective surgeries for six or more weeks, contributing to the increase when comparing the nine months 2021 and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31" w:lineRule="exact"/>
        <w:rPr>
          <w:sz w:val="20"/>
          <w:szCs w:val="20"/>
          <w:color w:val="auto"/>
        </w:rPr>
      </w:pPr>
    </w:p>
    <w:p>
      <w:pPr>
        <w:ind w:right="200" w:firstLine="374"/>
        <w:spacing w:after="0" w:line="272" w:lineRule="auto"/>
        <w:rPr>
          <w:sz w:val="20"/>
          <w:szCs w:val="20"/>
          <w:color w:val="auto"/>
        </w:rPr>
      </w:pPr>
      <w:r>
        <w:rPr>
          <w:rFonts w:ascii="Arial" w:cs="Arial" w:eastAsia="Arial" w:hAnsi="Arial"/>
          <w:sz w:val="18"/>
          <w:szCs w:val="18"/>
          <w:color w:val="auto"/>
        </w:rPr>
        <w:t>Cost of sales increased by $3.1 million, or 32.6%, to $12.5 million for the nine months ended September 30, 2021 from $9.4 million for the nine months ended September 30, 2020, due to the increase in the number of products sold and associated service warranties. The increase was also driven by the recording of a $2.3 million reserve for excess RxLAL inventory as a result of the recent introduction of an updated LAL including our ActivShield technology. Gross margin increased to 11.6% for the nine months ended September 30, 2021, from 3.3% due to improved operating leverage on a higher volume of units sold.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1" w:lineRule="exact"/>
        <w:rPr>
          <w:sz w:val="20"/>
          <w:szCs w:val="20"/>
          <w:color w:val="auto"/>
        </w:rPr>
      </w:pPr>
    </w:p>
    <w:p>
      <w:pPr>
        <w:ind w:right="240" w:firstLine="374"/>
        <w:spacing w:after="0" w:line="293" w:lineRule="auto"/>
        <w:rPr>
          <w:sz w:val="20"/>
          <w:szCs w:val="20"/>
          <w:color w:val="auto"/>
        </w:rPr>
      </w:pPr>
      <w:r>
        <w:rPr>
          <w:rFonts w:ascii="Arial" w:cs="Arial" w:eastAsia="Arial" w:hAnsi="Arial"/>
          <w:sz w:val="18"/>
          <w:szCs w:val="18"/>
          <w:color w:val="auto"/>
        </w:rPr>
        <w:t>Selling, general and administrative expenses increased by $10.4 million, or 96.7%, to $21.2 million for the nine months ended September 30, 2021, from $10.8 million for the nine months ended September 30, 2020, The increase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 w:name="page39"/>
    <w:bookmarkEnd w:id="38"/>
    <w:p>
      <w:pPr>
        <w:ind w:right="120"/>
        <w:spacing w:after="0" w:line="272" w:lineRule="auto"/>
        <w:rPr>
          <w:sz w:val="20"/>
          <w:szCs w:val="20"/>
          <w:color w:val="auto"/>
        </w:rPr>
      </w:pPr>
      <w:r>
        <w:rPr>
          <w:rFonts w:ascii="Arial" w:cs="Arial" w:eastAsia="Arial" w:hAnsi="Arial"/>
          <w:sz w:val="18"/>
          <w:szCs w:val="18"/>
          <w:color w:val="auto"/>
        </w:rPr>
        <w:t>was primarily driven by an increase in selling and marketing personnel related expenses of $4.7 million due mainly to additional headcount, increased travel costs of $0.6 million due the temporary reduction in selling and marketing travel costs during the nine months ended September 30, 2020 caused by COVID-19, an increase in general and administrative personnel costs of $1.3 million, $1.0 million higher selling, general and administrative stock-based compensation expenses, $1.2 million in higher administrative fees related to being a public company and higher general and administrative audit, tax, and legal costs of $0.5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ind w:right="20" w:firstLine="374"/>
        <w:spacing w:after="0" w:line="296" w:lineRule="auto"/>
        <w:rPr>
          <w:sz w:val="20"/>
          <w:szCs w:val="20"/>
          <w:color w:val="auto"/>
        </w:rPr>
      </w:pPr>
      <w:r>
        <w:rPr>
          <w:rFonts w:ascii="Arial" w:cs="Arial" w:eastAsia="Arial" w:hAnsi="Arial"/>
          <w:sz w:val="17"/>
          <w:szCs w:val="17"/>
          <w:color w:val="auto"/>
        </w:rPr>
        <w:t>Research and development expenses increased by $1.9 million, or 11.5%, to $18.6 million for the nine months ended September 30, 2021, from $16.7 million for the nine months ended September 30, 2020. This increase was primarily attributable to an increase of $1.3 million in personnel costs due primarily to increased personnel headcount and reinstatement of incentive bonuses, increased material costs of $1.0 million, which included $0.7 million in expensed RxLALs, as well as an increase in stock-based compensation expense of $0.4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1" w:lineRule="exact"/>
        <w:rPr>
          <w:sz w:val="20"/>
          <w:szCs w:val="20"/>
          <w:color w:val="auto"/>
        </w:rPr>
      </w:pPr>
    </w:p>
    <w:p>
      <w:pPr>
        <w:jc w:val="both"/>
        <w:ind w:right="200" w:firstLine="374"/>
        <w:spacing w:after="0" w:line="275" w:lineRule="auto"/>
        <w:rPr>
          <w:sz w:val="20"/>
          <w:szCs w:val="20"/>
          <w:color w:val="auto"/>
        </w:rPr>
      </w:pPr>
      <w:r>
        <w:rPr>
          <w:rFonts w:ascii="Arial" w:cs="Arial" w:eastAsia="Arial" w:hAnsi="Arial"/>
          <w:sz w:val="18"/>
          <w:szCs w:val="18"/>
          <w:color w:val="auto"/>
        </w:rPr>
        <w:t>Other income (expense), net, decreased by $23.2 million to $5.2 million for the nine months ended September 30, 2021, from $28.4 million income for the nine months ended September 30, 2020, due primarily to the change in fair value of warrant liabilities of $20.2 million, which was partially offset by an increase in interest expense of $2.6 million due to higher interest expense on our term loan and a decrease in interest income of $0.5 million due to lower interest rates.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Accretion to redemption value of redeemable preferred stock and redeemable stock options</w:t>
      </w:r>
    </w:p>
    <w:p>
      <w:pPr>
        <w:spacing w:after="0" w:line="131" w:lineRule="exact"/>
        <w:rPr>
          <w:sz w:val="20"/>
          <w:szCs w:val="20"/>
          <w:color w:val="auto"/>
        </w:rPr>
      </w:pPr>
    </w:p>
    <w:p>
      <w:pPr>
        <w:jc w:val="both"/>
        <w:ind w:right="160" w:firstLine="374"/>
        <w:spacing w:after="0" w:line="275" w:lineRule="auto"/>
        <w:rPr>
          <w:sz w:val="20"/>
          <w:szCs w:val="20"/>
          <w:color w:val="auto"/>
        </w:rPr>
      </w:pPr>
      <w:r>
        <w:rPr>
          <w:rFonts w:ascii="Arial" w:cs="Arial" w:eastAsia="Arial" w:hAnsi="Arial"/>
          <w:sz w:val="18"/>
          <w:szCs w:val="18"/>
          <w:color w:val="auto"/>
        </w:rPr>
        <w:t>Accretion to redemption value of redeemable preferred stock and redeemable stock options decreased by $16.2 million to $0.0 million for the nine months ended September 30, 2021, from $16.2 million for the nine months ended September 30, 2020, due to management no longer accreting common stock, preferred stock and stock options to redemption value in 2021 after it was determined in December 2020 that exercise of the Series W Warrant was no longer probable.</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1" w:lineRule="exact"/>
        <w:rPr>
          <w:sz w:val="20"/>
          <w:szCs w:val="20"/>
          <w:color w:val="auto"/>
        </w:rPr>
      </w:pPr>
    </w:p>
    <w:p>
      <w:pPr>
        <w:ind w:firstLine="374"/>
        <w:spacing w:after="0" w:line="275"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and we anticipate that we will incur significant losses for at least the next several years. As of September 30, 2021, we had cash, cash equivalents and short-term investments of $168.3 million. For the nine months ended September 30, 2021, and 2020, our loss from operations were $38.1 million and $27.1 million, respectively. We had an accumulated deficit of $463.5 million as of September 30, 2021.</w:t>
      </w:r>
    </w:p>
    <w:p>
      <w:pPr>
        <w:spacing w:after="0" w:line="77" w:lineRule="exact"/>
        <w:rPr>
          <w:sz w:val="20"/>
          <w:szCs w:val="20"/>
          <w:color w:val="auto"/>
        </w:rPr>
      </w:pPr>
    </w:p>
    <w:p>
      <w:pPr>
        <w:ind w:right="20" w:firstLine="374"/>
        <w:spacing w:after="0" w:line="293" w:lineRule="auto"/>
        <w:rPr>
          <w:sz w:val="20"/>
          <w:szCs w:val="20"/>
          <w:color w:val="auto"/>
        </w:rPr>
      </w:pPr>
      <w:r>
        <w:rPr>
          <w:rFonts w:ascii="Arial" w:cs="Arial" w:eastAsia="Arial" w:hAnsi="Arial"/>
          <w:sz w:val="18"/>
          <w:szCs w:val="18"/>
          <w:color w:val="auto"/>
        </w:rPr>
        <w:t>Prior to our IPO, which we completed in July 2021, our primary sources of capital were private placements of preferred stock, a structured transaction with a strategic partner, debt financing and from sales of our products.</w:t>
      </w:r>
    </w:p>
    <w:p>
      <w:pPr>
        <w:spacing w:after="0" w:line="62" w:lineRule="exact"/>
        <w:rPr>
          <w:sz w:val="20"/>
          <w:szCs w:val="20"/>
          <w:color w:val="auto"/>
        </w:rPr>
      </w:pPr>
    </w:p>
    <w:p>
      <w:pPr>
        <w:ind w:right="140" w:firstLine="374"/>
        <w:spacing w:after="0" w:line="311" w:lineRule="auto"/>
        <w:rPr>
          <w:sz w:val="20"/>
          <w:szCs w:val="20"/>
          <w:color w:val="auto"/>
        </w:rPr>
      </w:pPr>
      <w:r>
        <w:rPr>
          <w:rFonts w:ascii="Arial" w:cs="Arial" w:eastAsia="Arial" w:hAnsi="Arial"/>
          <w:sz w:val="16"/>
          <w:szCs w:val="16"/>
          <w:color w:val="auto"/>
        </w:rPr>
        <w:t>On July 29, 2021, the Company completed its IPO through an underwritten sale of 7,350,000 shares of its common stock at a price of $16.00 per share. The aggregate net proceeds from the offering, inclusive of an additional 898,549 common shares sold upon the partial exercise of the underwriters’ purchase option, after deducting underwriting discounts and commissions and other offering expenses, were approximately $120.0 million. On July 29, 2021, the Company restated its articles of incorporation and bylaws which provide for, among other things, the Company’s authorized capital stock to consist of 900,000,000 shares of common stock, par value $0.001 per share, and 100,000,000 shares of convertible preferred stock, par value $0.001 per share. The restated articles define the voting rights, dividends, liquidation, rights and preferences of each class of stock.</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growth;</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research and development efforts;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sales and marketing activities;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9" w:name="page40"/>
    <w:bookmarkEnd w:id="39"/>
    <w:p>
      <w:pPr>
        <w:ind w:left="340"/>
        <w:spacing w:after="0"/>
        <w:rPr>
          <w:sz w:val="20"/>
          <w:szCs w:val="20"/>
          <w:color w:val="auto"/>
        </w:rPr>
      </w:pPr>
      <w:r>
        <w:rPr>
          <w:rFonts w:ascii="Arial" w:cs="Arial" w:eastAsia="Arial" w:hAnsi="Arial"/>
          <w:sz w:val="18"/>
          <w:szCs w:val="18"/>
          <w:color w:val="auto"/>
        </w:rPr>
        <w:t>our ability to raise additional funds to finance our operations;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 costs and timing of any clinical trial results for our current or future products;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emergence and effect of competing or complementary products;</w:t>
      </w:r>
    </w:p>
    <w:p>
      <w:pPr>
        <w:spacing w:after="0" w:line="131" w:lineRule="exact"/>
        <w:rPr>
          <w:sz w:val="20"/>
          <w:szCs w:val="20"/>
          <w:color w:val="auto"/>
        </w:rPr>
      </w:pPr>
    </w:p>
    <w:p>
      <w:pPr>
        <w:ind w:left="340" w:right="20"/>
        <w:spacing w:after="0" w:line="279" w:lineRule="auto"/>
        <w:rPr>
          <w:sz w:val="20"/>
          <w:szCs w:val="20"/>
          <w:color w:val="auto"/>
        </w:rPr>
      </w:pPr>
      <w:r>
        <w:rPr>
          <w:rFonts w:ascii="Arial" w:cs="Arial" w:eastAsia="Arial" w:hAnsi="Arial"/>
          <w:sz w:val="18"/>
          <w:szCs w:val="18"/>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75" w:lineRule="exact"/>
        <w:rPr>
          <w:sz w:val="20"/>
          <w:szCs w:val="20"/>
          <w:color w:val="auto"/>
        </w:rPr>
      </w:pPr>
    </w:p>
    <w:p>
      <w:pPr>
        <w:ind w:left="340" w:right="400"/>
        <w:spacing w:after="0" w:line="293" w:lineRule="auto"/>
        <w:rPr>
          <w:sz w:val="20"/>
          <w:szCs w:val="20"/>
          <w:color w:val="auto"/>
        </w:rPr>
      </w:pPr>
      <w:r>
        <w:rPr>
          <w:rFonts w:ascii="Arial" w:cs="Arial" w:eastAsia="Arial" w:hAnsi="Arial"/>
          <w:sz w:val="18"/>
          <w:szCs w:val="18"/>
          <w:color w:val="auto"/>
        </w:rPr>
        <w:t>our ability to retain our current employees and the need and ability to hire additional management, sales, research and development, scientific and customer support personnel;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terms and timing of any collaborative, licensing or other arrangements that we have or may establish;</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service requirements;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extent to which we acquire or invest in businesses, products or technologies; and</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the COVID-19 pandemic.</w:t>
      </w:r>
    </w:p>
    <w:p>
      <w:pPr>
        <w:spacing w:after="0" w:line="131" w:lineRule="exact"/>
        <w:rPr>
          <w:sz w:val="20"/>
          <w:szCs w:val="20"/>
          <w:color w:val="auto"/>
        </w:rPr>
      </w:pPr>
    </w:p>
    <w:p>
      <w:pPr>
        <w:ind w:right="40" w:firstLine="374"/>
        <w:spacing w:after="0" w:line="305" w:lineRule="auto"/>
        <w:rPr>
          <w:sz w:val="20"/>
          <w:szCs w:val="20"/>
          <w:color w:val="auto"/>
        </w:rPr>
      </w:pPr>
      <w:r>
        <w:rPr>
          <w:rFonts w:ascii="Arial" w:cs="Arial" w:eastAsia="Arial" w:hAnsi="Arial"/>
          <w:sz w:val="16"/>
          <w:szCs w:val="16"/>
          <w:color w:val="auto"/>
        </w:rPr>
        <w:t>Based on our current planned operations, we expect that our current cash, cash equivalents and short-term investments will be sufficient to fund our operations for the next 12 months after the date our most recent financial statements were issued. Our ability to continue as a going concern is dependent upon our ability to successfully secure sources of financing and ultimately achieve profitable operations. We may require additional financing to fund working capital and pay our obligations. We may seek to raise any necessary additional capital through a combination of public or private equity offerings and/or debt financings. There can be no assurance that we will be successful in acquiring additional funding at levels sufficient to fund our operations or on terms favorable to us, if at all. If adequate funds are not available on acceptable terms when needed, we may be required to significantly reduce operating activities, which may have a material adverse effect on our business and/or results of operations and financial condition. If we do raise additional capital through public or private equity or convertible debt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Additional capital may not be available on reasonable terms, or at all.</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See the section of this Quarterly Report on Form 10-Q titled “Risk Factors” for additional risks associated with our substantial capital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primary sources and uses of cash, cash equivalents, and restricted cash for each of the periods presented below:</w:t>
      </w:r>
    </w:p>
    <w:p>
      <w:pPr>
        <w:spacing w:after="0" w:line="273" w:lineRule="exact"/>
        <w:rPr>
          <w:sz w:val="20"/>
          <w:szCs w:val="20"/>
          <w:color w:val="auto"/>
        </w:rPr>
      </w:pPr>
    </w:p>
    <w:p>
      <w:pPr>
        <w:jc w:val="center"/>
        <w:ind w:left="7400"/>
        <w:spacing w:after="0"/>
        <w:rPr>
          <w:sz w:val="20"/>
          <w:szCs w:val="20"/>
          <w:color w:val="auto"/>
        </w:rPr>
      </w:pPr>
      <w:r>
        <w:rPr>
          <w:rFonts w:ascii="Arial" w:cs="Arial" w:eastAsia="Arial" w:hAnsi="Arial"/>
          <w:sz w:val="18"/>
          <w:szCs w:val="18"/>
          <w:b w:val="1"/>
          <w:bCs w:val="1"/>
          <w:color w:val="auto"/>
        </w:rPr>
        <w:t>Nine months ended September 30,</w:t>
      </w:r>
    </w:p>
    <w:p>
      <w:pPr>
        <w:spacing w:after="0" w:line="27" w:lineRule="exact"/>
        <w:rPr>
          <w:sz w:val="20"/>
          <w:szCs w:val="20"/>
          <w:color w:val="auto"/>
        </w:rPr>
      </w:pPr>
    </w:p>
    <w:p>
      <w:pPr>
        <w:jc w:val="center"/>
        <w:ind w:left="740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22860</wp:posOffset>
            </wp:positionV>
            <wp:extent cx="228854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10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52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(35,986 )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(26,976 )</w:t>
            </w:r>
          </w:p>
        </w:tc>
        <w:tc>
          <w:tcPr>
            <w:tcW w:w="0" w:type="dxa"/>
            <w:vAlign w:val="bottom"/>
          </w:tcPr>
          <w:p>
            <w:pPr>
              <w:spacing w:after="0"/>
              <w:rPr>
                <w:sz w:val="1"/>
                <w:szCs w:val="1"/>
                <w:color w:val="auto"/>
              </w:rPr>
            </w:pPr>
          </w:p>
        </w:tc>
      </w:tr>
      <w:tr>
        <w:trPr>
          <w:trHeight w:val="263"/>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106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4"/>
              </w:rPr>
              <w:t>(46,561 )</w:t>
            </w:r>
          </w:p>
        </w:tc>
        <w:tc>
          <w:tcPr>
            <w:tcW w:w="3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30,107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52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136,938</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Effect of foreign exchange rate on cash, cash equivalents</w:t>
            </w:r>
          </w:p>
        </w:tc>
        <w:tc>
          <w:tcPr>
            <w:tcW w:w="1060" w:type="dxa"/>
            <w:vAlign w:val="bottom"/>
            <w:shd w:val="clear" w:color="auto" w:fill="CFF0FC"/>
          </w:tcPr>
          <w:p>
            <w:pPr>
              <w:spacing w:after="0"/>
              <w:rPr>
                <w:sz w:val="21"/>
                <w:szCs w:val="21"/>
                <w:color w:val="auto"/>
              </w:rPr>
            </w:pPr>
          </w:p>
        </w:tc>
        <w:tc>
          <w:tcPr>
            <w:tcW w:w="9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(7 )</w:t>
            </w:r>
          </w:p>
        </w:tc>
        <w:tc>
          <w:tcPr>
            <w:tcW w:w="380" w:type="dxa"/>
            <w:vAlign w:val="bottom"/>
            <w:shd w:val="clear" w:color="auto" w:fill="CFF0FC"/>
          </w:tcPr>
          <w:p>
            <w:pPr>
              <w:spacing w:after="0"/>
              <w:rPr>
                <w:sz w:val="21"/>
                <w:szCs w:val="21"/>
                <w:color w:val="auto"/>
              </w:rPr>
            </w:pPr>
          </w:p>
        </w:tc>
        <w:tc>
          <w:tcPr>
            <w:tcW w:w="13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restricted cash</w:t>
            </w:r>
          </w:p>
        </w:tc>
        <w:tc>
          <w:tcPr>
            <w:tcW w:w="1060" w:type="dxa"/>
            <w:vAlign w:val="bottom"/>
            <w:shd w:val="clear" w:color="auto" w:fill="CFF0FC"/>
          </w:tcPr>
          <w:p>
            <w:pPr>
              <w:spacing w:after="0"/>
              <w:rPr>
                <w:sz w:val="20"/>
                <w:szCs w:val="20"/>
                <w:color w:val="auto"/>
              </w:rPr>
            </w:pPr>
          </w:p>
        </w:tc>
        <w:tc>
          <w:tcPr>
            <w:tcW w:w="900" w:type="dxa"/>
            <w:vAlign w:val="bottom"/>
            <w:gridSpan w:val="2"/>
            <w:vMerge w:val="continue"/>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54,384</w:t>
            </w:r>
          </w:p>
        </w:tc>
        <w:tc>
          <w:tcPr>
            <w:tcW w:w="280" w:type="dxa"/>
            <w:vAlign w:val="bottom"/>
            <w:tcBorders>
              <w:top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4,033</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-193675</wp:posOffset>
            </wp:positionV>
            <wp:extent cx="17970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in operating activities</w:t>
      </w:r>
    </w:p>
    <w:p>
      <w:pPr>
        <w:spacing w:after="0" w:line="135" w:lineRule="exact"/>
        <w:rPr>
          <w:sz w:val="20"/>
          <w:szCs w:val="20"/>
          <w:color w:val="auto"/>
        </w:rPr>
      </w:pPr>
    </w:p>
    <w:p>
      <w:pPr>
        <w:jc w:val="both"/>
        <w:ind w:right="360" w:firstLine="374"/>
        <w:spacing w:after="0" w:line="279" w:lineRule="auto"/>
        <w:rPr>
          <w:sz w:val="20"/>
          <w:szCs w:val="20"/>
          <w:color w:val="auto"/>
        </w:rPr>
      </w:pPr>
      <w:r>
        <w:rPr>
          <w:rFonts w:ascii="Arial" w:cs="Arial" w:eastAsia="Arial" w:hAnsi="Arial"/>
          <w:sz w:val="18"/>
          <w:szCs w:val="18"/>
          <w:color w:val="auto"/>
        </w:rPr>
        <w:t>Net cash used in operating activities for the nine months ended September 30, 2021, was $36.0 million, consisting primarily of a net loss of $33.0 million, a non-cash gain on expiration of an unexercised warrant of $5.0 million, an increase in operating assets and liabilities of $5.6 million, partially offset by non-cash stock-based</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compensation of $4.7 million, provision for excess and obsolete inventory of $2.4 million, and depreciation and amortization of $3.0 million.</w:t>
      </w:r>
    </w:p>
    <w:p>
      <w:pPr>
        <w:spacing w:after="0" w:line="131" w:lineRule="exact"/>
        <w:rPr>
          <w:sz w:val="20"/>
          <w:szCs w:val="20"/>
          <w:color w:val="auto"/>
        </w:rPr>
      </w:pPr>
    </w:p>
    <w:p>
      <w:pPr>
        <w:jc w:val="both"/>
        <w:ind w:right="300" w:firstLine="374"/>
        <w:spacing w:after="0" w:line="279" w:lineRule="auto"/>
        <w:rPr>
          <w:sz w:val="20"/>
          <w:szCs w:val="20"/>
          <w:color w:val="auto"/>
        </w:rPr>
      </w:pPr>
      <w:r>
        <w:rPr>
          <w:rFonts w:ascii="Arial" w:cs="Arial" w:eastAsia="Arial" w:hAnsi="Arial"/>
          <w:sz w:val="18"/>
          <w:szCs w:val="18"/>
          <w:color w:val="auto"/>
        </w:rPr>
        <w:t>Net cash used in operating activities for the nine months ended September 30, 2020, was $27.0 million, consisting primarily of net income of $1.3 million, an increase in operating assets and liabilities of $5.9 million, offset by the non-cash change in fair value of liability classified warrants of $27.9 million, depreciation of $2.9 million and stock-based compensation of $2.9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in investing activities</w:t>
      </w:r>
    </w:p>
    <w:p>
      <w:pPr>
        <w:spacing w:after="0" w:line="135" w:lineRule="exact"/>
        <w:rPr>
          <w:sz w:val="20"/>
          <w:szCs w:val="20"/>
          <w:color w:val="auto"/>
        </w:rPr>
      </w:pPr>
    </w:p>
    <w:p>
      <w:pPr>
        <w:ind w:right="440" w:firstLine="374"/>
        <w:spacing w:after="0" w:line="293" w:lineRule="auto"/>
        <w:rPr>
          <w:sz w:val="20"/>
          <w:szCs w:val="20"/>
          <w:color w:val="auto"/>
        </w:rPr>
      </w:pPr>
      <w:r>
        <w:rPr>
          <w:rFonts w:ascii="Arial" w:cs="Arial" w:eastAsia="Arial" w:hAnsi="Arial"/>
          <w:sz w:val="18"/>
          <w:szCs w:val="18"/>
          <w:color w:val="auto"/>
        </w:rPr>
        <w:t>Net cash used in investing activities for the nine months ended September 30, 2021, was $46.6 million, consisting of net purchases of short-term investments of $45.0 million and purchases of property and equipment of $1.6 million.</w:t>
      </w:r>
    </w:p>
    <w:p>
      <w:pPr>
        <w:spacing w:after="0" w:line="62" w:lineRule="exact"/>
        <w:rPr>
          <w:sz w:val="20"/>
          <w:szCs w:val="20"/>
          <w:color w:val="auto"/>
        </w:rPr>
      </w:pPr>
    </w:p>
    <w:p>
      <w:pPr>
        <w:ind w:right="80" w:firstLine="374"/>
        <w:spacing w:after="0" w:line="293" w:lineRule="auto"/>
        <w:rPr>
          <w:sz w:val="20"/>
          <w:szCs w:val="20"/>
          <w:color w:val="auto"/>
        </w:rPr>
      </w:pPr>
      <w:r>
        <w:rPr>
          <w:rFonts w:ascii="Arial" w:cs="Arial" w:eastAsia="Arial" w:hAnsi="Arial"/>
          <w:sz w:val="18"/>
          <w:szCs w:val="18"/>
          <w:color w:val="auto"/>
        </w:rPr>
        <w:t>Net cash provided by investing activities for the nine months ended September 30, 2020, was $30.0 million, consisting of net maturities of short-term investments of $32.1 million, partially offset by net purchases of property and equipment of $2.1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from financing activities</w:t>
      </w:r>
    </w:p>
    <w:p>
      <w:pPr>
        <w:spacing w:after="0" w:line="135" w:lineRule="exact"/>
        <w:rPr>
          <w:sz w:val="20"/>
          <w:szCs w:val="20"/>
          <w:color w:val="auto"/>
        </w:rPr>
      </w:pPr>
    </w:p>
    <w:p>
      <w:pPr>
        <w:ind w:right="40" w:firstLine="374"/>
        <w:spacing w:after="0" w:line="324" w:lineRule="auto"/>
        <w:rPr>
          <w:sz w:val="20"/>
          <w:szCs w:val="20"/>
          <w:color w:val="auto"/>
        </w:rPr>
      </w:pPr>
      <w:r>
        <w:rPr>
          <w:rFonts w:ascii="Arial" w:cs="Arial" w:eastAsia="Arial" w:hAnsi="Arial"/>
          <w:sz w:val="17"/>
          <w:szCs w:val="17"/>
          <w:color w:val="auto"/>
        </w:rPr>
        <w:t>Net cash from financing activities for the nine months ended September 30, 2021, was $136.9 million, consisting primarily of from net proceeds from the IPO of $119.6 million and a draw on the Company’s term loan of $15.0 million and proceeds from stock options exercised of $1.4 million.</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significant financing cash flow activities in the nine months ended September 30,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364" w:lineRule="exact"/>
        <w:rPr>
          <w:sz w:val="20"/>
          <w:szCs w:val="20"/>
          <w:color w:val="auto"/>
        </w:rPr>
      </w:pPr>
    </w:p>
    <w:p>
      <w:pPr>
        <w:ind w:right="260" w:firstLine="374"/>
        <w:spacing w:after="0" w:line="324" w:lineRule="auto"/>
        <w:rPr>
          <w:sz w:val="20"/>
          <w:szCs w:val="20"/>
          <w:color w:val="auto"/>
        </w:rPr>
      </w:pPr>
      <w:r>
        <w:rPr>
          <w:rFonts w:ascii="Arial" w:cs="Arial" w:eastAsia="Arial" w:hAnsi="Arial"/>
          <w:sz w:val="17"/>
          <w:szCs w:val="17"/>
          <w:color w:val="auto"/>
        </w:rPr>
        <w:t>We have a standby letter of credit, expiring September 30, 2024, issued by a financial institution as a required security for one operating lease. The aggregate amount of the letter of credit was $0.3 million and $0.4 million as of September 30, 2021 and December 31,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w:t>
      </w:r>
    </w:p>
    <w:p>
      <w:pPr>
        <w:spacing w:after="0" w:line="135"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In October 2020, we entered into a loan and security agreement, or the Credit Agreement, with Bank of America, as collateral agent, and Oxford Finance LLC, or Oxford Finance, as lender. The Credit Agreement provides for a tranche one loan advance in the amount of $25.0 million, which was fully funded on the closing date by the lender, a second tranche of $5.0 million in the first quarter of 2021, which was advanced on March 29, 2021, and a third tranche of $10.0 million in the second quarter of 2021, which was advanced on June 28, 2021. The Credit Agreement also provides for an additional two tranches in the amount of $5.0 million each in 2021, subject to remaining in compliance with the terms of the credit facility. A final tranche in an amount of $10.0 million is available in the first quarter of 2022, subject to our achievement of a revenue milestone and remaining in compliance with the terms of the credit facility. We refer to our tranche one loan advance, tranche two loan advance, tranche three loan advance, tranche four loan advance, tranche five loan advance, and tranche six loan advance collectively as our credit facility.</w:t>
      </w:r>
    </w:p>
    <w:p>
      <w:pPr>
        <w:spacing w:after="0" w:line="74" w:lineRule="exact"/>
        <w:rPr>
          <w:sz w:val="20"/>
          <w:szCs w:val="20"/>
          <w:color w:val="auto"/>
        </w:rPr>
      </w:pPr>
    </w:p>
    <w:p>
      <w:pPr>
        <w:ind w:firstLine="374"/>
        <w:spacing w:after="0" w:line="269" w:lineRule="auto"/>
        <w:rPr>
          <w:sz w:val="20"/>
          <w:szCs w:val="20"/>
          <w:color w:val="auto"/>
        </w:rPr>
      </w:pPr>
      <w:r>
        <w:rPr>
          <w:rFonts w:ascii="Arial" w:cs="Arial" w:eastAsia="Arial" w:hAnsi="Arial"/>
          <w:sz w:val="18"/>
          <w:szCs w:val="18"/>
          <w:color w:val="auto"/>
        </w:rPr>
        <w:t>The credit facility is secured by substantially all of our personal property other than our intellectual property, but includes any accounts receivable, other amounts owed and any proceeds of intellectual property. We also entered into a negative pledge arrangement with the collateral agent and lenders where we agreed not to encumber any of our intellectual property. Outstanding borrowings under the credit facility bear interest at an annual rate equal to the greater of (i) the Wall Street Journal 30-day LIBOR plus 9.09% and 0.16% or (ii) 9.25%. At our election, we may also switch to an interest rate equal to 10.25% plus the greater of (i) The Wall Street Journal Prime rate or (ii) 7%. The interest rate resets monthly on the last day of the month prior to the month in which interest accrues, and an actual/360-day convention applies. If we are considered to be in default, additional interest of 5% applies. Through December 1, 2023, which is the interest-only period, we are required to make interest-only payments. The interest- only period may be extended to December 1, 2024.</w:t>
      </w:r>
    </w:p>
    <w:p>
      <w:pPr>
        <w:spacing w:after="0" w:line="88" w:lineRule="exact"/>
        <w:rPr>
          <w:sz w:val="20"/>
          <w:szCs w:val="20"/>
          <w:color w:val="auto"/>
        </w:rPr>
      </w:pPr>
    </w:p>
    <w:p>
      <w:pPr>
        <w:ind w:right="200" w:firstLine="374"/>
        <w:spacing w:after="0" w:line="329" w:lineRule="auto"/>
        <w:rPr>
          <w:sz w:val="20"/>
          <w:szCs w:val="20"/>
          <w:color w:val="auto"/>
        </w:rPr>
      </w:pPr>
      <w:r>
        <w:rPr>
          <w:rFonts w:ascii="Arial" w:cs="Arial" w:eastAsia="Arial" w:hAnsi="Arial"/>
          <w:sz w:val="16"/>
          <w:szCs w:val="16"/>
          <w:color w:val="auto"/>
        </w:rPr>
        <w:t>The Term Loan requires 36 months of interest-only payments, followed by 23-months of amortization. If the Company is in compliance with the Performance to Plan covenant through October 31, 2023, the interest-only period is extended by 12 months, and the amortization period is reduced by 11 months. Payments are due on the first day of each month in arrears. All unpaid amounts under the Term Loan mature on October 1, 2025.</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41" w:name="page42"/>
    <w:bookmarkEnd w:id="41"/>
    <w:p>
      <w:pPr>
        <w:ind w:right="40" w:firstLine="374"/>
        <w:spacing w:after="0" w:line="270" w:lineRule="auto"/>
        <w:rPr>
          <w:sz w:val="20"/>
          <w:szCs w:val="20"/>
          <w:color w:val="auto"/>
        </w:rPr>
      </w:pPr>
      <w:r>
        <w:rPr>
          <w:rFonts w:ascii="Arial" w:cs="Arial" w:eastAsia="Arial" w:hAnsi="Arial"/>
          <w:sz w:val="18"/>
          <w:szCs w:val="18"/>
          <w:color w:val="auto"/>
        </w:rPr>
        <w:t>Borrowings under the credit facility are pre-payable at any time without penalty; however, the loan must be prepaid in full or in part one time in an amount not less than $5.0 million and amounts prepaid may not be subsequently reborrowed. If the loan is not fully prepaid by December 31, 2021, the Company will become subject to an additional fee (the “Exit Fee”). The fee is 3% of the original loan amount if prepaid between January 1, 2022, and October 31, 2022 ($750k); 4% if prepaid between November 1, 2022 and October 31, 2023 ($1.0 million); and 5% ($1.25 million) if paid subsequently, including at maturity. The loan may be accelerated by Oxford in the event of a default. The credit facility also includes certain customary affirmative and negative covenants, including certain financial covenants if the lenders make us the additional tranche advances. We were in compliance with all covenants under the credit facility as of September 30,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35" w:lineRule="exact"/>
        <w:rPr>
          <w:sz w:val="20"/>
          <w:szCs w:val="20"/>
          <w:color w:val="auto"/>
        </w:rPr>
      </w:pPr>
    </w:p>
    <w:p>
      <w:pPr>
        <w:ind w:firstLine="374"/>
        <w:spacing w:after="0" w:line="306"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Our significant accounting policies are more fully described in the notes to our financial statements included elsewhere in this prospectus. We believe that the accounting policies we use are critical to the process of making significant judgments and estimates in the preparation of our financial statements and understanding and evaluating our reported financial results.</w:t>
      </w:r>
    </w:p>
    <w:p>
      <w:pPr>
        <w:spacing w:after="0" w:line="62" w:lineRule="exact"/>
        <w:rPr>
          <w:sz w:val="20"/>
          <w:szCs w:val="20"/>
          <w:color w:val="auto"/>
        </w:rPr>
      </w:pPr>
    </w:p>
    <w:p>
      <w:pPr>
        <w:ind w:right="200" w:firstLine="374"/>
        <w:spacing w:after="0" w:line="359" w:lineRule="auto"/>
        <w:rPr>
          <w:sz w:val="20"/>
          <w:szCs w:val="20"/>
          <w:color w:val="auto"/>
        </w:rPr>
      </w:pPr>
      <w:r>
        <w:rPr>
          <w:rFonts w:ascii="Arial" w:cs="Arial" w:eastAsia="Arial" w:hAnsi="Arial"/>
          <w:sz w:val="16"/>
          <w:szCs w:val="16"/>
          <w:color w:val="auto"/>
        </w:rPr>
        <w:t>There were no material changes to our critical accounting policies or in the methodology used for estimates from those described in “Management's Discussion and Analysis of Financial Condition and Results of Operations” included in our Prospectus filed with the SEC on July 29, 2021.</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right="260" w:firstLine="374"/>
        <w:spacing w:after="0" w:line="293" w:lineRule="auto"/>
        <w:rPr>
          <w:sz w:val="20"/>
          <w:szCs w:val="20"/>
          <w:color w:val="auto"/>
        </w:rPr>
      </w:pPr>
      <w:r>
        <w:rPr>
          <w:rFonts w:ascii="Arial" w:cs="Arial" w:eastAsia="Arial" w:hAnsi="Arial"/>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35" w:lineRule="exact"/>
        <w:rPr>
          <w:sz w:val="20"/>
          <w:szCs w:val="20"/>
          <w:color w:val="auto"/>
        </w:rPr>
      </w:pPr>
    </w:p>
    <w:p>
      <w:pPr>
        <w:ind w:right="60" w:firstLine="374"/>
        <w:spacing w:after="0" w:line="290"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right="440" w:firstLine="374"/>
        <w:spacing w:after="0" w:line="293" w:lineRule="auto"/>
        <w:rPr>
          <w:sz w:val="20"/>
          <w:szCs w:val="20"/>
          <w:color w:val="auto"/>
        </w:rPr>
      </w:pPr>
      <w:r>
        <w:rPr>
          <w:rFonts w:ascii="Arial" w:cs="Arial" w:eastAsia="Arial" w:hAnsi="Arial"/>
          <w:sz w:val="18"/>
          <w:szCs w:val="18"/>
          <w:color w:val="auto"/>
        </w:rPr>
        <w:t>See the section titled “Summary of Significant Accounting Policies—Recent Accounting Pronouncements” in Note 2 to our financial statements included elsewhere in this Quarterly Report on Form 10-Q for additional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35" w:lineRule="exact"/>
        <w:rPr>
          <w:sz w:val="20"/>
          <w:szCs w:val="20"/>
          <w:color w:val="auto"/>
        </w:rPr>
      </w:pPr>
    </w:p>
    <w:p>
      <w:pPr>
        <w:ind w:right="80" w:firstLine="374"/>
        <w:spacing w:after="0" w:line="272"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As such, we are eligible for exemptions from various reporting requirements applicable to other public companies that are not emerging growth companies, including, but not limited to, presenting only two years of audited financial statements in addition to any required unaudited interim financial statements with correspondingly reduced “Management’s Discussion and Analysis of Financial Condition and Results of Operations” disclosure in this prospectus, not being required to comply with the auditor attestation requirements of Section 404 of the</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42" w:name="page43"/>
    <w:bookmarkEnd w:id="42"/>
    <w:p>
      <w:pPr>
        <w:ind w:right="200"/>
        <w:spacing w:after="0" w:line="272" w:lineRule="auto"/>
        <w:rPr>
          <w:sz w:val="20"/>
          <w:szCs w:val="20"/>
          <w:color w:val="auto"/>
        </w:rPr>
      </w:pPr>
      <w:r>
        <w:rPr>
          <w:rFonts w:ascii="Arial" w:cs="Arial" w:eastAsia="Arial" w:hAnsi="Arial"/>
          <w:sz w:val="18"/>
          <w:szCs w:val="18"/>
          <w:color w:val="auto"/>
        </w:rPr>
        <w:t>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in this prospectus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spacing w:after="0" w:line="83" w:lineRule="exact"/>
        <w:rPr>
          <w:sz w:val="20"/>
          <w:szCs w:val="20"/>
          <w:color w:val="auto"/>
        </w:rPr>
      </w:pPr>
    </w:p>
    <w:p>
      <w:pPr>
        <w:ind w:right="60" w:firstLine="374"/>
        <w:spacing w:after="0" w:line="275"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However, we have chosen to irrevocably “opt out” of such extended transition period, and as a result, we will comply with new or revised accounting standards on the relevant dates on which adoption of such standards is required for non-emerging growth companies.</w:t>
      </w:r>
    </w:p>
    <w:p>
      <w:pPr>
        <w:spacing w:after="0" w:line="77" w:lineRule="exact"/>
        <w:rPr>
          <w:sz w:val="20"/>
          <w:szCs w:val="20"/>
          <w:color w:val="auto"/>
        </w:rPr>
      </w:pPr>
    </w:p>
    <w:p>
      <w:pPr>
        <w:ind w:right="120" w:firstLine="374"/>
        <w:spacing w:after="0" w:line="292" w:lineRule="auto"/>
        <w:rPr>
          <w:sz w:val="20"/>
          <w:szCs w:val="20"/>
          <w:color w:val="auto"/>
        </w:rPr>
      </w:pPr>
      <w:r>
        <w:rPr>
          <w:rFonts w:ascii="Arial" w:cs="Arial" w:eastAsia="Arial" w:hAnsi="Arial"/>
          <w:sz w:val="17"/>
          <w:szCs w:val="17"/>
          <w:color w:val="auto"/>
        </w:rPr>
        <w:t>We will remain an emerging growth company until the earliest of: (i) the last day of the fiscal year following the fifth anniversary of the consummation of this offering;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66" w:lineRule="exact"/>
        <w:rPr>
          <w:sz w:val="20"/>
          <w:szCs w:val="20"/>
          <w:color w:val="auto"/>
        </w:rPr>
      </w:pPr>
    </w:p>
    <w:p>
      <w:pPr>
        <w:ind w:right="100" w:firstLine="374"/>
        <w:spacing w:after="0" w:line="271"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19" w:lineRule="exact"/>
        <w:rPr>
          <w:sz w:val="20"/>
          <w:szCs w:val="20"/>
          <w:color w:val="auto"/>
        </w:rPr>
      </w:pPr>
    </w:p>
    <w:p>
      <w:pPr>
        <w:ind w:right="4080"/>
        <w:spacing w:after="0" w:line="393" w:lineRule="auto"/>
        <w:rPr>
          <w:sz w:val="20"/>
          <w:szCs w:val="20"/>
          <w:color w:val="auto"/>
        </w:rPr>
      </w:pPr>
      <w:r>
        <w:rPr>
          <w:rFonts w:ascii="Arial" w:cs="Arial" w:eastAsia="Arial" w:hAnsi="Arial"/>
          <w:sz w:val="18"/>
          <w:szCs w:val="18"/>
          <w:b w:val="1"/>
          <w:bCs w:val="1"/>
          <w:color w:val="auto"/>
        </w:rPr>
        <w:t>ITEM 3. QUANTITATIVE AND QUALITATIVE DISCLOSURES ABOUT MARKET RISK Qualitative and Quantitative Disclosures About Market Risk</w:t>
      </w:r>
    </w:p>
    <w:p>
      <w:pPr>
        <w:spacing w:after="0" w:line="1" w:lineRule="exact"/>
        <w:rPr>
          <w:sz w:val="20"/>
          <w:szCs w:val="20"/>
          <w:color w:val="auto"/>
        </w:rPr>
      </w:pPr>
    </w:p>
    <w:p>
      <w:pPr>
        <w:ind w:right="260" w:firstLine="374"/>
        <w:spacing w:after="0" w:line="279"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31" w:lineRule="exact"/>
        <w:rPr>
          <w:sz w:val="20"/>
          <w:szCs w:val="20"/>
          <w:color w:val="auto"/>
        </w:rPr>
      </w:pPr>
    </w:p>
    <w:p>
      <w:pPr>
        <w:ind w:right="40" w:firstLine="374"/>
        <w:spacing w:after="0" w:line="269" w:lineRule="auto"/>
        <w:rPr>
          <w:sz w:val="20"/>
          <w:szCs w:val="20"/>
          <w:color w:val="auto"/>
        </w:rPr>
      </w:pPr>
      <w:r>
        <w:rPr>
          <w:rFonts w:ascii="Arial" w:cs="Arial" w:eastAsia="Arial" w:hAnsi="Arial"/>
          <w:sz w:val="18"/>
          <w:szCs w:val="18"/>
          <w:color w:val="auto"/>
        </w:rPr>
        <w:t>Our cash, cash equivalents and marketable securities as of September 30, 2021 consisted of $168.3 million, of which $100.0 million is invested in government securities and $68.3 million invested in bank deposits and money market funds. Our historical interest income has not fluctuated significantly. We do not believe that a hypothetical 10% change in interest rates would have a material impact on our consolidated financial statements included elsewhere in this Quarterly Report on Form 10-Q. We do not enter into investments for trading or speculative purposes and have not used any derivative financial instruments to manage our interest rate risk exposure. As of September 30, 2021, we had $39.6 million in variable rate debt outstanding. Our Credit Agreement bears interest at an annual rate equal to the greater of (i) the Wall Street Journal 30-day LIBOR plus 9.09%, or (ii) 9.25%. A hypothetical change in interest rates of 10% would have resulted in a change of approximately $0.1 million in interest expense in for the three months ended September 30,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31" w:lineRule="exact"/>
        <w:rPr>
          <w:sz w:val="20"/>
          <w:szCs w:val="20"/>
          <w:color w:val="auto"/>
        </w:rPr>
      </w:pPr>
    </w:p>
    <w:p>
      <w:pPr>
        <w:ind w:firstLine="374"/>
        <w:spacing w:after="0" w:line="311" w:lineRule="auto"/>
        <w:rPr>
          <w:sz w:val="20"/>
          <w:szCs w:val="20"/>
          <w:color w:val="auto"/>
        </w:rPr>
      </w:pPr>
      <w:r>
        <w:rPr>
          <w:rFonts w:ascii="Arial" w:cs="Arial" w:eastAsia="Arial" w:hAnsi="Arial"/>
          <w:sz w:val="16"/>
          <w:szCs w:val="16"/>
          <w:color w:val="auto"/>
        </w:rPr>
        <w:t>Our reporting currency is the U.S. dollar and our sales outside the United States are primarily denominated in Euros and GBP. For the years ended December 31, 2020 and 2019, approximately 0.3% and 0.5%, respectively, of our sales were denominated in currencies other than U.S. dollars. Our expenses are generally denominated in the currencies in which our operations are located, which are primarily in the United States and Europe. If our operations in countries outside of the United States grows, our results of operations and cash flows will be subject to fluctuations due to changes in foreign currency exchange rates, which could harm our business in the future. For example, if the value of the U.S. dollar increases relative to foreign currencies, in the absence of a corresponding change in local currency prices, our revenue could be adversely affected as we convert revenue from local</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3" w:name="page44"/>
    <w:bookmarkEnd w:id="43"/>
    <w:p>
      <w:pPr>
        <w:ind w:right="200"/>
        <w:spacing w:after="0" w:line="292" w:lineRule="auto"/>
        <w:rPr>
          <w:sz w:val="20"/>
          <w:szCs w:val="20"/>
          <w:color w:val="auto"/>
        </w:rPr>
      </w:pPr>
      <w:r>
        <w:rPr>
          <w:rFonts w:ascii="Arial" w:cs="Arial" w:eastAsia="Arial" w:hAnsi="Arial"/>
          <w:sz w:val="17"/>
          <w:szCs w:val="17"/>
          <w:color w:val="auto"/>
        </w:rPr>
        <w:t>currencies to U.S. dollars. In addition, because we conduct business in currencies other than U.S. dollars, but report our results of operations in U.S. dollars, we also face remeasurement exposure to fluctuations in currency exchange rates, which could hinder our ability to predict our future results and earnings and could impact our results of operations. We do not currently maintain a program to hedge exposures to non-U.S. dollar currencies. We do not believe that a hypothetical 10% change in the relative value of the U.S. dollar to other currencies would have a material impact on our condensed consolidated financial statements included elsewhere in this Quarterly Report on Form 10-Q.</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31" w:lineRule="exact"/>
        <w:rPr>
          <w:sz w:val="20"/>
          <w:szCs w:val="20"/>
          <w:color w:val="auto"/>
        </w:rPr>
      </w:pPr>
    </w:p>
    <w:p>
      <w:pPr>
        <w:ind w:right="560" w:firstLine="374"/>
        <w:spacing w:after="0" w:line="293"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contracts. We do not believe that inflation has had a material effect on our financial results during the periods presented.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80" w:firstLine="374"/>
        <w:spacing w:after="0" w:line="229" w:lineRule="exact"/>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September 30,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ind w:right="100" w:firstLine="374"/>
        <w:spacing w:after="0" w:line="293"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September 30, 2021 that has materially affected, or is reasonably likely to materially affect, our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31" w:lineRule="exact"/>
        <w:rPr>
          <w:sz w:val="20"/>
          <w:szCs w:val="20"/>
          <w:color w:val="auto"/>
        </w:rPr>
      </w:pPr>
    </w:p>
    <w:p>
      <w:pPr>
        <w:ind w:right="80" w:firstLine="374"/>
        <w:spacing w:after="0" w:line="272"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firstLine="374"/>
        <w:spacing w:after="0" w:line="281" w:lineRule="auto"/>
        <w:rPr>
          <w:sz w:val="20"/>
          <w:szCs w:val="20"/>
          <w:color w:val="auto"/>
        </w:rPr>
      </w:pPr>
      <w:r>
        <w:rPr>
          <w:rFonts w:ascii="Arial" w:cs="Arial" w:eastAsia="Arial" w:hAnsi="Arial"/>
          <w:sz w:val="17"/>
          <w:szCs w:val="17"/>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 Accordingly, the Company cannot determine the final amount, if any, of its liability beyond the amount accrued in the condensed consolidated financial statements as of September 30, 2021, nor is it possible to estimate what litigation-related costs will be in the future; however, the Company believes that the likelihood that claims related to litigation would result in a material loss to the Company, either individually or in the aggregate, is remote.</w:t>
      </w:r>
    </w:p>
    <w:p>
      <w:pPr>
        <w:spacing w:after="0" w:line="5" w:lineRule="exact"/>
        <w:rPr>
          <w:sz w:val="20"/>
          <w:szCs w:val="20"/>
          <w:color w:val="auto"/>
        </w:rPr>
      </w:pPr>
    </w:p>
    <w:p>
      <w:pPr>
        <w:spacing w:after="0"/>
        <w:rPr>
          <w:rFonts w:ascii="Arial" w:cs="Arial" w:eastAsia="Arial" w:hAnsi="Arial"/>
          <w:sz w:val="18"/>
          <w:szCs w:val="18"/>
          <w:b w:val="1"/>
          <w:bCs w:val="1"/>
          <w:color w:val="auto"/>
        </w:rPr>
      </w:pPr>
      <w:hyperlink w:anchor="page44">
        <w:r>
          <w:rPr>
            <w:rFonts w:ascii="Arial" w:cs="Arial" w:eastAsia="Arial" w:hAnsi="Arial"/>
            <w:sz w:val="18"/>
            <w:szCs w:val="18"/>
            <w:b w:val="1"/>
            <w:bCs w:val="1"/>
            <w:color w:val="auto"/>
          </w:rPr>
          <w:t>Item 1A: Risk Factors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1391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39190" cy="8890"/>
                    </a:xfrm>
                    <a:prstGeom prst="rect">
                      <a:avLst/>
                    </a:prstGeom>
                    <a:noFill/>
                  </pic:spPr>
                </pic:pic>
              </a:graphicData>
            </a:graphic>
          </wp:anchor>
        </w:drawing>
      </w:r>
    </w:p>
    <w:p>
      <w:pPr>
        <w:spacing w:after="0" w:line="110" w:lineRule="exact"/>
        <w:rPr>
          <w:sz w:val="20"/>
          <w:szCs w:val="20"/>
          <w:color w:val="auto"/>
        </w:rPr>
      </w:pPr>
    </w:p>
    <w:p>
      <w:pPr>
        <w:ind w:right="120" w:firstLine="374"/>
        <w:spacing w:after="0" w:line="279"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In addition to the other information included in this Quarterly Report on Form 10-Q, the following risks and uncertainties may have a material and adverse effect on our business, financial condition, results of operations, or stock price. You</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4" w:name="page45"/>
    <w:bookmarkEnd w:id="44"/>
    <w:p>
      <w:pPr>
        <w:spacing w:after="0" w:line="271" w:lineRule="auto"/>
        <w:rPr>
          <w:sz w:val="20"/>
          <w:szCs w:val="20"/>
          <w:color w:val="auto"/>
        </w:rPr>
      </w:pPr>
      <w:r>
        <w:rPr>
          <w:rFonts w:ascii="Arial" w:cs="Arial" w:eastAsia="Arial" w:hAnsi="Arial"/>
          <w:sz w:val="18"/>
          <w:szCs w:val="18"/>
          <w:i w:val="1"/>
          <w:iCs w:val="1"/>
          <w:color w:val="auto"/>
        </w:rPr>
        <w:t>should consider these risks and uncertainties carefully, together with all of the other information included or incorporated by reference in this Quarterly Report on Form 10-Q. The risks and uncertainties described below may not be the only ones we face. If any of the risks or uncertainties we face were to occur, the trading price of our securities could decline, and you may lose all or part of your investment. This Quarterly Report on Form 10-Q also contains forward-looking statements that involve risks and uncertainties. See the section titled “Special Note Regarding Forward-Looking Statements” appearing elsewhere in this Quarterly Report. Our actual results could differ materially from those anticipated in the forward-looking statements as a result of factors that are described below and elsewhere in this report.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48" w:lineRule="exact"/>
        <w:rPr>
          <w:sz w:val="20"/>
          <w:szCs w:val="20"/>
          <w:color w:val="auto"/>
        </w:rPr>
      </w:pPr>
    </w:p>
    <w:p>
      <w:pPr>
        <w:ind w:firstLine="374"/>
        <w:spacing w:after="0" w:line="293" w:lineRule="auto"/>
        <w:rPr>
          <w:sz w:val="20"/>
          <w:szCs w:val="20"/>
          <w:color w:val="auto"/>
        </w:rPr>
      </w:pPr>
      <w:r>
        <w:rPr>
          <w:rFonts w:ascii="Arial" w:cs="Arial" w:eastAsia="Arial" w:hAnsi="Arial"/>
          <w:sz w:val="18"/>
          <w:szCs w:val="18"/>
          <w:color w:val="auto"/>
        </w:rPr>
        <w:t>Our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our business and products:</w:t>
      </w:r>
    </w:p>
    <w:p>
      <w:pPr>
        <w:spacing w:after="0" w:line="189" w:lineRule="exact"/>
        <w:rPr>
          <w:sz w:val="20"/>
          <w:szCs w:val="20"/>
          <w:color w:val="auto"/>
        </w:rPr>
      </w:pPr>
    </w:p>
    <w:p>
      <w:pPr>
        <w:ind w:left="1080" w:right="520"/>
        <w:spacing w:after="0" w:line="359" w:lineRule="auto"/>
        <w:rPr>
          <w:sz w:val="20"/>
          <w:szCs w:val="20"/>
          <w:color w:val="auto"/>
        </w:rPr>
      </w:pPr>
      <w:r>
        <w:rPr>
          <w:rFonts w:ascii="Arial" w:cs="Arial" w:eastAsia="Arial" w:hAnsi="Arial"/>
          <w:sz w:val="16"/>
          <w:szCs w:val="16"/>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57" w:lineRule="exact"/>
        <w:rPr>
          <w:sz w:val="20"/>
          <w:szCs w:val="20"/>
          <w:color w:val="auto"/>
        </w:rPr>
      </w:pPr>
    </w:p>
    <w:p>
      <w:pPr>
        <w:ind w:left="1080" w:right="860"/>
        <w:spacing w:after="0" w:line="293" w:lineRule="auto"/>
        <w:rPr>
          <w:sz w:val="20"/>
          <w:szCs w:val="20"/>
          <w:color w:val="auto"/>
        </w:rPr>
      </w:pPr>
      <w:r>
        <w:rPr>
          <w:rFonts w:ascii="Arial" w:cs="Arial" w:eastAsia="Arial" w:hAnsi="Arial"/>
          <w:sz w:val="18"/>
          <w:szCs w:val="18"/>
          <w:color w:val="auto"/>
        </w:rPr>
        <w:t>We have a history of net operating losses, and we expect to continue to incur losses for the foreseeable future. If we ever achieve profitability, we may not be able to sustain it.</w:t>
      </w:r>
    </w:p>
    <w:p>
      <w:pPr>
        <w:spacing w:after="0" w:line="89" w:lineRule="exact"/>
        <w:rPr>
          <w:sz w:val="20"/>
          <w:szCs w:val="20"/>
          <w:color w:val="auto"/>
        </w:rPr>
      </w:pPr>
    </w:p>
    <w:p>
      <w:pPr>
        <w:ind w:left="1080" w:right="60"/>
        <w:spacing w:after="0" w:line="293" w:lineRule="auto"/>
        <w:rPr>
          <w:sz w:val="20"/>
          <w:szCs w:val="20"/>
          <w:color w:val="auto"/>
        </w:rPr>
      </w:pPr>
      <w:r>
        <w:rPr>
          <w:rFonts w:ascii="Arial" w:cs="Arial" w:eastAsia="Arial" w:hAnsi="Arial"/>
          <w:sz w:val="18"/>
          <w:szCs w:val="18"/>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102" w:lineRule="exact"/>
        <w:rPr>
          <w:sz w:val="20"/>
          <w:szCs w:val="20"/>
          <w:color w:val="auto"/>
        </w:rPr>
      </w:pPr>
    </w:p>
    <w:p>
      <w:pPr>
        <w:ind w:left="1080" w:right="160"/>
        <w:spacing w:after="0" w:line="293" w:lineRule="auto"/>
        <w:rPr>
          <w:sz w:val="20"/>
          <w:szCs w:val="20"/>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5" w:lineRule="exact"/>
        <w:rPr>
          <w:sz w:val="20"/>
          <w:szCs w:val="20"/>
          <w:color w:val="auto"/>
        </w:rPr>
      </w:pPr>
    </w:p>
    <w:p>
      <w:pPr>
        <w:ind w:left="1080"/>
        <w:spacing w:after="0" w:line="279" w:lineRule="auto"/>
        <w:rPr>
          <w:sz w:val="20"/>
          <w:szCs w:val="20"/>
          <w:color w:val="auto"/>
        </w:rPr>
      </w:pPr>
      <w:r>
        <w:rPr>
          <w:rFonts w:ascii="Arial" w:cs="Arial" w:eastAsia="Arial" w:hAnsi="Arial"/>
          <w:sz w:val="18"/>
          <w:szCs w:val="18"/>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115" w:lineRule="exact"/>
        <w:rPr>
          <w:sz w:val="20"/>
          <w:szCs w:val="20"/>
          <w:color w:val="auto"/>
        </w:rPr>
      </w:pPr>
    </w:p>
    <w:p>
      <w:pPr>
        <w:ind w:left="1080" w:right="180"/>
        <w:spacing w:after="0" w:line="293" w:lineRule="auto"/>
        <w:rPr>
          <w:sz w:val="20"/>
          <w:szCs w:val="20"/>
          <w:color w:val="auto"/>
        </w:rPr>
      </w:pPr>
      <w:r>
        <w:rPr>
          <w:rFonts w:ascii="Arial" w:cs="Arial" w:eastAsia="Arial" w:hAnsi="Arial"/>
          <w:sz w:val="18"/>
          <w:szCs w:val="18"/>
          <w:color w:val="auto"/>
        </w:rPr>
        <w:t>If we are unable to protect the confidentiality of our trade secrets and other proprietary information, our business and competitive position may be harmed.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not be able to protect our intellectual property rights throughout the world, which could impair our business.</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ind w:left="1080" w:right="480"/>
        <w:spacing w:after="0" w:line="293" w:lineRule="auto"/>
        <w:rPr>
          <w:sz w:val="20"/>
          <w:szCs w:val="20"/>
          <w:color w:val="auto"/>
        </w:rPr>
      </w:pPr>
      <w:r>
        <w:rPr>
          <w:rFonts w:ascii="Arial" w:cs="Arial" w:eastAsia="Arial" w:hAnsi="Arial"/>
          <w:sz w:val="18"/>
          <w:szCs w:val="18"/>
          <w:color w:val="auto"/>
        </w:rPr>
        <w:t>If we fail to obtain and maintain necessary regulatory clearances or approvals for our products, or if clearances or approvals for future products and indications are delayed or not issued, our commercial operations may be harmed.</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75" w:lineRule="exact"/>
        <w:rPr>
          <w:sz w:val="20"/>
          <w:szCs w:val="20"/>
          <w:color w:val="auto"/>
        </w:rPr>
      </w:pPr>
    </w:p>
    <w:p>
      <w:pPr>
        <w:ind w:left="1080" w:right="540"/>
        <w:spacing w:after="0" w:line="293" w:lineRule="auto"/>
        <w:rPr>
          <w:sz w:val="20"/>
          <w:szCs w:val="20"/>
          <w:color w:val="auto"/>
        </w:rPr>
      </w:pPr>
      <w:r>
        <w:rPr>
          <w:rFonts w:ascii="Arial" w:cs="Arial" w:eastAsia="Arial" w:hAnsi="Arial"/>
          <w:sz w:val="18"/>
          <w:szCs w:val="18"/>
          <w:color w:val="auto"/>
        </w:rPr>
        <w:t>We depend on third parties, including single and sole source suppliers, to manufacture certain components and subcomponents of the RxSight system, making us vulnerable to supply disruptions and price fluctuations.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price of our stock may be volatile, and you could lose all or part of your investment.</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45" w:name="page46"/>
    <w:bookmarkEnd w:id="45"/>
    <w:p>
      <w:pPr>
        <w:ind w:left="1080" w:right="460"/>
        <w:spacing w:after="0" w:line="293" w:lineRule="auto"/>
        <w:rPr>
          <w:sz w:val="20"/>
          <w:szCs w:val="20"/>
          <w:color w:val="auto"/>
        </w:rPr>
      </w:pPr>
      <w:r>
        <w:rPr>
          <w:rFonts w:ascii="Arial" w:cs="Arial" w:eastAsia="Arial" w:hAnsi="Arial"/>
          <w:sz w:val="18"/>
          <w:szCs w:val="18"/>
          <w:color w:val="auto"/>
        </w:rPr>
        <w:t>Our principal stockholders and management own a significant percentage of our stock and will be able to exert significant control over matters subject to stockholder approval.</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COVID-19:</w:t>
      </w:r>
    </w:p>
    <w:p>
      <w:pPr>
        <w:spacing w:after="0" w:line="175" w:lineRule="exact"/>
        <w:rPr>
          <w:sz w:val="20"/>
          <w:szCs w:val="20"/>
          <w:color w:val="auto"/>
        </w:rPr>
      </w:pPr>
    </w:p>
    <w:p>
      <w:pPr>
        <w:ind w:left="1080" w:right="280"/>
        <w:spacing w:after="0" w:line="293" w:lineRule="auto"/>
        <w:rPr>
          <w:sz w:val="20"/>
          <w:szCs w:val="20"/>
          <w:color w:val="auto"/>
        </w:rPr>
      </w:pPr>
      <w:r>
        <w:rPr>
          <w:rFonts w:ascii="Arial" w:cs="Arial" w:eastAsia="Arial" w:hAnsi="Arial"/>
          <w:sz w:val="18"/>
          <w:szCs w:val="18"/>
          <w:color w:val="auto"/>
        </w:rPr>
        <w:t>Our business, financial condition, results of operations and growth have been harmed by the effects of the COVID-19 pandemic and may continue to be harmed.</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risk factors:</w:t>
      </w:r>
    </w:p>
    <w:p>
      <w:pPr>
        <w:spacing w:after="0" w:line="189" w:lineRule="exact"/>
        <w:rPr>
          <w:sz w:val="20"/>
          <w:szCs w:val="20"/>
          <w:color w:val="auto"/>
        </w:rPr>
      </w:pPr>
    </w:p>
    <w:p>
      <w:pPr>
        <w:ind w:left="1080" w:right="260"/>
        <w:spacing w:after="0" w:line="293" w:lineRule="auto"/>
        <w:rPr>
          <w:sz w:val="20"/>
          <w:szCs w:val="20"/>
          <w:color w:val="auto"/>
        </w:rPr>
      </w:pPr>
      <w:r>
        <w:rPr>
          <w:rFonts w:ascii="Arial" w:cs="Arial" w:eastAsia="Arial" w:hAnsi="Arial"/>
          <w:sz w:val="18"/>
          <w:szCs w:val="18"/>
          <w:color w:val="auto"/>
        </w:rPr>
        <w:t>We must recruit, retain, manage and motivate qualified executives as we build out the management team, and we are highly dependent on our management team.</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Future litigation proceedings may adversely affect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products</w:t>
      </w:r>
    </w:p>
    <w:p>
      <w:pPr>
        <w:spacing w:after="0" w:line="148" w:lineRule="exact"/>
        <w:rPr>
          <w:sz w:val="20"/>
          <w:szCs w:val="20"/>
          <w:color w:val="auto"/>
        </w:rPr>
      </w:pPr>
    </w:p>
    <w:p>
      <w:pPr>
        <w:ind w:right="360"/>
        <w:spacing w:after="0" w:line="341" w:lineRule="auto"/>
        <w:rPr>
          <w:sz w:val="20"/>
          <w:szCs w:val="20"/>
          <w:color w:val="auto"/>
        </w:rPr>
      </w:pPr>
      <w:r>
        <w:rPr>
          <w:rFonts w:ascii="Arial" w:cs="Arial" w:eastAsia="Arial" w:hAnsi="Arial"/>
          <w:sz w:val="17"/>
          <w:szCs w:val="17"/>
          <w:b w:val="1"/>
          <w:bCs w:val="1"/>
          <w:i w:val="1"/>
          <w:iCs w:val="1"/>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79" w:lineRule="exact"/>
        <w:rPr>
          <w:sz w:val="20"/>
          <w:szCs w:val="20"/>
          <w:color w:val="auto"/>
        </w:rPr>
      </w:pPr>
    </w:p>
    <w:p>
      <w:pPr>
        <w:ind w:right="80" w:firstLine="374"/>
        <w:spacing w:after="0" w:line="306" w:lineRule="auto"/>
        <w:rPr>
          <w:sz w:val="20"/>
          <w:szCs w:val="20"/>
          <w:color w:val="auto"/>
        </w:rPr>
      </w:pPr>
      <w:r>
        <w:rPr>
          <w:rFonts w:ascii="Arial" w:cs="Arial" w:eastAsia="Arial" w:hAnsi="Arial"/>
          <w:sz w:val="17"/>
          <w:szCs w:val="17"/>
          <w:color w:val="auto"/>
        </w:rPr>
        <w:t>We were incorporated in March 1997 and began commercializing our products in the second half of 2019, when we initiated a full launch of our light adjustable lenses and light delivery devices. Accordingly, our limited commercialization experience and limited number of approved or cleared products make it difficult to evaluate our current business and assess our prospects. We also currently have limited sales and marketing experience. If we are unable to establish or scale effective sales 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spacing w:after="0" w:line="98" w:lineRule="exact"/>
        <w:rPr>
          <w:sz w:val="20"/>
          <w:szCs w:val="20"/>
          <w:color w:val="auto"/>
        </w:rPr>
      </w:pPr>
    </w:p>
    <w:p>
      <w:pPr>
        <w:ind w:firstLine="374"/>
        <w:spacing w:after="0" w:line="303" w:lineRule="auto"/>
        <w:rPr>
          <w:sz w:val="20"/>
          <w:szCs w:val="20"/>
          <w:color w:val="auto"/>
        </w:rPr>
      </w:pPr>
      <w:r>
        <w:rPr>
          <w:rFonts w:ascii="Arial" w:cs="Arial" w:eastAsia="Arial" w:hAnsi="Arial"/>
          <w:sz w:val="17"/>
          <w:szCs w:val="17"/>
          <w:color w:val="auto"/>
        </w:rPr>
        <w:t>Identifying and recruiting qualified sales and marketing personnel and training them on our product,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spacing w:after="0" w:line="114" w:lineRule="exact"/>
        <w:rPr>
          <w:sz w:val="20"/>
          <w:szCs w:val="20"/>
          <w:color w:val="auto"/>
        </w:rPr>
      </w:pPr>
    </w:p>
    <w:p>
      <w:pPr>
        <w:ind w:right="40" w:firstLine="374"/>
        <w:spacing w:after="0" w:line="305" w:lineRule="auto"/>
        <w:rPr>
          <w:sz w:val="20"/>
          <w:szCs w:val="20"/>
          <w:color w:val="auto"/>
        </w:rPr>
      </w:pPr>
      <w:r>
        <w:rPr>
          <w:rFonts w:ascii="Arial" w:cs="Arial" w:eastAsia="Arial" w:hAnsi="Arial"/>
          <w:sz w:val="17"/>
          <w:szCs w:val="17"/>
          <w:color w:val="auto"/>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spacing w:after="0" w:line="111" w:lineRule="exact"/>
        <w:rPr>
          <w:sz w:val="20"/>
          <w:szCs w:val="20"/>
          <w:color w:val="auto"/>
        </w:rPr>
      </w:pPr>
    </w:p>
    <w:p>
      <w:pPr>
        <w:ind w:right="400" w:firstLine="374"/>
        <w:spacing w:after="0" w:line="295" w:lineRule="auto"/>
        <w:rPr>
          <w:sz w:val="20"/>
          <w:szCs w:val="20"/>
          <w:color w:val="auto"/>
        </w:rPr>
      </w:pPr>
      <w:r>
        <w:rPr>
          <w:rFonts w:ascii="Arial" w:cs="Arial" w:eastAsia="Arial" w:hAnsi="Arial"/>
          <w:sz w:val="18"/>
          <w:szCs w:val="18"/>
          <w:color w:val="auto"/>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6" w:name="page47"/>
    <w:bookmarkEnd w:id="46"/>
    <w:p>
      <w:pPr>
        <w:ind w:right="20"/>
        <w:spacing w:after="0" w:line="288" w:lineRule="auto"/>
        <w:rPr>
          <w:sz w:val="20"/>
          <w:szCs w:val="20"/>
          <w:color w:val="auto"/>
        </w:rPr>
      </w:pPr>
      <w:r>
        <w:rPr>
          <w:rFonts w:ascii="Arial" w:cs="Arial" w:eastAsia="Arial" w:hAnsi="Arial"/>
          <w:sz w:val="18"/>
          <w:szCs w:val="18"/>
          <w:color w:val="auto"/>
        </w:rPr>
        <w:t>obtain the required regulatory approvals and clearances under applicable law both domestically and internationally, including FDA 510(k) clearance or pre-market approval, or PMA,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122" w:lineRule="exact"/>
        <w:rPr>
          <w:sz w:val="20"/>
          <w:szCs w:val="20"/>
          <w:color w:val="auto"/>
        </w:rPr>
      </w:pPr>
    </w:p>
    <w:p>
      <w:pPr>
        <w:ind w:right="80"/>
        <w:spacing w:after="0" w:line="308" w:lineRule="auto"/>
        <w:rPr>
          <w:sz w:val="20"/>
          <w:szCs w:val="20"/>
          <w:color w:val="auto"/>
        </w:rPr>
      </w:pPr>
      <w:r>
        <w:rPr>
          <w:rFonts w:ascii="Arial" w:cs="Arial" w:eastAsia="Arial" w:hAnsi="Arial"/>
          <w:sz w:val="18"/>
          <w:szCs w:val="18"/>
          <w:b w:val="1"/>
          <w:bCs w:val="1"/>
          <w:i w:val="1"/>
          <w:iCs w:val="1"/>
          <w:color w:val="auto"/>
        </w:rPr>
        <w:t>We have a history of net losses, and we expect to continue to incur losses for the foreseeable future. If we ever achieve profitability, we may not be able to sustain it.</w:t>
      </w:r>
    </w:p>
    <w:p>
      <w:pPr>
        <w:spacing w:after="0" w:line="63" w:lineRule="exact"/>
        <w:rPr>
          <w:sz w:val="20"/>
          <w:szCs w:val="20"/>
          <w:color w:val="auto"/>
        </w:rPr>
      </w:pPr>
    </w:p>
    <w:p>
      <w:pPr>
        <w:ind w:firstLine="374"/>
        <w:spacing w:after="0" w:line="327" w:lineRule="auto"/>
        <w:rPr>
          <w:sz w:val="20"/>
          <w:szCs w:val="20"/>
          <w:color w:val="auto"/>
        </w:rPr>
      </w:pPr>
      <w:r>
        <w:rPr>
          <w:rFonts w:ascii="Arial" w:cs="Arial" w:eastAsia="Arial" w:hAnsi="Arial"/>
          <w:sz w:val="16"/>
          <w:szCs w:val="16"/>
          <w:color w:val="auto"/>
        </w:rPr>
        <w:t>We have incurred losses from operations since our inception and expect to continue to incur losses from operations for the foreseeable future. We reported losses from operations of $46.1 million and $35.4 million for the years ended December 31, 2019 and 2020, respectively, and $12.7 million for the three months ended September 30, 2021. As a result of these losses, as of September 30, 2021, we had an accumulated deficit of $463.5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 In addition, we expect our general and administrative expenses to increase due to the additional costs associated with being a public company.</w:t>
      </w:r>
    </w:p>
    <w:p>
      <w:pPr>
        <w:spacing w:after="0" w:line="81" w:lineRule="exact"/>
        <w:rPr>
          <w:sz w:val="20"/>
          <w:szCs w:val="20"/>
          <w:color w:val="auto"/>
        </w:rPr>
      </w:pPr>
    </w:p>
    <w:p>
      <w:pPr>
        <w:ind w:right="420" w:firstLine="374"/>
        <w:spacing w:after="0" w:line="377" w:lineRule="auto"/>
        <w:rPr>
          <w:sz w:val="20"/>
          <w:szCs w:val="20"/>
          <w:color w:val="auto"/>
        </w:rPr>
      </w:pPr>
      <w:r>
        <w:rPr>
          <w:rFonts w:ascii="Arial" w:cs="Arial" w:eastAsia="Arial" w:hAnsi="Arial"/>
          <w:sz w:val="16"/>
          <w:szCs w:val="16"/>
          <w:color w:val="auto"/>
        </w:rPr>
        <w:t>The net losses that we incur may fluctuate significantly from period to period. We will need to generate significant additional revenue in order to achieve and sustain profitability. Even if we achieve profitability, we cannot be sure that we will remain profitable for any substantial period of time.</w:t>
      </w:r>
    </w:p>
    <w:p>
      <w:pPr>
        <w:spacing w:after="0" w:line="56" w:lineRule="exact"/>
        <w:rPr>
          <w:sz w:val="20"/>
          <w:szCs w:val="20"/>
          <w:color w:val="auto"/>
        </w:rPr>
      </w:pPr>
    </w:p>
    <w:p>
      <w:pPr>
        <w:ind w:right="100"/>
        <w:spacing w:after="0" w:line="308" w:lineRule="auto"/>
        <w:rPr>
          <w:sz w:val="20"/>
          <w:szCs w:val="20"/>
          <w:color w:val="auto"/>
        </w:rPr>
      </w:pPr>
      <w:r>
        <w:rPr>
          <w:rFonts w:ascii="Arial" w:cs="Arial" w:eastAsia="Arial" w:hAnsi="Arial"/>
          <w:sz w:val="18"/>
          <w:szCs w:val="18"/>
          <w:b w:val="1"/>
          <w:bCs w:val="1"/>
          <w:i w:val="1"/>
          <w:iCs w:val="1"/>
          <w:color w:val="auto"/>
        </w:rPr>
        <w:t>In order to support our continued operations and the growth of our business, we may seek to raise additional capital, which may not be available to us on acceptable terms, or at all.</w:t>
      </w:r>
    </w:p>
    <w:p>
      <w:pPr>
        <w:spacing w:after="0" w:line="63" w:lineRule="exact"/>
        <w:rPr>
          <w:sz w:val="20"/>
          <w:szCs w:val="20"/>
          <w:color w:val="auto"/>
        </w:rPr>
      </w:pPr>
    </w:p>
    <w:p>
      <w:pPr>
        <w:ind w:right="120" w:firstLine="374"/>
        <w:spacing w:after="0" w:line="287" w:lineRule="auto"/>
        <w:rPr>
          <w:sz w:val="20"/>
          <w:szCs w:val="20"/>
          <w:color w:val="auto"/>
        </w:rPr>
      </w:pPr>
      <w:r>
        <w:rPr>
          <w:rFonts w:ascii="Arial" w:cs="Arial" w:eastAsia="Arial" w:hAnsi="Arial"/>
          <w:sz w:val="18"/>
          <w:szCs w:val="18"/>
          <w:color w:val="auto"/>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spacing w:after="0" w:line="121" w:lineRule="exact"/>
        <w:rPr>
          <w:sz w:val="20"/>
          <w:szCs w:val="20"/>
          <w:color w:val="auto"/>
        </w:rPr>
      </w:pPr>
    </w:p>
    <w:p>
      <w:pPr>
        <w:ind w:right="180" w:firstLine="374"/>
        <w:spacing w:after="0" w:line="308" w:lineRule="auto"/>
        <w:rPr>
          <w:sz w:val="20"/>
          <w:szCs w:val="20"/>
          <w:color w:val="auto"/>
        </w:rPr>
      </w:pPr>
      <w:r>
        <w:rPr>
          <w:rFonts w:ascii="Arial" w:cs="Arial" w:eastAsia="Arial" w:hAnsi="Arial"/>
          <w:sz w:val="18"/>
          <w:szCs w:val="18"/>
          <w:color w:val="auto"/>
        </w:rPr>
        <w:t>Because of these and other factors, we expect to continue to incur substantial net losses and negative cash flows from operations for at least the next several years. Our future liquidity and capital funding requirements will depend on numerous factors, including:</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revenue growth;</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research and development efforts;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sales and marketing activities;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success in leveraging future strategic partnerships;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raise additional funds to finance our operations;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outcome, costs and timing of any clinical trial results for our current or future products;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emergence and effect of competing or complementary products;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availability and amount of reimbursement for procedures using our products;</w:t>
      </w:r>
    </w:p>
    <w:p>
      <w:pPr>
        <w:spacing w:after="0" w:line="171" w:lineRule="exact"/>
        <w:rPr>
          <w:sz w:val="20"/>
          <w:szCs w:val="20"/>
          <w:color w:val="auto"/>
        </w:rPr>
      </w:pPr>
    </w:p>
    <w:p>
      <w:pPr>
        <w:ind w:left="1080" w:right="80"/>
        <w:spacing w:after="0" w:line="293" w:lineRule="auto"/>
        <w:rPr>
          <w:sz w:val="20"/>
          <w:szCs w:val="20"/>
          <w:color w:val="auto"/>
        </w:rPr>
      </w:pPr>
      <w:r>
        <w:rPr>
          <w:rFonts w:ascii="Arial" w:cs="Arial" w:eastAsia="Arial" w:hAnsi="Arial"/>
          <w:sz w:val="18"/>
          <w:szCs w:val="18"/>
          <w:color w:val="auto"/>
        </w:rPr>
        <w:t>our ability to maintain, expand, enforce and defend our intellectual property portfolio, including the amount and timing of any payments we may be required to make, or that we may receive, in</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47" w:name="page48"/>
    <w:bookmarkEnd w:id="47"/>
    <w:p>
      <w:pPr>
        <w:ind w:left="1080"/>
        <w:spacing w:after="0"/>
        <w:rPr>
          <w:sz w:val="20"/>
          <w:szCs w:val="20"/>
          <w:color w:val="auto"/>
        </w:rPr>
      </w:pPr>
      <w:r>
        <w:rPr>
          <w:rFonts w:ascii="Arial" w:cs="Arial" w:eastAsia="Arial" w:hAnsi="Arial"/>
          <w:sz w:val="16"/>
          <w:szCs w:val="16"/>
          <w:color w:val="auto"/>
        </w:rPr>
        <w:t>connection with the licensing, filing, prosecution, maintenance, defense and enforcement of any patents or other intellectual property rights;</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ability to retain our employees and the need and ability to hire additional management and sales, scientific and medical personnel;</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terms and timing of any collaborative, licensing or other arrangements that we have or may establish;</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debt service requirements;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extent to which we acquire or invest in businesses, products or technologies; and</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impact of the COVID-19 pandemic.</w:t>
      </w:r>
    </w:p>
    <w:p>
      <w:pPr>
        <w:spacing w:after="0" w:line="171" w:lineRule="exact"/>
        <w:rPr>
          <w:sz w:val="20"/>
          <w:szCs w:val="20"/>
          <w:color w:val="auto"/>
        </w:rPr>
      </w:pPr>
    </w:p>
    <w:p>
      <w:pPr>
        <w:ind w:firstLine="374"/>
        <w:spacing w:after="0" w:line="285" w:lineRule="auto"/>
        <w:rPr>
          <w:sz w:val="20"/>
          <w:szCs w:val="20"/>
          <w:color w:val="auto"/>
        </w:rPr>
      </w:pPr>
      <w:r>
        <w:rPr>
          <w:rFonts w:ascii="Arial" w:cs="Arial" w:eastAsia="Arial" w:hAnsi="Arial"/>
          <w:sz w:val="18"/>
          <w:szCs w:val="18"/>
          <w:color w:val="auto"/>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spacing w:after="0" w:line="126" w:lineRule="exact"/>
        <w:rPr>
          <w:sz w:val="20"/>
          <w:szCs w:val="20"/>
          <w:color w:val="auto"/>
        </w:rPr>
      </w:pPr>
    </w:p>
    <w:p>
      <w:pPr>
        <w:ind w:right="20" w:firstLine="374"/>
        <w:spacing w:after="0" w:line="290" w:lineRule="auto"/>
        <w:rPr>
          <w:sz w:val="20"/>
          <w:szCs w:val="20"/>
          <w:color w:val="auto"/>
        </w:rPr>
      </w:pPr>
      <w:r>
        <w:rPr>
          <w:rFonts w:ascii="Arial" w:cs="Arial" w:eastAsia="Arial" w:hAnsi="Arial"/>
          <w:sz w:val="18"/>
          <w:szCs w:val="18"/>
          <w:color w:val="auto"/>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w:t>
      </w:r>
    </w:p>
    <w:p>
      <w:pPr>
        <w:spacing w:after="0" w:line="107" w:lineRule="exact"/>
        <w:rPr>
          <w:sz w:val="20"/>
          <w:szCs w:val="20"/>
          <w:color w:val="auto"/>
        </w:rPr>
      </w:pPr>
    </w:p>
    <w:p>
      <w:pPr>
        <w:ind w:right="80" w:firstLine="374"/>
        <w:spacing w:after="0" w:line="329" w:lineRule="auto"/>
        <w:rPr>
          <w:sz w:val="20"/>
          <w:szCs w:val="20"/>
          <w:color w:val="auto"/>
        </w:rPr>
      </w:pPr>
      <w:r>
        <w:rPr>
          <w:rFonts w:ascii="Arial" w:cs="Arial" w:eastAsia="Arial" w:hAnsi="Arial"/>
          <w:sz w:val="16"/>
          <w:szCs w:val="16"/>
          <w:color w:val="auto"/>
        </w:rPr>
        <w:t>As of September 30, 2021, and December 31, 2020, we had $168.3 million and $69.0 million, respectively, in cash, cash equivalents and marketable securities. While we believe that our existing cash, cash equivalents and marketable securities and anticipated cash generated from sales of our products will be sufficient to meet our anticipated cash needs for at least 12 months following the date of this Quarterly Report on Form 10-Q, but we cannot assure you that we will be able to generate sufficient liquidity as and when needed.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93"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and failure to comply with covenants or to satisfy certain conditions of the agreement governing the credit facility may result in acceleration of our repayment obligations and foreclosure on our pledged assets, which could significantly harm our liquidity, financial condition, operating results, business and prospects and cause the price of our securities to decline.</w:t>
      </w:r>
    </w:p>
    <w:p>
      <w:pPr>
        <w:spacing w:after="0" w:line="80" w:lineRule="exact"/>
        <w:rPr>
          <w:sz w:val="20"/>
          <w:szCs w:val="20"/>
          <w:color w:val="auto"/>
        </w:rPr>
      </w:pPr>
    </w:p>
    <w:p>
      <w:pPr>
        <w:ind w:right="300" w:firstLine="374"/>
        <w:spacing w:after="0" w:line="295" w:lineRule="auto"/>
        <w:rPr>
          <w:sz w:val="20"/>
          <w:szCs w:val="20"/>
          <w:color w:val="auto"/>
        </w:rPr>
      </w:pPr>
      <w:r>
        <w:rPr>
          <w:rFonts w:ascii="Arial" w:cs="Arial" w:eastAsia="Arial" w:hAnsi="Arial"/>
          <w:sz w:val="18"/>
          <w:szCs w:val="18"/>
          <w:color w:val="auto"/>
        </w:rPr>
        <w:t>Our Credit Agreement with Oxford Finance, provides for a five-year $60.0 million term-loan facility, of which $40.0 million has been drawn as of September 30, 2021. $10.0 million of the term-loan facility is available in additional draws during 2021 and $10.0 million will be available in the first quarter of 2022 if we reach certain revenue milestones.</w:t>
      </w:r>
    </w:p>
    <w:p>
      <w:pPr>
        <w:spacing w:after="0" w:line="114" w:lineRule="exact"/>
        <w:rPr>
          <w:sz w:val="20"/>
          <w:szCs w:val="20"/>
          <w:color w:val="auto"/>
        </w:rPr>
      </w:pPr>
    </w:p>
    <w:p>
      <w:pPr>
        <w:ind w:right="180" w:firstLine="374"/>
        <w:spacing w:after="0" w:line="295" w:lineRule="auto"/>
        <w:rPr>
          <w:sz w:val="20"/>
          <w:szCs w:val="20"/>
          <w:color w:val="auto"/>
        </w:rPr>
      </w:pPr>
      <w:r>
        <w:rPr>
          <w:rFonts w:ascii="Arial" w:cs="Arial" w:eastAsia="Arial" w:hAnsi="Arial"/>
          <w:sz w:val="18"/>
          <w:szCs w:val="18"/>
          <w:color w:val="auto"/>
        </w:rPr>
        <w:t>Our payment obligations under the Credit Agreement reduce cash available to fund working capital, capital expenditures, research and development and general corporate needs. In addition, indebtedness under the Credit Agreement bears interest at a variable rate, making us vulnerable to increases in market interest rates. If market rates</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increase, we will have to pay additional interest on this indebtedness, which would further reduce cash available for our other business needs.</w:t>
      </w:r>
    </w:p>
    <w:p>
      <w:pPr>
        <w:spacing w:after="0" w:line="196" w:lineRule="exact"/>
        <w:rPr>
          <w:sz w:val="20"/>
          <w:szCs w:val="20"/>
          <w:color w:val="auto"/>
        </w:rPr>
      </w:pPr>
    </w:p>
    <w:p>
      <w:pPr>
        <w:jc w:val="both"/>
        <w:ind w:right="100" w:firstLine="374"/>
        <w:spacing w:after="0" w:line="295" w:lineRule="auto"/>
        <w:rPr>
          <w:sz w:val="20"/>
          <w:szCs w:val="20"/>
          <w:color w:val="auto"/>
        </w:rPr>
      </w:pPr>
      <w:r>
        <w:rPr>
          <w:rFonts w:ascii="Arial" w:cs="Arial" w:eastAsia="Arial" w:hAnsi="Arial"/>
          <w:sz w:val="18"/>
          <w:szCs w:val="18"/>
          <w:color w:val="auto"/>
        </w:rPr>
        <w:t>Commencing in 2022, the Credit Agreement requires us to achieve certain revenue levels as compared to our board approved operating plan in order to avoid a default or to access additional funds. When we are subject to this covenant, there can be no assurance of our ability to maintain compliance with this covenant as of any future date.</w:t>
      </w:r>
    </w:p>
    <w:p>
      <w:pPr>
        <w:spacing w:after="0" w:line="101" w:lineRule="exact"/>
        <w:rPr>
          <w:sz w:val="20"/>
          <w:szCs w:val="20"/>
          <w:color w:val="auto"/>
        </w:rPr>
      </w:pPr>
    </w:p>
    <w:p>
      <w:pPr>
        <w:ind w:right="40" w:firstLine="374"/>
        <w:spacing w:after="0" w:line="306" w:lineRule="auto"/>
        <w:rPr>
          <w:sz w:val="20"/>
          <w:szCs w:val="20"/>
          <w:color w:val="auto"/>
        </w:rPr>
      </w:pPr>
      <w:r>
        <w:rPr>
          <w:rFonts w:ascii="Arial" w:cs="Arial" w:eastAsia="Arial" w:hAnsi="Arial"/>
          <w:sz w:val="17"/>
          <w:szCs w:val="17"/>
          <w:color w:val="auto"/>
        </w:rPr>
        <w:t>Our obligations under the Credit Agreement are secured by substantially all of our assets, excluding intellectual property. The security interest granted over our assets could limit our ability to obtain additional debt financing. The Credit Agreement also requires us to comply with a number of other covenants (affirmative and negative), including restrictive covenants that limit our ability to: incur additional indebtedness; encumber the collateral securing the loan; acquire, own or make investments; repurchase or redeem any class of stock or other equity interest; declare or pay any cash dividend or make a cash distribution on any class of stock or other equity interest; dispose of a portion of our assets; acquire other businesses; and merge or consolidate with or into any other organization or otherwise suffer a change in control, in each case subject to exceptions.</w:t>
      </w:r>
    </w:p>
    <w:p>
      <w:pPr>
        <w:spacing w:after="0" w:line="111" w:lineRule="exact"/>
        <w:rPr>
          <w:sz w:val="20"/>
          <w:szCs w:val="20"/>
          <w:color w:val="auto"/>
        </w:rPr>
      </w:pPr>
    </w:p>
    <w:p>
      <w:pPr>
        <w:ind w:firstLine="374"/>
        <w:spacing w:after="0" w:line="323" w:lineRule="auto"/>
        <w:rPr>
          <w:sz w:val="20"/>
          <w:szCs w:val="20"/>
          <w:color w:val="auto"/>
        </w:rPr>
      </w:pPr>
      <w:r>
        <w:rPr>
          <w:rFonts w:ascii="Arial" w:cs="Arial" w:eastAsia="Arial" w:hAnsi="Arial"/>
          <w:sz w:val="16"/>
          <w:szCs w:val="16"/>
          <w:color w:val="auto"/>
        </w:rPr>
        <w:t>In addition to other specified events of default, the lenders could declare an event of default upon the occurrence of any event that they interpret as having a material impairment on their lien on the collateral under the agreement, a material adverse change in our business, operations or condition (financial or otherwise) or a material impairment in the prospect of repayment of our obligations under the agreement. If we default under the credit facility, the lenders may accelerate all of our repayment obligations and, if we are unable to access funds to meet those obligations or to renegotiate our agreement, the lenders could take control of our pledged assets and we would have to immediately cease operations. During the continuance of an event of default, the then-applicable interest rate on the then-outstanding principal balance will increase by 5.0%. Upon an event of default, the lenders could also require us to repay the loan immediately, together with a final payment charge of 5.0% of the total term loan advances we borrowed, together with other fees. If we were to renegotiate the agreement under such circumstances, the terms may be significantly less favorable to us. If we were liquidated, the lenders’ right to repayment would be senior to the rights of our stockholders to receive any proceeds from the liquidation. Any declaration by the lenders of an event of default could significantly harm our liquidity, financial condition, operating results, business, and prospects and cause the price of our securities to decline.</w:t>
      </w:r>
    </w:p>
    <w:p>
      <w:pPr>
        <w:spacing w:after="0" w:line="102" w:lineRule="exact"/>
        <w:rPr>
          <w:sz w:val="20"/>
          <w:szCs w:val="20"/>
          <w:color w:val="auto"/>
        </w:rPr>
      </w:pPr>
    </w:p>
    <w:p>
      <w:pPr>
        <w:jc w:val="both"/>
        <w:ind w:right="260" w:firstLine="374"/>
        <w:spacing w:after="0" w:line="295" w:lineRule="auto"/>
        <w:rPr>
          <w:sz w:val="20"/>
          <w:szCs w:val="20"/>
          <w:color w:val="auto"/>
        </w:rPr>
      </w:pPr>
      <w:r>
        <w:rPr>
          <w:rFonts w:ascii="Arial" w:cs="Arial" w:eastAsia="Arial" w:hAnsi="Arial"/>
          <w:sz w:val="18"/>
          <w:szCs w:val="18"/>
          <w:color w:val="auto"/>
        </w:rPr>
        <w:t>We may incur additional indebtedness in the future. The debt instruments governing such indebtedness may contain provisions that are as, or more, restrictive than the provisions governing our existing indebtedness. If we are unable to repay, refinance or restructure our indebtedness when payment is due, the lenders could proceed against the collateral or force us into bankruptcy or liquidation.</w:t>
      </w:r>
    </w:p>
    <w:p>
      <w:pPr>
        <w:spacing w:after="0" w:line="101" w:lineRule="exact"/>
        <w:rPr>
          <w:sz w:val="20"/>
          <w:szCs w:val="20"/>
          <w:color w:val="auto"/>
        </w:rPr>
      </w:pPr>
    </w:p>
    <w:p>
      <w:pPr>
        <w:ind w:right="160"/>
        <w:spacing w:after="0" w:line="308" w:lineRule="auto"/>
        <w:rPr>
          <w:sz w:val="20"/>
          <w:szCs w:val="20"/>
          <w:color w:val="auto"/>
        </w:rPr>
      </w:pPr>
      <w:r>
        <w:rPr>
          <w:rFonts w:ascii="Arial" w:cs="Arial" w:eastAsia="Arial" w:hAnsi="Arial"/>
          <w:sz w:val="18"/>
          <w:szCs w:val="18"/>
          <w:b w:val="1"/>
          <w:bCs w:val="1"/>
          <w:i w:val="1"/>
          <w:iCs w:val="1"/>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63" w:lineRule="exact"/>
        <w:rPr>
          <w:sz w:val="20"/>
          <w:szCs w:val="20"/>
          <w:color w:val="auto"/>
        </w:rPr>
      </w:pPr>
    </w:p>
    <w:p>
      <w:pPr>
        <w:ind w:right="280" w:firstLine="374"/>
        <w:spacing w:after="0" w:line="295" w:lineRule="auto"/>
        <w:rPr>
          <w:sz w:val="20"/>
          <w:szCs w:val="20"/>
          <w:color w:val="auto"/>
        </w:rPr>
      </w:pPr>
      <w:r>
        <w:rPr>
          <w:rFonts w:ascii="Arial" w:cs="Arial" w:eastAsia="Arial" w:hAnsi="Arial"/>
          <w:sz w:val="18"/>
          <w:szCs w:val="18"/>
          <w:color w:val="auto"/>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actual and perceived effectiveness and reliability of our RxSight system, especially relative to alternative products;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prevalence and severity of any adverse patient events involving our RxSight system;</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results of clinical trials relating to our RxSight system;</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sustain meaningful clinical benefits for our patients;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obtain regulatory approval to market our planned or future products for use in the United States or internationally;</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9" w:name="page50"/>
    <w:bookmarkEnd w:id="49"/>
    <w:p>
      <w:pPr>
        <w:ind w:left="1080" w:right="300"/>
        <w:spacing w:after="0" w:line="293" w:lineRule="auto"/>
        <w:rPr>
          <w:sz w:val="20"/>
          <w:szCs w:val="20"/>
          <w:color w:val="auto"/>
        </w:rPr>
      </w:pPr>
      <w:r>
        <w:rPr>
          <w:rFonts w:ascii="Arial" w:cs="Arial" w:eastAsia="Arial" w:hAnsi="Arial"/>
          <w:sz w:val="18"/>
          <w:szCs w:val="18"/>
          <w:color w:val="auto"/>
        </w:rPr>
        <w:t>the availability, relative cost and perceived advantages and disadvantages of alternative technologies or treatment methods for conditions treated by our products;</w:t>
      </w:r>
    </w:p>
    <w:p>
      <w:pPr>
        <w:spacing w:after="0" w:line="102" w:lineRule="exact"/>
        <w:rPr>
          <w:sz w:val="20"/>
          <w:szCs w:val="20"/>
          <w:color w:val="auto"/>
        </w:rPr>
      </w:pPr>
    </w:p>
    <w:p>
      <w:pPr>
        <w:ind w:left="1080" w:right="60"/>
        <w:spacing w:after="0" w:line="279" w:lineRule="auto"/>
        <w:rPr>
          <w:sz w:val="20"/>
          <w:szCs w:val="20"/>
          <w:color w:val="auto"/>
        </w:rPr>
      </w:pPr>
      <w:r>
        <w:rPr>
          <w:rFonts w:ascii="Arial" w:cs="Arial" w:eastAsia="Arial" w:hAnsi="Arial"/>
          <w:sz w:val="18"/>
          <w:szCs w:val="18"/>
          <w:color w:val="auto"/>
        </w:rPr>
        <w:t>the degree to which treatments using our products are covered and receive adequate reimbursement from third-party payors, including governmental and private insurers, as well as patient willingness to pay for the additional costs associated with our premium intraocular lens out of pocket;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degree to which doctors adopt our RxSight system;</w:t>
      </w:r>
    </w:p>
    <w:p>
      <w:pPr>
        <w:spacing w:after="0" w:line="171" w:lineRule="exact"/>
        <w:rPr>
          <w:sz w:val="20"/>
          <w:szCs w:val="20"/>
          <w:color w:val="auto"/>
        </w:rPr>
      </w:pPr>
    </w:p>
    <w:p>
      <w:pPr>
        <w:ind w:left="1080" w:right="340"/>
        <w:spacing w:after="0" w:line="296" w:lineRule="auto"/>
        <w:rPr>
          <w:sz w:val="20"/>
          <w:szCs w:val="20"/>
          <w:color w:val="auto"/>
        </w:rPr>
      </w:pPr>
      <w:r>
        <w:rPr>
          <w:rFonts w:ascii="Arial" w:cs="Arial" w:eastAsia="Arial" w:hAnsi="Arial"/>
          <w:sz w:val="17"/>
          <w:szCs w:val="17"/>
          <w:color w:val="auto"/>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obtain, maintain, protect and enforce our intellectual property rights in and to our RxSight system;</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degree to which patients value the customized vision delivered by the RxSight system and are satisfied with their results;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achieving and maintaining compliance with regulatory requirements applicable to our products;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extent to which we are successful in educating doctors about IOLs in general, and the benefits of our RxSight system;</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reputation among doctors;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strength of our marketing and commercial organization;</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effectiveness of our marketing and sales efforts in the United States, including our efforts to build out our sales team;</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expand the commercialization of our products into international markets;</w:t>
      </w:r>
    </w:p>
    <w:p>
      <w:pPr>
        <w:spacing w:after="0" w:line="171" w:lineRule="exact"/>
        <w:rPr>
          <w:sz w:val="20"/>
          <w:szCs w:val="20"/>
          <w:color w:val="auto"/>
        </w:rPr>
      </w:pPr>
    </w:p>
    <w:p>
      <w:pPr>
        <w:ind w:left="1080" w:right="340"/>
        <w:spacing w:after="0" w:line="293" w:lineRule="auto"/>
        <w:rPr>
          <w:sz w:val="20"/>
          <w:szCs w:val="20"/>
          <w:color w:val="auto"/>
        </w:rPr>
      </w:pPr>
      <w:r>
        <w:rPr>
          <w:rFonts w:ascii="Arial" w:cs="Arial" w:eastAsia="Arial" w:hAnsi="Arial"/>
          <w:sz w:val="18"/>
          <w:szCs w:val="18"/>
          <w:color w:val="auto"/>
        </w:rPr>
        <w:t>our ability to continue to develop, validate and maintain a commercially viable manufacturing process that is compliant with the Quality Systems Regulations, or QSR, and other applicable foreign, federal and state regulatory requirements;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success of our ongoing or future clinical trials; and</w:t>
      </w:r>
    </w:p>
    <w:p>
      <w:pPr>
        <w:spacing w:after="0" w:line="158" w:lineRule="exact"/>
        <w:rPr>
          <w:sz w:val="20"/>
          <w:szCs w:val="20"/>
          <w:color w:val="auto"/>
        </w:rPr>
      </w:pPr>
    </w:p>
    <w:p>
      <w:pPr>
        <w:ind w:left="1080" w:right="140"/>
        <w:spacing w:after="0" w:line="293" w:lineRule="auto"/>
        <w:rPr>
          <w:sz w:val="20"/>
          <w:szCs w:val="20"/>
          <w:color w:val="auto"/>
        </w:rPr>
      </w:pPr>
      <w:r>
        <w:rPr>
          <w:rFonts w:ascii="Arial" w:cs="Arial" w:eastAsia="Arial" w:hAnsi="Arial"/>
          <w:sz w:val="18"/>
          <w:szCs w:val="18"/>
          <w:color w:val="auto"/>
        </w:rPr>
        <w:t>whether we are required by the FDA or comparable non-U.S. regulatory authorities to conduct additional clinical trials for current or future indications.</w:t>
      </w:r>
    </w:p>
    <w:p>
      <w:pPr>
        <w:spacing w:after="0" w:line="102" w:lineRule="exact"/>
        <w:rPr>
          <w:sz w:val="20"/>
          <w:szCs w:val="20"/>
          <w:color w:val="auto"/>
        </w:rPr>
      </w:pPr>
    </w:p>
    <w:p>
      <w:pPr>
        <w:ind w:right="120" w:firstLine="374"/>
        <w:spacing w:after="0" w:line="270" w:lineRule="auto"/>
        <w:rPr>
          <w:sz w:val="20"/>
          <w:szCs w:val="20"/>
          <w:color w:val="auto"/>
        </w:rPr>
      </w:pPr>
      <w:r>
        <w:rPr>
          <w:rFonts w:ascii="Arial" w:cs="Arial" w:eastAsia="Arial" w:hAnsi="Arial"/>
          <w:sz w:val="18"/>
          <w:szCs w:val="18"/>
          <w:color w:val="auto"/>
        </w:rPr>
        <w:t>If we fail to successfully market and sell our products, we will not be able to grow our revenue or achieve profitability, which will have a material adverse effect on our business, financial condition and results of operations. 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spacing w:after="0" w:line="125" w:lineRule="exact"/>
        <w:rPr>
          <w:sz w:val="20"/>
          <w:szCs w:val="20"/>
          <w:color w:val="auto"/>
        </w:rPr>
      </w:pPr>
    </w:p>
    <w:p>
      <w:pPr>
        <w:ind w:right="660"/>
        <w:spacing w:after="0" w:line="293" w:lineRule="auto"/>
        <w:rPr>
          <w:sz w:val="20"/>
          <w:szCs w:val="20"/>
          <w:color w:val="auto"/>
        </w:rPr>
      </w:pPr>
      <w:r>
        <w:rPr>
          <w:rFonts w:ascii="Arial" w:cs="Arial" w:eastAsia="Arial" w:hAnsi="Arial"/>
          <w:sz w:val="18"/>
          <w:szCs w:val="18"/>
          <w:b w:val="1"/>
          <w:bCs w:val="1"/>
          <w:i w:val="1"/>
          <w:iCs w:val="1"/>
          <w:color w:val="auto"/>
        </w:rPr>
        <w:t>Adoption of our products depends upon appropriate training for doctors, and inadequate training may lead to negative patient outcomes, affect adoption of our products and adversely affect our business.</w:t>
      </w:r>
    </w:p>
    <w:p>
      <w:pPr>
        <w:spacing w:after="0" w:line="62" w:lineRule="exact"/>
        <w:rPr>
          <w:sz w:val="20"/>
          <w:szCs w:val="20"/>
          <w:color w:val="auto"/>
        </w:rPr>
      </w:pPr>
    </w:p>
    <w:p>
      <w:pPr>
        <w:ind w:firstLine="374"/>
        <w:spacing w:after="0" w:line="279" w:lineRule="auto"/>
        <w:rPr>
          <w:sz w:val="20"/>
          <w:szCs w:val="20"/>
          <w:color w:val="auto"/>
        </w:rPr>
      </w:pPr>
      <w:r>
        <w:rPr>
          <w:rFonts w:ascii="Arial" w:cs="Arial" w:eastAsia="Arial" w:hAnsi="Arial"/>
          <w:sz w:val="18"/>
          <w:szCs w:val="18"/>
          <w:color w:val="auto"/>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0" w:name="page51"/>
    <w:bookmarkEnd w:id="50"/>
    <w:p>
      <w:pPr>
        <w:ind w:right="60"/>
        <w:spacing w:after="0" w:line="288" w:lineRule="auto"/>
        <w:rPr>
          <w:sz w:val="20"/>
          <w:szCs w:val="20"/>
          <w:color w:val="auto"/>
        </w:rPr>
      </w:pPr>
      <w:r>
        <w:rPr>
          <w:rFonts w:ascii="Arial" w:cs="Arial" w:eastAsia="Arial" w:hAnsi="Arial"/>
          <w:sz w:val="17"/>
          <w:szCs w:val="17"/>
          <w:color w:val="auto"/>
        </w:rPr>
        <w:t>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result may negatively impact the perception of patient benefit and safety and limit adoption of our products, which would have a material adverse effect on our business, financial condition and results of operations.</w:t>
      </w:r>
    </w:p>
    <w:p>
      <w:pPr>
        <w:spacing w:after="0" w:line="113" w:lineRule="exact"/>
        <w:rPr>
          <w:sz w:val="20"/>
          <w:szCs w:val="20"/>
          <w:color w:val="auto"/>
        </w:rPr>
      </w:pPr>
    </w:p>
    <w:p>
      <w:pPr>
        <w:ind w:right="20" w:firstLine="374"/>
        <w:spacing w:after="0" w:line="275" w:lineRule="auto"/>
        <w:rPr>
          <w:sz w:val="20"/>
          <w:szCs w:val="20"/>
          <w:color w:val="auto"/>
        </w:rPr>
      </w:pPr>
      <w:r>
        <w:rPr>
          <w:rFonts w:ascii="Arial" w:cs="Arial" w:eastAsia="Arial" w:hAnsi="Arial"/>
          <w:sz w:val="18"/>
          <w:szCs w:val="18"/>
          <w:color w:val="auto"/>
        </w:rPr>
        <w:t>We currently require limited training in the use of our products because we market primarily to doctors who are experienced in the specific techniques required to use our devices. If demand for our products continues to grow, less experienced doctors will likely use our products, potentially leading to more injury and an increased risk of product liability claims. The use or misuse of our products may in the future result in complications and potentially lead to product liability claims.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commercial success of our RxSight system will depend upon attaining significant market acceptance of these products among patients and doctors.</w:t>
      </w:r>
    </w:p>
    <w:p>
      <w:pPr>
        <w:spacing w:after="0" w:line="165" w:lineRule="exact"/>
        <w:rPr>
          <w:sz w:val="20"/>
          <w:szCs w:val="20"/>
          <w:color w:val="auto"/>
        </w:rPr>
      </w:pPr>
    </w:p>
    <w:p>
      <w:pPr>
        <w:ind w:firstLine="374"/>
        <w:spacing w:after="0" w:line="306" w:lineRule="auto"/>
        <w:rPr>
          <w:sz w:val="20"/>
          <w:szCs w:val="20"/>
          <w:color w:val="auto"/>
        </w:rPr>
      </w:pPr>
      <w:r>
        <w:rPr>
          <w:rFonts w:ascii="Arial" w:cs="Arial" w:eastAsia="Arial" w:hAnsi="Arial"/>
          <w:sz w:val="16"/>
          <w:szCs w:val="16"/>
          <w:color w:val="auto"/>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doctors must believe that our products offer benefits over alternative treatment methods. To date, a substantial majority of our product sales and revenue have been derived from a limited number of customers who have adopted our RxSight system. Our future growth and profitability largely depend on our ability to increase doctors’ awareness of our system and our products and on the willingness of patients, doctors to adopt them. These parties may not adopt our products unless they are able to determine, based on experience, clinical data, medical society recommendations and other analyses, that our products are safe, effective and, with respect to providers, cost-effective, on a stand-alone basis and relative to competitors’ products. Patients, 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long-standing relationships with competing companies and distributors that sell other products;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competitive response and negative selling efforts from providers of alternative products;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lack of experience with our products and concerns that we are relatively new to market;</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lack or perceived lack of sufficient clinical evidence, including long-term data, supporting safety or clinical benefits;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time commitment and skill development that may be required to gain familiarity and proficiency with our products;</w:t>
      </w:r>
    </w:p>
    <w:p>
      <w:pPr>
        <w:spacing w:after="0" w:line="158" w:lineRule="exact"/>
        <w:rPr>
          <w:sz w:val="20"/>
          <w:szCs w:val="20"/>
          <w:color w:val="auto"/>
        </w:rPr>
      </w:pPr>
    </w:p>
    <w:p>
      <w:pPr>
        <w:ind w:left="1080" w:right="80"/>
        <w:spacing w:after="0" w:line="293" w:lineRule="auto"/>
        <w:rPr>
          <w:sz w:val="20"/>
          <w:szCs w:val="20"/>
          <w:color w:val="auto"/>
        </w:rPr>
      </w:pPr>
      <w:r>
        <w:rPr>
          <w:rFonts w:ascii="Arial" w:cs="Arial" w:eastAsia="Arial" w:hAnsi="Arial"/>
          <w:sz w:val="18"/>
          <w:szCs w:val="18"/>
          <w:color w:val="auto"/>
        </w:rPr>
        <w:t>patient confusion regarding the wide range of commercially available premium IOL offerings and their ability to deliver promised results at near, middle and far distances without reliance on spectacles;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patient reticence to select a premium IOL due to nonperformance and adverse side effects associated with competing products in the market;</w:t>
      </w:r>
    </w:p>
    <w:p>
      <w:pPr>
        <w:spacing w:after="0" w:line="194" w:lineRule="exact"/>
        <w:rPr>
          <w:sz w:val="20"/>
          <w:szCs w:val="20"/>
          <w:color w:val="auto"/>
        </w:rPr>
      </w:pPr>
    </w:p>
    <w:p>
      <w:pPr>
        <w:ind w:left="1080" w:right="140"/>
        <w:spacing w:after="0" w:line="279" w:lineRule="auto"/>
        <w:rPr>
          <w:sz w:val="20"/>
          <w:szCs w:val="20"/>
          <w:color w:val="auto"/>
        </w:rPr>
      </w:pPr>
      <w:r>
        <w:rPr>
          <w:rFonts w:ascii="Arial" w:cs="Arial" w:eastAsia="Arial" w:hAnsi="Arial"/>
          <w:sz w:val="18"/>
          <w:szCs w:val="18"/>
          <w:color w:val="auto"/>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spacing w:after="0" w:line="102" w:lineRule="exact"/>
        <w:rPr>
          <w:sz w:val="20"/>
          <w:szCs w:val="20"/>
          <w:color w:val="auto"/>
        </w:rPr>
      </w:pPr>
    </w:p>
    <w:p>
      <w:pPr>
        <w:ind w:left="1080" w:right="300"/>
        <w:spacing w:after="0" w:line="293" w:lineRule="auto"/>
        <w:rPr>
          <w:sz w:val="20"/>
          <w:szCs w:val="20"/>
          <w:color w:val="auto"/>
        </w:rPr>
      </w:pPr>
      <w:r>
        <w:rPr>
          <w:rFonts w:ascii="Arial" w:cs="Arial" w:eastAsia="Arial" w:hAnsi="Arial"/>
          <w:sz w:val="18"/>
          <w:szCs w:val="18"/>
          <w:color w:val="auto"/>
        </w:rPr>
        <w:t>an inability to generate patient referral due to dissatisfaction with results obtained through treatment with our products, the out-of-pocket cost of treatments using our products or otherwise.</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51" w:name="page52"/>
    <w:bookmarkEnd w:id="51"/>
    <w:p>
      <w:pPr>
        <w:ind w:right="180" w:firstLine="374"/>
        <w:spacing w:after="0" w:line="279" w:lineRule="auto"/>
        <w:rPr>
          <w:sz w:val="20"/>
          <w:szCs w:val="20"/>
          <w:color w:val="auto"/>
        </w:rPr>
      </w:pPr>
      <w:r>
        <w:rPr>
          <w:rFonts w:ascii="Arial" w:cs="Arial" w:eastAsia="Arial" w:hAnsi="Arial"/>
          <w:sz w:val="18"/>
          <w:szCs w:val="18"/>
          <w:color w:val="auto"/>
        </w:rPr>
        <w:t>In order for doctors to use our RxSight system, they must make a significant up-front investment to purchase the LDD. This can result in a lengthy sales cycle and require extensive negotiations and management time. If we are unsuccessful in placing LDDs with providers, our sales may decrease, and our operating results may be harmed.</w:t>
      </w:r>
    </w:p>
    <w:p>
      <w:pPr>
        <w:spacing w:after="0" w:line="115" w:lineRule="exact"/>
        <w:rPr>
          <w:sz w:val="20"/>
          <w:szCs w:val="20"/>
          <w:color w:val="auto"/>
        </w:rPr>
      </w:pPr>
    </w:p>
    <w:p>
      <w:pPr>
        <w:jc w:val="both"/>
        <w:ind w:right="600" w:firstLine="374"/>
        <w:spacing w:after="0" w:line="329" w:lineRule="auto"/>
        <w:rPr>
          <w:sz w:val="20"/>
          <w:szCs w:val="20"/>
          <w:color w:val="auto"/>
        </w:rPr>
      </w:pPr>
      <w:r>
        <w:rPr>
          <w:rFonts w:ascii="Arial" w:cs="Arial" w:eastAsia="Arial" w:hAnsi="Arial"/>
          <w:sz w:val="16"/>
          <w:szCs w:val="16"/>
          <w:color w:val="auto"/>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However, we cannot assure you that we will achieve broad market acceptance among doctors.</w:t>
      </w:r>
    </w:p>
    <w:p>
      <w:pPr>
        <w:spacing w:after="0" w:line="67" w:lineRule="exact"/>
        <w:rPr>
          <w:sz w:val="20"/>
          <w:szCs w:val="20"/>
          <w:color w:val="auto"/>
        </w:rPr>
      </w:pPr>
    </w:p>
    <w:p>
      <w:pPr>
        <w:ind w:right="80" w:firstLine="374"/>
        <w:spacing w:after="0" w:line="309" w:lineRule="auto"/>
        <w:rPr>
          <w:sz w:val="20"/>
          <w:szCs w:val="20"/>
          <w:color w:val="auto"/>
        </w:rPr>
      </w:pPr>
      <w:r>
        <w:rPr>
          <w:rFonts w:ascii="Arial" w:cs="Arial" w:eastAsia="Arial" w:hAnsi="Arial"/>
          <w:sz w:val="16"/>
          <w:szCs w:val="16"/>
          <w:color w:val="auto"/>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spacing w:after="0" w:line="97" w:lineRule="exact"/>
        <w:rPr>
          <w:sz w:val="20"/>
          <w:szCs w:val="20"/>
          <w:color w:val="auto"/>
        </w:rPr>
      </w:pPr>
    </w:p>
    <w:p>
      <w:pPr>
        <w:ind w:right="100" w:firstLine="374"/>
        <w:spacing w:after="0" w:line="275" w:lineRule="auto"/>
        <w:rPr>
          <w:sz w:val="20"/>
          <w:szCs w:val="20"/>
          <w:color w:val="auto"/>
        </w:rPr>
      </w:pPr>
      <w:r>
        <w:rPr>
          <w:rFonts w:ascii="Arial" w:cs="Arial" w:eastAsia="Arial" w:hAnsi="Arial"/>
          <w:sz w:val="18"/>
          <w:szCs w:val="18"/>
          <w:color w:val="auto"/>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RxSight system involves surgical risks and is contraindicated in certain patients, which may limit adoption.</w:t>
      </w:r>
    </w:p>
    <w:p>
      <w:pPr>
        <w:spacing w:after="0" w:line="158" w:lineRule="exact"/>
        <w:rPr>
          <w:sz w:val="20"/>
          <w:szCs w:val="20"/>
          <w:color w:val="auto"/>
        </w:rPr>
      </w:pPr>
    </w:p>
    <w:p>
      <w:pPr>
        <w:ind w:right="120" w:firstLine="374"/>
        <w:spacing w:after="0" w:line="275" w:lineRule="auto"/>
        <w:rPr>
          <w:sz w:val="20"/>
          <w:szCs w:val="20"/>
          <w:color w:val="auto"/>
        </w:rPr>
      </w:pPr>
      <w:r>
        <w:rPr>
          <w:rFonts w:ascii="Arial" w:cs="Arial" w:eastAsia="Arial" w:hAnsi="Arial"/>
          <w:sz w:val="18"/>
          <w:szCs w:val="18"/>
          <w:color w:val="auto"/>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spacing w:after="0" w:line="118" w:lineRule="exact"/>
        <w:rPr>
          <w:sz w:val="20"/>
          <w:szCs w:val="20"/>
          <w:color w:val="auto"/>
        </w:rPr>
      </w:pPr>
    </w:p>
    <w:p>
      <w:pPr>
        <w:ind w:right="140"/>
        <w:spacing w:after="0" w:line="308" w:lineRule="auto"/>
        <w:rPr>
          <w:sz w:val="20"/>
          <w:szCs w:val="20"/>
          <w:color w:val="auto"/>
        </w:rPr>
      </w:pPr>
      <w:r>
        <w:rPr>
          <w:rFonts w:ascii="Arial" w:cs="Arial" w:eastAsia="Arial" w:hAnsi="Arial"/>
          <w:sz w:val="18"/>
          <w:szCs w:val="18"/>
          <w:b w:val="1"/>
          <w:bCs w:val="1"/>
          <w:i w:val="1"/>
          <w:iCs w:val="1"/>
          <w:color w:val="auto"/>
        </w:rPr>
        <w:t>We face significant competition, and if we are unable to compete effectively, we may not be able to achieve or maintain significant market penetration or improve our results of operations.</w:t>
      </w:r>
    </w:p>
    <w:p>
      <w:pPr>
        <w:spacing w:after="0" w:line="63"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The medical device industry is intensely competitive, subject to rapid change and significantly affected by new product introductions and other market activities of industry participants. We compete with manufacturers and distributors of premium and conventional IOLs. Our most significant competitors in the IOL field include Alcon, Johnson &amp; Johnson Vision, Bausch + Lomb, Hoya Corporation and Carl Zeiss AG. Many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spectacles until final lock-in which is approximately 4-5 weeks after surgery. They will also be required to return for an additional 2-3 clinic visits compared to traditional cataract surgery. The additional clinic visits are non-surgical but do require the patient’s eyes to be dilated. Due to these additional requirements, market acceptance of the LAL may be impacted. We believe the principal competitive factors in our markets include:</w:t>
      </w:r>
    </w:p>
    <w:p>
      <w:pPr>
        <w:spacing w:after="0" w:line="1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quality of patient outcomes, oftentimes measured by visual acuity, and adverse event rates;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Patient experience, including patient recovery time and level of discomfort;</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Acceptance by treating doctors and referral sources;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Doctor learning curves and willingness to adopt new technologies;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Ease-of-use and reliability;</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52" w:name="page53"/>
    <w:bookmarkEnd w:id="52"/>
    <w:p>
      <w:pPr>
        <w:ind w:left="1080"/>
        <w:spacing w:after="0"/>
        <w:rPr>
          <w:sz w:val="20"/>
          <w:szCs w:val="20"/>
          <w:color w:val="auto"/>
        </w:rPr>
      </w:pPr>
      <w:r>
        <w:rPr>
          <w:rFonts w:ascii="Arial" w:cs="Arial" w:eastAsia="Arial" w:hAnsi="Arial"/>
          <w:sz w:val="18"/>
          <w:szCs w:val="18"/>
          <w:color w:val="auto"/>
        </w:rPr>
        <w:t>Economic benefits and cost savings;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Strength of clinical evidence;</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Effective distribution and marketing to surgeons and potential patients; and</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Product price and qualification for coverage and reimbursement.</w:t>
      </w:r>
    </w:p>
    <w:p>
      <w:pPr>
        <w:spacing w:after="0" w:line="171" w:lineRule="exact"/>
        <w:rPr>
          <w:sz w:val="20"/>
          <w:szCs w:val="20"/>
          <w:color w:val="auto"/>
        </w:rPr>
      </w:pPr>
    </w:p>
    <w:p>
      <w:pPr>
        <w:ind w:right="180" w:firstLine="374"/>
        <w:spacing w:after="0" w:line="293" w:lineRule="auto"/>
        <w:rPr>
          <w:sz w:val="20"/>
          <w:szCs w:val="20"/>
          <w:color w:val="auto"/>
        </w:rPr>
      </w:pPr>
      <w:r>
        <w:rPr>
          <w:rFonts w:ascii="Arial" w:cs="Arial" w:eastAsia="Arial" w:hAnsi="Arial"/>
          <w:sz w:val="18"/>
          <w:szCs w:val="18"/>
          <w:color w:val="auto"/>
        </w:rPr>
        <w:t>We compete primarily on the basis that our products are designed to enable more doctors to treat more patients more efficiently and effectively. Our continued success depends on our ability to:</w:t>
      </w:r>
    </w:p>
    <w:p>
      <w:pPr>
        <w:spacing w:after="0" w:line="89" w:lineRule="exact"/>
        <w:rPr>
          <w:sz w:val="20"/>
          <w:szCs w:val="20"/>
          <w:color w:val="auto"/>
        </w:rPr>
      </w:pPr>
    </w:p>
    <w:p>
      <w:pPr>
        <w:ind w:left="1080" w:right="60"/>
        <w:spacing w:after="0" w:line="293" w:lineRule="auto"/>
        <w:rPr>
          <w:sz w:val="20"/>
          <w:szCs w:val="20"/>
          <w:color w:val="auto"/>
        </w:rPr>
      </w:pPr>
      <w:r>
        <w:rPr>
          <w:rFonts w:ascii="Arial" w:cs="Arial" w:eastAsia="Arial" w:hAnsi="Arial"/>
          <w:sz w:val="18"/>
          <w:szCs w:val="18"/>
          <w:color w:val="auto"/>
        </w:rPr>
        <w:t>continue to develop innovative, proprietary products that address significant clinical needs in a manner that is safe and effective for patients and easy-to-use for doctors;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obtain and maintain regulatory clearances or approvals;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demonstrate safety and effectiveness in our sponsored and third-party clinical trials;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expand our sales force across key markets to increase doctors’ awareness;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obtain and maintain coverage and adequate reimbursement for procedures using our products;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attract and retain skilled research, development, sales and clinical personnel;</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cost-effectively manufacture, market and sell our products;</w:t>
      </w:r>
    </w:p>
    <w:p>
      <w:pPr>
        <w:spacing w:after="0" w:line="171" w:lineRule="exact"/>
        <w:rPr>
          <w:sz w:val="20"/>
          <w:szCs w:val="20"/>
          <w:color w:val="auto"/>
        </w:rPr>
      </w:pPr>
    </w:p>
    <w:p>
      <w:pPr>
        <w:ind w:left="1080" w:right="140"/>
        <w:spacing w:after="0" w:line="293" w:lineRule="auto"/>
        <w:rPr>
          <w:sz w:val="20"/>
          <w:szCs w:val="20"/>
          <w:color w:val="auto"/>
        </w:rPr>
      </w:pPr>
      <w:r>
        <w:rPr>
          <w:rFonts w:ascii="Arial" w:cs="Arial" w:eastAsia="Arial" w:hAnsi="Arial"/>
          <w:sz w:val="18"/>
          <w:szCs w:val="18"/>
          <w:color w:val="auto"/>
        </w:rPr>
        <w:t>provide doctors with a sufficient return on investment as compared to alternative premium IOL procedures that justifies the upfront cost of our LDD; and</w:t>
      </w:r>
    </w:p>
    <w:p>
      <w:pPr>
        <w:spacing w:after="0" w:line="102" w:lineRule="exact"/>
        <w:rPr>
          <w:sz w:val="20"/>
          <w:szCs w:val="20"/>
          <w:color w:val="auto"/>
        </w:rPr>
      </w:pPr>
    </w:p>
    <w:p>
      <w:pPr>
        <w:ind w:left="1080" w:right="560"/>
        <w:spacing w:after="0" w:line="293" w:lineRule="auto"/>
        <w:rPr>
          <w:sz w:val="20"/>
          <w:szCs w:val="20"/>
          <w:color w:val="auto"/>
        </w:rPr>
      </w:pPr>
      <w:r>
        <w:rPr>
          <w:rFonts w:ascii="Arial" w:cs="Arial" w:eastAsia="Arial" w:hAnsi="Arial"/>
          <w:sz w:val="18"/>
          <w:szCs w:val="18"/>
          <w:color w:val="auto"/>
        </w:rPr>
        <w:t>obtain, maintain, enforce and defend our intellectual property rights and operate our business without infringing, misappropriating or otherwise violating the intellectual property rights of others.</w:t>
      </w:r>
    </w:p>
    <w:p>
      <w:pPr>
        <w:spacing w:after="0" w:line="89"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We can provide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spacing w:after="0" w:line="123" w:lineRule="exact"/>
        <w:rPr>
          <w:sz w:val="20"/>
          <w:szCs w:val="20"/>
          <w:color w:val="auto"/>
        </w:rPr>
      </w:pPr>
    </w:p>
    <w:p>
      <w:pPr>
        <w:ind w:right="40" w:firstLine="374"/>
        <w:spacing w:after="0" w:line="319" w:lineRule="auto"/>
        <w:rPr>
          <w:sz w:val="20"/>
          <w:szCs w:val="20"/>
          <w:color w:val="auto"/>
        </w:rPr>
      </w:pPr>
      <w:r>
        <w:rPr>
          <w:rFonts w:ascii="Arial" w:cs="Arial" w:eastAsia="Arial" w:hAnsi="Arial"/>
          <w:sz w:val="16"/>
          <w:szCs w:val="16"/>
          <w:color w:val="auto"/>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spacing w:after="0" w:line="88" w:lineRule="exact"/>
        <w:rPr>
          <w:sz w:val="20"/>
          <w:szCs w:val="20"/>
          <w:color w:val="auto"/>
        </w:rPr>
      </w:pPr>
    </w:p>
    <w:p>
      <w:pPr>
        <w:ind w:right="340"/>
        <w:spacing w:after="0" w:line="341" w:lineRule="auto"/>
        <w:rPr>
          <w:sz w:val="20"/>
          <w:szCs w:val="20"/>
          <w:color w:val="auto"/>
        </w:rPr>
      </w:pPr>
      <w:r>
        <w:rPr>
          <w:rFonts w:ascii="Arial" w:cs="Arial" w:eastAsia="Arial" w:hAnsi="Arial"/>
          <w:sz w:val="17"/>
          <w:szCs w:val="17"/>
          <w:b w:val="1"/>
          <w:bCs w:val="1"/>
          <w:i w:val="1"/>
          <w:iCs w:val="1"/>
          <w:color w:val="auto"/>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spacing w:after="0" w:line="39" w:lineRule="exact"/>
        <w:rPr>
          <w:sz w:val="20"/>
          <w:szCs w:val="20"/>
          <w:color w:val="auto"/>
        </w:rPr>
      </w:pPr>
    </w:p>
    <w:p>
      <w:pPr>
        <w:ind w:right="140" w:firstLine="374"/>
        <w:spacing w:after="0" w:line="309" w:lineRule="auto"/>
        <w:rPr>
          <w:sz w:val="20"/>
          <w:szCs w:val="20"/>
          <w:color w:val="auto"/>
        </w:rPr>
      </w:pPr>
      <w:r>
        <w:rPr>
          <w:rFonts w:ascii="Arial" w:cs="Arial" w:eastAsia="Arial" w:hAnsi="Arial"/>
          <w:sz w:val="16"/>
          <w:szCs w:val="16"/>
          <w:color w:val="auto"/>
        </w:rPr>
        <w:t>We currently maintain our research and development, manufacturing and administrative operations in Aliso Viejo, California, and we do not have redundant facilities. We operate a single manufacturing facility, and should this facility be significantly damaged or destroyed by natural or man-made disasters, such as earthquakes,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53" w:name="page54"/>
    <w:bookmarkEnd w:id="53"/>
    <w:p>
      <w:pPr>
        <w:ind w:right="120"/>
        <w:spacing w:after="0" w:line="314" w:lineRule="auto"/>
        <w:rPr>
          <w:sz w:val="20"/>
          <w:szCs w:val="20"/>
          <w:color w:val="auto"/>
        </w:rPr>
      </w:pPr>
      <w:r>
        <w:rPr>
          <w:rFonts w:ascii="Arial" w:cs="Arial" w:eastAsia="Arial" w:hAnsi="Arial"/>
          <w:sz w:val="16"/>
          <w:szCs w:val="16"/>
          <w:color w:val="auto"/>
        </w:rPr>
        <w:t>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spacing w:after="0" w:line="92" w:lineRule="exact"/>
        <w:rPr>
          <w:sz w:val="20"/>
          <w:szCs w:val="20"/>
          <w:color w:val="auto"/>
        </w:rPr>
      </w:pPr>
    </w:p>
    <w:p>
      <w:pPr>
        <w:ind w:right="40" w:firstLine="374"/>
        <w:spacing w:after="0" w:line="288" w:lineRule="auto"/>
        <w:rPr>
          <w:sz w:val="20"/>
          <w:szCs w:val="20"/>
          <w:color w:val="auto"/>
        </w:rPr>
      </w:pPr>
      <w:r>
        <w:rPr>
          <w:rFonts w:ascii="Arial" w:cs="Arial" w:eastAsia="Arial" w:hAnsi="Arial"/>
          <w:sz w:val="17"/>
          <w:szCs w:val="17"/>
          <w:color w:val="auto"/>
        </w:rPr>
        <w:t>Furthermore, the current leases on our three facilities expire at the end of September 30, 2029 (including a five year option to extend), January 31, 2041 (including three-five year options to extend) and June 30, 2033 (including two extensions to extend for 5 years each), and we may be unable to renew our leases or find a new facility on commercially reasonable terms, or at all. If we were unable or unwilling to renew at the proposed rates, relocating our manufacturing facility would involve significant expense in connection with the movement and installation of key manufacturing equipment and any necessary recertification with regulatory bodies, and we cannot assure you that such a move would not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change may adversely affect sales of our products and may cause our products to become obsolete.</w:t>
      </w:r>
    </w:p>
    <w:p>
      <w:pPr>
        <w:spacing w:after="0" w:line="144" w:lineRule="exact"/>
        <w:rPr>
          <w:sz w:val="20"/>
          <w:szCs w:val="20"/>
          <w:color w:val="auto"/>
        </w:rPr>
      </w:pPr>
    </w:p>
    <w:p>
      <w:pPr>
        <w:ind w:firstLine="374"/>
        <w:spacing w:after="0" w:line="269" w:lineRule="auto"/>
        <w:rPr>
          <w:sz w:val="20"/>
          <w:szCs w:val="20"/>
          <w:color w:val="auto"/>
        </w:rPr>
      </w:pPr>
      <w:r>
        <w:rPr>
          <w:rFonts w:ascii="Arial" w:cs="Arial" w:eastAsia="Arial" w:hAnsi="Arial"/>
          <w:sz w:val="18"/>
          <w:szCs w:val="18"/>
          <w:color w:val="auto"/>
        </w:rPr>
        <w:t>The medical device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high employee turnover, inability to hire personnel with sufficient technical skills,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p>
      <w:pPr>
        <w:spacing w:after="0" w:line="126" w:lineRule="exact"/>
        <w:rPr>
          <w:sz w:val="20"/>
          <w:szCs w:val="20"/>
          <w:color w:val="auto"/>
        </w:rPr>
      </w:pPr>
    </w:p>
    <w:p>
      <w:pPr>
        <w:ind w:right="120"/>
        <w:spacing w:after="0" w:line="295" w:lineRule="auto"/>
        <w:rPr>
          <w:sz w:val="20"/>
          <w:szCs w:val="20"/>
          <w:color w:val="auto"/>
        </w:rPr>
      </w:pPr>
      <w:r>
        <w:rPr>
          <w:rFonts w:ascii="Arial" w:cs="Arial" w:eastAsia="Arial" w:hAnsi="Arial"/>
          <w:sz w:val="18"/>
          <w:szCs w:val="18"/>
          <w:b w:val="1"/>
          <w:bCs w:val="1"/>
          <w:i w:val="1"/>
          <w:iCs w:val="1"/>
          <w:color w:val="auto"/>
        </w:rPr>
        <w:t>We have limited data and experience regarding the safety and efficacy of our RxSight system. 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spacing w:after="0" w:line="74" w:lineRule="exact"/>
        <w:rPr>
          <w:sz w:val="20"/>
          <w:szCs w:val="20"/>
          <w:color w:val="auto"/>
        </w:rPr>
      </w:pPr>
    </w:p>
    <w:p>
      <w:pPr>
        <w:ind w:right="140" w:firstLine="374"/>
        <w:spacing w:after="0" w:line="286" w:lineRule="auto"/>
        <w:rPr>
          <w:sz w:val="20"/>
          <w:szCs w:val="20"/>
          <w:color w:val="auto"/>
        </w:rPr>
      </w:pPr>
      <w:r>
        <w:rPr>
          <w:rFonts w:ascii="Arial" w:cs="Arial" w:eastAsia="Arial" w:hAnsi="Arial"/>
          <w:sz w:val="17"/>
          <w:szCs w:val="17"/>
          <w:color w:val="auto"/>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clinical trials are unsuccessful or significantly delayed, or if we do not complete our clinical trials, our business may be harmed.</w:t>
      </w:r>
    </w:p>
    <w:p>
      <w:pPr>
        <w:spacing w:after="0" w:line="156" w:lineRule="exact"/>
        <w:rPr>
          <w:sz w:val="20"/>
          <w:szCs w:val="20"/>
          <w:color w:val="auto"/>
        </w:rPr>
      </w:pPr>
    </w:p>
    <w:p>
      <w:pPr>
        <w:ind w:right="40" w:firstLine="374"/>
        <w:spacing w:after="0" w:line="329" w:lineRule="auto"/>
        <w:rPr>
          <w:sz w:val="20"/>
          <w:szCs w:val="20"/>
          <w:color w:val="auto"/>
        </w:rPr>
      </w:pPr>
      <w:r>
        <w:rPr>
          <w:rFonts w:ascii="Arial" w:cs="Arial" w:eastAsia="Arial" w:hAnsi="Arial"/>
          <w:sz w:val="16"/>
          <w:szCs w:val="16"/>
          <w:color w:val="auto"/>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54" w:name="page55"/>
    <w:bookmarkEnd w:id="54"/>
    <w:p>
      <w:pPr>
        <w:ind w:right="240"/>
        <w:spacing w:after="0" w:line="275" w:lineRule="auto"/>
        <w:rPr>
          <w:sz w:val="20"/>
          <w:szCs w:val="20"/>
          <w:color w:val="auto"/>
        </w:rPr>
      </w:pPr>
      <w:r>
        <w:rPr>
          <w:rFonts w:ascii="Arial" w:cs="Arial" w:eastAsia="Arial" w:hAnsi="Arial"/>
          <w:sz w:val="18"/>
          <w:szCs w:val="18"/>
          <w:color w:val="auto"/>
        </w:rPr>
        <w:t>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spacing w:after="0" w:line="118" w:lineRule="exact"/>
        <w:rPr>
          <w:sz w:val="20"/>
          <w:szCs w:val="20"/>
          <w:color w:val="auto"/>
        </w:rPr>
      </w:pPr>
    </w:p>
    <w:p>
      <w:pPr>
        <w:ind w:right="580" w:firstLine="374"/>
        <w:spacing w:after="0" w:line="359" w:lineRule="auto"/>
        <w:rPr>
          <w:sz w:val="20"/>
          <w:szCs w:val="20"/>
          <w:color w:val="auto"/>
        </w:rPr>
      </w:pPr>
      <w:r>
        <w:rPr>
          <w:rFonts w:ascii="Arial" w:cs="Arial" w:eastAsia="Arial" w:hAnsi="Arial"/>
          <w:sz w:val="16"/>
          <w:szCs w:val="16"/>
          <w:color w:val="auto"/>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r>
    </w:p>
    <w:p>
      <w:pPr>
        <w:spacing w:after="0" w:line="44" w:lineRule="exact"/>
        <w:rPr>
          <w:sz w:val="20"/>
          <w:szCs w:val="20"/>
          <w:color w:val="auto"/>
        </w:rPr>
      </w:pPr>
    </w:p>
    <w:p>
      <w:pPr>
        <w:ind w:left="1080" w:right="160"/>
        <w:spacing w:after="0" w:line="324" w:lineRule="auto"/>
        <w:rPr>
          <w:sz w:val="20"/>
          <w:szCs w:val="20"/>
          <w:color w:val="auto"/>
        </w:rPr>
      </w:pPr>
      <w:r>
        <w:rPr>
          <w:rFonts w:ascii="Arial" w:cs="Arial" w:eastAsia="Arial" w:hAnsi="Arial"/>
          <w:sz w:val="17"/>
          <w:szCs w:val="17"/>
          <w:color w:val="auto"/>
        </w:rPr>
        <w:t>successful and timely completion of nonclinical studies or clinical development of our products, as well as the associated costs, including any unforeseen costs we may incur as a result of clinical trial delays due to the COVID-19 pandemic or other causes;</w:t>
      </w:r>
    </w:p>
    <w:p>
      <w:pPr>
        <w:spacing w:after="0" w:line="80" w:lineRule="exact"/>
        <w:rPr>
          <w:sz w:val="20"/>
          <w:szCs w:val="20"/>
          <w:color w:val="auto"/>
        </w:rPr>
      </w:pPr>
    </w:p>
    <w:p>
      <w:pPr>
        <w:ind w:left="1080" w:right="420"/>
        <w:spacing w:after="0" w:line="293" w:lineRule="auto"/>
        <w:rPr>
          <w:sz w:val="20"/>
          <w:szCs w:val="20"/>
          <w:color w:val="auto"/>
        </w:rPr>
      </w:pPr>
      <w:r>
        <w:rPr>
          <w:rFonts w:ascii="Arial" w:cs="Arial" w:eastAsia="Arial" w:hAnsi="Arial"/>
          <w:sz w:val="18"/>
          <w:szCs w:val="18"/>
          <w:color w:val="auto"/>
        </w:rPr>
        <w:t>enrollment in our clinical trials may be slower than we anticipate, or we may experience high screen failure rates in our clinical trials, resulting in significant delays;</w:t>
      </w:r>
    </w:p>
    <w:p>
      <w:pPr>
        <w:spacing w:after="0" w:line="102" w:lineRule="exact"/>
        <w:rPr>
          <w:sz w:val="20"/>
          <w:szCs w:val="20"/>
          <w:color w:val="auto"/>
        </w:rPr>
      </w:pPr>
    </w:p>
    <w:p>
      <w:pPr>
        <w:ind w:left="1080" w:right="320"/>
        <w:spacing w:after="0" w:line="293" w:lineRule="auto"/>
        <w:rPr>
          <w:sz w:val="20"/>
          <w:szCs w:val="20"/>
          <w:color w:val="auto"/>
        </w:rPr>
      </w:pPr>
      <w:r>
        <w:rPr>
          <w:rFonts w:ascii="Arial" w:cs="Arial" w:eastAsia="Arial" w:hAnsi="Arial"/>
          <w:sz w:val="18"/>
          <w:szCs w:val="18"/>
          <w:color w:val="auto"/>
        </w:rPr>
        <w:t>our clinical trials may produce negative or inconclusive results, and we may decide, or regulators may require us, to conduct additional clinical and/or preclinical testing which may be expensive and time-consuming;</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trial results may not meet the level of statistical significance required by the FDA or other regulatory authorities;</w:t>
      </w:r>
    </w:p>
    <w:p>
      <w:pPr>
        <w:spacing w:after="0" w:line="17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the FDA or similar foreign regulatory authorities may find that one or more of our products is not sufficiently safe for investigational use in humans;</w:t>
      </w:r>
    </w:p>
    <w:p>
      <w:pPr>
        <w:spacing w:after="0" w:line="102" w:lineRule="exact"/>
        <w:rPr>
          <w:sz w:val="20"/>
          <w:szCs w:val="20"/>
          <w:color w:val="auto"/>
        </w:rPr>
      </w:pPr>
    </w:p>
    <w:p>
      <w:pPr>
        <w:ind w:left="1080" w:right="20"/>
        <w:spacing w:after="0" w:line="455" w:lineRule="auto"/>
        <w:rPr>
          <w:sz w:val="20"/>
          <w:szCs w:val="20"/>
          <w:color w:val="auto"/>
        </w:rPr>
      </w:pPr>
      <w:r>
        <w:rPr>
          <w:rFonts w:ascii="Arial" w:cs="Arial" w:eastAsia="Arial" w:hAnsi="Arial"/>
          <w:sz w:val="17"/>
          <w:szCs w:val="17"/>
          <w:color w:val="auto"/>
        </w:rPr>
        <w:t>the FDA or similar foreign regulatory authorities may interpret data from preclinical testing and clinical trials in different ways than we do; there may be delays or failure in obtaining approval of our clinical trial protocols from the FDA or other regulatory authorities;</w:t>
      </w:r>
    </w:p>
    <w:p>
      <w:pPr>
        <w:spacing w:after="0" w:line="1" w:lineRule="exact"/>
        <w:rPr>
          <w:sz w:val="20"/>
          <w:szCs w:val="20"/>
          <w:color w:val="auto"/>
        </w:rPr>
      </w:pPr>
    </w:p>
    <w:p>
      <w:pPr>
        <w:ind w:left="1080" w:right="260"/>
        <w:spacing w:after="0" w:line="293" w:lineRule="auto"/>
        <w:rPr>
          <w:sz w:val="20"/>
          <w:szCs w:val="20"/>
          <w:color w:val="auto"/>
        </w:rPr>
      </w:pPr>
      <w:r>
        <w:rPr>
          <w:rFonts w:ascii="Arial" w:cs="Arial" w:eastAsia="Arial" w:hAnsi="Arial"/>
          <w:sz w:val="18"/>
          <w:szCs w:val="18"/>
          <w:color w:val="auto"/>
        </w:rPr>
        <w:t>there may be delays in obtaining institutional review board approvals or governmental approvals to conduct clinical trials at prospective sites;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FDA or similar foreign regulatory authorities may find our or our suppliers’ manufacturing processes or facilities unsatisfactory;</w:t>
      </w:r>
    </w:p>
    <w:p>
      <w:pPr>
        <w:spacing w:after="0" w:line="169" w:lineRule="exact"/>
        <w:rPr>
          <w:sz w:val="20"/>
          <w:szCs w:val="20"/>
          <w:color w:val="auto"/>
        </w:rPr>
      </w:pPr>
    </w:p>
    <w:p>
      <w:pPr>
        <w:ind w:left="1080" w:right="160"/>
        <w:spacing w:after="0" w:line="293" w:lineRule="auto"/>
        <w:rPr>
          <w:sz w:val="20"/>
          <w:szCs w:val="20"/>
          <w:color w:val="auto"/>
        </w:rPr>
      </w:pPr>
      <w:r>
        <w:rPr>
          <w:rFonts w:ascii="Arial" w:cs="Arial" w:eastAsia="Arial" w:hAnsi="Arial"/>
          <w:sz w:val="18"/>
          <w:szCs w:val="18"/>
          <w:color w:val="auto"/>
        </w:rPr>
        <w:t>the FDA or similar foreign regulatory authorities may change their review policies or adopt new regulations that may negatively affect or delay our ability to bring a product to market or receive approvals or clearances to treat new indications;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have trouble in managing multiple clinical sites;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have trouble finding patients to enroll in our trials;</w:t>
      </w:r>
    </w:p>
    <w:p>
      <w:pPr>
        <w:spacing w:after="0" w:line="158" w:lineRule="exact"/>
        <w:rPr>
          <w:sz w:val="20"/>
          <w:szCs w:val="20"/>
          <w:color w:val="auto"/>
        </w:rPr>
      </w:pPr>
    </w:p>
    <w:p>
      <w:pPr>
        <w:ind w:left="1080" w:right="140"/>
        <w:spacing w:after="0" w:line="293" w:lineRule="auto"/>
        <w:rPr>
          <w:sz w:val="20"/>
          <w:szCs w:val="20"/>
          <w:color w:val="auto"/>
        </w:rPr>
      </w:pPr>
      <w:r>
        <w:rPr>
          <w:rFonts w:ascii="Arial" w:cs="Arial" w:eastAsia="Arial" w:hAnsi="Arial"/>
          <w:sz w:val="18"/>
          <w:szCs w:val="18"/>
          <w:color w:val="auto"/>
        </w:rPr>
        <w:t>we may experience delays in agreeing on acceptable terms with third-party research organizations and trial sites that may help us conduct the clinical trials; and</w:t>
      </w:r>
    </w:p>
    <w:p>
      <w:pPr>
        <w:spacing w:after="0" w:line="102" w:lineRule="exact"/>
        <w:rPr>
          <w:sz w:val="20"/>
          <w:szCs w:val="20"/>
          <w:color w:val="auto"/>
        </w:rPr>
      </w:pPr>
    </w:p>
    <w:p>
      <w:pPr>
        <w:ind w:left="1080" w:right="180"/>
        <w:spacing w:after="0" w:line="293" w:lineRule="auto"/>
        <w:rPr>
          <w:sz w:val="20"/>
          <w:szCs w:val="20"/>
          <w:color w:val="auto"/>
        </w:rPr>
      </w:pPr>
      <w:r>
        <w:rPr>
          <w:rFonts w:ascii="Arial" w:cs="Arial" w:eastAsia="Arial" w:hAnsi="Arial"/>
          <w:sz w:val="18"/>
          <w:szCs w:val="18"/>
          <w:color w:val="auto"/>
        </w:rPr>
        <w:t>we, or regulators, may suspend or terminate our clinical trials because the participating patients are being exposed to unacceptable health risks.</w:t>
      </w:r>
    </w:p>
    <w:p>
      <w:pPr>
        <w:spacing w:after="0" w:line="102" w:lineRule="exact"/>
        <w:rPr>
          <w:sz w:val="20"/>
          <w:szCs w:val="20"/>
          <w:color w:val="auto"/>
        </w:rPr>
      </w:pPr>
    </w:p>
    <w:p>
      <w:pPr>
        <w:ind w:right="40" w:firstLine="374"/>
        <w:spacing w:after="0" w:line="293" w:lineRule="auto"/>
        <w:rPr>
          <w:sz w:val="20"/>
          <w:szCs w:val="20"/>
          <w:color w:val="auto"/>
        </w:rPr>
      </w:pPr>
      <w:r>
        <w:rPr>
          <w:rFonts w:ascii="Arial" w:cs="Arial" w:eastAsia="Arial" w:hAnsi="Arial"/>
          <w:sz w:val="18"/>
          <w:szCs w:val="18"/>
          <w:color w:val="auto"/>
        </w:rPr>
        <w:t>Failures or perceived failures in our clinical trials will delay and may prevent our product development and regulatory approval process, damage our business prospects and negatively affect our reputation and competitive position.</w:t>
      </w:r>
    </w:p>
    <w:p>
      <w:pPr>
        <w:spacing w:after="0" w:line="89" w:lineRule="exact"/>
        <w:rPr>
          <w:sz w:val="20"/>
          <w:szCs w:val="20"/>
          <w:color w:val="auto"/>
        </w:rPr>
      </w:pPr>
    </w:p>
    <w:p>
      <w:pPr>
        <w:ind w:right="40"/>
        <w:spacing w:after="0" w:line="308" w:lineRule="auto"/>
        <w:rPr>
          <w:sz w:val="20"/>
          <w:szCs w:val="20"/>
          <w:color w:val="auto"/>
        </w:rPr>
      </w:pPr>
      <w:r>
        <w:rPr>
          <w:rFonts w:ascii="Arial" w:cs="Arial" w:eastAsia="Arial" w:hAnsi="Arial"/>
          <w:sz w:val="18"/>
          <w:szCs w:val="18"/>
          <w:b w:val="1"/>
          <w:bCs w:val="1"/>
          <w:i w:val="1"/>
          <w:iCs w:val="1"/>
          <w:color w:val="auto"/>
        </w:rPr>
        <w:t>Unauthorized third parties may seek to access our devices or other products and services, or related devices, products, and services, and modify or use them in a way inconsistent with our FDA clearances and approvals, which may create risks to users.</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95" w:right="459" w:bottom="1440" w:gutter="0" w:footer="0" w:header="0"/>
        </w:sectPr>
      </w:pPr>
    </w:p>
    <w:bookmarkStart w:id="55" w:name="page56"/>
    <w:bookmarkEnd w:id="55"/>
    <w:p>
      <w:pPr>
        <w:ind w:right="40" w:firstLine="374"/>
        <w:spacing w:after="0" w:line="290" w:lineRule="auto"/>
        <w:rPr>
          <w:sz w:val="20"/>
          <w:szCs w:val="20"/>
          <w:color w:val="auto"/>
        </w:rPr>
      </w:pPr>
      <w:r>
        <w:rPr>
          <w:rFonts w:ascii="Arial" w:cs="Arial" w:eastAsia="Arial" w:hAnsi="Arial"/>
          <w:sz w:val="17"/>
          <w:szCs w:val="17"/>
          <w:color w:val="auto"/>
        </w:rPr>
        <w:t>Medical devices are increasingly connected to the internet, hospital networks, and other medical devices to provide features that improve healthcare and increase the ability of healthcare providers to treat patients and patients to manage their conditions. While currently bidirectional connectivity and interoperability of our RxSight system with other devices, local networks and the internet is not enabled, this may change in the future. Enablement of such features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spacing w:after="0" w:line="108" w:lineRule="exact"/>
        <w:rPr>
          <w:sz w:val="20"/>
          <w:szCs w:val="20"/>
          <w:color w:val="auto"/>
        </w:rPr>
      </w:pPr>
    </w:p>
    <w:p>
      <w:pPr>
        <w:ind w:right="320"/>
        <w:spacing w:after="0" w:line="30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or indication and fail to capitalize on products or indications that may be more profitable or for which there is a greater likelihood of success.</w:t>
      </w:r>
    </w:p>
    <w:p>
      <w:pPr>
        <w:spacing w:after="0" w:line="63" w:lineRule="exact"/>
        <w:rPr>
          <w:sz w:val="20"/>
          <w:szCs w:val="20"/>
          <w:color w:val="auto"/>
        </w:rPr>
      </w:pPr>
    </w:p>
    <w:p>
      <w:pPr>
        <w:ind w:right="20" w:firstLine="374"/>
        <w:spacing w:after="0" w:line="270" w:lineRule="auto"/>
        <w:rPr>
          <w:sz w:val="20"/>
          <w:szCs w:val="20"/>
          <w:color w:val="auto"/>
        </w:rPr>
      </w:pPr>
      <w:r>
        <w:rPr>
          <w:rFonts w:ascii="Arial" w:cs="Arial" w:eastAsia="Arial" w:hAnsi="Arial"/>
          <w:sz w:val="18"/>
          <w:szCs w:val="18"/>
          <w:color w:val="auto"/>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spacing w:after="0" w:line="111" w:lineRule="exact"/>
        <w:rPr>
          <w:sz w:val="20"/>
          <w:szCs w:val="20"/>
          <w:color w:val="auto"/>
        </w:rPr>
      </w:pPr>
    </w:p>
    <w:p>
      <w:pPr>
        <w:ind w:right="240"/>
        <w:spacing w:after="0" w:line="295" w:lineRule="auto"/>
        <w:rPr>
          <w:sz w:val="20"/>
          <w:szCs w:val="20"/>
          <w:color w:val="auto"/>
        </w:rPr>
      </w:pPr>
      <w:r>
        <w:rPr>
          <w:rFonts w:ascii="Arial" w:cs="Arial" w:eastAsia="Arial" w:hAnsi="Arial"/>
          <w:sz w:val="18"/>
          <w:szCs w:val="18"/>
          <w:b w:val="1"/>
          <w:bCs w:val="1"/>
          <w:i w:val="1"/>
          <w:iCs w:val="1"/>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74" w:lineRule="exact"/>
        <w:rPr>
          <w:sz w:val="20"/>
          <w:szCs w:val="20"/>
          <w:color w:val="auto"/>
        </w:rPr>
      </w:pPr>
    </w:p>
    <w:p>
      <w:pPr>
        <w:ind w:right="40" w:firstLine="374"/>
        <w:spacing w:after="0" w:line="271" w:lineRule="auto"/>
        <w:rPr>
          <w:sz w:val="20"/>
          <w:szCs w:val="20"/>
          <w:color w:val="auto"/>
        </w:rPr>
      </w:pPr>
      <w:r>
        <w:rPr>
          <w:rFonts w:ascii="Arial" w:cs="Arial" w:eastAsia="Arial" w:hAnsi="Arial"/>
          <w:sz w:val="18"/>
          <w:szCs w:val="18"/>
          <w:color w:val="auto"/>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spacing w:after="0" w:line="123" w:lineRule="exact"/>
        <w:rPr>
          <w:sz w:val="20"/>
          <w:szCs w:val="20"/>
          <w:color w:val="auto"/>
        </w:rPr>
      </w:pPr>
    </w:p>
    <w:p>
      <w:pPr>
        <w:ind w:firstLine="374"/>
        <w:spacing w:after="0" w:line="303" w:lineRule="auto"/>
        <w:rPr>
          <w:sz w:val="20"/>
          <w:szCs w:val="20"/>
          <w:color w:val="auto"/>
        </w:rPr>
      </w:pPr>
      <w:r>
        <w:rPr>
          <w:rFonts w:ascii="Arial" w:cs="Arial" w:eastAsia="Arial" w:hAnsi="Arial"/>
          <w:sz w:val="16"/>
          <w:szCs w:val="16"/>
          <w:color w:val="auto"/>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6" w:name="page57"/>
    <w:bookmarkEnd w:id="56"/>
    <w:p>
      <w:pPr>
        <w:ind w:right="60" w:firstLine="374"/>
        <w:spacing w:after="0" w:line="271" w:lineRule="auto"/>
        <w:rPr>
          <w:sz w:val="20"/>
          <w:szCs w:val="20"/>
          <w:color w:val="auto"/>
        </w:rPr>
      </w:pPr>
      <w:r>
        <w:rPr>
          <w:rFonts w:ascii="Arial" w:cs="Arial" w:eastAsia="Arial" w:hAnsi="Arial"/>
          <w:sz w:val="18"/>
          <w:szCs w:val="18"/>
          <w:color w:val="auto"/>
        </w:rPr>
        <w:t>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 to successfully develop, license or acquire new products, enhance our existing products to meet customer requirements or otherwise gain market acceptance, our business, financial condition and results of operations would be harmed.</w:t>
      </w:r>
    </w:p>
    <w:p>
      <w:pPr>
        <w:spacing w:after="0" w:line="123"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acquire and develop other products, we may be unable to grow our business.</w:t>
      </w:r>
    </w:p>
    <w:p>
      <w:pPr>
        <w:spacing w:after="0" w:line="144" w:lineRule="exact"/>
        <w:rPr>
          <w:sz w:val="20"/>
          <w:szCs w:val="20"/>
          <w:color w:val="auto"/>
        </w:rPr>
      </w:pPr>
    </w:p>
    <w:p>
      <w:pPr>
        <w:jc w:val="both"/>
        <w:ind w:right="500" w:firstLine="374"/>
        <w:spacing w:after="0" w:line="279" w:lineRule="auto"/>
        <w:rPr>
          <w:sz w:val="20"/>
          <w:szCs w:val="20"/>
          <w:color w:val="auto"/>
        </w:rPr>
      </w:pPr>
      <w:r>
        <w:rPr>
          <w:rFonts w:ascii="Arial" w:cs="Arial" w:eastAsia="Arial" w:hAnsi="Arial"/>
          <w:sz w:val="18"/>
          <w:szCs w:val="18"/>
          <w:color w:val="auto"/>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spacing w:after="0" w:line="115" w:lineRule="exact"/>
        <w:rPr>
          <w:sz w:val="20"/>
          <w:szCs w:val="20"/>
          <w:color w:val="auto"/>
        </w:rPr>
      </w:pPr>
    </w:p>
    <w:p>
      <w:pPr>
        <w:ind w:right="20" w:firstLine="374"/>
        <w:spacing w:after="0" w:line="272" w:lineRule="auto"/>
        <w:rPr>
          <w:sz w:val="20"/>
          <w:szCs w:val="20"/>
          <w:color w:val="auto"/>
        </w:rPr>
      </w:pPr>
      <w:r>
        <w:rPr>
          <w:rFonts w:ascii="Arial" w:cs="Arial" w:eastAsia="Arial" w:hAnsi="Arial"/>
          <w:sz w:val="18"/>
          <w:szCs w:val="18"/>
          <w:color w:val="auto"/>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w:t>
      </w:r>
    </w:p>
    <w:p>
      <w:pPr>
        <w:spacing w:after="0" w:line="123" w:lineRule="exact"/>
        <w:rPr>
          <w:sz w:val="20"/>
          <w:szCs w:val="20"/>
          <w:color w:val="auto"/>
        </w:rPr>
      </w:pPr>
    </w:p>
    <w:p>
      <w:pPr>
        <w:ind w:firstLine="374"/>
        <w:spacing w:after="0" w:line="275" w:lineRule="auto"/>
        <w:rPr>
          <w:sz w:val="20"/>
          <w:szCs w:val="20"/>
          <w:color w:val="auto"/>
        </w:rPr>
      </w:pPr>
      <w:r>
        <w:rPr>
          <w:rFonts w:ascii="Arial" w:cs="Arial" w:eastAsia="Arial" w:hAnsi="Arial"/>
          <w:sz w:val="18"/>
          <w:szCs w:val="18"/>
          <w:color w:val="auto"/>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spacing w:after="0" w:line="104" w:lineRule="exact"/>
        <w:rPr>
          <w:sz w:val="20"/>
          <w:szCs w:val="20"/>
          <w:color w:val="auto"/>
        </w:rPr>
      </w:pPr>
    </w:p>
    <w:p>
      <w:pPr>
        <w:ind w:right="320" w:firstLine="374"/>
        <w:spacing w:after="0" w:line="293" w:lineRule="auto"/>
        <w:rPr>
          <w:sz w:val="20"/>
          <w:szCs w:val="20"/>
          <w:color w:val="auto"/>
        </w:rPr>
      </w:pPr>
      <w:r>
        <w:rPr>
          <w:rFonts w:ascii="Arial" w:cs="Arial" w:eastAsia="Arial" w:hAnsi="Arial"/>
          <w:sz w:val="18"/>
          <w:szCs w:val="18"/>
          <w:color w:val="auto"/>
        </w:rPr>
        <w:t>If we are unable to develop suitable potential products through internal research programs or by obtaining rights from third parties, it could have a material adverse effect on our business, financial condition and results of operations.</w:t>
      </w:r>
    </w:p>
    <w:p>
      <w:pPr>
        <w:spacing w:after="0" w:line="102" w:lineRule="exact"/>
        <w:rPr>
          <w:sz w:val="20"/>
          <w:szCs w:val="20"/>
          <w:color w:val="auto"/>
        </w:rPr>
      </w:pPr>
    </w:p>
    <w:p>
      <w:pPr>
        <w:ind w:right="240"/>
        <w:spacing w:after="0" w:line="377" w:lineRule="auto"/>
        <w:rPr>
          <w:sz w:val="20"/>
          <w:szCs w:val="20"/>
          <w:color w:val="auto"/>
        </w:rPr>
      </w:pPr>
      <w:r>
        <w:rPr>
          <w:rFonts w:ascii="Arial" w:cs="Arial" w:eastAsia="Arial" w:hAnsi="Arial"/>
          <w:sz w:val="16"/>
          <w:szCs w:val="16"/>
          <w:b w:val="1"/>
          <w:bCs w:val="1"/>
          <w:i w:val="1"/>
          <w:iCs w:val="1"/>
          <w:color w:val="auto"/>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spacing w:after="0" w:line="16" w:lineRule="exact"/>
        <w:rPr>
          <w:sz w:val="20"/>
          <w:szCs w:val="20"/>
          <w:color w:val="auto"/>
        </w:rPr>
      </w:pPr>
    </w:p>
    <w:p>
      <w:pPr>
        <w:ind w:right="20" w:firstLine="374"/>
        <w:spacing w:after="0" w:line="288" w:lineRule="auto"/>
        <w:rPr>
          <w:sz w:val="20"/>
          <w:szCs w:val="20"/>
          <w:color w:val="auto"/>
        </w:rPr>
      </w:pPr>
      <w:r>
        <w:rPr>
          <w:rFonts w:ascii="Arial" w:cs="Arial" w:eastAsia="Arial" w:hAnsi="Arial"/>
          <w:sz w:val="17"/>
          <w:szCs w:val="17"/>
          <w:color w:val="auto"/>
        </w:rPr>
        <w:t>Although we currently have no agreements or commitments to complete any such transactions,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13" w:lineRule="exact"/>
        <w:rPr>
          <w:sz w:val="20"/>
          <w:szCs w:val="20"/>
          <w:color w:val="auto"/>
        </w:rPr>
      </w:pPr>
    </w:p>
    <w:p>
      <w:pPr>
        <w:ind w:right="40" w:firstLine="374"/>
        <w:spacing w:after="0" w:line="329" w:lineRule="auto"/>
        <w:rPr>
          <w:sz w:val="20"/>
          <w:szCs w:val="20"/>
          <w:color w:val="auto"/>
        </w:rPr>
      </w:pPr>
      <w:r>
        <w:rPr>
          <w:rFonts w:ascii="Arial" w:cs="Arial" w:eastAsia="Arial" w:hAnsi="Arial"/>
          <w:sz w:val="16"/>
          <w:szCs w:val="16"/>
          <w:color w:val="auto"/>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57" w:name="page58"/>
    <w:bookmarkEnd w:id="57"/>
    <w:p>
      <w:pPr>
        <w:ind w:right="200"/>
        <w:spacing w:after="0" w:line="293" w:lineRule="auto"/>
        <w:rPr>
          <w:sz w:val="20"/>
          <w:szCs w:val="20"/>
          <w:color w:val="auto"/>
        </w:rPr>
      </w:pPr>
      <w:r>
        <w:rPr>
          <w:rFonts w:ascii="Arial" w:cs="Arial" w:eastAsia="Arial" w:hAnsi="Arial"/>
          <w:sz w:val="18"/>
          <w:szCs w:val="18"/>
          <w:color w:val="auto"/>
        </w:rPr>
        <w:t>harm our operating results. In addition, if an acquired business fails to meet our expectations, our operating results, business and financial condition may suffer.</w:t>
      </w:r>
    </w:p>
    <w:p>
      <w:pPr>
        <w:spacing w:after="0" w:line="102" w:lineRule="exact"/>
        <w:rPr>
          <w:sz w:val="20"/>
          <w:szCs w:val="20"/>
          <w:color w:val="auto"/>
        </w:rPr>
      </w:pPr>
    </w:p>
    <w:p>
      <w:pPr>
        <w:ind w:right="400"/>
        <w:spacing w:after="0" w:line="295" w:lineRule="auto"/>
        <w:rPr>
          <w:sz w:val="20"/>
          <w:szCs w:val="20"/>
          <w:color w:val="auto"/>
        </w:rPr>
      </w:pPr>
      <w:r>
        <w:rPr>
          <w:rFonts w:ascii="Arial" w:cs="Arial" w:eastAsia="Arial" w:hAnsi="Arial"/>
          <w:sz w:val="18"/>
          <w:szCs w:val="18"/>
          <w:b w:val="1"/>
          <w:bCs w:val="1"/>
          <w:i w:val="1"/>
          <w:iCs w:val="1"/>
          <w:color w:val="auto"/>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spacing w:after="0" w:line="74" w:lineRule="exact"/>
        <w:rPr>
          <w:sz w:val="20"/>
          <w:szCs w:val="20"/>
          <w:color w:val="auto"/>
        </w:rPr>
      </w:pPr>
    </w:p>
    <w:p>
      <w:pPr>
        <w:ind w:firstLine="374"/>
        <w:spacing w:after="0" w:line="286" w:lineRule="auto"/>
        <w:rPr>
          <w:sz w:val="20"/>
          <w:szCs w:val="20"/>
          <w:color w:val="auto"/>
        </w:rPr>
      </w:pPr>
      <w:r>
        <w:rPr>
          <w:rFonts w:ascii="Arial" w:cs="Arial" w:eastAsia="Arial" w:hAnsi="Arial"/>
          <w:sz w:val="17"/>
          <w:szCs w:val="17"/>
          <w:color w:val="auto"/>
        </w:rPr>
        <w:t>In both U.S. and non-U.S. markets, our ability to successfully commercialize and achieve market acceptance of our products depends, in significant part, on the availability of adequate financial remuneration to doctor practices and surgical centers. This remuneration can come from a combination of sources, including third-party payors, such as Medicare and Medicaid programs in the United States,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spacing w:after="0" w:line="97" w:lineRule="exact"/>
        <w:rPr>
          <w:sz w:val="20"/>
          <w:szCs w:val="20"/>
          <w:color w:val="auto"/>
        </w:rPr>
      </w:pPr>
    </w:p>
    <w:p>
      <w:pPr>
        <w:ind w:right="80" w:firstLine="374"/>
        <w:spacing w:after="0" w:line="314" w:lineRule="auto"/>
        <w:rPr>
          <w:sz w:val="20"/>
          <w:szCs w:val="20"/>
          <w:color w:val="auto"/>
        </w:rPr>
      </w:pPr>
      <w:r>
        <w:rPr>
          <w:rFonts w:ascii="Arial" w:cs="Arial" w:eastAsia="Arial" w:hAnsi="Arial"/>
          <w:sz w:val="16"/>
          <w:szCs w:val="16"/>
          <w:color w:val="auto"/>
        </w:rPr>
        <w:t>While third-party payors currently cover and provide reimbursement for a portion of the cost of the procedures performed using our currently cleared or approved products, we can give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United States or any international markets we enter, the demand for our products and our revenue will be adversely affected.</w:t>
      </w:r>
    </w:p>
    <w:p>
      <w:pPr>
        <w:spacing w:after="0" w:line="92" w:lineRule="exact"/>
        <w:rPr>
          <w:sz w:val="20"/>
          <w:szCs w:val="20"/>
          <w:color w:val="auto"/>
        </w:rPr>
      </w:pPr>
    </w:p>
    <w:p>
      <w:pPr>
        <w:ind w:right="40" w:firstLine="374"/>
        <w:spacing w:after="0" w:line="296" w:lineRule="auto"/>
        <w:rPr>
          <w:sz w:val="20"/>
          <w:szCs w:val="20"/>
          <w:color w:val="auto"/>
        </w:rPr>
      </w:pPr>
      <w:r>
        <w:rPr>
          <w:rFonts w:ascii="Arial" w:cs="Arial" w:eastAsia="Arial" w:hAnsi="Arial"/>
          <w:sz w:val="17"/>
          <w:szCs w:val="17"/>
          <w:color w:val="auto"/>
        </w:rPr>
        <w:t>Furthermore, although we believe there is potential to improve on the current reimbursement profile for our products in the future,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spacing w:after="0" w:line="102"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spacing w:after="0" w:line="97" w:lineRule="exact"/>
        <w:rPr>
          <w:sz w:val="20"/>
          <w:szCs w:val="20"/>
          <w:color w:val="auto"/>
        </w:rPr>
      </w:pPr>
    </w:p>
    <w:p>
      <w:pPr>
        <w:jc w:val="both"/>
        <w:ind w:right="120"/>
        <w:spacing w:after="0" w:line="29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74" w:lineRule="exact"/>
        <w:rPr>
          <w:sz w:val="20"/>
          <w:szCs w:val="20"/>
          <w:color w:val="auto"/>
        </w:rPr>
      </w:pPr>
    </w:p>
    <w:p>
      <w:pPr>
        <w:ind w:right="120" w:firstLine="374"/>
        <w:spacing w:after="0" w:line="279" w:lineRule="auto"/>
        <w:rPr>
          <w:sz w:val="20"/>
          <w:szCs w:val="20"/>
          <w:color w:val="auto"/>
        </w:rPr>
      </w:pPr>
      <w:r>
        <w:rPr>
          <w:rFonts w:ascii="Arial" w:cs="Arial" w:eastAsia="Arial" w:hAnsi="Arial"/>
          <w:sz w:val="18"/>
          <w:szCs w:val="18"/>
          <w:color w:val="auto"/>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58" w:name="page59"/>
    <w:bookmarkEnd w:id="58"/>
    <w:p>
      <w:pPr>
        <w:spacing w:after="0" w:line="272" w:lineRule="auto"/>
        <w:rPr>
          <w:sz w:val="20"/>
          <w:szCs w:val="20"/>
          <w:color w:val="auto"/>
        </w:rPr>
      </w:pPr>
      <w:r>
        <w:rPr>
          <w:rFonts w:ascii="Arial" w:cs="Arial" w:eastAsia="Arial" w:hAnsi="Arial"/>
          <w:sz w:val="18"/>
          <w:szCs w:val="18"/>
          <w:color w:val="auto"/>
        </w:rPr>
        <w:t>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spacing w:after="0" w:line="123" w:lineRule="exact"/>
        <w:rPr>
          <w:sz w:val="20"/>
          <w:szCs w:val="20"/>
          <w:color w:val="auto"/>
        </w:rPr>
      </w:pPr>
    </w:p>
    <w:p>
      <w:pPr>
        <w:ind w:right="360" w:firstLine="374"/>
        <w:spacing w:after="0" w:line="279"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decreased demand for our products;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injury to our reputation;</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initiation of investigations by regulators;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costs to defend the related litigation;</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diversion of management’s time and our resources;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substantial monetary awards to trial participants or patients;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product recalls, withdrawals or labeling, marketing or promotional restrictions;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loss of revenue;</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exhaustion of any available insurance and our capital resources; and</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inability to market and sell our products.</w:t>
      </w:r>
    </w:p>
    <w:p>
      <w:pPr>
        <w:spacing w:after="0" w:line="171"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10" w:lineRule="exact"/>
        <w:rPr>
          <w:sz w:val="20"/>
          <w:szCs w:val="20"/>
          <w:color w:val="auto"/>
        </w:rPr>
      </w:pPr>
    </w:p>
    <w:p>
      <w:pPr>
        <w:ind w:right="180" w:firstLine="374"/>
        <w:spacing w:after="0" w:line="275" w:lineRule="auto"/>
        <w:rPr>
          <w:sz w:val="20"/>
          <w:szCs w:val="20"/>
          <w:color w:val="auto"/>
        </w:rPr>
      </w:pPr>
      <w:r>
        <w:rPr>
          <w:rFonts w:ascii="Arial" w:cs="Arial" w:eastAsia="Arial" w:hAnsi="Arial"/>
          <w:sz w:val="18"/>
          <w:szCs w:val="18"/>
          <w:color w:val="auto"/>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spacing w:after="0" w:line="104" w:lineRule="exact"/>
        <w:rPr>
          <w:sz w:val="20"/>
          <w:szCs w:val="20"/>
          <w:color w:val="auto"/>
        </w:rPr>
      </w:pPr>
    </w:p>
    <w:p>
      <w:pPr>
        <w:jc w:val="both"/>
        <w:ind w:right="680"/>
        <w:spacing w:after="0" w:line="295" w:lineRule="auto"/>
        <w:rPr>
          <w:sz w:val="20"/>
          <w:szCs w:val="20"/>
          <w:color w:val="auto"/>
        </w:rPr>
      </w:pPr>
      <w:r>
        <w:rPr>
          <w:rFonts w:ascii="Arial" w:cs="Arial" w:eastAsia="Arial" w:hAnsi="Arial"/>
          <w:sz w:val="18"/>
          <w:szCs w:val="18"/>
          <w:b w:val="1"/>
          <w:bCs w:val="1"/>
          <w:i w:val="1"/>
          <w:iCs w:val="1"/>
          <w:color w:val="auto"/>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spacing w:after="0" w:line="74" w:lineRule="exact"/>
        <w:rPr>
          <w:sz w:val="20"/>
          <w:szCs w:val="20"/>
          <w:color w:val="auto"/>
        </w:rPr>
      </w:pPr>
    </w:p>
    <w:p>
      <w:pPr>
        <w:ind w:right="480" w:firstLine="374"/>
        <w:spacing w:after="0" w:line="279" w:lineRule="auto"/>
        <w:rPr>
          <w:sz w:val="20"/>
          <w:szCs w:val="20"/>
          <w:color w:val="auto"/>
        </w:rPr>
      </w:pPr>
      <w:r>
        <w:rPr>
          <w:rFonts w:ascii="Arial" w:cs="Arial" w:eastAsia="Arial" w:hAnsi="Arial"/>
          <w:sz w:val="18"/>
          <w:szCs w:val="18"/>
          <w:color w:val="auto"/>
        </w:rPr>
        <w:t>Sales of our products outside of the United States would be subject to foreign regulatory requirements governing clinical trials and marketing approval. We will incur substantial expenses in connection with our international expansion. Additional risks related to operating in foreign countries include:</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differing regulatory requirements and reimbursement regimes in foreign countries;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9" w:name="page60"/>
    <w:bookmarkEnd w:id="59"/>
    <w:p>
      <w:pPr>
        <w:ind w:left="1080" w:right="2360"/>
        <w:spacing w:after="0" w:line="434" w:lineRule="auto"/>
        <w:rPr>
          <w:sz w:val="20"/>
          <w:szCs w:val="20"/>
          <w:color w:val="auto"/>
        </w:rPr>
      </w:pPr>
      <w:r>
        <w:rPr>
          <w:rFonts w:ascii="Arial" w:cs="Arial" w:eastAsia="Arial" w:hAnsi="Arial"/>
          <w:sz w:val="18"/>
          <w:szCs w:val="18"/>
          <w:color w:val="auto"/>
        </w:rPr>
        <w:t>unexpected changes in tariffs, trade barriers, price and exchange controls and other regulatory requirements; economic weakness, including inflation, or political instability in particular foreign economies and markets; compliance with tax, employment, immigration and labor laws for employees living or traveling abroad; foreign taxes, including withholding of payroll taxes;</w:t>
      </w:r>
    </w:p>
    <w:p>
      <w:pPr>
        <w:spacing w:after="0" w:line="1" w:lineRule="exact"/>
        <w:rPr>
          <w:sz w:val="20"/>
          <w:szCs w:val="20"/>
          <w:color w:val="auto"/>
        </w:rPr>
      </w:pPr>
    </w:p>
    <w:p>
      <w:pPr>
        <w:ind w:left="1080" w:right="360"/>
        <w:spacing w:after="0" w:line="293" w:lineRule="auto"/>
        <w:rPr>
          <w:sz w:val="20"/>
          <w:szCs w:val="20"/>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difficulties staffing and managing foreign operations;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workforce uncertainty in countries where labor unrest is more common than in the United States;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potential liability under the U.S. Foreign Corrupt Practices Act (FCPA) or comparable foreign regulations;</w:t>
      </w:r>
    </w:p>
    <w:p>
      <w:pPr>
        <w:spacing w:after="0" w:line="158" w:lineRule="exact"/>
        <w:rPr>
          <w:sz w:val="20"/>
          <w:szCs w:val="20"/>
          <w:color w:val="auto"/>
        </w:rPr>
      </w:pPr>
    </w:p>
    <w:p>
      <w:pPr>
        <w:ind w:left="1080" w:right="360"/>
        <w:spacing w:after="0" w:line="293" w:lineRule="auto"/>
        <w:rPr>
          <w:sz w:val="20"/>
          <w:szCs w:val="20"/>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02" w:lineRule="exact"/>
        <w:rPr>
          <w:sz w:val="20"/>
          <w:szCs w:val="20"/>
          <w:color w:val="auto"/>
        </w:rPr>
      </w:pPr>
    </w:p>
    <w:p>
      <w:pPr>
        <w:ind w:left="1080" w:right="1560"/>
        <w:spacing w:after="0" w:line="430" w:lineRule="auto"/>
        <w:rPr>
          <w:sz w:val="20"/>
          <w:szCs w:val="20"/>
          <w:color w:val="auto"/>
        </w:rPr>
      </w:pPr>
      <w:r>
        <w:rPr>
          <w:rFonts w:ascii="Arial" w:cs="Arial" w:eastAsia="Arial" w:hAnsi="Arial"/>
          <w:sz w:val="18"/>
          <w:szCs w:val="18"/>
          <w:color w:val="auto"/>
        </w:rPr>
        <w:t>production shortages resulting from any events affecting raw material supply or manufacturing capabilities abroad; and business interruptions resulting from geo-political actions, including war and terrorism.</w:t>
      </w:r>
    </w:p>
    <w:p>
      <w:pPr>
        <w:spacing w:after="0" w:line="1" w:lineRule="exact"/>
        <w:rPr>
          <w:sz w:val="20"/>
          <w:szCs w:val="20"/>
          <w:color w:val="auto"/>
        </w:rPr>
      </w:pPr>
    </w:p>
    <w:p>
      <w:pPr>
        <w:ind w:right="80" w:firstLine="374"/>
        <w:spacing w:after="0" w:line="324" w:lineRule="auto"/>
        <w:rPr>
          <w:sz w:val="20"/>
          <w:szCs w:val="20"/>
          <w:color w:val="auto"/>
        </w:rPr>
      </w:pPr>
      <w:r>
        <w:rPr>
          <w:rFonts w:ascii="Arial" w:cs="Arial" w:eastAsia="Arial" w:hAnsi="Arial"/>
          <w:sz w:val="17"/>
          <w:szCs w:val="17"/>
          <w:color w:val="auto"/>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spacing w:after="0" w:line="80" w:lineRule="exact"/>
        <w:rPr>
          <w:sz w:val="20"/>
          <w:szCs w:val="20"/>
          <w:color w:val="auto"/>
        </w:rPr>
      </w:pPr>
    </w:p>
    <w:p>
      <w:pPr>
        <w:ind w:right="80" w:firstLine="374"/>
        <w:spacing w:after="0" w:line="286" w:lineRule="auto"/>
        <w:rPr>
          <w:sz w:val="20"/>
          <w:szCs w:val="20"/>
          <w:color w:val="auto"/>
        </w:rPr>
      </w:pPr>
      <w:r>
        <w:rPr>
          <w:rFonts w:ascii="Arial" w:cs="Arial" w:eastAsia="Arial" w:hAnsi="Arial"/>
          <w:sz w:val="17"/>
          <w:szCs w:val="17"/>
          <w:color w:val="auto"/>
        </w:rPr>
        <w:t>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United States, or in any other jurisdiction, does not ensure approval in other jurisdictions. Obtaining foreign approvals could result in significant delays, difficulties and costs for us and require additional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achieve or maintain satisfactory pricing and margins for our products.</w:t>
      </w:r>
    </w:p>
    <w:p>
      <w:pPr>
        <w:spacing w:after="0" w:line="144"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could erode. We will continue to be subject to significant pricing pressure, which could harm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sizes of the markets for our current and future products have not been established with precision and may be smaller than we estimate.</w:t>
      </w:r>
    </w:p>
    <w:p>
      <w:pPr>
        <w:spacing w:after="0" w:line="167" w:lineRule="exact"/>
        <w:rPr>
          <w:sz w:val="20"/>
          <w:szCs w:val="20"/>
          <w:color w:val="auto"/>
        </w:rPr>
      </w:pPr>
    </w:p>
    <w:p>
      <w:pPr>
        <w:ind w:firstLine="374"/>
        <w:spacing w:after="0" w:line="308" w:lineRule="auto"/>
        <w:rPr>
          <w:sz w:val="20"/>
          <w:szCs w:val="20"/>
          <w:color w:val="auto"/>
        </w:rPr>
      </w:pPr>
      <w:r>
        <w:rPr>
          <w:rFonts w:ascii="Arial" w:cs="Arial" w:eastAsia="Arial" w:hAnsi="Arial"/>
          <w:sz w:val="16"/>
          <w:szCs w:val="16"/>
          <w:color w:val="auto"/>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spacing w:after="0" w:line="82" w:lineRule="exact"/>
        <w:rPr>
          <w:sz w:val="20"/>
          <w:szCs w:val="20"/>
          <w:color w:val="auto"/>
        </w:rPr>
      </w:pPr>
    </w:p>
    <w:p>
      <w:pPr>
        <w:ind w:right="100"/>
        <w:spacing w:after="0" w:line="308" w:lineRule="auto"/>
        <w:rPr>
          <w:sz w:val="20"/>
          <w:szCs w:val="20"/>
          <w:color w:val="auto"/>
        </w:rPr>
      </w:pPr>
      <w:r>
        <w:rPr>
          <w:rFonts w:ascii="Arial" w:cs="Arial" w:eastAsia="Arial" w:hAnsi="Arial"/>
          <w:sz w:val="18"/>
          <w:szCs w:val="18"/>
          <w:b w:val="1"/>
          <w:bCs w:val="1"/>
          <w:i w:val="1"/>
          <w:iCs w:val="1"/>
          <w:color w:val="auto"/>
        </w:rPr>
        <w:t>Changes in public health insurance coverage and government reimbursement rates for our products could affect the adoption of our products and our future revenue.</w:t>
      </w:r>
    </w:p>
    <w:p>
      <w:pPr>
        <w:spacing w:after="0" w:line="63" w:lineRule="exact"/>
        <w:rPr>
          <w:sz w:val="20"/>
          <w:szCs w:val="20"/>
          <w:color w:val="auto"/>
        </w:rPr>
      </w:pPr>
    </w:p>
    <w:p>
      <w:pPr>
        <w:ind w:right="280" w:firstLine="374"/>
        <w:spacing w:after="0" w:line="308" w:lineRule="auto"/>
        <w:rPr>
          <w:sz w:val="20"/>
          <w:szCs w:val="20"/>
          <w:color w:val="auto"/>
        </w:rPr>
      </w:pPr>
      <w:r>
        <w:rPr>
          <w:rFonts w:ascii="Arial" w:cs="Arial" w:eastAsia="Arial" w:hAnsi="Arial"/>
          <w:sz w:val="16"/>
          <w:szCs w:val="16"/>
          <w:color w:val="auto"/>
        </w:rPr>
        <w:t>The federal government is considering ways to change, and has changed, the manner in which healthcare services are paid for in the United States. Individual states may also enact legislation that impacts Medicaid payments to doctors. In addition, Centers for Medicare &amp; Medicaid Services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results may fluctuate significantly and may not fully reflect the underlying performance of our business.</w:t>
      </w:r>
    </w:p>
    <w:p>
      <w:pPr>
        <w:spacing w:after="0" w:line="144" w:lineRule="exact"/>
        <w:rPr>
          <w:sz w:val="20"/>
          <w:szCs w:val="20"/>
          <w:color w:val="auto"/>
        </w:rPr>
      </w:pPr>
    </w:p>
    <w:p>
      <w:pPr>
        <w:ind w:right="140" w:firstLine="374"/>
        <w:spacing w:after="0" w:line="311" w:lineRule="auto"/>
        <w:rPr>
          <w:sz w:val="20"/>
          <w:szCs w:val="20"/>
          <w:color w:val="auto"/>
        </w:rPr>
      </w:pPr>
      <w:r>
        <w:rPr>
          <w:rFonts w:ascii="Arial" w:cs="Arial" w:eastAsia="Arial" w:hAnsi="Arial"/>
          <w:sz w:val="16"/>
          <w:szCs w:val="16"/>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spacing w:after="0" w:line="95" w:lineRule="exact"/>
        <w:rPr>
          <w:sz w:val="20"/>
          <w:szCs w:val="20"/>
          <w:color w:val="auto"/>
        </w:rPr>
      </w:pPr>
    </w:p>
    <w:p>
      <w:pPr>
        <w:ind w:right="200"/>
        <w:spacing w:after="0" w:line="295" w:lineRule="auto"/>
        <w:rPr>
          <w:sz w:val="20"/>
          <w:szCs w:val="20"/>
          <w:color w:val="auto"/>
        </w:rPr>
      </w:pPr>
      <w:r>
        <w:rPr>
          <w:rFonts w:ascii="Arial" w:cs="Arial" w:eastAsia="Arial" w:hAnsi="Arial"/>
          <w:sz w:val="18"/>
          <w:szCs w:val="18"/>
          <w:b w:val="1"/>
          <w:bCs w:val="1"/>
          <w:i w:val="1"/>
          <w:iCs w:val="1"/>
          <w:color w:val="auto"/>
        </w:rPr>
        <w:t>We expect to significantly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spacing w:after="0" w:line="74" w:lineRule="exact"/>
        <w:rPr>
          <w:sz w:val="20"/>
          <w:szCs w:val="20"/>
          <w:color w:val="auto"/>
        </w:rPr>
      </w:pPr>
    </w:p>
    <w:p>
      <w:pPr>
        <w:ind w:right="120" w:firstLine="374"/>
        <w:spacing w:after="0" w:line="286"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Certain of our operating results and financial metrics may be difficult to predict as a result of seasonality.</w:t>
      </w:r>
    </w:p>
    <w:p>
      <w:pPr>
        <w:spacing w:after="0" w:line="144" w:lineRule="exact"/>
        <w:rPr>
          <w:sz w:val="20"/>
          <w:szCs w:val="20"/>
          <w:color w:val="auto"/>
        </w:rPr>
      </w:pPr>
    </w:p>
    <w:p>
      <w:pPr>
        <w:ind w:right="40" w:firstLine="374"/>
        <w:spacing w:after="0" w:line="332" w:lineRule="auto"/>
        <w:rPr>
          <w:sz w:val="20"/>
          <w:szCs w:val="20"/>
          <w:color w:val="auto"/>
        </w:rPr>
      </w:pPr>
      <w:r>
        <w:rPr>
          <w:rFonts w:ascii="Arial" w:cs="Arial" w:eastAsia="Arial" w:hAnsi="Arial"/>
          <w:sz w:val="16"/>
          <w:szCs w:val="16"/>
          <w:color w:val="auto"/>
        </w:rPr>
        <w:t>While we have not yet experienced significant seasonality in our results, 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 this seasonality, it may cause fluctuations in our operating results and financial metrics and make forecasting our future operating results and financial metrics more difficult.</w:t>
      </w:r>
    </w:p>
    <w:p>
      <w:pPr>
        <w:spacing w:after="0" w:line="91" w:lineRule="exact"/>
        <w:rPr>
          <w:sz w:val="20"/>
          <w:szCs w:val="20"/>
          <w:color w:val="auto"/>
        </w:rPr>
      </w:pPr>
    </w:p>
    <w:p>
      <w:pPr>
        <w:ind w:right="640"/>
        <w:spacing w:after="0" w:line="308"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to offset future taxable income may be subject to certain limitations.</w:t>
      </w:r>
    </w:p>
    <w:p>
      <w:pPr>
        <w:spacing w:after="0" w:line="63" w:lineRule="exact"/>
        <w:rPr>
          <w:sz w:val="20"/>
          <w:szCs w:val="20"/>
          <w:color w:val="auto"/>
        </w:rPr>
      </w:pPr>
    </w:p>
    <w:p>
      <w:pPr>
        <w:ind w:right="20" w:firstLine="374"/>
        <w:spacing w:after="0" w:line="286" w:lineRule="auto"/>
        <w:rPr>
          <w:sz w:val="20"/>
          <w:szCs w:val="20"/>
          <w:color w:val="auto"/>
        </w:rPr>
      </w:pPr>
      <w:r>
        <w:rPr>
          <w:rFonts w:ascii="Arial" w:cs="Arial" w:eastAsia="Arial" w:hAnsi="Arial"/>
          <w:sz w:val="18"/>
          <w:szCs w:val="18"/>
          <w:color w:val="auto"/>
        </w:rPr>
        <w:t>As of December 31, 2020, we had federal net operating loss carryforwards (NOLs) of approximately $230 million, which will begin to expire in various years ranging from 2021 to 2037. Our NOLs could expire unused and be unavailable to offset future income tax liabilities because of their limited duration or because of restrictions under U.S. tax law. Under the Tax Act, as modified by the Coronavirus Aid, Relief, and Economic Security Act, or the CARES Act, our federal NOLs generated in tax years ending after December 31, 2017 may be carried forward indefinitely, but the deductibility of such federal net NOLs in tax years beginning after December 31, 2020 is limited to 80% of taxable income. It is uncertain if and to what extent various states will conform to the Tax Act, as modified by the CARES Act. Additionally, California recently enacted legislation limiting our ability to use our state NOLs for taxable years 2020, 2021, and 2022.</w:t>
      </w:r>
    </w:p>
    <w:p>
      <w:pPr>
        <w:spacing w:after="0" w:line="109" w:lineRule="exact"/>
        <w:rPr>
          <w:sz w:val="20"/>
          <w:szCs w:val="20"/>
          <w:color w:val="auto"/>
        </w:rPr>
      </w:pPr>
    </w:p>
    <w:p>
      <w:pPr>
        <w:jc w:val="both"/>
        <w:ind w:firstLine="374"/>
        <w:spacing w:after="0" w:line="316" w:lineRule="auto"/>
        <w:rPr>
          <w:sz w:val="20"/>
          <w:szCs w:val="20"/>
          <w:color w:val="auto"/>
        </w:rPr>
      </w:pPr>
      <w:r>
        <w:rPr>
          <w:rFonts w:ascii="Arial" w:cs="Arial" w:eastAsia="Arial" w:hAnsi="Arial"/>
          <w:sz w:val="16"/>
          <w:szCs w:val="16"/>
          <w:color w:val="auto"/>
        </w:rPr>
        <w:t>In addition, under Sections 382 and 383 of the Internal Revenue Code of 1986, as amended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w:t>
      </w:r>
    </w:p>
    <w:p>
      <w:pPr>
        <w:spacing w:after="0" w:line="2"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color w:val="auto"/>
        </w:rPr>
        <w:t>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48" w:lineRule="exact"/>
        <w:rPr>
          <w:sz w:val="20"/>
          <w:szCs w:val="20"/>
          <w:color w:val="auto"/>
        </w:rPr>
      </w:pPr>
    </w:p>
    <w:p>
      <w:pPr>
        <w:ind w:right="300"/>
        <w:spacing w:after="0" w:line="295" w:lineRule="auto"/>
        <w:rPr>
          <w:sz w:val="20"/>
          <w:szCs w:val="20"/>
          <w:color w:val="auto"/>
        </w:rPr>
      </w:pPr>
      <w:r>
        <w:rPr>
          <w:rFonts w:ascii="Arial" w:cs="Arial" w:eastAsia="Arial" w:hAnsi="Arial"/>
          <w:sz w:val="18"/>
          <w:szCs w:val="18"/>
          <w:b w:val="1"/>
          <w:bCs w:val="1"/>
          <w:i w:val="1"/>
          <w:iCs w:val="1"/>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74" w:lineRule="exact"/>
        <w:rPr>
          <w:sz w:val="20"/>
          <w:szCs w:val="20"/>
          <w:color w:val="auto"/>
        </w:rPr>
      </w:pPr>
    </w:p>
    <w:p>
      <w:pPr>
        <w:ind w:right="80" w:firstLine="374"/>
        <w:spacing w:after="0" w:line="312" w:lineRule="auto"/>
        <w:rPr>
          <w:sz w:val="20"/>
          <w:szCs w:val="20"/>
          <w:color w:val="auto"/>
        </w:rPr>
      </w:pPr>
      <w:r>
        <w:rPr>
          <w:rFonts w:ascii="Arial" w:cs="Arial" w:eastAsia="Arial" w:hAnsi="Arial"/>
          <w:sz w:val="17"/>
          <w:szCs w:val="17"/>
          <w:color w:val="auto"/>
        </w:rPr>
        <w:t>Our success depends in large part on our ability to obtain, maintain, protect and enforce patent and other intellectual property protection in the United States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104" w:lineRule="exact"/>
        <w:rPr>
          <w:sz w:val="20"/>
          <w:szCs w:val="20"/>
          <w:color w:val="auto"/>
        </w:rPr>
      </w:pPr>
    </w:p>
    <w:p>
      <w:pPr>
        <w:ind w:right="100" w:firstLine="374"/>
        <w:spacing w:after="0" w:line="287" w:lineRule="auto"/>
        <w:rPr>
          <w:sz w:val="20"/>
          <w:szCs w:val="20"/>
          <w:color w:val="auto"/>
        </w:rPr>
      </w:pPr>
      <w:r>
        <w:rPr>
          <w:rFonts w:ascii="Arial" w:cs="Arial" w:eastAsia="Arial" w:hAnsi="Arial"/>
          <w:sz w:val="18"/>
          <w:szCs w:val="18"/>
          <w:color w:val="auto"/>
        </w:rPr>
        <w:t>We seek to protect our position by in-licensing intellectual property relating to our products and filing patent applications in the United States and abroad related to our technologies and products that are important to our business. We also rely on a combination of contractual provisions, confidentiality procedures and copyright, 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62" w:name="page63"/>
    <w:bookmarkEnd w:id="62"/>
    <w:p>
      <w:pPr>
        <w:ind w:firstLine="374"/>
        <w:spacing w:after="0" w:line="304" w:lineRule="auto"/>
        <w:rPr>
          <w:sz w:val="20"/>
          <w:szCs w:val="20"/>
          <w:color w:val="auto"/>
        </w:rPr>
      </w:pPr>
      <w:r>
        <w:rPr>
          <w:rFonts w:ascii="Arial" w:cs="Arial" w:eastAsia="Arial" w:hAnsi="Arial"/>
          <w:sz w:val="17"/>
          <w:szCs w:val="17"/>
          <w:color w:val="auto"/>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spacing w:after="0" w:line="112" w:lineRule="exact"/>
        <w:rPr>
          <w:sz w:val="20"/>
          <w:szCs w:val="20"/>
          <w:color w:val="auto"/>
        </w:rPr>
      </w:pPr>
    </w:p>
    <w:p>
      <w:pPr>
        <w:ind w:right="40" w:firstLine="374"/>
        <w:spacing w:after="0" w:line="312"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owned and in-licensed issued patents may be challenged in courts or patent offices in the United States and abroad. For example, we may be subject to a third-party submission of prior art to the USPTO challenging the validity of one or more claims of our owned or in-licensed issued patents. Such submissions may also be made prior to a patent’s issuance, precluding the granting of a patent based on one of our owned or in-licensed pending patent applications.</w:t>
      </w:r>
    </w:p>
    <w:p>
      <w:pPr>
        <w:spacing w:after="0" w:line="91" w:lineRule="exact"/>
        <w:rPr>
          <w:sz w:val="20"/>
          <w:szCs w:val="20"/>
          <w:color w:val="auto"/>
        </w:rPr>
      </w:pPr>
    </w:p>
    <w:p>
      <w:pPr>
        <w:ind w:firstLine="374"/>
        <w:spacing w:after="0" w:line="302" w:lineRule="auto"/>
        <w:rPr>
          <w:sz w:val="20"/>
          <w:szCs w:val="20"/>
          <w:color w:val="auto"/>
        </w:rPr>
      </w:pPr>
      <w:r>
        <w:rPr>
          <w:rFonts w:ascii="Arial" w:cs="Arial" w:eastAsia="Arial" w:hAnsi="Arial"/>
          <w:sz w:val="17"/>
          <w:szCs w:val="17"/>
          <w:color w:val="auto"/>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spacing w:after="0" w:line="113" w:lineRule="exact"/>
        <w:rPr>
          <w:sz w:val="20"/>
          <w:szCs w:val="20"/>
          <w:color w:val="auto"/>
        </w:rPr>
      </w:pPr>
    </w:p>
    <w:p>
      <w:pPr>
        <w:ind w:right="40" w:firstLine="374"/>
        <w:spacing w:after="0" w:line="286" w:lineRule="auto"/>
        <w:rPr>
          <w:sz w:val="20"/>
          <w:szCs w:val="20"/>
          <w:color w:val="auto"/>
        </w:rPr>
      </w:pPr>
      <w:r>
        <w:rPr>
          <w:rFonts w:ascii="Arial" w:cs="Arial" w:eastAsia="Arial" w:hAnsi="Arial"/>
          <w:sz w:val="18"/>
          <w:szCs w:val="18"/>
          <w:color w:val="auto"/>
        </w:rPr>
        <w:t>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As a result, the issuance, scope, validity, enforceability and commercial value of our patent rights are highly uncertain.</w:t>
      </w:r>
    </w:p>
    <w:p>
      <w:pPr>
        <w:spacing w:after="0" w:line="123" w:lineRule="exact"/>
        <w:rPr>
          <w:sz w:val="20"/>
          <w:szCs w:val="20"/>
          <w:color w:val="auto"/>
        </w:rPr>
      </w:pPr>
    </w:p>
    <w:p>
      <w:pPr>
        <w:ind w:firstLine="374"/>
        <w:spacing w:after="0" w:line="304" w:lineRule="auto"/>
        <w:rPr>
          <w:sz w:val="20"/>
          <w:szCs w:val="20"/>
          <w:color w:val="auto"/>
        </w:rPr>
      </w:pPr>
      <w:r>
        <w:rPr>
          <w:rFonts w:ascii="Arial" w:cs="Arial" w:eastAsia="Arial" w:hAnsi="Arial"/>
          <w:sz w:val="17"/>
          <w:szCs w:val="17"/>
          <w:color w:val="auto"/>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competitive with our products. In these circumstances, we may need to defend and/or assert our patents, including by filing lawsuits alleging patent infringement. In any of</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63" w:name="page64"/>
    <w:bookmarkEnd w:id="63"/>
    <w:p>
      <w:pPr>
        <w:jc w:val="both"/>
        <w:spacing w:after="0" w:line="290" w:lineRule="auto"/>
        <w:rPr>
          <w:sz w:val="20"/>
          <w:szCs w:val="20"/>
          <w:color w:val="auto"/>
        </w:rPr>
      </w:pPr>
      <w:r>
        <w:rPr>
          <w:rFonts w:ascii="Arial" w:cs="Arial" w:eastAsia="Arial" w:hAnsi="Arial"/>
          <w:sz w:val="18"/>
          <w:szCs w:val="18"/>
          <w:color w:val="auto"/>
        </w:rPr>
        <w:t>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120" w:lineRule="exact"/>
        <w:rPr>
          <w:sz w:val="20"/>
          <w:szCs w:val="20"/>
          <w:color w:val="auto"/>
        </w:rPr>
      </w:pPr>
    </w:p>
    <w:p>
      <w:pPr>
        <w:ind w:firstLine="374"/>
        <w:spacing w:after="0" w:line="312" w:lineRule="auto"/>
        <w:rPr>
          <w:sz w:val="20"/>
          <w:szCs w:val="20"/>
          <w:color w:val="auto"/>
        </w:rPr>
      </w:pPr>
      <w:r>
        <w:rPr>
          <w:rFonts w:ascii="Arial" w:cs="Arial" w:eastAsia="Arial" w:hAnsi="Arial"/>
          <w:sz w:val="17"/>
          <w:szCs w:val="17"/>
          <w:color w:val="auto"/>
        </w:rPr>
        <w:t>Given that patent applications are confidential for a period of time after filing, we cannot be certain that we were the first to file any patent application related to our products. Competitors may also contest our patents, if issued, by showing the U.S. Patent and Trademark Office, or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spacing w:after="0" w:line="91" w:lineRule="exact"/>
        <w:rPr>
          <w:sz w:val="20"/>
          <w:szCs w:val="20"/>
          <w:color w:val="auto"/>
        </w:rPr>
      </w:pPr>
    </w:p>
    <w:p>
      <w:pPr>
        <w:ind w:firstLine="374"/>
        <w:spacing w:after="0" w:line="305"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11" w:lineRule="exact"/>
        <w:rPr>
          <w:sz w:val="20"/>
          <w:szCs w:val="20"/>
          <w:color w:val="auto"/>
        </w:rPr>
      </w:pPr>
    </w:p>
    <w:p>
      <w:pPr>
        <w:ind w:right="160" w:firstLine="374"/>
        <w:spacing w:after="0" w:line="312" w:lineRule="auto"/>
        <w:rPr>
          <w:sz w:val="20"/>
          <w:szCs w:val="20"/>
          <w:color w:val="auto"/>
        </w:rPr>
      </w:pPr>
      <w:r>
        <w:rPr>
          <w:rFonts w:ascii="Arial" w:cs="Arial" w:eastAsia="Arial" w:hAnsi="Arial"/>
          <w:sz w:val="17"/>
          <w:szCs w:val="17"/>
          <w:color w:val="auto"/>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104" w:lineRule="exact"/>
        <w:rPr>
          <w:sz w:val="20"/>
          <w:szCs w:val="20"/>
          <w:color w:val="auto"/>
        </w:rPr>
      </w:pPr>
    </w:p>
    <w:p>
      <w:pPr>
        <w:ind w:right="120" w:firstLine="374"/>
        <w:spacing w:after="0" w:line="287" w:lineRule="auto"/>
        <w:rPr>
          <w:sz w:val="20"/>
          <w:szCs w:val="20"/>
          <w:color w:val="auto"/>
        </w:rPr>
      </w:pPr>
      <w:r>
        <w:rPr>
          <w:rFonts w:ascii="Arial" w:cs="Arial" w:eastAsia="Arial" w:hAnsi="Arial"/>
          <w:sz w:val="18"/>
          <w:szCs w:val="18"/>
          <w:color w:val="auto"/>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08" w:lineRule="exact"/>
        <w:rPr>
          <w:sz w:val="20"/>
          <w:szCs w:val="20"/>
          <w:color w:val="auto"/>
        </w:rPr>
      </w:pPr>
    </w:p>
    <w:p>
      <w:pPr>
        <w:ind w:right="40" w:firstLine="374"/>
        <w:spacing w:after="0" w:line="329" w:lineRule="auto"/>
        <w:rPr>
          <w:sz w:val="20"/>
          <w:szCs w:val="20"/>
          <w:color w:val="auto"/>
        </w:rPr>
      </w:pPr>
      <w:r>
        <w:rPr>
          <w:rFonts w:ascii="Arial" w:cs="Arial" w:eastAsia="Arial" w:hAnsi="Arial"/>
          <w:sz w:val="16"/>
          <w:szCs w:val="16"/>
          <w:color w:val="auto"/>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spacing w:after="0" w:line="93" w:lineRule="exact"/>
        <w:rPr>
          <w:sz w:val="20"/>
          <w:szCs w:val="20"/>
          <w:color w:val="auto"/>
        </w:rPr>
      </w:pPr>
    </w:p>
    <w:p>
      <w:pPr>
        <w:ind w:right="80" w:firstLine="374"/>
        <w:spacing w:after="0" w:line="288" w:lineRule="auto"/>
        <w:rPr>
          <w:sz w:val="20"/>
          <w:szCs w:val="20"/>
          <w:color w:val="auto"/>
        </w:rPr>
      </w:pPr>
      <w:r>
        <w:rPr>
          <w:rFonts w:ascii="Arial" w:cs="Arial" w:eastAsia="Arial" w:hAnsi="Arial"/>
          <w:sz w:val="18"/>
          <w:szCs w:val="18"/>
          <w:color w:val="auto"/>
        </w:rPr>
        <w:t>Furthermore, our owned and in-licensed patents may be subject to a reservation of rights by one or more third parties. For example, this could arise if the research resulting in certain of our owned or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w:t>
      </w:r>
    </w:p>
    <w:p>
      <w:pPr>
        <w:spacing w:after="0" w:line="3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64" w:name="page65"/>
    <w:bookmarkEnd w:id="64"/>
    <w:p>
      <w:pPr>
        <w:spacing w:after="0" w:line="287" w:lineRule="auto"/>
        <w:rPr>
          <w:sz w:val="20"/>
          <w:szCs w:val="20"/>
          <w:color w:val="auto"/>
        </w:rPr>
      </w:pPr>
      <w:r>
        <w:rPr>
          <w:rFonts w:ascii="Arial" w:cs="Arial" w:eastAsia="Arial" w:hAnsi="Arial"/>
          <w:sz w:val="18"/>
          <w:szCs w:val="18"/>
          <w:color w:val="auto"/>
        </w:rPr>
        <w:t>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21" w:lineRule="exact"/>
        <w:rPr>
          <w:sz w:val="20"/>
          <w:szCs w:val="20"/>
          <w:color w:val="auto"/>
        </w:rPr>
      </w:pPr>
    </w:p>
    <w:p>
      <w:pPr>
        <w:jc w:val="both"/>
        <w:ind w:right="100" w:firstLine="374"/>
        <w:spacing w:after="0" w:line="337" w:lineRule="auto"/>
        <w:rPr>
          <w:sz w:val="20"/>
          <w:szCs w:val="20"/>
          <w:color w:val="auto"/>
        </w:rPr>
      </w:pPr>
      <w:r>
        <w:rPr>
          <w:rFonts w:ascii="Arial" w:cs="Arial" w:eastAsia="Arial" w:hAnsi="Arial"/>
          <w:sz w:val="16"/>
          <w:szCs w:val="16"/>
          <w:color w:val="auto"/>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technology for an adequate amount of time.</w:t>
      </w:r>
    </w:p>
    <w:p>
      <w:pPr>
        <w:spacing w:after="0" w:line="144" w:lineRule="exact"/>
        <w:rPr>
          <w:sz w:val="20"/>
          <w:szCs w:val="20"/>
          <w:color w:val="auto"/>
        </w:rPr>
      </w:pPr>
    </w:p>
    <w:p>
      <w:pPr>
        <w:ind w:right="40" w:firstLine="374"/>
        <w:spacing w:after="0" w:line="306"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spacing w:after="0" w:line="111" w:lineRule="exact"/>
        <w:rPr>
          <w:sz w:val="20"/>
          <w:szCs w:val="20"/>
          <w:color w:val="auto"/>
        </w:rPr>
      </w:pPr>
    </w:p>
    <w:p>
      <w:pPr>
        <w:jc w:val="both"/>
        <w:ind w:right="520"/>
        <w:spacing w:after="0" w:line="295"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4" w:lineRule="exact"/>
        <w:rPr>
          <w:sz w:val="20"/>
          <w:szCs w:val="20"/>
          <w:color w:val="auto"/>
        </w:rPr>
      </w:pPr>
    </w:p>
    <w:p>
      <w:pPr>
        <w:ind w:right="160" w:firstLine="374"/>
        <w:spacing w:after="0" w:line="302" w:lineRule="auto"/>
        <w:rPr>
          <w:sz w:val="20"/>
          <w:szCs w:val="20"/>
          <w:color w:val="auto"/>
        </w:rPr>
      </w:pPr>
      <w:r>
        <w:rPr>
          <w:rFonts w:ascii="Arial" w:cs="Arial" w:eastAsia="Arial" w:hAnsi="Arial"/>
          <w:sz w:val="17"/>
          <w:szCs w:val="17"/>
          <w:color w:val="auto"/>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spacing w:after="0" w:line="113" w:lineRule="exact"/>
        <w:rPr>
          <w:sz w:val="20"/>
          <w:szCs w:val="20"/>
          <w:color w:val="auto"/>
        </w:rPr>
      </w:pPr>
    </w:p>
    <w:p>
      <w:pPr>
        <w:ind w:right="380"/>
        <w:spacing w:after="0" w:line="308"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3" w:lineRule="exact"/>
        <w:rPr>
          <w:sz w:val="20"/>
          <w:szCs w:val="20"/>
          <w:color w:val="auto"/>
        </w:rPr>
      </w:pPr>
    </w:p>
    <w:p>
      <w:pPr>
        <w:ind w:right="120" w:firstLine="374"/>
        <w:spacing w:after="0" w:line="347" w:lineRule="auto"/>
        <w:rPr>
          <w:sz w:val="20"/>
          <w:szCs w:val="20"/>
          <w:color w:val="auto"/>
        </w:rPr>
      </w:pPr>
      <w:r>
        <w:rPr>
          <w:rFonts w:ascii="Arial" w:cs="Arial" w:eastAsia="Arial" w:hAnsi="Arial"/>
          <w:sz w:val="16"/>
          <w:szCs w:val="16"/>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5" w:name="page66"/>
    <w:bookmarkEnd w:id="65"/>
    <w:p>
      <w:pPr>
        <w:ind w:right="40" w:firstLine="374"/>
        <w:spacing w:after="0" w:line="287"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8"/>
          <w:szCs w:val="18"/>
          <w:b w:val="1"/>
          <w:bCs w:val="1"/>
          <w:i w:val="1"/>
          <w:iCs w:val="1"/>
          <w:color w:val="auto"/>
        </w:rPr>
        <w:t>Our future reliance on third parties may require us to share our trade secrets, which increases the possibility that a competitor will discover them or that our trade secrets will be misappropriated or disclosed.</w:t>
      </w:r>
    </w:p>
    <w:p>
      <w:pPr>
        <w:spacing w:after="0" w:line="63" w:lineRule="exact"/>
        <w:rPr>
          <w:sz w:val="20"/>
          <w:szCs w:val="20"/>
          <w:color w:val="auto"/>
        </w:rPr>
      </w:pPr>
    </w:p>
    <w:p>
      <w:pPr>
        <w:ind w:firstLine="374"/>
        <w:spacing w:after="0" w:line="323" w:lineRule="auto"/>
        <w:rPr>
          <w:sz w:val="20"/>
          <w:szCs w:val="20"/>
          <w:color w:val="auto"/>
        </w:rPr>
      </w:pPr>
      <w:r>
        <w:rPr>
          <w:rFonts w:ascii="Arial" w:cs="Arial" w:eastAsia="Arial" w:hAnsi="Arial"/>
          <w:sz w:val="16"/>
          <w:szCs w:val="16"/>
          <w:color w:val="auto"/>
        </w:rPr>
        <w:t>Because we expect to rely on a third party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CROs. We seek to protect our proprietary technology in part by entering into agreements containing confidentiality and use restrictions and obligations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89" w:lineRule="exact"/>
        <w:rPr>
          <w:sz w:val="20"/>
          <w:szCs w:val="20"/>
          <w:color w:val="auto"/>
        </w:rPr>
      </w:pPr>
    </w:p>
    <w:p>
      <w:pPr>
        <w:ind w:right="60" w:firstLine="374"/>
        <w:spacing w:after="0" w:line="288" w:lineRule="auto"/>
        <w:rPr>
          <w:sz w:val="20"/>
          <w:szCs w:val="20"/>
          <w:color w:val="auto"/>
        </w:rPr>
      </w:pPr>
      <w:r>
        <w:rPr>
          <w:rFonts w:ascii="Arial" w:cs="Arial" w:eastAsia="Arial" w:hAnsi="Arial"/>
          <w:sz w:val="18"/>
          <w:szCs w:val="18"/>
          <w:color w:val="auto"/>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22" w:lineRule="exact"/>
        <w:rPr>
          <w:sz w:val="20"/>
          <w:szCs w:val="20"/>
          <w:color w:val="auto"/>
        </w:rPr>
      </w:pPr>
    </w:p>
    <w:p>
      <w:pPr>
        <w:ind w:right="160"/>
        <w:spacing w:after="0" w:line="295"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74" w:lineRule="exact"/>
        <w:rPr>
          <w:sz w:val="20"/>
          <w:szCs w:val="20"/>
          <w:color w:val="auto"/>
        </w:rPr>
      </w:pPr>
    </w:p>
    <w:p>
      <w:pPr>
        <w:ind w:firstLine="374"/>
        <w:spacing w:after="0" w:line="303" w:lineRule="auto"/>
        <w:rPr>
          <w:sz w:val="20"/>
          <w:szCs w:val="20"/>
          <w:color w:val="auto"/>
        </w:rPr>
      </w:pPr>
      <w:r>
        <w:rPr>
          <w:rFonts w:ascii="Arial" w:cs="Arial" w:eastAsia="Arial" w:hAnsi="Arial"/>
          <w:sz w:val="17"/>
          <w:szCs w:val="17"/>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their work product could hamper or prevent our ability to commercialize our products, which would have a material adverse effect on our business, results of operations, financial condition and prospects.</w:t>
      </w:r>
    </w:p>
    <w:p>
      <w:pPr>
        <w:spacing w:after="0" w:line="111" w:lineRule="exact"/>
        <w:rPr>
          <w:sz w:val="20"/>
          <w:szCs w:val="20"/>
          <w:color w:val="auto"/>
        </w:rPr>
      </w:pPr>
    </w:p>
    <w:p>
      <w:pPr>
        <w:ind w:right="200" w:firstLine="374"/>
        <w:spacing w:after="0" w:line="295" w:lineRule="auto"/>
        <w:rPr>
          <w:sz w:val="20"/>
          <w:szCs w:val="20"/>
          <w:color w:val="auto"/>
        </w:rPr>
      </w:pPr>
      <w:r>
        <w:rPr>
          <w:rFonts w:ascii="Arial" w:cs="Arial" w:eastAsia="Arial" w:hAnsi="Arial"/>
          <w:sz w:val="18"/>
          <w:szCs w:val="18"/>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66" w:name="page67"/>
    <w:bookmarkEnd w:id="66"/>
    <w:p>
      <w:pPr>
        <w:ind w:right="140"/>
        <w:spacing w:after="0" w:line="312" w:lineRule="auto"/>
        <w:rPr>
          <w:sz w:val="20"/>
          <w:szCs w:val="20"/>
          <w:color w:val="auto"/>
        </w:rPr>
      </w:pPr>
      <w:r>
        <w:rPr>
          <w:rFonts w:ascii="Arial" w:cs="Arial" w:eastAsia="Arial" w:hAnsi="Arial"/>
          <w:sz w:val="17"/>
          <w:szCs w:val="17"/>
          <w:color w:val="auto"/>
        </w:rPr>
        <w:t>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spacing w:after="0" w:line="104" w:lineRule="exact"/>
        <w:rPr>
          <w:sz w:val="20"/>
          <w:szCs w:val="20"/>
          <w:color w:val="auto"/>
        </w:rPr>
      </w:pPr>
    </w:p>
    <w:p>
      <w:pPr>
        <w:ind w:firstLine="374"/>
        <w:spacing w:after="0" w:line="325" w:lineRule="auto"/>
        <w:rPr>
          <w:sz w:val="20"/>
          <w:szCs w:val="20"/>
          <w:color w:val="auto"/>
        </w:rPr>
      </w:pPr>
      <w:r>
        <w:rPr>
          <w:rFonts w:ascii="Arial" w:cs="Arial" w:eastAsia="Arial" w:hAnsi="Arial"/>
          <w:sz w:val="16"/>
          <w:szCs w:val="16"/>
          <w:color w:val="auto"/>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Such 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spacing w:after="0" w:line="86" w:lineRule="exact"/>
        <w:rPr>
          <w:sz w:val="20"/>
          <w:szCs w:val="20"/>
          <w:color w:val="auto"/>
        </w:rPr>
      </w:pPr>
    </w:p>
    <w:p>
      <w:pPr>
        <w:ind w:firstLine="374"/>
        <w:spacing w:after="0" w:line="287" w:lineRule="auto"/>
        <w:rPr>
          <w:sz w:val="20"/>
          <w:szCs w:val="20"/>
          <w:color w:val="auto"/>
        </w:rPr>
      </w:pPr>
      <w:r>
        <w:rPr>
          <w:rFonts w:ascii="Arial" w:cs="Arial" w:eastAsia="Arial" w:hAnsi="Arial"/>
          <w:sz w:val="18"/>
          <w:szCs w:val="18"/>
          <w:color w:val="auto"/>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8"/>
          <w:szCs w:val="18"/>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63" w:lineRule="exact"/>
        <w:rPr>
          <w:sz w:val="20"/>
          <w:szCs w:val="20"/>
          <w:color w:val="auto"/>
        </w:rPr>
      </w:pPr>
    </w:p>
    <w:p>
      <w:pPr>
        <w:ind w:right="60" w:firstLine="374"/>
        <w:spacing w:after="0" w:line="320" w:lineRule="auto"/>
        <w:rPr>
          <w:sz w:val="20"/>
          <w:szCs w:val="20"/>
          <w:color w:val="auto"/>
        </w:rPr>
      </w:pPr>
      <w:r>
        <w:rPr>
          <w:rFonts w:ascii="Arial" w:cs="Arial" w:eastAsia="Arial" w:hAnsi="Arial"/>
          <w:sz w:val="16"/>
          <w:szCs w:val="16"/>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costly to defend in litigation, divert management’s attention and resources, damage our reputation and brand and cause us to incur significant expenses or make substantial payments. Vendors from whom we purchase hardware or</w:t>
      </w: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67" w:name="page68"/>
    <w:bookmarkEnd w:id="67"/>
    <w:p>
      <w:pPr>
        <w:ind w:right="340"/>
        <w:spacing w:after="0" w:line="290" w:lineRule="auto"/>
        <w:rPr>
          <w:sz w:val="20"/>
          <w:szCs w:val="20"/>
          <w:color w:val="auto"/>
        </w:rPr>
      </w:pPr>
      <w:r>
        <w:rPr>
          <w:rFonts w:ascii="Arial" w:cs="Arial" w:eastAsia="Arial" w:hAnsi="Arial"/>
          <w:sz w:val="18"/>
          <w:szCs w:val="18"/>
          <w:color w:val="auto"/>
        </w:rPr>
        <w:t>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spacing w:after="0" w:line="120" w:lineRule="exact"/>
        <w:rPr>
          <w:sz w:val="20"/>
          <w:szCs w:val="20"/>
          <w:color w:val="auto"/>
        </w:rPr>
      </w:pPr>
    </w:p>
    <w:p>
      <w:pPr>
        <w:ind w:firstLine="374"/>
        <w:spacing w:after="0" w:line="325" w:lineRule="auto"/>
        <w:rPr>
          <w:sz w:val="20"/>
          <w:szCs w:val="20"/>
          <w:color w:val="auto"/>
        </w:rPr>
      </w:pPr>
      <w:r>
        <w:rPr>
          <w:rFonts w:ascii="Arial" w:cs="Arial" w:eastAsia="Arial" w:hAnsi="Arial"/>
          <w:sz w:val="16"/>
          <w:szCs w:val="16"/>
          <w:color w:val="auto"/>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the patent owner need only prove infringement by a preponderance of the evidence, which is a lower burden of proof.</w:t>
      </w:r>
    </w:p>
    <w:p>
      <w:pPr>
        <w:spacing w:after="0" w:line="86" w:lineRule="exact"/>
        <w:rPr>
          <w:sz w:val="20"/>
          <w:szCs w:val="20"/>
          <w:color w:val="auto"/>
        </w:rPr>
      </w:pPr>
    </w:p>
    <w:p>
      <w:pPr>
        <w:ind w:right="120" w:firstLine="374"/>
        <w:spacing w:after="0" w:line="290" w:lineRule="auto"/>
        <w:rPr>
          <w:sz w:val="20"/>
          <w:szCs w:val="20"/>
          <w:color w:val="auto"/>
        </w:rPr>
      </w:pPr>
      <w:r>
        <w:rPr>
          <w:rFonts w:ascii="Arial" w:cs="Arial" w:eastAsia="Arial" w:hAnsi="Arial"/>
          <w:sz w:val="18"/>
          <w:szCs w:val="18"/>
          <w:color w:val="auto"/>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120" w:lineRule="exact"/>
        <w:rPr>
          <w:sz w:val="20"/>
          <w:szCs w:val="20"/>
          <w:color w:val="auto"/>
        </w:rPr>
      </w:pPr>
    </w:p>
    <w:p>
      <w:pPr>
        <w:ind w:right="80" w:firstLine="374"/>
        <w:spacing w:after="0" w:line="287" w:lineRule="auto"/>
        <w:rPr>
          <w:sz w:val="20"/>
          <w:szCs w:val="20"/>
          <w:color w:val="auto"/>
        </w:rPr>
      </w:pPr>
      <w:r>
        <w:rPr>
          <w:rFonts w:ascii="Arial" w:cs="Arial" w:eastAsia="Arial" w:hAnsi="Arial"/>
          <w:sz w:val="18"/>
          <w:szCs w:val="18"/>
          <w:color w:val="auto"/>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spacing w:after="0" w:line="121" w:lineRule="exact"/>
        <w:rPr>
          <w:sz w:val="20"/>
          <w:szCs w:val="20"/>
          <w:color w:val="auto"/>
        </w:rPr>
      </w:pPr>
    </w:p>
    <w:p>
      <w:pPr>
        <w:ind w:right="20" w:firstLine="374"/>
        <w:spacing w:after="0" w:line="306" w:lineRule="auto"/>
        <w:rPr>
          <w:sz w:val="20"/>
          <w:szCs w:val="20"/>
          <w:color w:val="auto"/>
        </w:rPr>
      </w:pPr>
      <w:r>
        <w:rPr>
          <w:rFonts w:ascii="Arial" w:cs="Arial" w:eastAsia="Arial" w:hAnsi="Arial"/>
          <w:sz w:val="17"/>
          <w:szCs w:val="17"/>
          <w:color w:val="auto"/>
        </w:rPr>
        <w:t>Similarly, interference or derivation proceedings provoked by third parties or brought by the U.S. Patent and Trademark Office, or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98" w:lineRule="exact"/>
        <w:rPr>
          <w:sz w:val="20"/>
          <w:szCs w:val="20"/>
          <w:color w:val="auto"/>
        </w:rPr>
      </w:pPr>
    </w:p>
    <w:p>
      <w:pPr>
        <w:ind w:right="80" w:firstLine="374"/>
        <w:spacing w:after="0" w:line="324" w:lineRule="auto"/>
        <w:rPr>
          <w:sz w:val="20"/>
          <w:szCs w:val="20"/>
          <w:color w:val="auto"/>
        </w:rPr>
      </w:pPr>
      <w:r>
        <w:rPr>
          <w:rFonts w:ascii="Arial" w:cs="Arial" w:eastAsia="Arial" w:hAnsi="Arial"/>
          <w:sz w:val="16"/>
          <w:szCs w:val="16"/>
          <w:color w:val="auto"/>
        </w:rPr>
        <w:t>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inter partes review,</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68" w:name="page69"/>
    <w:bookmarkEnd w:id="68"/>
    <w:p>
      <w:pPr>
        <w:ind w:right="120"/>
        <w:spacing w:after="0" w:line="290" w:lineRule="auto"/>
        <w:rPr>
          <w:sz w:val="20"/>
          <w:szCs w:val="20"/>
          <w:color w:val="auto"/>
        </w:rPr>
      </w:pPr>
      <w:r>
        <w:rPr>
          <w:rFonts w:ascii="Arial" w:cs="Arial" w:eastAsia="Arial" w:hAnsi="Arial"/>
          <w:sz w:val="18"/>
          <w:szCs w:val="18"/>
          <w:color w:val="auto"/>
        </w:rPr>
        <w:t>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spacing w:after="0" w:line="120" w:lineRule="exact"/>
        <w:rPr>
          <w:sz w:val="20"/>
          <w:szCs w:val="20"/>
          <w:color w:val="auto"/>
        </w:rPr>
      </w:pPr>
    </w:p>
    <w:p>
      <w:pPr>
        <w:ind w:right="80" w:firstLine="374"/>
        <w:spacing w:after="0" w:line="329" w:lineRule="auto"/>
        <w:rPr>
          <w:sz w:val="20"/>
          <w:szCs w:val="20"/>
          <w:color w:val="auto"/>
        </w:rPr>
      </w:pPr>
      <w:r>
        <w:rPr>
          <w:rFonts w:ascii="Arial" w:cs="Arial" w:eastAsia="Arial" w:hAnsi="Arial"/>
          <w:sz w:val="16"/>
          <w:szCs w:val="16"/>
          <w:color w:val="auto"/>
        </w:rPr>
        <w:t>The outcome following legal assertions of invalidity and unenforceability is unpredictable. If a third party were to prevail on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spacing w:after="0" w:line="80" w:lineRule="exact"/>
        <w:rPr>
          <w:sz w:val="20"/>
          <w:szCs w:val="20"/>
          <w:color w:val="auto"/>
        </w:rPr>
      </w:pPr>
    </w:p>
    <w:p>
      <w:pPr>
        <w:ind w:firstLine="374"/>
        <w:spacing w:after="0" w:line="323" w:lineRule="auto"/>
        <w:rPr>
          <w:sz w:val="20"/>
          <w:szCs w:val="20"/>
          <w:color w:val="auto"/>
        </w:rPr>
      </w:pPr>
      <w:r>
        <w:rPr>
          <w:rFonts w:ascii="Arial" w:cs="Arial" w:eastAsia="Arial" w:hAnsi="Arial"/>
          <w:sz w:val="16"/>
          <w:szCs w:val="16"/>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67" w:lineRule="exact"/>
        <w:rPr>
          <w:sz w:val="20"/>
          <w:szCs w:val="20"/>
          <w:color w:val="auto"/>
        </w:rPr>
      </w:pPr>
    </w:p>
    <w:p>
      <w:pPr>
        <w:ind w:right="20" w:firstLine="374"/>
        <w:spacing w:after="0" w:line="337" w:lineRule="auto"/>
        <w:rPr>
          <w:sz w:val="20"/>
          <w:szCs w:val="20"/>
          <w:color w:val="auto"/>
        </w:rPr>
      </w:pPr>
      <w:r>
        <w:rPr>
          <w:rFonts w:ascii="Arial" w:cs="Arial" w:eastAsia="Arial" w:hAnsi="Arial"/>
          <w:sz w:val="16"/>
          <w:szCs w:val="16"/>
          <w:color w:val="auto"/>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rights to develop and commercialize our products are subject, in part, to the terms and conditions of licenses granted to us by others.</w:t>
      </w:r>
    </w:p>
    <w:p>
      <w:pPr>
        <w:spacing w:after="0" w:line="156" w:lineRule="exact"/>
        <w:rPr>
          <w:sz w:val="20"/>
          <w:szCs w:val="20"/>
          <w:color w:val="auto"/>
        </w:rPr>
      </w:pPr>
    </w:p>
    <w:p>
      <w:pPr>
        <w:ind w:firstLine="374"/>
        <w:spacing w:after="0" w:line="287" w:lineRule="auto"/>
        <w:rPr>
          <w:sz w:val="20"/>
          <w:szCs w:val="20"/>
          <w:color w:val="auto"/>
        </w:rPr>
      </w:pPr>
      <w:r>
        <w:rPr>
          <w:rFonts w:ascii="Arial" w:cs="Arial" w:eastAsia="Arial" w:hAnsi="Arial"/>
          <w:sz w:val="18"/>
          <w:szCs w:val="18"/>
          <w:color w:val="auto"/>
        </w:rPr>
        <w:t>We rely, in part, upon licenses to certain patent rights, proprietary technology and other intellectual property from third parties that are important or necessary to the development of our products and technology. Further development and commercialization of our current products, and development of any future products, may require us to enter into additional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108" w:lineRule="exact"/>
        <w:rPr>
          <w:sz w:val="20"/>
          <w:szCs w:val="20"/>
          <w:color w:val="auto"/>
        </w:rPr>
      </w:pPr>
    </w:p>
    <w:p>
      <w:pPr>
        <w:ind w:right="240" w:firstLine="374"/>
        <w:spacing w:after="0" w:line="295" w:lineRule="auto"/>
        <w:rPr>
          <w:sz w:val="20"/>
          <w:szCs w:val="20"/>
          <w:color w:val="auto"/>
        </w:rPr>
      </w:pPr>
      <w:r>
        <w:rPr>
          <w:rFonts w:ascii="Arial" w:cs="Arial" w:eastAsia="Arial" w:hAnsi="Arial"/>
          <w:sz w:val="18"/>
          <w:szCs w:val="18"/>
          <w:color w:val="auto"/>
        </w:rPr>
        <w:t>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69" w:name="page70"/>
    <w:bookmarkEnd w:id="69"/>
    <w:p>
      <w:pPr>
        <w:ind w:right="160"/>
        <w:spacing w:after="0" w:line="309" w:lineRule="auto"/>
        <w:rPr>
          <w:sz w:val="20"/>
          <w:szCs w:val="20"/>
          <w:color w:val="auto"/>
        </w:rPr>
      </w:pPr>
      <w:r>
        <w:rPr>
          <w:rFonts w:ascii="Arial" w:cs="Arial" w:eastAsia="Arial" w:hAnsi="Arial"/>
          <w:sz w:val="17"/>
          <w:szCs w:val="17"/>
          <w:color w:val="auto"/>
        </w:rPr>
        <w:t>enforced and defended in a manner consistent with the best interests of our business. Additionally,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05" w:lineRule="exact"/>
        <w:rPr>
          <w:sz w:val="20"/>
          <w:szCs w:val="20"/>
          <w:color w:val="auto"/>
        </w:rPr>
      </w:pPr>
    </w:p>
    <w:p>
      <w:pPr>
        <w:ind w:right="360" w:firstLine="374"/>
        <w:spacing w:after="0" w:line="377" w:lineRule="auto"/>
        <w:rPr>
          <w:sz w:val="20"/>
          <w:szCs w:val="20"/>
          <w:color w:val="auto"/>
        </w:rPr>
      </w:pPr>
      <w:r>
        <w:rPr>
          <w:rFonts w:ascii="Arial" w:cs="Arial" w:eastAsia="Arial" w:hAnsi="Arial"/>
          <w:sz w:val="16"/>
          <w:szCs w:val="16"/>
          <w:color w:val="auto"/>
        </w:rPr>
        <w:t>Our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spacing w:after="0" w:line="43" w:lineRule="exact"/>
        <w:rPr>
          <w:sz w:val="20"/>
          <w:szCs w:val="20"/>
          <w:color w:val="auto"/>
        </w:rPr>
      </w:pPr>
    </w:p>
    <w:p>
      <w:pPr>
        <w:ind w:firstLine="374"/>
        <w:spacing w:after="0" w:line="322" w:lineRule="auto"/>
        <w:rPr>
          <w:sz w:val="20"/>
          <w:szCs w:val="20"/>
          <w:color w:val="auto"/>
        </w:rPr>
      </w:pPr>
      <w:r>
        <w:rPr>
          <w:rFonts w:ascii="Arial" w:cs="Arial" w:eastAsia="Arial" w:hAnsi="Arial"/>
          <w:sz w:val="16"/>
          <w:szCs w:val="16"/>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w:t>
      </w:r>
    </w:p>
    <w:p>
      <w:pPr>
        <w:spacing w:after="0" w:line="102" w:lineRule="exact"/>
        <w:rPr>
          <w:sz w:val="20"/>
          <w:szCs w:val="20"/>
          <w:color w:val="auto"/>
        </w:rPr>
      </w:pPr>
    </w:p>
    <w:p>
      <w:pPr>
        <w:jc w:val="both"/>
        <w:ind w:right="440"/>
        <w:spacing w:after="0" w:line="347" w:lineRule="auto"/>
        <w:rPr>
          <w:sz w:val="20"/>
          <w:szCs w:val="20"/>
          <w:color w:val="auto"/>
        </w:rPr>
      </w:pPr>
      <w:r>
        <w:rPr>
          <w:rFonts w:ascii="Arial" w:cs="Arial" w:eastAsia="Arial" w:hAnsi="Arial"/>
          <w:sz w:val="16"/>
          <w:szCs w:val="16"/>
          <w:b w:val="1"/>
          <w:bCs w:val="1"/>
          <w:i w:val="1"/>
          <w:iCs w:val="1"/>
          <w:color w:val="auto"/>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spacing w:after="0" w:line="39" w:lineRule="exact"/>
        <w:rPr>
          <w:sz w:val="20"/>
          <w:szCs w:val="20"/>
          <w:color w:val="auto"/>
        </w:rPr>
      </w:pPr>
    </w:p>
    <w:p>
      <w:pPr>
        <w:ind w:right="100" w:firstLine="374"/>
        <w:spacing w:after="0" w:line="288" w:lineRule="auto"/>
        <w:rPr>
          <w:sz w:val="20"/>
          <w:szCs w:val="20"/>
          <w:color w:val="auto"/>
        </w:rPr>
      </w:pPr>
      <w:r>
        <w:rPr>
          <w:rFonts w:ascii="Arial" w:cs="Arial" w:eastAsia="Arial" w:hAnsi="Arial"/>
          <w:sz w:val="18"/>
          <w:szCs w:val="18"/>
          <w:color w:val="auto"/>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Disputes may arise between us and our future licensors regarding intellectual property subject to a license agreement, including:</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scope of rights granted under the license agreement and other interpretation-related issues;</w:t>
      </w:r>
    </w:p>
    <w:p>
      <w:pPr>
        <w:spacing w:after="0" w:line="171" w:lineRule="exact"/>
        <w:rPr>
          <w:sz w:val="20"/>
          <w:szCs w:val="20"/>
          <w:color w:val="auto"/>
        </w:rPr>
      </w:pPr>
    </w:p>
    <w:p>
      <w:pPr>
        <w:ind w:left="1080" w:right="520"/>
        <w:spacing w:after="0" w:line="293" w:lineRule="auto"/>
        <w:rPr>
          <w:sz w:val="20"/>
          <w:szCs w:val="20"/>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right to sublicense patents and other rights to third parties;</w:t>
      </w:r>
    </w:p>
    <w:p>
      <w:pPr>
        <w:spacing w:after="0" w:line="158" w:lineRule="exact"/>
        <w:rPr>
          <w:sz w:val="20"/>
          <w:szCs w:val="20"/>
          <w:color w:val="auto"/>
        </w:rPr>
      </w:pPr>
    </w:p>
    <w:p>
      <w:pPr>
        <w:ind w:left="1080" w:right="380"/>
        <w:spacing w:after="0" w:line="293" w:lineRule="auto"/>
        <w:rPr>
          <w:sz w:val="20"/>
          <w:szCs w:val="20"/>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products, and what activities satisfy those diligence obligations;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right to transfer or assign the license; and</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0" w:name="page71"/>
    <w:bookmarkEnd w:id="70"/>
    <w:p>
      <w:pPr>
        <w:ind w:left="1080" w:right="40"/>
        <w:spacing w:after="0" w:line="293" w:lineRule="auto"/>
        <w:rPr>
          <w:sz w:val="20"/>
          <w:szCs w:val="20"/>
          <w:color w:val="auto"/>
        </w:rPr>
      </w:pPr>
      <w:r>
        <w:rPr>
          <w:rFonts w:ascii="Arial" w:cs="Arial" w:eastAsia="Arial" w:hAnsi="Arial"/>
          <w:sz w:val="18"/>
          <w:szCs w:val="18"/>
          <w:color w:val="auto"/>
        </w:rPr>
        <w:t>the ownership of inventions and know-how resulting from the joint creation or use of intellectual property by any of our future licensors and us and our partners.</w:t>
      </w:r>
    </w:p>
    <w:p>
      <w:pPr>
        <w:spacing w:after="0" w:line="102" w:lineRule="exact"/>
        <w:rPr>
          <w:sz w:val="20"/>
          <w:szCs w:val="20"/>
          <w:color w:val="auto"/>
        </w:rPr>
      </w:pPr>
    </w:p>
    <w:p>
      <w:pPr>
        <w:jc w:val="both"/>
        <w:ind w:right="220" w:firstLine="374"/>
        <w:spacing w:after="0" w:line="377" w:lineRule="auto"/>
        <w:rPr>
          <w:sz w:val="20"/>
          <w:szCs w:val="20"/>
          <w:color w:val="auto"/>
        </w:rPr>
      </w:pPr>
      <w:r>
        <w:rPr>
          <w:rFonts w:ascii="Arial" w:cs="Arial" w:eastAsia="Arial" w:hAnsi="Arial"/>
          <w:sz w:val="16"/>
          <w:szCs w:val="16"/>
          <w:color w:val="auto"/>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spacing w:after="0" w:line="43" w:lineRule="exact"/>
        <w:rPr>
          <w:sz w:val="20"/>
          <w:szCs w:val="20"/>
          <w:color w:val="auto"/>
        </w:rPr>
      </w:pPr>
    </w:p>
    <w:p>
      <w:pPr>
        <w:ind w:right="20" w:firstLine="374"/>
        <w:spacing w:after="0" w:line="319" w:lineRule="auto"/>
        <w:rPr>
          <w:sz w:val="20"/>
          <w:szCs w:val="20"/>
          <w:color w:val="auto"/>
        </w:rPr>
      </w:pPr>
      <w:r>
        <w:rPr>
          <w:rFonts w:ascii="Arial" w:cs="Arial" w:eastAsia="Arial" w:hAnsi="Arial"/>
          <w:sz w:val="17"/>
          <w:szCs w:val="17"/>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98" w:lineRule="exact"/>
        <w:rPr>
          <w:sz w:val="20"/>
          <w:szCs w:val="20"/>
          <w:color w:val="auto"/>
        </w:rPr>
      </w:pPr>
    </w:p>
    <w:p>
      <w:pPr>
        <w:ind w:right="60" w:firstLine="374"/>
        <w:spacing w:after="0" w:line="303" w:lineRule="auto"/>
        <w:rPr>
          <w:sz w:val="20"/>
          <w:szCs w:val="20"/>
          <w:color w:val="auto"/>
        </w:rPr>
      </w:pPr>
      <w:r>
        <w:rPr>
          <w:rFonts w:ascii="Arial" w:cs="Arial" w:eastAsia="Arial" w:hAnsi="Arial"/>
          <w:sz w:val="17"/>
          <w:szCs w:val="17"/>
          <w:color w:val="auto"/>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14" w:lineRule="exact"/>
        <w:rPr>
          <w:sz w:val="20"/>
          <w:szCs w:val="20"/>
          <w:color w:val="auto"/>
        </w:rPr>
      </w:pPr>
    </w:p>
    <w:p>
      <w:pPr>
        <w:jc w:val="both"/>
        <w:ind w:right="140" w:firstLine="374"/>
        <w:spacing w:after="0" w:line="295"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spacing w:after="0" w:line="101" w:lineRule="exact"/>
        <w:rPr>
          <w:sz w:val="20"/>
          <w:szCs w:val="20"/>
          <w:color w:val="auto"/>
        </w:rPr>
      </w:pPr>
    </w:p>
    <w:p>
      <w:pPr>
        <w:ind w:firstLine="374"/>
        <w:spacing w:after="0" w:line="309" w:lineRule="auto"/>
        <w:rPr>
          <w:sz w:val="20"/>
          <w:szCs w:val="20"/>
          <w:color w:val="auto"/>
        </w:rPr>
      </w:pPr>
      <w:r>
        <w:rPr>
          <w:rFonts w:ascii="Arial" w:cs="Arial" w:eastAsia="Arial" w:hAnsi="Arial"/>
          <w:sz w:val="17"/>
          <w:szCs w:val="17"/>
          <w:color w:val="auto"/>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spacing w:after="0" w:line="105" w:lineRule="exact"/>
        <w:rPr>
          <w:sz w:val="20"/>
          <w:szCs w:val="20"/>
          <w:color w:val="auto"/>
        </w:rPr>
      </w:pPr>
    </w:p>
    <w:p>
      <w:pPr>
        <w:ind w:right="180" w:firstLine="374"/>
        <w:spacing w:after="0" w:line="337" w:lineRule="auto"/>
        <w:rPr>
          <w:sz w:val="20"/>
          <w:szCs w:val="20"/>
          <w:color w:val="auto"/>
        </w:rPr>
      </w:pPr>
      <w:r>
        <w:rPr>
          <w:rFonts w:ascii="Arial" w:cs="Arial" w:eastAsia="Arial" w:hAnsi="Arial"/>
          <w:sz w:val="16"/>
          <w:szCs w:val="16"/>
          <w:color w:val="auto"/>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obtaining necessary rights to any products we may develop through acquisitions and in-licenses.</w:t>
      </w:r>
    </w:p>
    <w:p>
      <w:pPr>
        <w:spacing w:after="0" w:line="144" w:lineRule="exact"/>
        <w:rPr>
          <w:sz w:val="20"/>
          <w:szCs w:val="20"/>
          <w:color w:val="auto"/>
        </w:rPr>
      </w:pPr>
    </w:p>
    <w:p>
      <w:pPr>
        <w:ind w:right="180" w:firstLine="374"/>
        <w:spacing w:after="0" w:line="329" w:lineRule="auto"/>
        <w:rPr>
          <w:sz w:val="20"/>
          <w:szCs w:val="20"/>
          <w:color w:val="auto"/>
        </w:rPr>
      </w:pPr>
      <w:r>
        <w:rPr>
          <w:rFonts w:ascii="Arial" w:cs="Arial" w:eastAsia="Arial" w:hAnsi="Arial"/>
          <w:sz w:val="16"/>
          <w:szCs w:val="16"/>
          <w:color w:val="auto"/>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71" w:name="page72"/>
    <w:bookmarkEnd w:id="71"/>
    <w:p>
      <w:pPr>
        <w:ind w:right="60"/>
        <w:spacing w:after="0" w:line="288" w:lineRule="auto"/>
        <w:rPr>
          <w:sz w:val="20"/>
          <w:szCs w:val="20"/>
          <w:color w:val="auto"/>
        </w:rPr>
      </w:pPr>
      <w:r>
        <w:rPr>
          <w:rFonts w:ascii="Arial" w:cs="Arial" w:eastAsia="Arial" w:hAnsi="Arial"/>
          <w:sz w:val="18"/>
          <w:szCs w:val="18"/>
          <w:color w:val="auto"/>
        </w:rPr>
        <w:t>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p>
      <w:pPr>
        <w:spacing w:after="0" w:line="122" w:lineRule="exact"/>
        <w:rPr>
          <w:sz w:val="20"/>
          <w:szCs w:val="20"/>
          <w:color w:val="auto"/>
        </w:rPr>
      </w:pPr>
    </w:p>
    <w:p>
      <w:pPr>
        <w:ind w:right="200"/>
        <w:spacing w:after="0" w:line="308" w:lineRule="auto"/>
        <w:rPr>
          <w:sz w:val="20"/>
          <w:szCs w:val="20"/>
          <w:color w:val="auto"/>
        </w:rPr>
      </w:pPr>
      <w:r>
        <w:rPr>
          <w:rFonts w:ascii="Arial" w:cs="Arial" w:eastAsia="Arial" w:hAnsi="Arial"/>
          <w:sz w:val="18"/>
          <w:szCs w:val="18"/>
          <w:b w:val="1"/>
          <w:bCs w:val="1"/>
          <w:i w:val="1"/>
          <w:iCs w:val="1"/>
          <w:color w:val="auto"/>
        </w:rPr>
        <w:t>Any collaboration or partnership arrangements that we may enter into in the future may not be successful, which could adversely affect our ability to develop and commercialize our products.</w:t>
      </w:r>
    </w:p>
    <w:p>
      <w:pPr>
        <w:spacing w:after="0" w:line="63" w:lineRule="exact"/>
        <w:rPr>
          <w:sz w:val="20"/>
          <w:szCs w:val="20"/>
          <w:color w:val="auto"/>
        </w:rPr>
      </w:pPr>
    </w:p>
    <w:p>
      <w:pPr>
        <w:ind w:right="180" w:firstLine="374"/>
        <w:spacing w:after="0" w:line="308"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71" w:lineRule="exact"/>
        <w:rPr>
          <w:sz w:val="20"/>
          <w:szCs w:val="20"/>
          <w:color w:val="auto"/>
        </w:rPr>
      </w:pPr>
    </w:p>
    <w:p>
      <w:pPr>
        <w:jc w:val="both"/>
        <w:ind w:left="1080" w:right="360"/>
        <w:spacing w:after="0" w:line="329" w:lineRule="auto"/>
        <w:rPr>
          <w:sz w:val="20"/>
          <w:szCs w:val="20"/>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80" w:lineRule="exact"/>
        <w:rPr>
          <w:sz w:val="20"/>
          <w:szCs w:val="20"/>
          <w:color w:val="auto"/>
        </w:rPr>
      </w:pPr>
    </w:p>
    <w:p>
      <w:pPr>
        <w:ind w:left="1080" w:right="260"/>
        <w:spacing w:after="0" w:line="293" w:lineRule="auto"/>
        <w:rPr>
          <w:sz w:val="20"/>
          <w:szCs w:val="20"/>
          <w:color w:val="auto"/>
        </w:rPr>
      </w:pPr>
      <w:r>
        <w:rPr>
          <w:rFonts w:ascii="Arial" w:cs="Arial" w:eastAsia="Arial" w:hAnsi="Arial"/>
          <w:sz w:val="18"/>
          <w:szCs w:val="18"/>
          <w:color w:val="auto"/>
        </w:rPr>
        <w:t>collaborators could independently develop, or develop with third parties, products that compete directly or indirectly with our current and future products;</w:t>
      </w:r>
    </w:p>
    <w:p>
      <w:pPr>
        <w:spacing w:after="0" w:line="89" w:lineRule="exact"/>
        <w:rPr>
          <w:sz w:val="20"/>
          <w:szCs w:val="20"/>
          <w:color w:val="auto"/>
        </w:rPr>
      </w:pPr>
    </w:p>
    <w:p>
      <w:pPr>
        <w:ind w:left="1080" w:right="440"/>
        <w:spacing w:after="0" w:line="293" w:lineRule="auto"/>
        <w:rPr>
          <w:sz w:val="20"/>
          <w:szCs w:val="20"/>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71" w:lineRule="exact"/>
        <w:rPr>
          <w:sz w:val="20"/>
          <w:szCs w:val="20"/>
          <w:color w:val="auto"/>
        </w:rPr>
      </w:pPr>
    </w:p>
    <w:p>
      <w:pPr>
        <w:ind w:left="1080" w:right="640"/>
        <w:spacing w:after="0" w:line="279" w:lineRule="auto"/>
        <w:rPr>
          <w:sz w:val="20"/>
          <w:szCs w:val="20"/>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02" w:lineRule="exact"/>
        <w:rPr>
          <w:sz w:val="20"/>
          <w:szCs w:val="20"/>
          <w:color w:val="auto"/>
        </w:rPr>
      </w:pPr>
    </w:p>
    <w:p>
      <w:pPr>
        <w:ind w:left="1080" w:right="140"/>
        <w:spacing w:after="0" w:line="359" w:lineRule="auto"/>
        <w:rPr>
          <w:sz w:val="20"/>
          <w:szCs w:val="20"/>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57" w:lineRule="exact"/>
        <w:rPr>
          <w:sz w:val="20"/>
          <w:szCs w:val="20"/>
          <w:color w:val="auto"/>
        </w:rPr>
      </w:pPr>
    </w:p>
    <w:p>
      <w:pPr>
        <w:ind w:left="1080" w:right="900"/>
        <w:spacing w:after="0" w:line="293" w:lineRule="auto"/>
        <w:rPr>
          <w:sz w:val="20"/>
          <w:szCs w:val="20"/>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102" w:lineRule="exact"/>
        <w:rPr>
          <w:sz w:val="20"/>
          <w:szCs w:val="20"/>
          <w:color w:val="auto"/>
        </w:rPr>
      </w:pPr>
    </w:p>
    <w:p>
      <w:pPr>
        <w:ind w:left="1080" w:right="420"/>
        <w:spacing w:after="0" w:line="293" w:lineRule="auto"/>
        <w:rPr>
          <w:sz w:val="20"/>
          <w:szCs w:val="20"/>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89" w:lineRule="exact"/>
        <w:rPr>
          <w:sz w:val="20"/>
          <w:szCs w:val="20"/>
          <w:color w:val="auto"/>
        </w:rPr>
      </w:pPr>
    </w:p>
    <w:p>
      <w:pPr>
        <w:ind w:left="1080" w:right="620"/>
        <w:spacing w:after="0" w:line="293" w:lineRule="auto"/>
        <w:rPr>
          <w:sz w:val="20"/>
          <w:szCs w:val="20"/>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44" w:lineRule="exact"/>
        <w:rPr>
          <w:sz w:val="20"/>
          <w:szCs w:val="20"/>
          <w:color w:val="auto"/>
        </w:rPr>
      </w:pPr>
    </w:p>
    <w:p>
      <w:pPr>
        <w:ind w:firstLine="374"/>
        <w:spacing w:after="0" w:line="288" w:lineRule="auto"/>
        <w:rPr>
          <w:sz w:val="20"/>
          <w:szCs w:val="20"/>
          <w:color w:val="auto"/>
        </w:rPr>
      </w:pPr>
      <w:r>
        <w:rPr>
          <w:rFonts w:ascii="Arial" w:cs="Arial" w:eastAsia="Arial" w:hAnsi="Arial"/>
          <w:sz w:val="18"/>
          <w:szCs w:val="18"/>
          <w:color w:val="auto"/>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w:t>
      </w:r>
    </w:p>
    <w:p>
      <w:pPr>
        <w:spacing w:after="0" w:line="3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2" w:name="page73"/>
    <w:bookmarkEnd w:id="72"/>
    <w:p>
      <w:pPr>
        <w:spacing w:after="0" w:line="306" w:lineRule="auto"/>
        <w:rPr>
          <w:sz w:val="20"/>
          <w:szCs w:val="20"/>
          <w:color w:val="auto"/>
        </w:rPr>
      </w:pPr>
      <w:r>
        <w:rPr>
          <w:rFonts w:ascii="Arial" w:cs="Arial" w:eastAsia="Arial" w:hAnsi="Arial"/>
          <w:sz w:val="17"/>
          <w:szCs w:val="17"/>
          <w:color w:val="auto"/>
        </w:rPr>
        <w:t>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 may be ineffective in perfecting ownership of inventions developed by that individual. Any such events could have a material adverse effect on our business, financial condition and results of operations.</w:t>
      </w:r>
    </w:p>
    <w:p>
      <w:pPr>
        <w:spacing w:after="0" w:line="111" w:lineRule="exact"/>
        <w:rPr>
          <w:sz w:val="20"/>
          <w:szCs w:val="20"/>
          <w:color w:val="auto"/>
        </w:rPr>
      </w:pPr>
    </w:p>
    <w:p>
      <w:pPr>
        <w:ind w:right="420"/>
        <w:spacing w:after="0" w:line="308"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other proprietary information, our business and competitive position may be harmed.</w:t>
      </w:r>
    </w:p>
    <w:p>
      <w:pPr>
        <w:spacing w:after="0" w:line="63" w:lineRule="exact"/>
        <w:rPr>
          <w:sz w:val="20"/>
          <w:szCs w:val="20"/>
          <w:color w:val="auto"/>
        </w:rPr>
      </w:pPr>
    </w:p>
    <w:p>
      <w:pPr>
        <w:ind w:right="20" w:firstLine="374"/>
        <w:spacing w:after="0" w:line="301" w:lineRule="auto"/>
        <w:rPr>
          <w:sz w:val="20"/>
          <w:szCs w:val="20"/>
          <w:color w:val="auto"/>
        </w:rPr>
      </w:pPr>
      <w:r>
        <w:rPr>
          <w:rFonts w:ascii="Arial" w:cs="Arial" w:eastAsia="Arial" w:hAnsi="Arial"/>
          <w:sz w:val="17"/>
          <w:szCs w:val="17"/>
          <w:color w:val="auto"/>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United States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spacing w:after="0" w:line="103" w:lineRule="exact"/>
        <w:rPr>
          <w:sz w:val="20"/>
          <w:szCs w:val="20"/>
          <w:color w:val="auto"/>
        </w:rPr>
      </w:pPr>
    </w:p>
    <w:p>
      <w:pPr>
        <w:ind w:right="40" w:firstLine="374"/>
        <w:spacing w:after="0" w:line="304" w:lineRule="auto"/>
        <w:rPr>
          <w:sz w:val="20"/>
          <w:szCs w:val="20"/>
          <w:color w:val="auto"/>
        </w:rPr>
      </w:pPr>
      <w:r>
        <w:rPr>
          <w:rFonts w:ascii="Arial" w:cs="Arial" w:eastAsia="Arial" w:hAnsi="Arial"/>
          <w:sz w:val="17"/>
          <w:szCs w:val="17"/>
          <w:color w:val="auto"/>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112" w:lineRule="exact"/>
        <w:rPr>
          <w:sz w:val="20"/>
          <w:szCs w:val="20"/>
          <w:color w:val="auto"/>
        </w:rPr>
      </w:pPr>
    </w:p>
    <w:p>
      <w:pPr>
        <w:ind w:right="160" w:firstLine="374"/>
        <w:spacing w:after="0" w:line="286" w:lineRule="auto"/>
        <w:rPr>
          <w:sz w:val="20"/>
          <w:szCs w:val="20"/>
          <w:color w:val="auto"/>
        </w:rPr>
      </w:pPr>
      <w:r>
        <w:rPr>
          <w:rFonts w:ascii="Arial" w:cs="Arial" w:eastAsia="Arial" w:hAnsi="Arial"/>
          <w:sz w:val="18"/>
          <w:szCs w:val="18"/>
          <w:color w:val="auto"/>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3" w:name="page74"/>
    <w:bookmarkEnd w:id="73"/>
    <w:p>
      <w:pPr>
        <w:ind w:right="280" w:firstLine="374"/>
        <w:spacing w:after="0" w:line="309" w:lineRule="auto"/>
        <w:rPr>
          <w:sz w:val="20"/>
          <w:szCs w:val="20"/>
          <w:color w:val="auto"/>
        </w:rPr>
      </w:pPr>
      <w:r>
        <w:rPr>
          <w:rFonts w:ascii="Arial" w:cs="Arial" w:eastAsia="Arial" w:hAnsi="Arial"/>
          <w:sz w:val="17"/>
          <w:szCs w:val="17"/>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105" w:lineRule="exact"/>
        <w:rPr>
          <w:sz w:val="20"/>
          <w:szCs w:val="20"/>
          <w:color w:val="auto"/>
        </w:rPr>
      </w:pPr>
    </w:p>
    <w:p>
      <w:pPr>
        <w:ind w:right="220"/>
        <w:spacing w:after="0" w:line="308"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63" w:lineRule="exact"/>
        <w:rPr>
          <w:sz w:val="20"/>
          <w:szCs w:val="20"/>
          <w:color w:val="auto"/>
        </w:rPr>
      </w:pPr>
    </w:p>
    <w:p>
      <w:pPr>
        <w:ind w:right="40" w:firstLine="374"/>
        <w:spacing w:after="0" w:line="322"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The United States has enacted and implemented wide-ranging patent reform legislation.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89" w:lineRule="exact"/>
        <w:rPr>
          <w:sz w:val="20"/>
          <w:szCs w:val="20"/>
          <w:color w:val="auto"/>
        </w:rPr>
      </w:pPr>
    </w:p>
    <w:p>
      <w:pPr>
        <w:ind w:firstLine="374"/>
        <w:spacing w:after="0" w:line="324" w:lineRule="auto"/>
        <w:rPr>
          <w:sz w:val="20"/>
          <w:szCs w:val="20"/>
          <w:color w:val="auto"/>
        </w:rPr>
      </w:pPr>
      <w:r>
        <w:rPr>
          <w:rFonts w:ascii="Arial" w:cs="Arial" w:eastAsia="Arial" w:hAnsi="Arial"/>
          <w:sz w:val="16"/>
          <w:szCs w:val="16"/>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 which could impair our business.</w:t>
      </w:r>
    </w:p>
    <w:p>
      <w:pPr>
        <w:spacing w:after="0" w:line="144" w:lineRule="exact"/>
        <w:rPr>
          <w:sz w:val="20"/>
          <w:szCs w:val="20"/>
          <w:color w:val="auto"/>
        </w:rPr>
      </w:pPr>
    </w:p>
    <w:p>
      <w:pPr>
        <w:ind w:right="100" w:firstLine="374"/>
        <w:spacing w:after="0" w:line="304" w:lineRule="auto"/>
        <w:rPr>
          <w:sz w:val="20"/>
          <w:szCs w:val="20"/>
          <w:color w:val="auto"/>
        </w:rPr>
      </w:pPr>
      <w:r>
        <w:rPr>
          <w:rFonts w:ascii="Arial" w:cs="Arial" w:eastAsia="Arial" w:hAnsi="Arial"/>
          <w:sz w:val="17"/>
          <w:szCs w:val="17"/>
          <w:color w:val="auto"/>
        </w:rPr>
        <w:t>Filing, prosecuting, and defending patents covering our RxSight system, and any of our future products throughout the world would be prohibitively expensive, and our intellectual property rights in some countries outside the United States are less extensive than those in the United States. In some cases, we or our licensors may not be able to obtain patent protection for certain technology outside the United States.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technologies in jurisdictions where we or our licensors have not obtained patent protection to develop their own products and, further, may export otherwise infringing products to</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4" w:name="page75"/>
    <w:bookmarkEnd w:id="74"/>
    <w:p>
      <w:pPr>
        <w:ind w:right="120"/>
        <w:spacing w:after="0" w:line="347" w:lineRule="auto"/>
        <w:rPr>
          <w:sz w:val="20"/>
          <w:szCs w:val="20"/>
          <w:color w:val="auto"/>
        </w:rPr>
      </w:pPr>
      <w:r>
        <w:rPr>
          <w:rFonts w:ascii="Arial" w:cs="Arial" w:eastAsia="Arial" w:hAnsi="Arial"/>
          <w:sz w:val="16"/>
          <w:szCs w:val="16"/>
          <w:color w:val="auto"/>
        </w:rPr>
        <w:t>territories where we may have or obtain patent protection, but where patent enforcement is not as strong as that in the United States.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spacing w:after="0" w:line="79" w:lineRule="exact"/>
        <w:rPr>
          <w:sz w:val="20"/>
          <w:szCs w:val="20"/>
          <w:color w:val="auto"/>
        </w:rPr>
      </w:pPr>
    </w:p>
    <w:p>
      <w:pPr>
        <w:ind w:firstLine="374"/>
        <w:spacing w:after="0" w:line="285" w:lineRule="auto"/>
        <w:rPr>
          <w:sz w:val="20"/>
          <w:szCs w:val="20"/>
          <w:color w:val="auto"/>
        </w:rPr>
      </w:pPr>
      <w:r>
        <w:rPr>
          <w:rFonts w:ascii="Arial" w:cs="Arial" w:eastAsia="Arial" w:hAnsi="Arial"/>
          <w:sz w:val="18"/>
          <w:szCs w:val="18"/>
          <w:color w:val="auto"/>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10" w:lineRule="exact"/>
        <w:rPr>
          <w:sz w:val="20"/>
          <w:szCs w:val="20"/>
          <w:color w:val="auto"/>
        </w:rPr>
      </w:pPr>
    </w:p>
    <w:p>
      <w:pPr>
        <w:ind w:right="80" w:firstLine="374"/>
        <w:spacing w:after="0" w:line="337"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44" w:lineRule="exact"/>
        <w:rPr>
          <w:sz w:val="20"/>
          <w:szCs w:val="20"/>
          <w:color w:val="auto"/>
        </w:rPr>
      </w:pPr>
    </w:p>
    <w:p>
      <w:pPr>
        <w:ind w:right="100" w:firstLine="374"/>
        <w:spacing w:after="0" w:line="341"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9" w:lineRule="exact"/>
        <w:rPr>
          <w:sz w:val="20"/>
          <w:szCs w:val="20"/>
          <w:color w:val="auto"/>
        </w:rPr>
      </w:pPr>
    </w:p>
    <w:p>
      <w:pPr>
        <w:ind w:left="1080" w:right="180"/>
        <w:spacing w:after="0" w:line="293" w:lineRule="auto"/>
        <w:rPr>
          <w:sz w:val="20"/>
          <w:szCs w:val="20"/>
          <w:color w:val="auto"/>
        </w:rPr>
      </w:pPr>
      <w:r>
        <w:rPr>
          <w:rFonts w:ascii="Arial" w:cs="Arial" w:eastAsia="Arial" w:hAnsi="Arial"/>
          <w:sz w:val="18"/>
          <w:szCs w:val="18"/>
          <w:color w:val="auto"/>
        </w:rPr>
        <w:t>others may be able to make a product that is similar to our current products and future products we intend to commercialize and that is not covered by the patents that we own or exclusively in-license and have the right to enforce;</w:t>
      </w:r>
    </w:p>
    <w:p>
      <w:pPr>
        <w:spacing w:after="0" w:line="89" w:lineRule="exact"/>
        <w:rPr>
          <w:sz w:val="20"/>
          <w:szCs w:val="20"/>
          <w:color w:val="auto"/>
        </w:rPr>
      </w:pPr>
    </w:p>
    <w:p>
      <w:pPr>
        <w:ind w:left="1080" w:right="340"/>
        <w:spacing w:after="0" w:line="293" w:lineRule="auto"/>
        <w:rPr>
          <w:sz w:val="20"/>
          <w:szCs w:val="20"/>
          <w:color w:val="auto"/>
        </w:rPr>
      </w:pPr>
      <w:r>
        <w:rPr>
          <w:rFonts w:ascii="Arial" w:cs="Arial" w:eastAsia="Arial" w:hAnsi="Arial"/>
          <w:sz w:val="18"/>
          <w:szCs w:val="18"/>
          <w:color w:val="auto"/>
        </w:rPr>
        <w:t>we and any of our current or future licensors or collaborators might not have been the first to make the inventions covered by the issued patents or pending patent applications that we own, license or may own or license in the future;</w:t>
      </w:r>
    </w:p>
    <w:p>
      <w:pPr>
        <w:spacing w:after="0" w:line="102" w:lineRule="exact"/>
        <w:rPr>
          <w:sz w:val="20"/>
          <w:szCs w:val="20"/>
          <w:color w:val="auto"/>
        </w:rPr>
      </w:pPr>
    </w:p>
    <w:p>
      <w:pPr>
        <w:ind w:left="1080" w:right="180"/>
        <w:spacing w:after="0" w:line="293" w:lineRule="auto"/>
        <w:rPr>
          <w:sz w:val="20"/>
          <w:szCs w:val="20"/>
          <w:color w:val="auto"/>
        </w:rPr>
      </w:pPr>
      <w:r>
        <w:rPr>
          <w:rFonts w:ascii="Arial" w:cs="Arial" w:eastAsia="Arial" w:hAnsi="Arial"/>
          <w:sz w:val="18"/>
          <w:szCs w:val="18"/>
          <w:color w:val="auto"/>
        </w:rPr>
        <w:t>we or any of our current or future licensors or collaborators might not have been the first to file patent applications covering certain of our inventions;</w:t>
      </w:r>
    </w:p>
    <w:p>
      <w:pPr>
        <w:spacing w:after="0" w:line="102" w:lineRule="exact"/>
        <w:rPr>
          <w:sz w:val="20"/>
          <w:szCs w:val="20"/>
          <w:color w:val="auto"/>
        </w:rPr>
      </w:pPr>
    </w:p>
    <w:p>
      <w:pPr>
        <w:ind w:left="1080" w:right="1100"/>
        <w:spacing w:after="0" w:line="293" w:lineRule="auto"/>
        <w:rPr>
          <w:sz w:val="20"/>
          <w:szCs w:val="20"/>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 is possible that our current or future owned or in-licensed patent applications will not lead to issued patents;</w:t>
      </w:r>
    </w:p>
    <w:p>
      <w:pPr>
        <w:spacing w:after="0" w:line="171" w:lineRule="exact"/>
        <w:rPr>
          <w:sz w:val="20"/>
          <w:szCs w:val="20"/>
          <w:color w:val="auto"/>
        </w:rPr>
      </w:pPr>
    </w:p>
    <w:p>
      <w:pPr>
        <w:jc w:val="both"/>
        <w:ind w:left="1080" w:right="120"/>
        <w:spacing w:after="0" w:line="293" w:lineRule="auto"/>
        <w:rPr>
          <w:sz w:val="20"/>
          <w:szCs w:val="20"/>
          <w:color w:val="auto"/>
        </w:rPr>
      </w:pPr>
      <w:r>
        <w:rPr>
          <w:rFonts w:ascii="Arial" w:cs="Arial" w:eastAsia="Arial" w:hAnsi="Arial"/>
          <w:sz w:val="18"/>
          <w:szCs w:val="18"/>
          <w:color w:val="auto"/>
        </w:rPr>
        <w:t>issued patents that we own or in-license may not provide us with any competitive advantages, or may be held invalid or unenforceable as a result of legal challenges, including as a result of legal challenges by our competitors;</w:t>
      </w:r>
    </w:p>
    <w:p>
      <w:pPr>
        <w:spacing w:after="0" w:line="102" w:lineRule="exact"/>
        <w:rPr>
          <w:sz w:val="20"/>
          <w:szCs w:val="20"/>
          <w:color w:val="auto"/>
        </w:rPr>
      </w:pPr>
    </w:p>
    <w:p>
      <w:pPr>
        <w:jc w:val="both"/>
        <w:ind w:left="1080" w:right="120"/>
        <w:spacing w:after="0" w:line="329" w:lineRule="auto"/>
        <w:rPr>
          <w:sz w:val="20"/>
          <w:szCs w:val="20"/>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75" w:name="page76"/>
    <w:bookmarkEnd w:id="75"/>
    <w:p>
      <w:pPr>
        <w:ind w:left="1080"/>
        <w:spacing w:after="0"/>
        <w:rPr>
          <w:sz w:val="20"/>
          <w:szCs w:val="20"/>
          <w:color w:val="auto"/>
        </w:rPr>
      </w:pPr>
      <w:r>
        <w:rPr>
          <w:rFonts w:ascii="Arial" w:cs="Arial" w:eastAsia="Arial" w:hAnsi="Arial"/>
          <w:sz w:val="18"/>
          <w:szCs w:val="18"/>
          <w:color w:val="auto"/>
        </w:rPr>
        <w:t>we may not develop additional proprietary technologies that are patentable; and</w:t>
      </w:r>
    </w:p>
    <w:p>
      <w:pPr>
        <w:spacing w:after="0" w:line="171" w:lineRule="exact"/>
        <w:rPr>
          <w:sz w:val="20"/>
          <w:szCs w:val="20"/>
          <w:color w:val="auto"/>
        </w:rPr>
      </w:pPr>
    </w:p>
    <w:p>
      <w:pPr>
        <w:ind w:left="1080" w:right="400"/>
        <w:spacing w:after="0" w:line="293" w:lineRule="auto"/>
        <w:rPr>
          <w:sz w:val="20"/>
          <w:szCs w:val="20"/>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89"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Our future use of “open source” software could subject our proprietary software to general release, adversely affect our ability to sell our products and subject us to possible litigation.</w:t>
      </w:r>
    </w:p>
    <w:p>
      <w:pPr>
        <w:spacing w:after="0" w:line="62" w:lineRule="exact"/>
        <w:rPr>
          <w:sz w:val="20"/>
          <w:szCs w:val="20"/>
          <w:color w:val="auto"/>
        </w:rPr>
      </w:pPr>
    </w:p>
    <w:p>
      <w:pPr>
        <w:ind w:firstLine="374"/>
        <w:spacing w:after="0" w:line="303" w:lineRule="auto"/>
        <w:rPr>
          <w:sz w:val="20"/>
          <w:szCs w:val="20"/>
          <w:color w:val="auto"/>
        </w:rPr>
      </w:pPr>
      <w:r>
        <w:rPr>
          <w:rFonts w:ascii="Arial" w:cs="Arial" w:eastAsia="Arial" w:hAnsi="Arial"/>
          <w:sz w:val="16"/>
          <w:szCs w:val="16"/>
          <w:color w:val="auto"/>
        </w:rPr>
        <w:t>We intend to incorporate open source software in future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63"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If our trademarks, service marks and tradenames are not adequately protected, then we may not be able to build name recognition in our markets and our business may be adversely affected.</w:t>
      </w:r>
    </w:p>
    <w:p>
      <w:pPr>
        <w:spacing w:after="0" w:line="62" w:lineRule="exact"/>
        <w:rPr>
          <w:sz w:val="20"/>
          <w:szCs w:val="20"/>
          <w:color w:val="auto"/>
        </w:rPr>
      </w:pPr>
    </w:p>
    <w:p>
      <w:pPr>
        <w:ind w:firstLine="374"/>
        <w:spacing w:after="0" w:line="284" w:lineRule="auto"/>
        <w:rPr>
          <w:sz w:val="20"/>
          <w:szCs w:val="20"/>
          <w:color w:val="auto"/>
        </w:rPr>
      </w:pPr>
      <w:r>
        <w:rPr>
          <w:rFonts w:ascii="Arial" w:cs="Arial" w:eastAsia="Arial" w:hAnsi="Arial"/>
          <w:sz w:val="17"/>
          <w:szCs w:val="17"/>
          <w:color w:val="auto"/>
        </w:rPr>
        <w:t>We rely on trademarks, service marks, tradenames and brand names to distinguish our products from the products of our competitors and have registered or applied to register these trademarks. We cannot assure you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75"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b w:val="1"/>
          <w:bCs w:val="1"/>
          <w:i w:val="1"/>
          <w:iCs w:val="1"/>
          <w:color w:val="auto"/>
        </w:rPr>
        <w:t>If we fail to obtain and maintain necessary regulatory clearances or approvals for our products, or if clearances or approvals for future products and indications are delayed or not issued, our commercial operations would be harmed.</w:t>
      </w:r>
    </w:p>
    <w:p>
      <w:pPr>
        <w:spacing w:after="0" w:line="62" w:lineRule="exact"/>
        <w:rPr>
          <w:sz w:val="20"/>
          <w:szCs w:val="20"/>
          <w:color w:val="auto"/>
        </w:rPr>
      </w:pPr>
    </w:p>
    <w:p>
      <w:pPr>
        <w:ind w:right="100" w:firstLine="374"/>
        <w:spacing w:after="0" w:line="293" w:lineRule="auto"/>
        <w:rPr>
          <w:sz w:val="20"/>
          <w:szCs w:val="20"/>
          <w:color w:val="auto"/>
        </w:rPr>
      </w:pPr>
      <w:r>
        <w:rPr>
          <w:rFonts w:ascii="Arial" w:cs="Arial" w:eastAsia="Arial" w:hAnsi="Arial"/>
          <w:sz w:val="18"/>
          <w:szCs w:val="18"/>
          <w:color w:val="auto"/>
        </w:rPr>
        <w:t>Our products are subject to extensive regulation by the FDA in the United States and by regulatory agencies in other countries where we may choose to do business. Government regulations specific to medical devices are wide ranging and govern, among other things: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product design, development and manufacture;</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laboratory, preclinical and clinical testing, labeling, packaging, storage and distribution;</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premarketing clearance or approval;</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record keeping;</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product safety and effective;</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product changes;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product marketing, promotion and advertising, sales and distribution; and</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post marketing surveillance, including reporting of deaths or serious injuries and recalls and correction and removals.</w:t>
      </w:r>
    </w:p>
    <w:p>
      <w:pPr>
        <w:spacing w:after="0" w:line="171" w:lineRule="exact"/>
        <w:rPr>
          <w:sz w:val="20"/>
          <w:szCs w:val="20"/>
          <w:color w:val="auto"/>
        </w:rPr>
      </w:pPr>
    </w:p>
    <w:p>
      <w:pPr>
        <w:ind w:right="220" w:firstLine="374"/>
        <w:spacing w:after="0" w:line="279" w:lineRule="auto"/>
        <w:rPr>
          <w:sz w:val="20"/>
          <w:szCs w:val="20"/>
          <w:color w:val="auto"/>
        </w:rPr>
      </w:pPr>
      <w:r>
        <w:rPr>
          <w:rFonts w:ascii="Arial" w:cs="Arial" w:eastAsia="Arial" w:hAnsi="Arial"/>
          <w:sz w:val="18"/>
          <w:szCs w:val="18"/>
          <w:color w:val="auto"/>
        </w:rPr>
        <w:t>Before a new medical device, or a new intended use for an existing product, can be marketed in the United States, a company must first submit and receive either 510(k) clearance pursuant to Section 510(k) of the Food, Drug and Cosmetic Act, or the FDCA, or approval of a premarket approval, or PMA, application from the FDA, unless an exemption applies.</w:t>
      </w:r>
    </w:p>
    <w:p>
      <w:pPr>
        <w:spacing w:after="0" w:line="115" w:lineRule="exact"/>
        <w:rPr>
          <w:sz w:val="20"/>
          <w:szCs w:val="20"/>
          <w:color w:val="auto"/>
        </w:rPr>
      </w:pPr>
    </w:p>
    <w:p>
      <w:pPr>
        <w:ind w:firstLine="374"/>
        <w:spacing w:after="0" w:line="285" w:lineRule="auto"/>
        <w:rPr>
          <w:sz w:val="20"/>
          <w:szCs w:val="20"/>
          <w:color w:val="auto"/>
        </w:rPr>
      </w:pPr>
      <w:r>
        <w:rPr>
          <w:rFonts w:ascii="Arial" w:cs="Arial" w:eastAsia="Arial" w:hAnsi="Arial"/>
          <w:sz w:val="17"/>
          <w:szCs w:val="17"/>
          <w:color w:val="auto"/>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71" w:lineRule="exact"/>
        <w:rPr>
          <w:sz w:val="20"/>
          <w:szCs w:val="20"/>
          <w:color w:val="auto"/>
        </w:rPr>
      </w:pPr>
    </w:p>
    <w:p>
      <w:pPr>
        <w:ind w:left="1080" w:right="200"/>
        <w:spacing w:after="0" w:line="293" w:lineRule="auto"/>
        <w:rPr>
          <w:sz w:val="20"/>
          <w:szCs w:val="20"/>
          <w:color w:val="auto"/>
        </w:rPr>
      </w:pPr>
      <w:r>
        <w:rPr>
          <w:rFonts w:ascii="Arial" w:cs="Arial" w:eastAsia="Arial" w:hAnsi="Arial"/>
          <w:sz w:val="18"/>
          <w:szCs w:val="18"/>
          <w:color w:val="auto"/>
        </w:rPr>
        <w:t>our inability to demonstrate to the satisfaction of the FDA or the applicable regulatory entity or notified body that our products are safe or effective for their intended uses;</w:t>
      </w:r>
    </w:p>
    <w:p>
      <w:pPr>
        <w:spacing w:after="0" w:line="102" w:lineRule="exact"/>
        <w:rPr>
          <w:sz w:val="20"/>
          <w:szCs w:val="20"/>
          <w:color w:val="auto"/>
        </w:rPr>
      </w:pPr>
    </w:p>
    <w:p>
      <w:pPr>
        <w:ind w:left="1080" w:right="200"/>
        <w:spacing w:after="0" w:line="293" w:lineRule="auto"/>
        <w:rPr>
          <w:sz w:val="20"/>
          <w:szCs w:val="20"/>
          <w:color w:val="auto"/>
        </w:rPr>
      </w:pPr>
      <w:r>
        <w:rPr>
          <w:rFonts w:ascii="Arial" w:cs="Arial" w:eastAsia="Arial" w:hAnsi="Arial"/>
          <w:sz w:val="18"/>
          <w:szCs w:val="18"/>
          <w:color w:val="auto"/>
        </w:rPr>
        <w:t>the disagreement of the FDA or the applicable foreign regulatory body with the design, conduct or implementation of our clinical trials or the analyses or interpretation of data from pre-clinical studies or clinical trials;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serious and unexpected adverse device effects experienced by participants in our clinical trials;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1" w:right="379" w:bottom="1440" w:gutter="0" w:footer="0" w:header="0"/>
        </w:sectPr>
      </w:pPr>
    </w:p>
    <w:bookmarkStart w:id="77" w:name="page78"/>
    <w:bookmarkEnd w:id="77"/>
    <w:p>
      <w:pPr>
        <w:ind w:left="1080" w:right="1200"/>
        <w:spacing w:after="0" w:line="430" w:lineRule="auto"/>
        <w:rPr>
          <w:sz w:val="20"/>
          <w:szCs w:val="20"/>
          <w:color w:val="auto"/>
        </w:rPr>
      </w:pPr>
      <w:r>
        <w:rPr>
          <w:rFonts w:ascii="Arial" w:cs="Arial" w:eastAsia="Arial" w:hAnsi="Arial"/>
          <w:sz w:val="18"/>
          <w:szCs w:val="18"/>
          <w:color w:val="auto"/>
        </w:rPr>
        <w:t>the data from our pre-clinical studies and clinical trials may be insufficient to support clearance or approval, where required; our inability to demonstrate that the clinical and other benefits of the device outweigh the risks;</w:t>
      </w:r>
    </w:p>
    <w:p>
      <w:pPr>
        <w:spacing w:after="0" w:line="1" w:lineRule="exact"/>
        <w:rPr>
          <w:sz w:val="20"/>
          <w:szCs w:val="20"/>
          <w:color w:val="auto"/>
        </w:rPr>
      </w:pPr>
    </w:p>
    <w:p>
      <w:pPr>
        <w:ind w:left="1080" w:right="440"/>
        <w:spacing w:after="0" w:line="296" w:lineRule="auto"/>
        <w:rPr>
          <w:sz w:val="20"/>
          <w:szCs w:val="20"/>
          <w:color w:val="auto"/>
        </w:rPr>
      </w:pPr>
      <w:r>
        <w:rPr>
          <w:rFonts w:ascii="Arial" w:cs="Arial" w:eastAsia="Arial" w:hAnsi="Arial"/>
          <w:sz w:val="17"/>
          <w:szCs w:val="17"/>
          <w:color w:val="auto"/>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spacing w:after="0" w:line="102" w:lineRule="exact"/>
        <w:rPr>
          <w:sz w:val="20"/>
          <w:szCs w:val="20"/>
          <w:color w:val="auto"/>
        </w:rPr>
      </w:pPr>
    </w:p>
    <w:p>
      <w:pPr>
        <w:ind w:left="1080" w:right="220"/>
        <w:spacing w:after="0" w:line="293" w:lineRule="auto"/>
        <w:rPr>
          <w:sz w:val="20"/>
          <w:szCs w:val="20"/>
          <w:color w:val="auto"/>
        </w:rPr>
      </w:pPr>
      <w:r>
        <w:rPr>
          <w:rFonts w:ascii="Arial" w:cs="Arial" w:eastAsia="Arial" w:hAnsi="Arial"/>
          <w:sz w:val="18"/>
          <w:szCs w:val="18"/>
          <w:color w:val="auto"/>
        </w:rPr>
        <w:t>the applicable regulatory authority may identify significant deficiencies in our manufacturing processes, facilities or analytical methods or those of our third-party contract manufacturers;</w:t>
      </w:r>
    </w:p>
    <w:p>
      <w:pPr>
        <w:spacing w:after="0" w:line="102" w:lineRule="exact"/>
        <w:rPr>
          <w:sz w:val="20"/>
          <w:szCs w:val="20"/>
          <w:color w:val="auto"/>
        </w:rPr>
      </w:pPr>
    </w:p>
    <w:p>
      <w:pPr>
        <w:ind w:left="1080" w:right="400"/>
        <w:spacing w:after="0" w:line="293" w:lineRule="auto"/>
        <w:rPr>
          <w:sz w:val="20"/>
          <w:szCs w:val="20"/>
          <w:color w:val="auto"/>
        </w:rPr>
      </w:pPr>
      <w:r>
        <w:rPr>
          <w:rFonts w:ascii="Arial" w:cs="Arial" w:eastAsia="Arial" w:hAnsi="Arial"/>
          <w:sz w:val="18"/>
          <w:szCs w:val="18"/>
          <w:color w:val="auto"/>
        </w:rPr>
        <w:t>the potential for approval policies or regulations of the FDA or applicable foreign regulatory bodies to change significantly in a manner rendering our clinical data or regulatory filings insufficient for clearance or approval; and</w:t>
      </w:r>
    </w:p>
    <w:p>
      <w:pPr>
        <w:spacing w:after="0" w:line="89" w:lineRule="exact"/>
        <w:rPr>
          <w:sz w:val="20"/>
          <w:szCs w:val="20"/>
          <w:color w:val="auto"/>
        </w:rPr>
      </w:pPr>
    </w:p>
    <w:p>
      <w:pPr>
        <w:ind w:left="1080" w:right="300"/>
        <w:spacing w:after="0" w:line="293" w:lineRule="auto"/>
        <w:rPr>
          <w:sz w:val="20"/>
          <w:szCs w:val="20"/>
          <w:color w:val="auto"/>
        </w:rPr>
      </w:pPr>
      <w:r>
        <w:rPr>
          <w:rFonts w:ascii="Arial" w:cs="Arial" w:eastAsia="Arial" w:hAnsi="Arial"/>
          <w:sz w:val="18"/>
          <w:szCs w:val="18"/>
          <w:color w:val="auto"/>
        </w:rPr>
        <w:t>the FDA or foreign regulatory authorities may audit our clinical trial data and conclude that the data is not sufficiently reliable to support approval or clearance.</w:t>
      </w:r>
    </w:p>
    <w:p>
      <w:pPr>
        <w:spacing w:after="0" w:line="102" w:lineRule="exact"/>
        <w:rPr>
          <w:sz w:val="20"/>
          <w:szCs w:val="20"/>
          <w:color w:val="auto"/>
        </w:rPr>
      </w:pPr>
    </w:p>
    <w:p>
      <w:pPr>
        <w:ind w:right="40" w:firstLine="374"/>
        <w:spacing w:after="0" w:line="314" w:lineRule="auto"/>
        <w:rPr>
          <w:sz w:val="20"/>
          <w:szCs w:val="20"/>
          <w:color w:val="auto"/>
        </w:rPr>
      </w:pPr>
      <w:r>
        <w:rPr>
          <w:rFonts w:ascii="Arial" w:cs="Arial" w:eastAsia="Arial" w:hAnsi="Arial"/>
          <w:sz w:val="16"/>
          <w:szCs w:val="16"/>
          <w:color w:val="auto"/>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 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p>
      <w:pPr>
        <w:spacing w:after="0" w:line="92" w:lineRule="exact"/>
        <w:rPr>
          <w:sz w:val="20"/>
          <w:szCs w:val="20"/>
          <w:color w:val="auto"/>
        </w:rPr>
      </w:pPr>
    </w:p>
    <w:p>
      <w:pPr>
        <w:ind w:firstLine="374"/>
        <w:spacing w:after="0" w:line="292" w:lineRule="auto"/>
        <w:rPr>
          <w:sz w:val="20"/>
          <w:szCs w:val="20"/>
          <w:color w:val="auto"/>
        </w:rPr>
      </w:pPr>
      <w:r>
        <w:rPr>
          <w:rFonts w:ascii="Arial" w:cs="Arial" w:eastAsia="Arial" w:hAnsi="Arial"/>
          <w:sz w:val="17"/>
          <w:szCs w:val="17"/>
          <w:color w:val="auto"/>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spacing w:after="0" w:line="93" w:lineRule="exact"/>
        <w:rPr>
          <w:sz w:val="20"/>
          <w:szCs w:val="20"/>
          <w:color w:val="auto"/>
        </w:rPr>
      </w:pPr>
    </w:p>
    <w:p>
      <w:pPr>
        <w:ind w:right="100" w:firstLine="374"/>
        <w:spacing w:after="0" w:line="296" w:lineRule="auto"/>
        <w:rPr>
          <w:sz w:val="20"/>
          <w:szCs w:val="20"/>
          <w:color w:val="auto"/>
        </w:rPr>
      </w:pPr>
      <w:r>
        <w:rPr>
          <w:rFonts w:ascii="Arial" w:cs="Arial" w:eastAsia="Arial" w:hAnsi="Arial"/>
          <w:sz w:val="17"/>
          <w:szCs w:val="17"/>
          <w:color w:val="auto"/>
        </w:rPr>
        <w:t>In addition, we are required to timely file various reports with the FDA, including Medical Device Reporting, or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spacing w:after="0" w:line="102" w:lineRule="exact"/>
        <w:rPr>
          <w:sz w:val="20"/>
          <w:szCs w:val="20"/>
          <w:color w:val="auto"/>
        </w:rPr>
      </w:pPr>
    </w:p>
    <w:p>
      <w:pPr>
        <w:ind w:right="80" w:firstLine="374"/>
        <w:spacing w:after="0" w:line="272" w:lineRule="auto"/>
        <w:rPr>
          <w:sz w:val="20"/>
          <w:szCs w:val="20"/>
          <w:color w:val="auto"/>
        </w:rPr>
      </w:pPr>
      <w:r>
        <w:rPr>
          <w:rFonts w:ascii="Arial" w:cs="Arial" w:eastAsia="Arial" w:hAnsi="Arial"/>
          <w:sz w:val="18"/>
          <w:szCs w:val="18"/>
          <w:color w:val="auto"/>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spacing w:after="0" w:line="123" w:lineRule="exact"/>
        <w:rPr>
          <w:sz w:val="20"/>
          <w:szCs w:val="20"/>
          <w:color w:val="auto"/>
        </w:rPr>
      </w:pPr>
    </w:p>
    <w:p>
      <w:pPr>
        <w:ind w:right="20" w:firstLine="374"/>
        <w:spacing w:after="0" w:line="292" w:lineRule="auto"/>
        <w:rPr>
          <w:sz w:val="20"/>
          <w:szCs w:val="20"/>
          <w:color w:val="auto"/>
        </w:rPr>
      </w:pPr>
      <w:r>
        <w:rPr>
          <w:rFonts w:ascii="Arial" w:cs="Arial" w:eastAsia="Arial" w:hAnsi="Arial"/>
          <w:sz w:val="17"/>
          <w:szCs w:val="17"/>
          <w:color w:val="auto"/>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8" w:name="page79"/>
    <w:bookmarkEnd w:id="78"/>
    <w:p>
      <w:pPr>
        <w:ind w:right="680" w:firstLine="374"/>
        <w:spacing w:after="0" w:line="293" w:lineRule="auto"/>
        <w:rPr>
          <w:sz w:val="20"/>
          <w:szCs w:val="20"/>
          <w:color w:val="auto"/>
        </w:rPr>
      </w:pPr>
      <w:r>
        <w:rPr>
          <w:rFonts w:ascii="Arial" w:cs="Arial" w:eastAsia="Arial" w:hAnsi="Arial"/>
          <w:sz w:val="18"/>
          <w:szCs w:val="18"/>
          <w:color w:val="auto"/>
        </w:rPr>
        <w:t>The FDA and state authorities have broad enforcement powers. Our failure to comply with applicable regulatory requirements could result in enforcement action by the FDA or state agencies, which may include any of the following sanctions: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adverse publicity, warning letters, fines, injunctions, consent decrees and civil penalties;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repair, replacement, refunds, recalls, termination of distribution, administrative detention or seizure of our products;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operating restrictions, partial suspension or total shutdown of production;</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denial of our requests for 510(k) clearance or PMA of new products, new intended uses or modifications to existing products;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withdrawal of 510(k) clearance or PMAs that have already been granted; and</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ind w:right="20" w:firstLine="374"/>
        <w:spacing w:after="0" w:line="288" w:lineRule="auto"/>
        <w:rPr>
          <w:sz w:val="20"/>
          <w:szCs w:val="20"/>
          <w:color w:val="auto"/>
        </w:rPr>
      </w:pPr>
      <w:r>
        <w:rPr>
          <w:rFonts w:ascii="Arial" w:cs="Arial" w:eastAsia="Arial" w:hAnsi="Arial"/>
          <w:sz w:val="18"/>
          <w:szCs w:val="18"/>
          <w:color w:val="auto"/>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and operations are subject to extensive government regulation and oversight in the United States.</w:t>
      </w:r>
    </w:p>
    <w:p>
      <w:pPr>
        <w:spacing w:after="0" w:line="144" w:lineRule="exact"/>
        <w:rPr>
          <w:sz w:val="20"/>
          <w:szCs w:val="20"/>
          <w:color w:val="auto"/>
        </w:rPr>
      </w:pPr>
    </w:p>
    <w:p>
      <w:pPr>
        <w:ind w:right="80" w:firstLine="374"/>
        <w:spacing w:after="0" w:line="327" w:lineRule="auto"/>
        <w:rPr>
          <w:sz w:val="20"/>
          <w:szCs w:val="20"/>
          <w:color w:val="auto"/>
        </w:rPr>
      </w:pPr>
      <w:r>
        <w:rPr>
          <w:rFonts w:ascii="Arial" w:cs="Arial" w:eastAsia="Arial" w:hAnsi="Arial"/>
          <w:sz w:val="16"/>
          <w:szCs w:val="16"/>
          <w:color w:val="auto"/>
        </w:rPr>
        <w:t>Medical devices regulated by the FDA are subject to “general controls” which include: registration with the FDA; listing commercially distributed products with the FDA; complying with all applicable requirements under the QSR;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spacing w:after="0" w:line="95" w:lineRule="exact"/>
        <w:rPr>
          <w:sz w:val="20"/>
          <w:szCs w:val="20"/>
          <w:color w:val="auto"/>
        </w:rPr>
      </w:pPr>
    </w:p>
    <w:p>
      <w:pPr>
        <w:ind w:right="140" w:firstLine="374"/>
        <w:spacing w:after="0" w:line="337" w:lineRule="auto"/>
        <w:rPr>
          <w:sz w:val="20"/>
          <w:szCs w:val="20"/>
          <w:color w:val="auto"/>
        </w:rPr>
      </w:pPr>
      <w:r>
        <w:rPr>
          <w:rFonts w:ascii="Arial" w:cs="Arial" w:eastAsia="Arial" w:hAnsi="Arial"/>
          <w:sz w:val="16"/>
          <w:szCs w:val="16"/>
          <w:color w:val="auto"/>
        </w:rPr>
        <w:t>Although our products have received regulatory approval or clearance from FDA in the United States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United States and requirements of comparable non-U.S. regulatory authorities in any international markets we choose to enter.</w:t>
      </w:r>
    </w:p>
    <w:p>
      <w:pPr>
        <w:spacing w:after="0" w:line="87" w:lineRule="exact"/>
        <w:rPr>
          <w:sz w:val="20"/>
          <w:szCs w:val="20"/>
          <w:color w:val="auto"/>
        </w:rPr>
      </w:pPr>
    </w:p>
    <w:p>
      <w:pPr>
        <w:ind w:firstLine="374"/>
        <w:spacing w:after="0" w:line="305" w:lineRule="auto"/>
        <w:rPr>
          <w:sz w:val="20"/>
          <w:szCs w:val="20"/>
          <w:color w:val="auto"/>
        </w:rPr>
      </w:pPr>
      <w:r>
        <w:rPr>
          <w:rFonts w:ascii="Arial" w:cs="Arial" w:eastAsia="Arial" w:hAnsi="Arial"/>
          <w:sz w:val="17"/>
          <w:szCs w:val="17"/>
          <w:color w:val="auto"/>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spacing w:after="0" w:line="97" w:lineRule="exact"/>
        <w:rPr>
          <w:sz w:val="20"/>
          <w:szCs w:val="20"/>
          <w:color w:val="auto"/>
        </w:rPr>
      </w:pPr>
    </w:p>
    <w:p>
      <w:pPr>
        <w:ind w:right="520" w:firstLine="374"/>
        <w:spacing w:after="0" w:line="308" w:lineRule="auto"/>
        <w:rPr>
          <w:sz w:val="20"/>
          <w:szCs w:val="20"/>
          <w:color w:val="auto"/>
        </w:rPr>
      </w:pPr>
      <w:r>
        <w:rPr>
          <w:rFonts w:ascii="Arial" w:cs="Arial" w:eastAsia="Arial" w:hAnsi="Arial"/>
          <w:sz w:val="18"/>
          <w:szCs w:val="18"/>
          <w:color w:val="auto"/>
        </w:rPr>
        <w:t>Promotional communications with respect to devices are subject to a variety of legal and regulatory restrictions and must be consistent with the information in the products’ cleared or approved labeling. As such, we may not</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79" w:name="page80"/>
    <w:bookmarkEnd w:id="79"/>
    <w:p>
      <w:pPr>
        <w:ind w:right="20"/>
        <w:spacing w:after="0" w:line="303" w:lineRule="auto"/>
        <w:rPr>
          <w:sz w:val="20"/>
          <w:szCs w:val="20"/>
          <w:color w:val="auto"/>
        </w:rPr>
      </w:pPr>
      <w:r>
        <w:rPr>
          <w:rFonts w:ascii="Arial" w:cs="Arial" w:eastAsia="Arial" w:hAnsi="Arial"/>
          <w:sz w:val="17"/>
          <w:szCs w:val="17"/>
          <w:color w:val="auto"/>
        </w:rPr>
        <w:t>promote our products for indications or uses for which they do not have clearance or approval. We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We also received a 510(k) clearance for our contact lens, which is indicated for visualization and treatment in the anterior segment of the eye.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spacing w:after="0" w:line="114" w:lineRule="exact"/>
        <w:rPr>
          <w:sz w:val="20"/>
          <w:szCs w:val="20"/>
          <w:color w:val="auto"/>
        </w:rPr>
      </w:pPr>
    </w:p>
    <w:p>
      <w:pPr>
        <w:ind w:firstLine="374"/>
        <w:spacing w:after="0" w:line="302" w:lineRule="auto"/>
        <w:rPr>
          <w:sz w:val="20"/>
          <w:szCs w:val="20"/>
          <w:color w:val="auto"/>
        </w:rPr>
      </w:pPr>
      <w:r>
        <w:rPr>
          <w:rFonts w:ascii="Arial" w:cs="Arial" w:eastAsia="Arial" w:hAnsi="Arial"/>
          <w:sz w:val="17"/>
          <w:szCs w:val="17"/>
          <w:color w:val="auto"/>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 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 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spacing w:after="0" w:line="99" w:lineRule="exact"/>
        <w:rPr>
          <w:sz w:val="20"/>
          <w:szCs w:val="20"/>
          <w:color w:val="auto"/>
        </w:rPr>
      </w:pPr>
    </w:p>
    <w:p>
      <w:pPr>
        <w:ind w:right="120" w:firstLine="374"/>
        <w:spacing w:after="0" w:line="319"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If we fail to comply with applicable regulatory requirements, a regulatory agency or enforcement authority may, among other things:</w:t>
      </w:r>
    </w:p>
    <w:p>
      <w:pPr>
        <w:spacing w:after="0" w:line="185" w:lineRule="exact"/>
        <w:rPr>
          <w:sz w:val="20"/>
          <w:szCs w:val="20"/>
          <w:color w:val="auto"/>
        </w:rPr>
      </w:pPr>
    </w:p>
    <w:p>
      <w:pPr>
        <w:ind w:left="1080" w:right="800"/>
        <w:spacing w:after="0" w:line="293" w:lineRule="auto"/>
        <w:rPr>
          <w:sz w:val="20"/>
          <w:szCs w:val="20"/>
          <w:color w:val="auto"/>
        </w:rPr>
      </w:pPr>
      <w:r>
        <w:rPr>
          <w:rFonts w:ascii="Arial" w:cs="Arial" w:eastAsia="Arial" w:hAnsi="Arial"/>
          <w:sz w:val="18"/>
          <w:szCs w:val="18"/>
          <w:color w:val="auto"/>
        </w:rPr>
        <w:t>subject our facility to an adverse inspectional finding or Form 483, or other compliance or enforcement notice, communication or correspondence;</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issue warning or untitled letters that would result in adverse publicity or may require corrective advertising;</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impose civil or criminal penalties;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suspend or withdraw regulatory clearances or approvals;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refuse to clear or approve pending applications or supplements to approved applications submitted by us;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impose restrictions on our operations, including closing our sub-assembly suppliers’ facilities;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seize or detain products; or</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require a product recall.</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80" w:name="page81"/>
    <w:bookmarkEnd w:id="80"/>
    <w:p>
      <w:pPr>
        <w:ind w:right="100" w:firstLine="374"/>
        <w:spacing w:after="0" w:line="308" w:lineRule="auto"/>
        <w:rPr>
          <w:sz w:val="20"/>
          <w:szCs w:val="20"/>
          <w:color w:val="auto"/>
        </w:rPr>
      </w:pPr>
      <w:r>
        <w:rPr>
          <w:rFonts w:ascii="Arial" w:cs="Arial" w:eastAsia="Arial" w:hAnsi="Arial"/>
          <w:sz w:val="18"/>
          <w:szCs w:val="18"/>
          <w:color w:val="auto"/>
        </w:rPr>
        <w:t>In addition, violations of the FDCA relating to the promotion of approved products may lead to investigations alleging violations of federal and state healthcare fraud and abuse and other laws, as well as state consumer protection laws.</w:t>
      </w:r>
    </w:p>
    <w:p>
      <w:pPr>
        <w:spacing w:after="0" w:line="103" w:lineRule="exact"/>
        <w:rPr>
          <w:sz w:val="20"/>
          <w:szCs w:val="20"/>
          <w:color w:val="auto"/>
        </w:rPr>
      </w:pPr>
    </w:p>
    <w:p>
      <w:pPr>
        <w:ind w:right="200" w:firstLine="374"/>
        <w:spacing w:after="0" w:line="290"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107" w:lineRule="exact"/>
        <w:rPr>
          <w:sz w:val="20"/>
          <w:szCs w:val="20"/>
          <w:color w:val="auto"/>
        </w:rPr>
      </w:pPr>
    </w:p>
    <w:p>
      <w:pPr>
        <w:ind w:right="80"/>
        <w:spacing w:after="0" w:line="308" w:lineRule="auto"/>
        <w:rPr>
          <w:sz w:val="20"/>
          <w:szCs w:val="20"/>
          <w:color w:val="auto"/>
        </w:rPr>
      </w:pPr>
      <w:r>
        <w:rPr>
          <w:rFonts w:ascii="Arial" w:cs="Arial" w:eastAsia="Arial" w:hAnsi="Arial"/>
          <w:sz w:val="18"/>
          <w:szCs w:val="18"/>
          <w:b w:val="1"/>
          <w:bCs w:val="1"/>
          <w:i w:val="1"/>
          <w:iCs w:val="1"/>
          <w:color w:val="auto"/>
        </w:rPr>
        <w:t>Material modifications to our products may require new 510(k) clearances or pre-market approvals or may require us to recall or cease marketing our products until clearances or approvals are obtained.</w:t>
      </w:r>
    </w:p>
    <w:p>
      <w:pPr>
        <w:spacing w:after="0" w:line="63" w:lineRule="exact"/>
        <w:rPr>
          <w:sz w:val="20"/>
          <w:szCs w:val="20"/>
          <w:color w:val="auto"/>
        </w:rPr>
      </w:pPr>
    </w:p>
    <w:p>
      <w:pPr>
        <w:ind w:firstLine="374"/>
        <w:spacing w:after="0" w:line="301" w:lineRule="auto"/>
        <w:rPr>
          <w:sz w:val="20"/>
          <w:szCs w:val="20"/>
          <w:color w:val="auto"/>
        </w:rPr>
      </w:pPr>
      <w:r>
        <w:rPr>
          <w:rFonts w:ascii="Arial" w:cs="Arial" w:eastAsia="Arial" w:hAnsi="Arial"/>
          <w:sz w:val="17"/>
          <w:szCs w:val="17"/>
          <w:color w:val="auto"/>
        </w:rPr>
        <w:t>Modifications that could significantly affect the safety and effectiveness of our approved or cleared products, such as changes to the intended use or technological characteristics of our products, will require new 510(k) clearances or PMAs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 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spacing w:after="0" w:line="120" w:lineRule="exact"/>
        <w:rPr>
          <w:sz w:val="20"/>
          <w:szCs w:val="20"/>
          <w:color w:val="auto"/>
        </w:rPr>
      </w:pPr>
    </w:p>
    <w:p>
      <w:pPr>
        <w:ind w:right="60"/>
        <w:spacing w:after="0" w:line="295" w:lineRule="auto"/>
        <w:rPr>
          <w:sz w:val="20"/>
          <w:szCs w:val="20"/>
          <w:color w:val="auto"/>
        </w:rPr>
      </w:pPr>
      <w:r>
        <w:rPr>
          <w:rFonts w:ascii="Arial" w:cs="Arial" w:eastAsia="Arial" w:hAnsi="Arial"/>
          <w:sz w:val="18"/>
          <w:szCs w:val="18"/>
          <w:b w:val="1"/>
          <w:bCs w:val="1"/>
          <w:i w:val="1"/>
          <w:iCs w:val="1"/>
          <w:color w:val="auto"/>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trials conducted in locations outside of their jurisdiction.</w:t>
      </w:r>
    </w:p>
    <w:p>
      <w:pPr>
        <w:spacing w:after="0" w:line="74" w:lineRule="exact"/>
        <w:rPr>
          <w:sz w:val="20"/>
          <w:szCs w:val="20"/>
          <w:color w:val="auto"/>
        </w:rPr>
      </w:pPr>
    </w:p>
    <w:p>
      <w:pPr>
        <w:ind w:right="20" w:firstLine="374"/>
        <w:spacing w:after="0" w:line="303" w:lineRule="auto"/>
        <w:rPr>
          <w:sz w:val="20"/>
          <w:szCs w:val="20"/>
          <w:color w:val="auto"/>
        </w:rPr>
      </w:pPr>
      <w:r>
        <w:rPr>
          <w:rFonts w:ascii="Arial" w:cs="Arial" w:eastAsia="Arial" w:hAnsi="Arial"/>
          <w:sz w:val="17"/>
          <w:szCs w:val="17"/>
          <w:color w:val="auto"/>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must be approved for reimbursement before it can be approved for sale in that jurisdiction. In some cases, the price that we intend to charge for our products is also subject to approval.</w:t>
      </w:r>
    </w:p>
    <w:p>
      <w:pPr>
        <w:spacing w:after="0" w:line="114" w:lineRule="exact"/>
        <w:rPr>
          <w:sz w:val="20"/>
          <w:szCs w:val="20"/>
          <w:color w:val="auto"/>
        </w:rPr>
      </w:pPr>
    </w:p>
    <w:p>
      <w:pPr>
        <w:ind w:right="20" w:firstLine="374"/>
        <w:spacing w:after="0" w:line="288" w:lineRule="auto"/>
        <w:rPr>
          <w:sz w:val="20"/>
          <w:szCs w:val="20"/>
          <w:color w:val="auto"/>
        </w:rPr>
      </w:pPr>
      <w:r>
        <w:rPr>
          <w:rFonts w:ascii="Arial" w:cs="Arial" w:eastAsia="Arial" w:hAnsi="Arial"/>
          <w:sz w:val="18"/>
          <w:szCs w:val="18"/>
          <w:color w:val="auto"/>
        </w:rPr>
        <w:t>The RxSight system has a CE Mark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the United Kingdom and in Mexico. Obtaining additional foreign regulatory approvals and establishing and maintaining compliance with foreign regulatory requirements in jurisdictions where we conduct business currently or in the future, such as</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81" w:name="page82"/>
    <w:bookmarkEnd w:id="81"/>
    <w:p>
      <w:pPr>
        <w:ind w:right="80"/>
        <w:spacing w:after="0" w:line="290" w:lineRule="auto"/>
        <w:rPr>
          <w:sz w:val="20"/>
          <w:szCs w:val="20"/>
          <w:color w:val="auto"/>
        </w:rPr>
      </w:pPr>
      <w:r>
        <w:rPr>
          <w:rFonts w:ascii="Arial" w:cs="Arial" w:eastAsia="Arial" w:hAnsi="Arial"/>
          <w:sz w:val="18"/>
          <w:szCs w:val="18"/>
          <w:color w:val="auto"/>
        </w:rPr>
        <w:t>requirements under the EU MDR,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spacing w:after="0" w:line="120" w:lineRule="exact"/>
        <w:rPr>
          <w:sz w:val="20"/>
          <w:szCs w:val="20"/>
          <w:color w:val="auto"/>
        </w:rPr>
      </w:pPr>
    </w:p>
    <w:p>
      <w:pPr>
        <w:ind w:firstLine="374"/>
        <w:spacing w:after="0" w:line="316" w:lineRule="auto"/>
        <w:rPr>
          <w:sz w:val="20"/>
          <w:szCs w:val="20"/>
          <w:color w:val="auto"/>
        </w:rPr>
      </w:pPr>
      <w:r>
        <w:rPr>
          <w:rFonts w:ascii="Arial" w:cs="Arial" w:eastAsia="Arial" w:hAnsi="Arial"/>
          <w:sz w:val="16"/>
          <w:szCs w:val="16"/>
          <w:color w:val="auto"/>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w:t>
      </w:r>
    </w:p>
    <w:p>
      <w:pPr>
        <w:spacing w:after="0" w:line="3" w:lineRule="exact"/>
        <w:rPr>
          <w:sz w:val="20"/>
          <w:szCs w:val="20"/>
          <w:color w:val="auto"/>
        </w:rPr>
      </w:pPr>
    </w:p>
    <w:p>
      <w:pPr>
        <w:ind w:right="80" w:firstLine="8"/>
        <w:spacing w:after="0" w:line="305"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products not receiving approval or clearance for commercialization in the applicable jurisdiction.</w:t>
      </w:r>
    </w:p>
    <w:p>
      <w:pPr>
        <w:spacing w:after="0" w:line="97" w:lineRule="exact"/>
        <w:rPr>
          <w:sz w:val="20"/>
          <w:szCs w:val="20"/>
          <w:color w:val="auto"/>
        </w:rPr>
      </w:pPr>
    </w:p>
    <w:p>
      <w:pPr>
        <w:ind w:right="220"/>
        <w:spacing w:after="0" w:line="308" w:lineRule="auto"/>
        <w:rPr>
          <w:sz w:val="20"/>
          <w:szCs w:val="20"/>
          <w:color w:val="auto"/>
        </w:rPr>
      </w:pPr>
      <w:r>
        <w:rPr>
          <w:rFonts w:ascii="Arial" w:cs="Arial" w:eastAsia="Arial" w:hAnsi="Arial"/>
          <w:sz w:val="18"/>
          <w:szCs w:val="18"/>
          <w:b w:val="1"/>
          <w:bCs w:val="1"/>
          <w:i w:val="1"/>
          <w:iCs w:val="1"/>
          <w:color w:val="auto"/>
        </w:rPr>
        <w:t>Our products may be subject to recalls after receiving FDA or foreign approval or clearance, which could divert managerial and financial resources, harm our reputation and adversely affect our business.</w:t>
      </w:r>
    </w:p>
    <w:p>
      <w:pPr>
        <w:spacing w:after="0" w:line="63" w:lineRule="exact"/>
        <w:rPr>
          <w:sz w:val="20"/>
          <w:szCs w:val="20"/>
          <w:color w:val="auto"/>
        </w:rPr>
      </w:pPr>
    </w:p>
    <w:p>
      <w:pPr>
        <w:ind w:right="80" w:firstLine="374"/>
        <w:spacing w:after="0" w:line="288" w:lineRule="auto"/>
        <w:rPr>
          <w:sz w:val="20"/>
          <w:szCs w:val="20"/>
          <w:color w:val="auto"/>
        </w:rPr>
      </w:pPr>
      <w:r>
        <w:rPr>
          <w:rFonts w:ascii="Arial" w:cs="Arial" w:eastAsia="Arial" w:hAnsi="Arial"/>
          <w:sz w:val="18"/>
          <w:szCs w:val="18"/>
          <w:color w:val="auto"/>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spacing w:after="0" w:line="122" w:lineRule="exact"/>
        <w:rPr>
          <w:sz w:val="20"/>
          <w:szCs w:val="20"/>
          <w:color w:val="auto"/>
        </w:rPr>
      </w:pPr>
    </w:p>
    <w:p>
      <w:pPr>
        <w:jc w:val="both"/>
        <w:ind w:right="100" w:firstLine="374"/>
        <w:spacing w:after="0" w:line="309" w:lineRule="auto"/>
        <w:rPr>
          <w:sz w:val="20"/>
          <w:szCs w:val="20"/>
          <w:color w:val="auto"/>
        </w:rPr>
      </w:pPr>
      <w:r>
        <w:rPr>
          <w:rFonts w:ascii="Arial" w:cs="Arial" w:eastAsia="Arial" w:hAnsi="Arial"/>
          <w:sz w:val="17"/>
          <w:szCs w:val="17"/>
          <w:color w:val="auto"/>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spacing w:after="0" w:line="105" w:lineRule="exact"/>
        <w:rPr>
          <w:sz w:val="20"/>
          <w:szCs w:val="20"/>
          <w:color w:val="auto"/>
        </w:rPr>
      </w:pPr>
    </w:p>
    <w:p>
      <w:pPr>
        <w:ind w:right="20" w:firstLine="374"/>
        <w:spacing w:after="0" w:line="337" w:lineRule="auto"/>
        <w:rPr>
          <w:sz w:val="20"/>
          <w:szCs w:val="20"/>
          <w:color w:val="auto"/>
        </w:rPr>
      </w:pPr>
      <w:r>
        <w:rPr>
          <w:rFonts w:ascii="Arial" w:cs="Arial" w:eastAsia="Arial" w:hAnsi="Arial"/>
          <w:sz w:val="16"/>
          <w:szCs w:val="16"/>
          <w:color w:val="auto"/>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spacing w:after="0" w:line="74" w:lineRule="exact"/>
        <w:rPr>
          <w:sz w:val="20"/>
          <w:szCs w:val="20"/>
          <w:color w:val="auto"/>
        </w:rPr>
      </w:pPr>
    </w:p>
    <w:p>
      <w:pPr>
        <w:ind w:right="160" w:firstLine="374"/>
        <w:spacing w:after="0" w:line="295" w:lineRule="auto"/>
        <w:rPr>
          <w:sz w:val="20"/>
          <w:szCs w:val="20"/>
          <w:color w:val="auto"/>
        </w:rPr>
      </w:pPr>
      <w:r>
        <w:rPr>
          <w:rFonts w:ascii="Arial" w:cs="Arial" w:eastAsia="Arial" w:hAnsi="Arial"/>
          <w:sz w:val="18"/>
          <w:szCs w:val="18"/>
          <w:color w:val="auto"/>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spacing w:after="0" w:line="114" w:lineRule="exact"/>
        <w:rPr>
          <w:sz w:val="20"/>
          <w:szCs w:val="20"/>
          <w:color w:val="auto"/>
        </w:rPr>
      </w:pPr>
    </w:p>
    <w:p>
      <w:pPr>
        <w:ind w:right="340"/>
        <w:spacing w:after="0" w:line="308" w:lineRule="auto"/>
        <w:rPr>
          <w:sz w:val="20"/>
          <w:szCs w:val="20"/>
          <w:color w:val="auto"/>
        </w:rPr>
      </w:pPr>
      <w:r>
        <w:rPr>
          <w:rFonts w:ascii="Arial" w:cs="Arial" w:eastAsia="Arial" w:hAnsi="Arial"/>
          <w:sz w:val="18"/>
          <w:szCs w:val="18"/>
          <w:b w:val="1"/>
          <w:bCs w:val="1"/>
          <w:i w:val="1"/>
          <w:iCs w:val="1"/>
          <w:color w:val="auto"/>
        </w:rPr>
        <w:t>If we, or our suppliers, fail to comply with the FDA’s QSR or applicable foreign regulations, our manufacturing or distribution operations could be delayed or shut down and our revenue could suffer.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2" w:name="page83"/>
    <w:bookmarkEnd w:id="82"/>
    <w:p>
      <w:pPr>
        <w:ind w:right="60" w:firstLine="374"/>
        <w:spacing w:after="0" w:line="302" w:lineRule="auto"/>
        <w:rPr>
          <w:sz w:val="20"/>
          <w:szCs w:val="20"/>
          <w:color w:val="auto"/>
        </w:rPr>
      </w:pPr>
      <w:r>
        <w:rPr>
          <w:rFonts w:ascii="Arial" w:cs="Arial" w:eastAsia="Arial" w:hAnsi="Arial"/>
          <w:sz w:val="17"/>
          <w:szCs w:val="17"/>
          <w:color w:val="auto"/>
        </w:rPr>
        <w:t>Our manufacturing and design processes and those of our third-party component suppliers are required to comply with the FDA’s Quality System Regulation, or QSR, which covers procedures and documentation of the design, testing, production, control, quality assurance, labeling, packaging, storage and shipping of our products in the United States.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If we fail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spacing w:after="0" w:line="116" w:lineRule="exact"/>
        <w:rPr>
          <w:sz w:val="20"/>
          <w:szCs w:val="20"/>
          <w:color w:val="auto"/>
        </w:rPr>
      </w:pPr>
    </w:p>
    <w:p>
      <w:pPr>
        <w:ind w:firstLine="374"/>
        <w:spacing w:after="0" w:line="319" w:lineRule="auto"/>
        <w:rPr>
          <w:sz w:val="20"/>
          <w:szCs w:val="20"/>
          <w:color w:val="auto"/>
        </w:rPr>
      </w:pPr>
      <w:r>
        <w:rPr>
          <w:rFonts w:ascii="Arial" w:cs="Arial" w:eastAsia="Arial" w:hAnsi="Arial"/>
          <w:sz w:val="17"/>
          <w:szCs w:val="17"/>
          <w:color w:val="auto"/>
        </w:rPr>
        <w:t>The FDA has broad post-market and regulatory enforcement powers. We are subject to unannounced inspections by the FDA and the Food and Drug Branch of the California Department of Public Health, or CDPH, and our Notified Body to determine our compliance with the QSR and other regulations at both our design and manufacturing facilities, and these inspections may include the manufacturing facilities of our suppliers.</w:t>
      </w:r>
    </w:p>
    <w:p>
      <w:pPr>
        <w:spacing w:after="0" w:line="85" w:lineRule="exact"/>
        <w:rPr>
          <w:sz w:val="20"/>
          <w:szCs w:val="20"/>
          <w:color w:val="auto"/>
        </w:rPr>
      </w:pPr>
    </w:p>
    <w:p>
      <w:pPr>
        <w:ind w:right="60" w:firstLine="374"/>
        <w:spacing w:after="0" w:line="288" w:lineRule="auto"/>
        <w:rPr>
          <w:sz w:val="20"/>
          <w:szCs w:val="20"/>
          <w:color w:val="auto"/>
        </w:rPr>
      </w:pPr>
      <w:r>
        <w:rPr>
          <w:rFonts w:ascii="Arial" w:cs="Arial" w:eastAsia="Arial" w:hAnsi="Arial"/>
          <w:sz w:val="18"/>
          <w:szCs w:val="18"/>
          <w:color w:val="auto"/>
        </w:rPr>
        <w:t>We can provide no assurance that we will continue to remain in material compliance with the QSR. If the FDA, CDPH, or any applicable notified body in the European Union or United Kingdom inspects any of our facilities and 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spacing w:after="0" w:line="122" w:lineRule="exact"/>
        <w:rPr>
          <w:sz w:val="20"/>
          <w:szCs w:val="20"/>
          <w:color w:val="auto"/>
        </w:rPr>
      </w:pPr>
    </w:p>
    <w:p>
      <w:pPr>
        <w:ind w:right="540"/>
        <w:spacing w:after="0" w:line="308" w:lineRule="auto"/>
        <w:rPr>
          <w:sz w:val="20"/>
          <w:szCs w:val="20"/>
          <w:color w:val="auto"/>
        </w:rPr>
      </w:pPr>
      <w:r>
        <w:rPr>
          <w:rFonts w:ascii="Arial" w:cs="Arial" w:eastAsia="Arial" w:hAnsi="Arial"/>
          <w:sz w:val="18"/>
          <w:szCs w:val="18"/>
          <w:b w:val="1"/>
          <w:bCs w:val="1"/>
          <w:i w:val="1"/>
          <w:iCs w:val="1"/>
          <w:color w:val="auto"/>
        </w:rPr>
        <w:t>Healthcare reform initiatives and other administrative and legislative proposals may adversely affect our business, financial condition, results of operations and cash flows in our key markets.</w:t>
      </w:r>
    </w:p>
    <w:p>
      <w:pPr>
        <w:spacing w:after="0" w:line="63" w:lineRule="exact"/>
        <w:rPr>
          <w:sz w:val="20"/>
          <w:szCs w:val="20"/>
          <w:color w:val="auto"/>
        </w:rPr>
      </w:pPr>
    </w:p>
    <w:p>
      <w:pPr>
        <w:ind w:right="140" w:firstLine="374"/>
        <w:spacing w:after="0" w:line="337" w:lineRule="auto"/>
        <w:rPr>
          <w:sz w:val="20"/>
          <w:szCs w:val="20"/>
          <w:color w:val="auto"/>
        </w:rPr>
      </w:pPr>
      <w:r>
        <w:rPr>
          <w:rFonts w:ascii="Arial" w:cs="Arial" w:eastAsia="Arial" w:hAnsi="Arial"/>
          <w:sz w:val="16"/>
          <w:szCs w:val="16"/>
          <w:color w:val="auto"/>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spacing w:after="0" w:line="87" w:lineRule="exact"/>
        <w:rPr>
          <w:sz w:val="20"/>
          <w:szCs w:val="20"/>
          <w:color w:val="auto"/>
        </w:rPr>
      </w:pPr>
    </w:p>
    <w:p>
      <w:pPr>
        <w:ind w:right="120" w:firstLine="374"/>
        <w:spacing w:after="0" w:line="309" w:lineRule="auto"/>
        <w:rPr>
          <w:sz w:val="20"/>
          <w:szCs w:val="20"/>
          <w:color w:val="auto"/>
        </w:rPr>
      </w:pPr>
      <w:r>
        <w:rPr>
          <w:rFonts w:ascii="Arial" w:cs="Arial" w:eastAsia="Arial" w:hAnsi="Arial"/>
          <w:sz w:val="17"/>
          <w:szCs w:val="17"/>
          <w:color w:val="auto"/>
        </w:rPr>
        <w:t>For example, in the United States, in March 2010, the Patient Protection and Affordable Care Act, as amended by the Health Care and Education Reconciliation Act of 2010, together, the Affordable Care Act, or ACA, was enacted. The ACA is a sweeping measure intended to expand healthcare coverage within the United States,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spacing w:after="0" w:line="92" w:lineRule="exact"/>
        <w:rPr>
          <w:sz w:val="20"/>
          <w:szCs w:val="20"/>
          <w:color w:val="auto"/>
        </w:rPr>
      </w:pPr>
    </w:p>
    <w:p>
      <w:pPr>
        <w:ind w:right="140" w:firstLine="374"/>
        <w:spacing w:after="0" w:line="287" w:lineRule="auto"/>
        <w:rPr>
          <w:sz w:val="20"/>
          <w:szCs w:val="20"/>
          <w:color w:val="auto"/>
        </w:rPr>
      </w:pPr>
      <w:r>
        <w:rPr>
          <w:rFonts w:ascii="Arial" w:cs="Arial" w:eastAsia="Arial" w:hAnsi="Arial"/>
          <w:sz w:val="18"/>
          <w:szCs w:val="18"/>
          <w:color w:val="auto"/>
        </w:rPr>
        <w:t>Certain provisions of the ACA have been subject to judicial and Congressional challenges. For example, various portions of the ACA have been the subject of legal and constitutional challenges, including legal proceedings in the Fifth Circuit Court of Appeals. The Supreme Court of the United States held oral arguments on the Fifth Circuit Court case in November 2020. In June 2021, the United States Supreme Court held that Texas and other challengers had no legal standing to challenge the ACA, upholding the ACA. It is unclear how this Supreme Court decision, future litigation, and healthcare measures promulgated by the Biden administration will impact the implementation of the ACA, our business, financial condition and results of operations. Complying with any new</w:t>
      </w:r>
    </w:p>
    <w:p>
      <w:pPr>
        <w:spacing w:after="0" w:line="3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legislation or reversing changes implemented under the ACA could be time-intensive and expensive, resulting in a material adverse effect on our business.</w:t>
      </w:r>
    </w:p>
    <w:p>
      <w:pPr>
        <w:spacing w:after="0" w:line="208" w:lineRule="exact"/>
        <w:rPr>
          <w:sz w:val="20"/>
          <w:szCs w:val="20"/>
          <w:color w:val="auto"/>
        </w:rPr>
      </w:pPr>
    </w:p>
    <w:p>
      <w:pPr>
        <w:ind w:firstLine="374"/>
        <w:spacing w:after="0" w:line="303" w:lineRule="auto"/>
        <w:rPr>
          <w:sz w:val="20"/>
          <w:szCs w:val="20"/>
          <w:color w:val="auto"/>
        </w:rPr>
      </w:pPr>
      <w:r>
        <w:rPr>
          <w:rFonts w:ascii="Arial" w:cs="Arial" w:eastAsia="Arial" w:hAnsi="Arial"/>
          <w:sz w:val="17"/>
          <w:szCs w:val="17"/>
          <w:color w:val="auto"/>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2030 unless additional congressional action is taken. These Medicare sequester reductions have been suspended from May 1, 2020 through the end of 2021 due to the COVID-19 pandemic.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We cannot assure you that the ACA, as currently enacted or as amended in the future, will not harm our business and financial results, and we cannot predict how future federal or state legislative or administrative changes relating to healthcare reform will affect our business.</w:t>
      </w:r>
    </w:p>
    <w:p>
      <w:pPr>
        <w:spacing w:after="0" w:line="97" w:lineRule="exact"/>
        <w:rPr>
          <w:sz w:val="20"/>
          <w:szCs w:val="20"/>
          <w:color w:val="auto"/>
        </w:rPr>
      </w:pPr>
    </w:p>
    <w:p>
      <w:pPr>
        <w:ind w:right="380" w:firstLine="374"/>
        <w:spacing w:after="0" w:line="319" w:lineRule="auto"/>
        <w:rPr>
          <w:sz w:val="20"/>
          <w:szCs w:val="20"/>
          <w:color w:val="auto"/>
        </w:rPr>
      </w:pPr>
      <w:r>
        <w:rPr>
          <w:rFonts w:ascii="Arial" w:cs="Arial" w:eastAsia="Arial" w:hAnsi="Arial"/>
          <w:sz w:val="17"/>
          <w:szCs w:val="17"/>
          <w:color w:val="auto"/>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set a price that we believe is fair for our products;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generate revenue and achieve or maintain profitability; and</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availability of capital.</w:t>
      </w:r>
    </w:p>
    <w:p>
      <w:pPr>
        <w:spacing w:after="0" w:line="171" w:lineRule="exact"/>
        <w:rPr>
          <w:sz w:val="20"/>
          <w:szCs w:val="20"/>
          <w:color w:val="auto"/>
        </w:rPr>
      </w:pPr>
    </w:p>
    <w:p>
      <w:pPr>
        <w:ind w:right="20" w:firstLine="374"/>
        <w:spacing w:after="0" w:line="304" w:lineRule="auto"/>
        <w:rPr>
          <w:sz w:val="20"/>
          <w:szCs w:val="20"/>
          <w:color w:val="auto"/>
        </w:rPr>
      </w:pPr>
      <w:r>
        <w:rPr>
          <w:rFonts w:ascii="Arial" w:cs="Arial" w:eastAsia="Arial" w:hAnsi="Arial"/>
          <w:sz w:val="16"/>
          <w:szCs w:val="16"/>
          <w:color w:val="auto"/>
        </w:rPr>
        <w:t>Further, recently there has been heightened governmental scrutiny over the manner in which manufacturers set prices for their marketed products, which has resulted in several U.S.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spacing w:after="0" w:line="65"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If we fail to comply with U.S. federal and state fraud and abuse and other healthcare laws and regulations, we could face substantial penalties and our business operations and financial condition could be adversely affected.</w:t>
      </w:r>
    </w:p>
    <w:p>
      <w:pPr>
        <w:spacing w:after="0" w:line="62" w:lineRule="exact"/>
        <w:rPr>
          <w:sz w:val="20"/>
          <w:szCs w:val="20"/>
          <w:color w:val="auto"/>
        </w:rPr>
      </w:pPr>
    </w:p>
    <w:p>
      <w:pPr>
        <w:ind w:firstLine="374"/>
        <w:spacing w:after="0" w:line="311" w:lineRule="auto"/>
        <w:rPr>
          <w:sz w:val="20"/>
          <w:szCs w:val="20"/>
          <w:color w:val="auto"/>
        </w:rPr>
      </w:pPr>
      <w:r>
        <w:rPr>
          <w:rFonts w:ascii="Arial" w:cs="Arial" w:eastAsia="Arial" w:hAnsi="Arial"/>
          <w:sz w:val="16"/>
          <w:szCs w:val="16"/>
          <w:color w:val="auto"/>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 policies and procedures, but it is not always possible to identify and deter misconduct by our employees and other third parties, and the precautions we take to detect and prevent noncompliance may not be effective in protecting us</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from governmental investigations for failure to comply with applicable fraud and abuse or other healthcare laws and regulations.</w:t>
      </w:r>
    </w:p>
    <w:p>
      <w:pPr>
        <w:spacing w:after="0" w:line="171" w:lineRule="exact"/>
        <w:rPr>
          <w:sz w:val="20"/>
          <w:szCs w:val="20"/>
          <w:color w:val="auto"/>
        </w:rPr>
      </w:pPr>
    </w:p>
    <w:p>
      <w:pPr>
        <w:ind w:right="60" w:firstLine="374"/>
        <w:spacing w:after="0" w:line="311" w:lineRule="auto"/>
        <w:rPr>
          <w:sz w:val="20"/>
          <w:szCs w:val="20"/>
          <w:color w:val="auto"/>
        </w:rPr>
      </w:pPr>
      <w:r>
        <w:rPr>
          <w:rFonts w:ascii="Arial" w:cs="Arial" w:eastAsia="Arial" w:hAnsi="Arial"/>
          <w:sz w:val="16"/>
          <w:szCs w:val="16"/>
          <w:color w:val="auto"/>
        </w:rPr>
        <w:t>In the United States,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spacing w:after="0" w:line="82" w:lineRule="exact"/>
        <w:rPr>
          <w:sz w:val="20"/>
          <w:szCs w:val="20"/>
          <w:color w:val="auto"/>
        </w:rPr>
      </w:pPr>
    </w:p>
    <w:p>
      <w:pPr>
        <w:ind w:left="1080"/>
        <w:spacing w:after="0" w:line="270" w:lineRule="auto"/>
        <w:rPr>
          <w:sz w:val="20"/>
          <w:szCs w:val="20"/>
          <w:color w:val="auto"/>
        </w:rPr>
      </w:pPr>
      <w:r>
        <w:rPr>
          <w:rFonts w:ascii="Arial" w:cs="Arial" w:eastAsia="Arial" w:hAnsi="Arial"/>
          <w:sz w:val="18"/>
          <w:szCs w:val="18"/>
          <w:color w:val="auto"/>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Patient Protection and Affordable Care Act of 2010, as amended by the health Care and Education Reconciliation Act of 2010 (collectively, the ACA), provides that the government may assert that a claim including items or services resulting from a violation of the federal Anti-Kickback Statute constitutes a false or fraudulent claim for purposes of the civil False Claims Act;</w:t>
      </w:r>
    </w:p>
    <w:p>
      <w:pPr>
        <w:spacing w:after="0" w:line="125" w:lineRule="exact"/>
        <w:rPr>
          <w:sz w:val="20"/>
          <w:szCs w:val="20"/>
          <w:color w:val="auto"/>
        </w:rPr>
      </w:pPr>
    </w:p>
    <w:p>
      <w:pPr>
        <w:ind w:left="1080" w:right="60"/>
        <w:spacing w:after="0" w:line="272" w:lineRule="auto"/>
        <w:rPr>
          <w:sz w:val="20"/>
          <w:szCs w:val="20"/>
          <w:color w:val="auto"/>
        </w:rPr>
      </w:pPr>
      <w:r>
        <w:rPr>
          <w:rFonts w:ascii="Arial" w:cs="Arial" w:eastAsia="Arial" w:hAnsi="Arial"/>
          <w:sz w:val="18"/>
          <w:szCs w:val="18"/>
          <w:color w:val="auto"/>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spacing w:after="0" w:line="123" w:lineRule="exact"/>
        <w:rPr>
          <w:sz w:val="20"/>
          <w:szCs w:val="20"/>
          <w:color w:val="auto"/>
        </w:rPr>
      </w:pPr>
    </w:p>
    <w:p>
      <w:pPr>
        <w:ind w:left="1080" w:right="540"/>
        <w:spacing w:after="0" w:line="359" w:lineRule="auto"/>
        <w:rPr>
          <w:sz w:val="20"/>
          <w:szCs w:val="20"/>
          <w:color w:val="auto"/>
        </w:rPr>
      </w:pPr>
      <w:r>
        <w:rPr>
          <w:rFonts w:ascii="Arial" w:cs="Arial" w:eastAsia="Arial" w:hAnsi="Arial"/>
          <w:sz w:val="16"/>
          <w:szCs w:val="16"/>
          <w:color w:val="auto"/>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44" w:lineRule="exact"/>
        <w:rPr>
          <w:sz w:val="20"/>
          <w:szCs w:val="20"/>
          <w:color w:val="auto"/>
        </w:rPr>
      </w:pPr>
    </w:p>
    <w:p>
      <w:pPr>
        <w:ind w:left="1080" w:right="80"/>
        <w:spacing w:after="0" w:line="296" w:lineRule="auto"/>
        <w:rPr>
          <w:sz w:val="20"/>
          <w:szCs w:val="20"/>
          <w:color w:val="auto"/>
        </w:rPr>
      </w:pPr>
      <w:r>
        <w:rPr>
          <w:rFonts w:ascii="Arial" w:cs="Arial" w:eastAsia="Arial" w:hAnsi="Arial"/>
          <w:sz w:val="17"/>
          <w:szCs w:val="17"/>
          <w:color w:val="auto"/>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spacing w:after="0" w:line="102" w:lineRule="exact"/>
        <w:rPr>
          <w:sz w:val="20"/>
          <w:szCs w:val="20"/>
          <w:color w:val="auto"/>
        </w:rPr>
      </w:pPr>
    </w:p>
    <w:p>
      <w:pPr>
        <w:ind w:left="1080" w:right="20"/>
        <w:spacing w:after="0" w:line="287" w:lineRule="auto"/>
        <w:rPr>
          <w:sz w:val="20"/>
          <w:szCs w:val="20"/>
          <w:color w:val="auto"/>
        </w:rPr>
      </w:pPr>
      <w:r>
        <w:rPr>
          <w:rFonts w:ascii="Arial" w:cs="Arial" w:eastAsia="Arial" w:hAnsi="Arial"/>
          <w:sz w:val="17"/>
          <w:szCs w:val="17"/>
          <w:color w:val="auto"/>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as defined by such law, and teaching hospitals as well as information regarding ownership and investment interests held by physicians and their immediate family members; additionally, effective January 1, 2022, for data reported to CMS in 2022, these reporting obligations with respect to payments and transfers of value made to covered recipients in the previous year, or data collected in 2021, will extend to include certain non-physician providers, such as physician assistants, nurse practitioners, and other mid-level practitioners; and</w:t>
      </w:r>
    </w:p>
    <w:p>
      <w:pPr>
        <w:spacing w:after="0" w:line="114" w:lineRule="exact"/>
        <w:rPr>
          <w:sz w:val="20"/>
          <w:szCs w:val="20"/>
          <w:color w:val="auto"/>
        </w:rPr>
      </w:pPr>
    </w:p>
    <w:p>
      <w:pPr>
        <w:ind w:left="1080" w:right="60"/>
        <w:spacing w:after="0" w:line="311" w:lineRule="auto"/>
        <w:rPr>
          <w:sz w:val="20"/>
          <w:szCs w:val="20"/>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85" w:name="page86"/>
    <w:bookmarkEnd w:id="85"/>
    <w:p>
      <w:pPr>
        <w:ind w:left="1080" w:right="680"/>
        <w:spacing w:after="0" w:line="279" w:lineRule="auto"/>
        <w:rPr>
          <w:sz w:val="20"/>
          <w:szCs w:val="20"/>
          <w:color w:val="auto"/>
        </w:rPr>
      </w:pPr>
      <w:r>
        <w:rPr>
          <w:rFonts w:ascii="Arial" w:cs="Arial" w:eastAsia="Arial" w:hAnsi="Arial"/>
          <w:sz w:val="18"/>
          <w:szCs w:val="18"/>
          <w:color w:val="auto"/>
        </w:rPr>
        <w:t>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15" w:lineRule="exact"/>
        <w:rPr>
          <w:sz w:val="20"/>
          <w:szCs w:val="20"/>
          <w:color w:val="auto"/>
        </w:rPr>
      </w:pPr>
    </w:p>
    <w:p>
      <w:pPr>
        <w:ind w:right="140" w:firstLine="374"/>
        <w:spacing w:after="0" w:line="311" w:lineRule="auto"/>
        <w:rPr>
          <w:sz w:val="20"/>
          <w:szCs w:val="20"/>
          <w:color w:val="auto"/>
        </w:rPr>
      </w:pPr>
      <w:r>
        <w:rPr>
          <w:rFonts w:ascii="Arial" w:cs="Arial" w:eastAsia="Arial" w:hAnsi="Arial"/>
          <w:sz w:val="16"/>
          <w:szCs w:val="16"/>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or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spacing w:after="0" w:line="82" w:lineRule="exact"/>
        <w:rPr>
          <w:sz w:val="20"/>
          <w:szCs w:val="20"/>
          <w:color w:val="auto"/>
        </w:rPr>
      </w:pPr>
    </w:p>
    <w:p>
      <w:pPr>
        <w:ind w:right="100" w:firstLine="374"/>
        <w:spacing w:after="0" w:line="292"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107"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spacing w:after="0" w:line="110" w:lineRule="exact"/>
        <w:rPr>
          <w:sz w:val="20"/>
          <w:szCs w:val="20"/>
          <w:color w:val="auto"/>
        </w:rPr>
      </w:pPr>
    </w:p>
    <w:p>
      <w:pPr>
        <w:ind w:firstLine="374"/>
        <w:spacing w:after="0" w:line="305" w:lineRule="auto"/>
        <w:rPr>
          <w:sz w:val="20"/>
          <w:szCs w:val="20"/>
          <w:color w:val="auto"/>
        </w:rPr>
      </w:pPr>
      <w:r>
        <w:rPr>
          <w:rFonts w:ascii="Arial" w:cs="Arial" w:eastAsia="Arial" w:hAnsi="Arial"/>
          <w:sz w:val="16"/>
          <w:szCs w:val="16"/>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CMS fee schedules may harm our revenue and operating results.</w:t>
      </w:r>
    </w:p>
    <w:p>
      <w:pPr>
        <w:spacing w:after="0" w:line="131" w:lineRule="exact"/>
        <w:rPr>
          <w:sz w:val="20"/>
          <w:szCs w:val="20"/>
          <w:color w:val="auto"/>
        </w:rPr>
      </w:pPr>
    </w:p>
    <w:p>
      <w:pPr>
        <w:ind w:right="60" w:firstLine="374"/>
        <w:spacing w:after="0" w:line="272" w:lineRule="auto"/>
        <w:rPr>
          <w:sz w:val="20"/>
          <w:szCs w:val="20"/>
          <w:color w:val="auto"/>
        </w:rPr>
      </w:pPr>
      <w:r>
        <w:rPr>
          <w:rFonts w:ascii="Arial" w:cs="Arial" w:eastAsia="Arial" w:hAnsi="Arial"/>
          <w:sz w:val="18"/>
          <w:szCs w:val="18"/>
          <w:color w:val="auto"/>
        </w:rPr>
        <w:t>Government payers, such as Centers for Medicare and Medicaid Services (CMS) as well as insurers, have increased their efforts to control the cost, utilization and delivery of healthcare services. From time to time, the U.S.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86" w:name="page87"/>
    <w:bookmarkEnd w:id="86"/>
    <w:p>
      <w:pPr>
        <w:ind w:right="140"/>
        <w:spacing w:after="0" w:line="272" w:lineRule="auto"/>
        <w:rPr>
          <w:sz w:val="20"/>
          <w:szCs w:val="20"/>
          <w:color w:val="auto"/>
        </w:rPr>
      </w:pPr>
      <w:r>
        <w:rPr>
          <w:rFonts w:ascii="Arial" w:cs="Arial" w:eastAsia="Arial" w:hAnsi="Arial"/>
          <w:sz w:val="18"/>
          <w:szCs w:val="18"/>
          <w:color w:val="auto"/>
        </w:rPr>
        <w:t>other third-party payers may occur 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spacing w:after="0" w:line="123" w:lineRule="exact"/>
        <w:rPr>
          <w:sz w:val="20"/>
          <w:szCs w:val="20"/>
          <w:color w:val="auto"/>
        </w:rPr>
      </w:pPr>
    </w:p>
    <w:p>
      <w:pPr>
        <w:ind w:right="480"/>
        <w:spacing w:after="0" w:line="324" w:lineRule="auto"/>
        <w:rPr>
          <w:sz w:val="20"/>
          <w:szCs w:val="20"/>
          <w:color w:val="auto"/>
        </w:rPr>
      </w:pPr>
      <w:r>
        <w:rPr>
          <w:rFonts w:ascii="Arial" w:cs="Arial" w:eastAsia="Arial" w:hAnsi="Arial"/>
          <w:sz w:val="17"/>
          <w:szCs w:val="17"/>
          <w:b w:val="1"/>
          <w:bCs w:val="1"/>
          <w:i w:val="1"/>
          <w:iCs w:val="1"/>
          <w:color w:val="auto"/>
        </w:rPr>
        <w:t>Legislative or regulatory reforms may make it more difficult and costly for us to obtain regulatory clearance or approval of our planned or future products and to manufacture, market and distribute our products after clearance or approval is obtained.</w:t>
      </w:r>
    </w:p>
    <w:p>
      <w:pPr>
        <w:spacing w:after="0" w:line="39" w:lineRule="exact"/>
        <w:rPr>
          <w:sz w:val="20"/>
          <w:szCs w:val="20"/>
          <w:color w:val="auto"/>
        </w:rPr>
      </w:pPr>
    </w:p>
    <w:p>
      <w:pPr>
        <w:ind w:right="160" w:firstLine="374"/>
        <w:spacing w:after="0" w:line="314"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79" w:lineRule="exact"/>
        <w:rPr>
          <w:sz w:val="20"/>
          <w:szCs w:val="20"/>
          <w:color w:val="auto"/>
        </w:rPr>
      </w:pPr>
    </w:p>
    <w:p>
      <w:pPr>
        <w:ind w:right="20" w:firstLine="374"/>
        <w:spacing w:after="0" w:line="275" w:lineRule="auto"/>
        <w:rPr>
          <w:sz w:val="20"/>
          <w:szCs w:val="20"/>
          <w:color w:val="auto"/>
        </w:rPr>
      </w:pPr>
      <w:r>
        <w:rPr>
          <w:rFonts w:ascii="Arial" w:cs="Arial" w:eastAsia="Arial" w:hAnsi="Arial"/>
          <w:sz w:val="18"/>
          <w:szCs w:val="18"/>
          <w:color w:val="auto"/>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18" w:lineRule="exact"/>
        <w:rPr>
          <w:sz w:val="20"/>
          <w:szCs w:val="20"/>
          <w:color w:val="auto"/>
        </w:rPr>
      </w:pPr>
    </w:p>
    <w:p>
      <w:pPr>
        <w:spacing w:after="0" w:line="359" w:lineRule="auto"/>
        <w:rPr>
          <w:sz w:val="20"/>
          <w:szCs w:val="20"/>
          <w:color w:val="auto"/>
        </w:rPr>
      </w:pPr>
      <w:r>
        <w:rPr>
          <w:rFonts w:ascii="Arial" w:cs="Arial" w:eastAsia="Arial" w:hAnsi="Arial"/>
          <w:sz w:val="16"/>
          <w:szCs w:val="16"/>
          <w:b w:val="1"/>
          <w:bCs w:val="1"/>
          <w:i w:val="1"/>
          <w:iCs w:val="1"/>
          <w:color w:val="auto"/>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spacing w:after="0" w:line="17" w:lineRule="exact"/>
        <w:rPr>
          <w:sz w:val="20"/>
          <w:szCs w:val="20"/>
          <w:color w:val="auto"/>
        </w:rPr>
      </w:pPr>
    </w:p>
    <w:p>
      <w:pPr>
        <w:ind w:right="160" w:firstLine="374"/>
        <w:spacing w:after="0" w:line="288" w:lineRule="auto"/>
        <w:rPr>
          <w:sz w:val="20"/>
          <w:szCs w:val="20"/>
          <w:color w:val="auto"/>
        </w:rPr>
      </w:pPr>
      <w:r>
        <w:rPr>
          <w:rFonts w:ascii="Arial" w:cs="Arial" w:eastAsia="Arial" w:hAnsi="Arial"/>
          <w:sz w:val="17"/>
          <w:szCs w:val="17"/>
          <w:color w:val="auto"/>
        </w:rPr>
        <w:t>In 2017, the European Union published the new EU Medical Device Regulation (MDR) (2017/745), the application of which was postponed until May 26, 2021 for class I devices (lowest risk) and May 26, 2024 for all other class devices (higher risk devices). The new regulations replace predecessor directives and emphasize a global convergence of regulations. With the transition from the Medical Devices Directive, or MDD, to the MDR, notified bodies are required to seek designation to operate as conformity assessment authorities under the new law. While we are currently in compliance with the MDR and in process of transferring certification from MDD to MDR, compliance with any new or changing regulations in the EU or other jurisdictions where we currently commercialize our products or intend to commercialize in the future is a time consuming process that may require comprehensive quality system audits and new conformity assessment certifications for our products. Major changes include:</w:t>
      </w:r>
    </w:p>
    <w:p>
      <w:pPr>
        <w:spacing w:after="0" w:line="11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reclassification of some products;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greater emphasis on clinical data;</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data transparency, including publication of clinical trial data and safety summaries;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defined content and structure for technical files to support registration;</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unique device identification system;</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greater burden on post-market surveillance and clinical follow-up;</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reduction of adverse event reporting time from 30 to 15 days after the event; and</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more power to notified bodies.</w:t>
      </w:r>
    </w:p>
    <w:p>
      <w:pPr>
        <w:spacing w:after="0" w:line="171" w:lineRule="exact"/>
        <w:rPr>
          <w:sz w:val="20"/>
          <w:szCs w:val="20"/>
          <w:color w:val="auto"/>
        </w:rPr>
      </w:pPr>
    </w:p>
    <w:p>
      <w:pPr>
        <w:jc w:val="both"/>
        <w:ind w:right="180" w:firstLine="374"/>
        <w:spacing w:after="0" w:line="329" w:lineRule="auto"/>
        <w:rPr>
          <w:sz w:val="20"/>
          <w:szCs w:val="20"/>
          <w:color w:val="auto"/>
        </w:rPr>
      </w:pPr>
      <w:r>
        <w:rPr>
          <w:rFonts w:ascii="Arial" w:cs="Arial" w:eastAsia="Arial" w:hAnsi="Arial"/>
          <w:sz w:val="16"/>
          <w:szCs w:val="16"/>
          <w:color w:val="auto"/>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7" w:name="page88"/>
    <w:bookmarkEnd w:id="87"/>
    <w:p>
      <w:pPr>
        <w:ind w:right="460"/>
        <w:spacing w:after="0" w:line="293" w:lineRule="auto"/>
        <w:rPr>
          <w:sz w:val="20"/>
          <w:szCs w:val="20"/>
          <w:color w:val="auto"/>
        </w:rPr>
      </w:pPr>
      <w:r>
        <w:rPr>
          <w:rFonts w:ascii="Arial" w:cs="Arial" w:eastAsia="Arial" w:hAnsi="Arial"/>
          <w:sz w:val="18"/>
          <w:szCs w:val="18"/>
          <w:color w:val="auto"/>
        </w:rPr>
        <w:t>Marketing authorization timelines will become more protracted and the costs of operating in Europe will increase. A significantly more costly path to regulatory compliance is anticipated.</w:t>
      </w:r>
    </w:p>
    <w:p>
      <w:pPr>
        <w:spacing w:after="0" w:line="102"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Our clinical trials may fail to demonstrate competent and reliable evidence of the safety and effectiveness of our products, which would prevent or delay commercialization of our products in development.</w:t>
      </w:r>
    </w:p>
    <w:p>
      <w:pPr>
        <w:spacing w:after="0" w:line="62"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trials could be required before we submit our products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products. Even if regulatory approval is secured for any of our products, the terms of such approval may limit the scope and use of our products, which may also limit their commercial potential.</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or failures associated with our products could lead to recalls, safety alerts or litigation, as well as significant costs and negative publicity.</w:t>
      </w:r>
    </w:p>
    <w:p>
      <w:pPr>
        <w:spacing w:after="0" w:line="154" w:lineRule="exact"/>
        <w:rPr>
          <w:sz w:val="20"/>
          <w:szCs w:val="20"/>
          <w:color w:val="auto"/>
        </w:rPr>
      </w:pPr>
    </w:p>
    <w:p>
      <w:pPr>
        <w:ind w:right="20" w:firstLine="374"/>
        <w:spacing w:after="0" w:line="270" w:lineRule="auto"/>
        <w:rPr>
          <w:sz w:val="20"/>
          <w:szCs w:val="20"/>
          <w:color w:val="auto"/>
        </w:rPr>
      </w:pPr>
      <w:r>
        <w:rPr>
          <w:rFonts w:ascii="Arial" w:cs="Arial" w:eastAsia="Arial" w:hAnsi="Arial"/>
          <w:sz w:val="18"/>
          <w:szCs w:val="18"/>
          <w:color w:val="auto"/>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spacing w:after="0" w:line="125" w:lineRule="exact"/>
        <w:rPr>
          <w:sz w:val="20"/>
          <w:szCs w:val="20"/>
          <w:color w:val="auto"/>
        </w:rPr>
      </w:pPr>
    </w:p>
    <w:p>
      <w:pPr>
        <w:ind w:right="20" w:firstLine="374"/>
        <w:spacing w:after="0" w:line="296" w:lineRule="auto"/>
        <w:rPr>
          <w:sz w:val="20"/>
          <w:szCs w:val="20"/>
          <w:color w:val="auto"/>
        </w:rPr>
      </w:pPr>
      <w:r>
        <w:rPr>
          <w:rFonts w:ascii="Arial" w:cs="Arial" w:eastAsia="Arial" w:hAnsi="Arial"/>
          <w:sz w:val="17"/>
          <w:szCs w:val="17"/>
          <w:color w:val="auto"/>
        </w:rPr>
        <w:t>We provide a limited warranty that our products are free of material defects and conform to specifications and offer to repair the LDD in the event of a defect and replace or refund the purchase price of a defective LAL.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spacing w:after="0" w:line="102" w:lineRule="exact"/>
        <w:rPr>
          <w:sz w:val="20"/>
          <w:szCs w:val="20"/>
          <w:color w:val="auto"/>
        </w:rPr>
      </w:pPr>
    </w:p>
    <w:p>
      <w:pPr>
        <w:ind w:right="60" w:firstLine="374"/>
        <w:spacing w:after="0" w:line="306" w:lineRule="auto"/>
        <w:rPr>
          <w:sz w:val="20"/>
          <w:szCs w:val="20"/>
          <w:color w:val="auto"/>
        </w:rPr>
      </w:pPr>
      <w:r>
        <w:rPr>
          <w:rFonts w:ascii="Arial" w:cs="Arial" w:eastAsia="Arial" w:hAnsi="Arial"/>
          <w:sz w:val="16"/>
          <w:szCs w:val="16"/>
          <w:color w:val="auto"/>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84"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8" w:name="page89"/>
    <w:bookmarkEnd w:id="88"/>
    <w:p>
      <w:pPr>
        <w:ind w:right="280"/>
        <w:spacing w:after="0" w:line="279" w:lineRule="auto"/>
        <w:rPr>
          <w:sz w:val="20"/>
          <w:szCs w:val="20"/>
          <w:color w:val="auto"/>
        </w:rPr>
      </w:pPr>
      <w:r>
        <w:rPr>
          <w:rFonts w:ascii="Arial" w:cs="Arial" w:eastAsia="Arial" w:hAnsi="Arial"/>
          <w:sz w:val="18"/>
          <w:szCs w:val="18"/>
          <w:color w:val="auto"/>
        </w:rPr>
        <w:t>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15" w:lineRule="exact"/>
        <w:rPr>
          <w:sz w:val="20"/>
          <w:szCs w:val="20"/>
          <w:color w:val="auto"/>
        </w:rPr>
      </w:pPr>
    </w:p>
    <w:p>
      <w:pPr>
        <w:ind w:right="100" w:firstLine="374"/>
        <w:spacing w:after="0" w:line="308" w:lineRule="auto"/>
        <w:rPr>
          <w:sz w:val="20"/>
          <w:szCs w:val="20"/>
          <w:color w:val="auto"/>
        </w:rPr>
      </w:pPr>
      <w:r>
        <w:rPr>
          <w:rFonts w:ascii="Arial" w:cs="Arial" w:eastAsia="Arial" w:hAnsi="Arial"/>
          <w:sz w:val="16"/>
          <w:szCs w:val="16"/>
          <w:color w:val="auto"/>
        </w:rPr>
        <w:t>We are required to file adverse event reports under Medical Device Reporting, or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spacing w:after="0" w:line="82"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62" w:lineRule="exact"/>
        <w:rPr>
          <w:sz w:val="20"/>
          <w:szCs w:val="20"/>
          <w:color w:val="auto"/>
        </w:rPr>
      </w:pPr>
    </w:p>
    <w:p>
      <w:pPr>
        <w:ind w:firstLine="374"/>
        <w:spacing w:after="0" w:line="286" w:lineRule="auto"/>
        <w:rPr>
          <w:sz w:val="20"/>
          <w:szCs w:val="20"/>
          <w:color w:val="auto"/>
        </w:rPr>
      </w:pPr>
      <w:r>
        <w:rPr>
          <w:rFonts w:ascii="Arial" w:cs="Arial" w:eastAsia="Arial" w:hAnsi="Arial"/>
          <w:sz w:val="17"/>
          <w:szCs w:val="17"/>
          <w:color w:val="auto"/>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14" w:lineRule="exact"/>
        <w:rPr>
          <w:sz w:val="20"/>
          <w:szCs w:val="20"/>
          <w:color w:val="auto"/>
        </w:rPr>
      </w:pPr>
    </w:p>
    <w:p>
      <w:pPr>
        <w:ind w:right="20" w:firstLine="374"/>
        <w:spacing w:after="0" w:line="286" w:lineRule="auto"/>
        <w:rPr>
          <w:sz w:val="20"/>
          <w:szCs w:val="20"/>
          <w:color w:val="auto"/>
        </w:rPr>
      </w:pPr>
      <w:r>
        <w:rPr>
          <w:rFonts w:ascii="Arial" w:cs="Arial" w:eastAsia="Arial" w:hAnsi="Arial"/>
          <w:sz w:val="17"/>
          <w:szCs w:val="17"/>
          <w:color w:val="auto"/>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11"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Environmental health and safety laws may result in liabilities, expenses and restrictions on our operations. Failure to comply with environmental laws and regulations could subject us to significant liability.</w:t>
      </w:r>
    </w:p>
    <w:p>
      <w:pPr>
        <w:spacing w:after="0" w:line="62" w:lineRule="exact"/>
        <w:rPr>
          <w:sz w:val="20"/>
          <w:szCs w:val="20"/>
          <w:color w:val="auto"/>
        </w:rPr>
      </w:pPr>
    </w:p>
    <w:p>
      <w:pPr>
        <w:ind w:right="100" w:firstLine="374"/>
        <w:spacing w:after="0" w:line="296" w:lineRule="auto"/>
        <w:rPr>
          <w:sz w:val="20"/>
          <w:szCs w:val="20"/>
          <w:color w:val="auto"/>
        </w:rPr>
      </w:pPr>
      <w:r>
        <w:rPr>
          <w:rFonts w:ascii="Arial" w:cs="Arial" w:eastAsia="Arial" w:hAnsi="Arial"/>
          <w:sz w:val="17"/>
          <w:szCs w:val="17"/>
          <w:color w:val="auto"/>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89" w:name="page90"/>
    <w:bookmarkEnd w:id="89"/>
    <w:p>
      <w:pPr>
        <w:spacing w:after="0" w:line="314" w:lineRule="auto"/>
        <w:rPr>
          <w:sz w:val="20"/>
          <w:szCs w:val="20"/>
          <w:color w:val="auto"/>
        </w:rPr>
      </w:pPr>
      <w:r>
        <w:rPr>
          <w:rFonts w:ascii="Arial" w:cs="Arial" w:eastAsia="Arial" w:hAnsi="Arial"/>
          <w:sz w:val="16"/>
          <w:szCs w:val="16"/>
          <w:color w:val="auto"/>
        </w:rPr>
        <w:t>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92" w:lineRule="exact"/>
        <w:rPr>
          <w:sz w:val="20"/>
          <w:szCs w:val="20"/>
          <w:color w:val="auto"/>
        </w:rPr>
      </w:pPr>
    </w:p>
    <w:p>
      <w:pPr>
        <w:ind w:right="20" w:firstLine="374"/>
        <w:spacing w:after="0" w:line="303" w:lineRule="auto"/>
        <w:rPr>
          <w:sz w:val="20"/>
          <w:szCs w:val="20"/>
          <w:color w:val="auto"/>
        </w:rPr>
      </w:pPr>
      <w:r>
        <w:rPr>
          <w:rFonts w:ascii="Arial" w:cs="Arial" w:eastAsia="Arial" w:hAnsi="Arial"/>
          <w:sz w:val="16"/>
          <w:szCs w:val="16"/>
          <w:color w:val="auto"/>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spacing w:after="0" w:line="93"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We face risks related to our collection and use of data, which could result in investigations, inquiries, litigation, fines, legislative and regulatory action and negative press about our privacy and data protection practices.</w:t>
      </w:r>
    </w:p>
    <w:p>
      <w:pPr>
        <w:spacing w:after="0" w:line="62" w:lineRule="exact"/>
        <w:rPr>
          <w:sz w:val="20"/>
          <w:szCs w:val="20"/>
          <w:color w:val="auto"/>
        </w:rPr>
      </w:pPr>
    </w:p>
    <w:p>
      <w:pPr>
        <w:ind w:right="40" w:firstLine="374"/>
        <w:spacing w:after="0" w:line="306" w:lineRule="auto"/>
        <w:rPr>
          <w:sz w:val="20"/>
          <w:szCs w:val="20"/>
          <w:color w:val="auto"/>
        </w:rPr>
      </w:pPr>
      <w:r>
        <w:rPr>
          <w:rFonts w:ascii="Arial" w:cs="Arial" w:eastAsia="Arial" w:hAnsi="Arial"/>
          <w:sz w:val="16"/>
          <w:szCs w:val="16"/>
          <w:color w:val="auto"/>
        </w:rPr>
        <w:t>Our business processes personal data, including some data related to health.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could be subject to attacks on our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data or prevent use of their accounts. Data breaches could result in a violation of applicable U.S.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spacing w:after="0" w:line="98" w:lineRule="exact"/>
        <w:rPr>
          <w:sz w:val="20"/>
          <w:szCs w:val="20"/>
          <w:color w:val="auto"/>
        </w:rPr>
      </w:pPr>
    </w:p>
    <w:p>
      <w:pPr>
        <w:ind w:right="140" w:firstLine="374"/>
        <w:spacing w:after="0" w:line="287" w:lineRule="auto"/>
        <w:rPr>
          <w:sz w:val="20"/>
          <w:szCs w:val="20"/>
          <w:color w:val="auto"/>
        </w:rPr>
      </w:pPr>
      <w:r>
        <w:rPr>
          <w:rFonts w:ascii="Arial" w:cs="Arial" w:eastAsia="Arial" w:hAnsi="Arial"/>
          <w:sz w:val="17"/>
          <w:szCs w:val="17"/>
          <w:color w:val="auto"/>
        </w:rPr>
        <w:t>This risk is enhanced in certain jurisdictions and, as we expand our operations domestically and internationally, we may be subject to additional laws in other jurisdictions. Any failure, or perceived failure, by us to comply with privacy and data protection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and have prioritized privacy and information security violations for enforcement actions. Additionally, in the United States, California adopted the California Consumer Privacy Act (the “CCPA”) in January 2020 which requires certain companies that process information on California consumers to, among other things, provide new disclosures to California consumers and afford such consumers new</w:t>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0" w:name="page91"/>
    <w:bookmarkEnd w:id="90"/>
    <w:p>
      <w:pPr>
        <w:ind w:right="100"/>
        <w:spacing w:after="0" w:line="286" w:lineRule="auto"/>
        <w:rPr>
          <w:sz w:val="20"/>
          <w:szCs w:val="20"/>
          <w:color w:val="auto"/>
        </w:rPr>
      </w:pPr>
      <w:r>
        <w:rPr>
          <w:rFonts w:ascii="Arial" w:cs="Arial" w:eastAsia="Arial" w:hAnsi="Arial"/>
          <w:sz w:val="17"/>
          <w:szCs w:val="17"/>
          <w:color w:val="auto"/>
        </w:rPr>
        <w:t>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loss of personal information. It remains unclear how various provisions of the CCPA will be interpreted and enforced. Furthermore, in November 2020, California voters passed the California Privacy Rights Act of 2020 (“CPRA”). Effective beginning January 1, 2023, the CPRA imposes additional obligations on companies covered by the legislation and will significantly modify the CCPA, including by expanding California residents’ rights with respect to certain sensitive personal information. Other states have passed, or plan to pass, data privacy laws that are similar to the CCPA and CPRA, further complicating the legal landscape. In addition, laws in all 50 states require businesses to provide notice to consumers whose personal information has been accessed or acquired as a result of a data breach (and, in some cases, to regulators). The effects of the CCPA, CPRA and other such privacy laws are potentially significant, and may require us to modify our data processing practices and policies and to incur substantial costs and expenses in an effort to comply.</w:t>
      </w:r>
    </w:p>
    <w:p>
      <w:pPr>
        <w:spacing w:after="0" w:line="114" w:lineRule="exact"/>
        <w:rPr>
          <w:sz w:val="20"/>
          <w:szCs w:val="20"/>
          <w:color w:val="auto"/>
        </w:rPr>
      </w:pPr>
    </w:p>
    <w:p>
      <w:pPr>
        <w:ind w:right="60" w:firstLine="374"/>
        <w:spacing w:after="0" w:line="309" w:lineRule="auto"/>
        <w:rPr>
          <w:sz w:val="20"/>
          <w:szCs w:val="20"/>
          <w:color w:val="auto"/>
        </w:rPr>
      </w:pPr>
      <w:r>
        <w:rPr>
          <w:rFonts w:ascii="Arial" w:cs="Arial" w:eastAsia="Arial" w:hAnsi="Arial"/>
          <w:sz w:val="16"/>
          <w:szCs w:val="16"/>
          <w:color w:val="auto"/>
        </w:rPr>
        <w:t>In addition, we are subject to international laws, regulations and standards in many jurisdictions, which apply broadly to the collection, use, retention, security, disclosure, transfer and other processing of personal information. For example, the General Data Protection Regulation (“GDPR”), which was adopted by the European Union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spacing w:after="0" w:line="83" w:lineRule="exact"/>
        <w:rPr>
          <w:sz w:val="20"/>
          <w:szCs w:val="20"/>
          <w:color w:val="auto"/>
        </w:rPr>
      </w:pPr>
    </w:p>
    <w:p>
      <w:pPr>
        <w:ind w:firstLine="374"/>
        <w:spacing w:after="0" w:line="285" w:lineRule="auto"/>
        <w:rPr>
          <w:sz w:val="20"/>
          <w:szCs w:val="20"/>
          <w:color w:val="auto"/>
        </w:rPr>
      </w:pPr>
      <w:r>
        <w:rPr>
          <w:rFonts w:ascii="Arial" w:cs="Arial" w:eastAsia="Arial" w:hAnsi="Arial"/>
          <w:sz w:val="17"/>
          <w:szCs w:val="17"/>
          <w:color w:val="auto"/>
        </w:rPr>
        <w:t>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GDPR is subject to significant penalties, including fines of up to €20 million or 4% of total worldwide revenue, whichever is greater. The interpretations of the GDPR by local data protection authorities in EU member states, along with the complexity of the new data protection regime itself, will leave the interpretation and enforcement of the law unclear in the near term, with potential inconsistencies across the EU member states. The implementation and enforcement of the GDPR may subject us to enforcement risk and requirements to change certain of our data collection, processing and other policies and practices. We could incur significant costs investigating and defending such claims and, if we are found liable, significant damages. If any of these events were to occur, our business and financial results could be adversely affected. Other jurisdictions outside the EU are similarly introducing or enhancing laws and regulations relating to privacy and data security, which enhances risks relating to compliance with such laws.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the United Kingdom’s national law. These recent developments will require us to review and amend the legal mechanisms by which we make and/or receive personal data transfers.</w:t>
      </w:r>
    </w:p>
    <w:p>
      <w:pPr>
        <w:spacing w:after="0" w:line="112"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Additionally, we are subject to laws and regulations regarding cross-border transfers of personal data, including laws relating to transfer of personal data outside of the European Economic Area (“EEA”). We rely on transfer mechanisms permitted under these laws, including EU Standard Contract Clauses. Such mechanisms have received heightened regulatory and judicial scrutiny in recent years. If we cannot rely on existing mechanisms for transferring personal data from the EEA, the United Kingdom or other jurisdictions, we could be prevented from transferring personal data of users or employees in those regions. This could adversely affect the manner in which we provide our services and thus materially affect our operations and financial results.</w:t>
      </w:r>
    </w:p>
    <w:p>
      <w:pPr>
        <w:spacing w:after="0" w:line="123" w:lineRule="exact"/>
        <w:rPr>
          <w:sz w:val="20"/>
          <w:szCs w:val="20"/>
          <w:color w:val="auto"/>
        </w:rPr>
      </w:pPr>
    </w:p>
    <w:p>
      <w:pPr>
        <w:ind w:firstLine="374"/>
        <w:spacing w:after="0" w:line="296" w:lineRule="auto"/>
        <w:rPr>
          <w:sz w:val="20"/>
          <w:szCs w:val="20"/>
          <w:color w:val="auto"/>
        </w:rPr>
      </w:pPr>
      <w:r>
        <w:rPr>
          <w:rFonts w:ascii="Arial" w:cs="Arial" w:eastAsia="Arial" w:hAnsi="Arial"/>
          <w:sz w:val="17"/>
          <w:szCs w:val="17"/>
          <w:color w:val="auto"/>
        </w:rPr>
        <w:t>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If our practices are not consistent, or are viewed as not consistent, with changes in laws, regulations and standards or new interpretations or applications of existing laws, regulations and standards, we may also become subject to fines,</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91" w:name="page92"/>
    <w:bookmarkEnd w:id="91"/>
    <w:p>
      <w:pPr>
        <w:ind w:right="120"/>
        <w:spacing w:after="0" w:line="311" w:lineRule="auto"/>
        <w:rPr>
          <w:sz w:val="20"/>
          <w:szCs w:val="20"/>
          <w:color w:val="auto"/>
        </w:rPr>
      </w:pPr>
      <w:r>
        <w:rPr>
          <w:rFonts w:ascii="Arial" w:cs="Arial" w:eastAsia="Arial" w:hAnsi="Arial"/>
          <w:sz w:val="16"/>
          <w:szCs w:val="16"/>
          <w:color w:val="auto"/>
        </w:rPr>
        <w:t>audits, inquiries, whistleblower complaints, adverse media coverage, investigations, lawsuits, loss of export privileges, severe criminal or civil sanction or other penalties.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concerns about our data privacy and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spacing w:after="0" w:line="95" w:lineRule="exact"/>
        <w:rPr>
          <w:sz w:val="20"/>
          <w:szCs w:val="20"/>
          <w:color w:val="auto"/>
        </w:rPr>
      </w:pPr>
    </w:p>
    <w:p>
      <w:pPr>
        <w:ind w:right="220"/>
        <w:spacing w:after="0" w:line="329"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40" w:lineRule="exact"/>
        <w:rPr>
          <w:sz w:val="20"/>
          <w:szCs w:val="20"/>
          <w:color w:val="auto"/>
        </w:rPr>
      </w:pPr>
    </w:p>
    <w:p>
      <w:pPr>
        <w:ind w:right="140" w:firstLine="374"/>
        <w:spacing w:after="0" w:line="27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102" w:lineRule="exact"/>
        <w:rPr>
          <w:sz w:val="20"/>
          <w:szCs w:val="20"/>
          <w:color w:val="auto"/>
        </w:rPr>
      </w:pPr>
    </w:p>
    <w:p>
      <w:pPr>
        <w:ind w:right="240" w:firstLine="374"/>
        <w:spacing w:after="0" w:line="290" w:lineRule="auto"/>
        <w:rPr>
          <w:sz w:val="20"/>
          <w:szCs w:val="20"/>
          <w:color w:val="auto"/>
        </w:rPr>
      </w:pPr>
      <w:r>
        <w:rPr>
          <w:rFonts w:ascii="Arial" w:cs="Arial" w:eastAsia="Arial" w:hAnsi="Arial"/>
          <w:sz w:val="17"/>
          <w:szCs w:val="17"/>
          <w:color w:val="auto"/>
        </w:rPr>
        <w:t>Disruptions at the FDA and other agencies may also slow the time necessary for new medical devices to be reviewed and/or approved by necessary government agencies, which would adversely affect our business. For example, in recent years, including in 2018 and 2019, the U.S. government shut down several times and certain regulatory agencies such as the FDA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08"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b w:val="1"/>
          <w:bCs w:val="1"/>
          <w:i w:val="1"/>
          <w:iCs w:val="1"/>
          <w:color w:val="auto"/>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spacing w:after="0" w:line="75" w:lineRule="exact"/>
        <w:rPr>
          <w:sz w:val="20"/>
          <w:szCs w:val="20"/>
          <w:color w:val="auto"/>
        </w:rPr>
      </w:pPr>
    </w:p>
    <w:p>
      <w:pPr>
        <w:ind w:firstLine="374"/>
        <w:spacing w:after="0" w:line="305" w:lineRule="auto"/>
        <w:rPr>
          <w:sz w:val="20"/>
          <w:szCs w:val="20"/>
          <w:color w:val="auto"/>
        </w:rPr>
      </w:pPr>
      <w:r>
        <w:rPr>
          <w:rFonts w:ascii="Arial" w:cs="Arial" w:eastAsia="Arial" w:hAnsi="Arial"/>
          <w:sz w:val="16"/>
          <w:szCs w:val="16"/>
          <w:color w:val="auto"/>
        </w:rPr>
        <w:t>We have commercialized the RxSight system outside of the United States, each component of which has received a CE mark and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privacy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spacing w:after="0" w:line="101" w:lineRule="exact"/>
        <w:rPr>
          <w:sz w:val="20"/>
          <w:szCs w:val="20"/>
          <w:color w:val="auto"/>
        </w:rPr>
      </w:pPr>
    </w:p>
    <w:p>
      <w:pPr>
        <w:ind w:right="40" w:firstLine="374"/>
        <w:spacing w:after="0" w:line="287" w:lineRule="auto"/>
        <w:rPr>
          <w:sz w:val="20"/>
          <w:szCs w:val="20"/>
          <w:color w:val="auto"/>
        </w:rPr>
      </w:pPr>
      <w:r>
        <w:rPr>
          <w:rFonts w:ascii="Arial" w:cs="Arial" w:eastAsia="Arial" w:hAnsi="Arial"/>
          <w:sz w:val="17"/>
          <w:szCs w:val="17"/>
          <w:color w:val="auto"/>
        </w:rPr>
        <w:t>Our operations outside of the United States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92" w:name="page93"/>
    <w:bookmarkEnd w:id="92"/>
    <w:p>
      <w:pPr>
        <w:ind w:right="800"/>
        <w:spacing w:after="0" w:line="293" w:lineRule="auto"/>
        <w:rPr>
          <w:sz w:val="20"/>
          <w:szCs w:val="20"/>
          <w:color w:val="auto"/>
        </w:rPr>
      </w:pPr>
      <w:r>
        <w:rPr>
          <w:rFonts w:ascii="Arial" w:cs="Arial" w:eastAsia="Arial" w:hAnsi="Arial"/>
          <w:sz w:val="18"/>
          <w:szCs w:val="18"/>
          <w:color w:val="auto"/>
        </w:rPr>
        <w:t>or debarment from U.S. government contracts, which could have a material and adverse effect on our business, financial condition and results of operations.</w:t>
      </w:r>
    </w:p>
    <w:p>
      <w:pPr>
        <w:spacing w:after="0" w:line="102" w:lineRule="exact"/>
        <w:rPr>
          <w:sz w:val="20"/>
          <w:szCs w:val="20"/>
          <w:color w:val="auto"/>
        </w:rPr>
      </w:pPr>
    </w:p>
    <w:p>
      <w:pPr>
        <w:ind w:right="80" w:firstLine="374"/>
        <w:spacing w:after="0" w:line="292" w:lineRule="auto"/>
        <w:rPr>
          <w:sz w:val="20"/>
          <w:szCs w:val="20"/>
          <w:color w:val="auto"/>
        </w:rPr>
      </w:pPr>
      <w:r>
        <w:rPr>
          <w:rFonts w:ascii="Arial" w:cs="Arial" w:eastAsia="Arial" w:hAnsi="Arial"/>
          <w:sz w:val="17"/>
          <w:szCs w:val="17"/>
          <w:color w:val="auto"/>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35" w:lineRule="exact"/>
        <w:rPr>
          <w:sz w:val="20"/>
          <w:szCs w:val="20"/>
          <w:color w:val="auto"/>
        </w:rPr>
      </w:pPr>
    </w:p>
    <w:p>
      <w:pPr>
        <w:ind w:right="200"/>
        <w:spacing w:after="0" w:line="295" w:lineRule="auto"/>
        <w:rPr>
          <w:sz w:val="20"/>
          <w:szCs w:val="20"/>
          <w:color w:val="auto"/>
        </w:rPr>
      </w:pPr>
      <w:r>
        <w:rPr>
          <w:rFonts w:ascii="Arial" w:cs="Arial" w:eastAsia="Arial" w:hAnsi="Arial"/>
          <w:sz w:val="18"/>
          <w:szCs w:val="18"/>
          <w:b w:val="1"/>
          <w:bCs w:val="1"/>
          <w:i w:val="1"/>
          <w:iCs w:val="1"/>
          <w:color w:val="auto"/>
        </w:rPr>
        <w:t>From time to time, we engage outside parties to perform services related to certain of our clinical studies and trials. If these third parties do not successfully carry out their contractual duties or meet expected deadlines, we may not be able to obtain regulatory approval for or commercialize our products.</w:t>
      </w:r>
    </w:p>
    <w:p>
      <w:pPr>
        <w:spacing w:after="0" w:line="74" w:lineRule="exact"/>
        <w:rPr>
          <w:sz w:val="20"/>
          <w:szCs w:val="20"/>
          <w:color w:val="auto"/>
        </w:rPr>
      </w:pPr>
    </w:p>
    <w:p>
      <w:pPr>
        <w:ind w:right="20" w:firstLine="374"/>
        <w:spacing w:after="0" w:line="306" w:lineRule="auto"/>
        <w:rPr>
          <w:sz w:val="20"/>
          <w:szCs w:val="20"/>
          <w:color w:val="auto"/>
        </w:rPr>
      </w:pPr>
      <w:r>
        <w:rPr>
          <w:rFonts w:ascii="Arial" w:cs="Arial" w:eastAsia="Arial" w:hAnsi="Arial"/>
          <w:sz w:val="16"/>
          <w:szCs w:val="16"/>
          <w:color w:val="auto"/>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spacing w:after="0" w:line="103"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We and our component suppliers may not meet regulatory quality standards applicable to our manufacturing processes, which could have an adverse effect on our business, financial condition and results of operations.</w:t>
      </w:r>
    </w:p>
    <w:p>
      <w:pPr>
        <w:spacing w:after="0" w:line="62" w:lineRule="exact"/>
        <w:rPr>
          <w:sz w:val="20"/>
          <w:szCs w:val="20"/>
          <w:color w:val="auto"/>
        </w:rPr>
      </w:pPr>
    </w:p>
    <w:p>
      <w:pPr>
        <w:ind w:right="60" w:firstLine="374"/>
        <w:spacing w:after="0" w:line="271" w:lineRule="auto"/>
        <w:rPr>
          <w:sz w:val="20"/>
          <w:szCs w:val="20"/>
          <w:color w:val="auto"/>
        </w:rPr>
      </w:pPr>
      <w:r>
        <w:rPr>
          <w:rFonts w:ascii="Arial" w:cs="Arial" w:eastAsia="Arial" w:hAnsi="Arial"/>
          <w:sz w:val="18"/>
          <w:szCs w:val="18"/>
          <w:color w:val="auto"/>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spacing w:after="0" w:line="123" w:lineRule="exact"/>
        <w:rPr>
          <w:sz w:val="20"/>
          <w:szCs w:val="20"/>
          <w:color w:val="auto"/>
        </w:rPr>
      </w:pPr>
    </w:p>
    <w:p>
      <w:pPr>
        <w:ind w:firstLine="374"/>
        <w:spacing w:after="0" w:line="269" w:lineRule="auto"/>
        <w:rPr>
          <w:sz w:val="20"/>
          <w:szCs w:val="20"/>
          <w:color w:val="auto"/>
        </w:rPr>
      </w:pPr>
      <w:r>
        <w:rPr>
          <w:rFonts w:ascii="Arial" w:cs="Arial" w:eastAsia="Arial" w:hAnsi="Arial"/>
          <w:sz w:val="18"/>
          <w:szCs w:val="18"/>
          <w:color w:val="auto"/>
        </w:rPr>
        <w:t>We cannot assure you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We cannot assure you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spacing w:after="0" w:line="113" w:lineRule="exact"/>
        <w:rPr>
          <w:sz w:val="20"/>
          <w:szCs w:val="20"/>
          <w:color w:val="auto"/>
        </w:rPr>
      </w:pPr>
    </w:p>
    <w:p>
      <w:pPr>
        <w:ind w:right="160" w:firstLine="374"/>
        <w:spacing w:after="0" w:line="319" w:lineRule="auto"/>
        <w:rPr>
          <w:sz w:val="20"/>
          <w:szCs w:val="20"/>
          <w:color w:val="auto"/>
        </w:rPr>
      </w:pPr>
      <w:r>
        <w:rPr>
          <w:rFonts w:ascii="Arial" w:cs="Arial" w:eastAsia="Arial" w:hAnsi="Arial"/>
          <w:sz w:val="16"/>
          <w:szCs w:val="16"/>
          <w:color w:val="auto"/>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BSI, to obtain and maintain these certifications. If we fail these inspections or fail to meet these regulatory standards, it could have a material adverse effect on our business, financial condition and results of operations.</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93" w:name="page94"/>
    <w:bookmarkEnd w:id="93"/>
    <w:p>
      <w:pPr>
        <w:ind w:right="500"/>
        <w:spacing w:after="0" w:line="293" w:lineRule="auto"/>
        <w:rPr>
          <w:sz w:val="20"/>
          <w:szCs w:val="20"/>
          <w:color w:val="auto"/>
        </w:rPr>
      </w:pPr>
      <w:r>
        <w:rPr>
          <w:rFonts w:ascii="Arial" w:cs="Arial" w:eastAsia="Arial" w:hAnsi="Arial"/>
          <w:sz w:val="18"/>
          <w:szCs w:val="18"/>
          <w:b w:val="1"/>
          <w:bCs w:val="1"/>
          <w:i w:val="1"/>
          <w:iCs w:val="1"/>
          <w:color w:val="auto"/>
        </w:rPr>
        <w:t>We depend upon third parties, including single and sole source suppliers, to manufacture certain components and subcomponents of the RxSight system making us vulnerable to supply disruptions and price fluctuations.</w:t>
      </w:r>
    </w:p>
    <w:p>
      <w:pPr>
        <w:spacing w:after="0" w:line="62" w:lineRule="exact"/>
        <w:rPr>
          <w:sz w:val="20"/>
          <w:szCs w:val="20"/>
          <w:color w:val="auto"/>
        </w:rPr>
      </w:pPr>
    </w:p>
    <w:p>
      <w:pPr>
        <w:ind w:firstLine="374"/>
        <w:spacing w:after="0" w:line="285" w:lineRule="auto"/>
        <w:rPr>
          <w:sz w:val="20"/>
          <w:szCs w:val="20"/>
          <w:color w:val="auto"/>
        </w:rPr>
      </w:pPr>
      <w:r>
        <w:rPr>
          <w:rFonts w:ascii="Arial" w:cs="Arial" w:eastAsia="Arial" w:hAnsi="Arial"/>
          <w:sz w:val="17"/>
          <w:szCs w:val="17"/>
          <w:color w:val="auto"/>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blanket orders covering the medium term of 18 – 24 months for the majority of our supplier base. We depend on our suppliers to provide us and our customers with materials in a timely manner that meet our and their quality, quantity and cost requirements. These suppliers may encounter problems during manufacturing for a variety of reasons, any of which could delay or impede their ability to meet our demand. The expansion of global lead times, particularly in Europe and Asia, related to the COVID-19 pandemic, has resulted in the lack of availability of raw materials, including semiconductors, computers, monitors electronic parts, metals, packaging, adhesives, resins and subcontract painted components. Certain suppliers have passed on higher prices, surcharges and expedited shipping fees to defray the higher commodity prices they are paying due to short supply. While we have taken measures to mitigate business continuity risk, including increasing standard lead times, payment of expedite fees, issuance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products and could have a material adverse effect on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of third parties to meet their contractual, regulatory, and other obligations could adversely affect our business.</w:t>
      </w:r>
    </w:p>
    <w:p>
      <w:pPr>
        <w:spacing w:after="0" w:line="131"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We rely on suppliers, vendors, outsourcing partners, consultants,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have a material adverse effect on our business, financial condition and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31" w:lineRule="exact"/>
        <w:rPr>
          <w:sz w:val="20"/>
          <w:szCs w:val="20"/>
          <w:color w:val="auto"/>
        </w:rPr>
      </w:pPr>
    </w:p>
    <w:p>
      <w:pPr>
        <w:ind w:right="40" w:firstLine="374"/>
        <w:spacing w:after="0" w:line="272" w:lineRule="auto"/>
        <w:rPr>
          <w:sz w:val="20"/>
          <w:szCs w:val="20"/>
          <w:color w:val="auto"/>
        </w:rPr>
      </w:pPr>
      <w:r>
        <w:rPr>
          <w:rFonts w:ascii="Arial" w:cs="Arial" w:eastAsia="Arial" w:hAnsi="Arial"/>
          <w:sz w:val="18"/>
          <w:szCs w:val="18"/>
          <w:color w:val="auto"/>
        </w:rPr>
        <w:t>The trading price of our common stock has been and may continue to be highly volatile and could be subject to wide fluctuations in response to various factors, some of which we cannot control. The stock market in general has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Quarterly Report on Form 10-Q, these factors include:</w:t>
      </w:r>
    </w:p>
    <w:p>
      <w:pPr>
        <w:spacing w:after="0" w:line="1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timing and results of preclinical studies and clinical trials of our current and future products or those of our competitors;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success of competitive products or announcements by potential competitors of their product development efforts;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regulatory actions with respect to our products or our competitors’ products;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actual or anticipated changes in our growth rate relative to our competitors;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regulatory or legal developments in the United States and other countries;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4" w:name="page95"/>
    <w:bookmarkEnd w:id="94"/>
    <w:p>
      <w:pPr>
        <w:ind w:left="1080"/>
        <w:spacing w:after="0"/>
        <w:rPr>
          <w:sz w:val="20"/>
          <w:szCs w:val="20"/>
          <w:color w:val="auto"/>
        </w:rPr>
      </w:pPr>
      <w:r>
        <w:rPr>
          <w:rFonts w:ascii="Arial" w:cs="Arial" w:eastAsia="Arial" w:hAnsi="Arial"/>
          <w:sz w:val="18"/>
          <w:szCs w:val="18"/>
          <w:color w:val="auto"/>
        </w:rPr>
        <w:t>the recruitment or departure of key personnel;</w:t>
      </w:r>
    </w:p>
    <w:p>
      <w:pPr>
        <w:spacing w:after="0" w:line="171" w:lineRule="exact"/>
        <w:rPr>
          <w:sz w:val="20"/>
          <w:szCs w:val="20"/>
          <w:color w:val="auto"/>
        </w:rPr>
      </w:pPr>
    </w:p>
    <w:p>
      <w:pPr>
        <w:ind w:left="1080" w:right="640"/>
        <w:spacing w:after="0" w:line="293" w:lineRule="auto"/>
        <w:rPr>
          <w:sz w:val="20"/>
          <w:szCs w:val="20"/>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fluctuations in the valuation of companies perceived by investors to be comparable to us;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market conditions in the medical device sector;</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changes in the structure of healthcare payment systems;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share price and volume fluctuations attributable to inconsistent trading volume levels of our shares;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announcement or expectation of additional financing efforts;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sales of our common stock by us, our insiders or our other stockholders;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expiration of market stand-off or lock-up agreements;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general economic, industry and market conditions; and</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impact of the COVID-19 pandemic.</w:t>
      </w:r>
    </w:p>
    <w:p>
      <w:pPr>
        <w:spacing w:after="0" w:line="171" w:lineRule="exact"/>
        <w:rPr>
          <w:sz w:val="20"/>
          <w:szCs w:val="20"/>
          <w:color w:val="auto"/>
        </w:rPr>
      </w:pPr>
    </w:p>
    <w:p>
      <w:pPr>
        <w:ind w:right="140" w:firstLine="374"/>
        <w:spacing w:after="0" w:line="293"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02" w:lineRule="exact"/>
        <w:rPr>
          <w:sz w:val="20"/>
          <w:szCs w:val="20"/>
          <w:color w:val="auto"/>
        </w:rPr>
      </w:pPr>
    </w:p>
    <w:p>
      <w:pPr>
        <w:ind w:firstLine="374"/>
        <w:spacing w:after="0" w:line="279" w:lineRule="auto"/>
        <w:rPr>
          <w:sz w:val="20"/>
          <w:szCs w:val="20"/>
          <w:color w:val="auto"/>
        </w:rPr>
      </w:pPr>
      <w:r>
        <w:rPr>
          <w:rFonts w:ascii="Arial" w:cs="Arial" w:eastAsia="Arial" w:hAnsi="Arial"/>
          <w:sz w:val="18"/>
          <w:szCs w:val="18"/>
          <w:color w:val="auto"/>
        </w:rPr>
        <w:t>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02"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62" w:lineRule="exact"/>
        <w:rPr>
          <w:sz w:val="20"/>
          <w:szCs w:val="20"/>
          <w:color w:val="auto"/>
        </w:rPr>
      </w:pPr>
    </w:p>
    <w:p>
      <w:pPr>
        <w:ind w:right="20" w:firstLine="374"/>
        <w:spacing w:after="0" w:line="272" w:lineRule="auto"/>
        <w:rPr>
          <w:sz w:val="20"/>
          <w:szCs w:val="20"/>
          <w:color w:val="auto"/>
        </w:rPr>
      </w:pPr>
      <w:r>
        <w:rPr>
          <w:rFonts w:ascii="Arial" w:cs="Arial" w:eastAsia="Arial" w:hAnsi="Arial"/>
          <w:sz w:val="18"/>
          <w:szCs w:val="18"/>
          <w:color w:val="auto"/>
        </w:rPr>
        <w:t>The trading market for our common stock will rely in part on the research and reports that equity research analysts publish about us and our business.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23"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62" w:lineRule="exact"/>
        <w:rPr>
          <w:sz w:val="20"/>
          <w:szCs w:val="20"/>
          <w:color w:val="auto"/>
        </w:rPr>
      </w:pPr>
    </w:p>
    <w:p>
      <w:pPr>
        <w:ind w:firstLine="374"/>
        <w:spacing w:after="0" w:line="288" w:lineRule="auto"/>
        <w:rPr>
          <w:sz w:val="20"/>
          <w:szCs w:val="20"/>
          <w:color w:val="auto"/>
        </w:rPr>
      </w:pPr>
      <w:r>
        <w:rPr>
          <w:rFonts w:ascii="Arial" w:cs="Arial" w:eastAsia="Arial" w:hAnsi="Arial"/>
          <w:sz w:val="17"/>
          <w:szCs w:val="17"/>
          <w:color w:val="auto"/>
        </w:rPr>
        <w:t>Our stock is currently traded on Nasdaq, but we can provide no assurance that we will be able to maintain an active trading market on Nasdaq or any other exchange in the future. If an active trading market does not develop is not maintained, or if we fail to satisfy the continued listing standards of Nasdaq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95" w:name="page96"/>
    <w:bookmarkEnd w:id="95"/>
    <w:p>
      <w:pPr>
        <w:ind w:right="40" w:firstLine="374"/>
        <w:spacing w:after="0" w:line="324"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80" w:lineRule="exact"/>
        <w:rPr>
          <w:sz w:val="20"/>
          <w:szCs w:val="20"/>
          <w:color w:val="auto"/>
        </w:rPr>
      </w:pPr>
    </w:p>
    <w:p>
      <w:pPr>
        <w:ind w:right="20" w:firstLine="374"/>
        <w:spacing w:after="0" w:line="271" w:lineRule="auto"/>
        <w:rPr>
          <w:sz w:val="20"/>
          <w:szCs w:val="20"/>
          <w:color w:val="auto"/>
        </w:rPr>
      </w:pPr>
      <w:r>
        <w:rPr>
          <w:rFonts w:ascii="Arial" w:cs="Arial" w:eastAsia="Arial" w:hAnsi="Arial"/>
          <w:sz w:val="18"/>
          <w:szCs w:val="18"/>
          <w:color w:val="auto"/>
        </w:rPr>
        <w:t>As of October 29, 2021, we have 27,353,915 issued and outstanding shares of common stock based on the number of shares outstanding. Of these shares, approximately 7,300,000 of the shares issued in the IPO are freely tradable and substantially all of the remaining shares of common stock will be available for sale in the public market beginning in February 2022 following the scheduled expiration of lock-up agreements that certain of our stockholders and the underwriters entered into in connection with our IPO. J.P. Morgan Securities LLC and BofA Securities, Inc. may release these stockholders from their lock-up agreements with the underwriters at any time and without notice, which would allow for earlier sales of shares in the public market.</w:t>
      </w:r>
    </w:p>
    <w:p>
      <w:pPr>
        <w:spacing w:after="0" w:line="110" w:lineRule="exact"/>
        <w:rPr>
          <w:sz w:val="20"/>
          <w:szCs w:val="20"/>
          <w:color w:val="auto"/>
        </w:rPr>
      </w:pPr>
    </w:p>
    <w:p>
      <w:pPr>
        <w:ind w:right="80" w:firstLine="374"/>
        <w:spacing w:after="0" w:line="275" w:lineRule="auto"/>
        <w:rPr>
          <w:sz w:val="20"/>
          <w:szCs w:val="20"/>
          <w:color w:val="auto"/>
        </w:rPr>
      </w:pPr>
      <w:r>
        <w:rPr>
          <w:rFonts w:ascii="Arial" w:cs="Arial" w:eastAsia="Arial" w:hAnsi="Arial"/>
          <w:sz w:val="18"/>
          <w:szCs w:val="18"/>
          <w:color w:val="auto"/>
        </w:rPr>
        <w:t>In addition, we have filed a registration statement on Form S-8 under the Securities Act registering the issuance of 7,473,839 shares of common stock subject to options or other equity awards issued or reserved for future issuance under our equity incentive plans. Shares registered under the registration statement on Form S-8 can be freely sold in the public market upon issuance, subject to volume limitations applicable to affiliates and the lock-up agreements described above.</w:t>
      </w:r>
    </w:p>
    <w:p>
      <w:pPr>
        <w:spacing w:after="0" w:line="118" w:lineRule="exact"/>
        <w:rPr>
          <w:sz w:val="20"/>
          <w:szCs w:val="20"/>
          <w:color w:val="auto"/>
        </w:rPr>
      </w:pPr>
    </w:p>
    <w:p>
      <w:pPr>
        <w:ind w:right="40" w:firstLine="374"/>
        <w:spacing w:after="0" w:line="272" w:lineRule="auto"/>
        <w:rPr>
          <w:sz w:val="20"/>
          <w:szCs w:val="20"/>
          <w:color w:val="auto"/>
        </w:rPr>
      </w:pPr>
      <w:r>
        <w:rPr>
          <w:rFonts w:ascii="Arial" w:cs="Arial" w:eastAsia="Arial" w:hAnsi="Arial"/>
          <w:sz w:val="18"/>
          <w:szCs w:val="18"/>
          <w:color w:val="auto"/>
        </w:rPr>
        <w:t>Moreover, holders of an aggregate of 14,651,254 shares of our common stock have rights, subject to certain conditions, to require us to file registration statements covering their shares or to include their shares in registration statements that we may file for ourselves or other stockholders. If we were to register the resale of these shares, they could be freely sold in the public market upon issuance, subject to volume limitations applicable to affiliates under applicable rules. If these additional shares are sold, or if it is perceived that they will be sold, in the public market, the trading price of our common stock could decline.</w:t>
      </w:r>
    </w:p>
    <w:p>
      <w:pPr>
        <w:spacing w:after="0" w:line="123" w:lineRule="exact"/>
        <w:rPr>
          <w:sz w:val="20"/>
          <w:szCs w:val="20"/>
          <w:color w:val="auto"/>
        </w:rPr>
      </w:pPr>
    </w:p>
    <w:p>
      <w:pPr>
        <w:ind w:right="460" w:firstLine="374"/>
        <w:spacing w:after="0" w:line="279"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spacing w:after="0" w:line="102"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Following the completion of our IPO, our executive officers, directors, holders of 5% or more of our capital stock and their respective affiliates beneficially owned approximately 35% of our voting stock. As a result, this group of stockholders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14"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140" w:firstLine="374"/>
        <w:spacing w:after="0" w:line="279"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15" w:lineRule="exact"/>
        <w:rPr>
          <w:sz w:val="20"/>
          <w:szCs w:val="20"/>
          <w:color w:val="auto"/>
        </w:rPr>
      </w:pPr>
    </w:p>
    <w:p>
      <w:pPr>
        <w:jc w:val="both"/>
        <w:ind w:left="1080" w:right="60"/>
        <w:spacing w:after="0" w:line="279" w:lineRule="auto"/>
        <w:rPr>
          <w:sz w:val="20"/>
          <w:szCs w:val="20"/>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Quarterly Report on Form 10-Q;</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6" w:name="page97"/>
    <w:bookmarkEnd w:id="96"/>
    <w:p>
      <w:pPr>
        <w:ind w:left="1080"/>
        <w:spacing w:after="0"/>
        <w:rPr>
          <w:sz w:val="20"/>
          <w:szCs w:val="20"/>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71" w:lineRule="exact"/>
        <w:rPr>
          <w:sz w:val="20"/>
          <w:szCs w:val="20"/>
          <w:color w:val="auto"/>
        </w:rPr>
      </w:pPr>
    </w:p>
    <w:p>
      <w:pPr>
        <w:jc w:val="both"/>
        <w:ind w:left="1080" w:right="340"/>
        <w:spacing w:after="0" w:line="279" w:lineRule="auto"/>
        <w:rPr>
          <w:sz w:val="20"/>
          <w:szCs w:val="20"/>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71" w:lineRule="exact"/>
        <w:rPr>
          <w:sz w:val="20"/>
          <w:szCs w:val="20"/>
          <w:color w:val="auto"/>
        </w:rPr>
      </w:pPr>
    </w:p>
    <w:p>
      <w:pPr>
        <w:ind w:left="1080" w:right="140"/>
        <w:spacing w:after="0" w:line="293" w:lineRule="auto"/>
        <w:rPr>
          <w:sz w:val="20"/>
          <w:szCs w:val="20"/>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102" w:lineRule="exact"/>
        <w:rPr>
          <w:sz w:val="20"/>
          <w:szCs w:val="20"/>
          <w:color w:val="auto"/>
        </w:rPr>
      </w:pPr>
    </w:p>
    <w:p>
      <w:pPr>
        <w:jc w:val="both"/>
        <w:ind w:right="560" w:firstLine="374"/>
        <w:spacing w:after="0" w:line="359"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44" w:lineRule="exact"/>
        <w:rPr>
          <w:sz w:val="20"/>
          <w:szCs w:val="20"/>
          <w:color w:val="auto"/>
        </w:rPr>
      </w:pPr>
    </w:p>
    <w:p>
      <w:pPr>
        <w:ind w:firstLine="374"/>
        <w:spacing w:after="0" w:line="275"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18" w:lineRule="exact"/>
        <w:rPr>
          <w:sz w:val="20"/>
          <w:szCs w:val="20"/>
          <w:color w:val="auto"/>
        </w:rPr>
      </w:pPr>
    </w:p>
    <w:p>
      <w:pPr>
        <w:ind w:right="20" w:firstLine="374"/>
        <w:spacing w:after="0" w:line="292"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07" w:lineRule="exact"/>
        <w:rPr>
          <w:sz w:val="20"/>
          <w:szCs w:val="20"/>
          <w:color w:val="auto"/>
        </w:rPr>
      </w:pPr>
    </w:p>
    <w:p>
      <w:pPr>
        <w:ind w:right="40" w:firstLine="374"/>
        <w:spacing w:after="0" w:line="271"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10" w:lineRule="exact"/>
        <w:rPr>
          <w:sz w:val="20"/>
          <w:szCs w:val="20"/>
          <w:color w:val="auto"/>
        </w:rPr>
      </w:pPr>
    </w:p>
    <w:p>
      <w:pPr>
        <w:jc w:val="both"/>
        <w:ind w:right="380"/>
        <w:spacing w:after="0" w:line="279"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 Additionally, if we fail to maintain proper and effective internal controls, our ability to produce accurate financial statements on a timely basis could be impaired.</w:t>
      </w:r>
    </w:p>
    <w:p>
      <w:pPr>
        <w:spacing w:after="0" w:line="75" w:lineRule="exact"/>
        <w:rPr>
          <w:sz w:val="20"/>
          <w:szCs w:val="20"/>
          <w:color w:val="auto"/>
        </w:rPr>
      </w:pPr>
    </w:p>
    <w:p>
      <w:pPr>
        <w:ind w:firstLine="374"/>
        <w:spacing w:after="0" w:line="306"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03" w:lineRule="exact"/>
        <w:rPr>
          <w:sz w:val="20"/>
          <w:szCs w:val="20"/>
          <w:color w:val="auto"/>
        </w:rPr>
      </w:pPr>
    </w:p>
    <w:p>
      <w:pPr>
        <w:ind w:right="440" w:firstLine="374"/>
        <w:spacing w:after="0" w:line="293" w:lineRule="auto"/>
        <w:rPr>
          <w:sz w:val="20"/>
          <w:szCs w:val="20"/>
          <w:color w:val="auto"/>
        </w:rPr>
      </w:pPr>
      <w:r>
        <w:rPr>
          <w:rFonts w:ascii="Arial" w:cs="Arial" w:eastAsia="Arial" w:hAnsi="Arial"/>
          <w:sz w:val="18"/>
          <w:szCs w:val="18"/>
          <w:color w:val="auto"/>
        </w:rPr>
        <w:t>In addition, as a public company we will be required to incur additional costs and obligations in order to comply with SEC rules that implement Section 404 of the Sarbanes-Oxley Act. Under these rules, beginning with our</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95" w:right="399" w:bottom="1440" w:gutter="0" w:footer="0" w:header="0"/>
        </w:sectPr>
      </w:pPr>
    </w:p>
    <w:bookmarkStart w:id="97" w:name="page98"/>
    <w:bookmarkEnd w:id="97"/>
    <w:p>
      <w:pPr>
        <w:spacing w:after="0" w:line="269" w:lineRule="auto"/>
        <w:rPr>
          <w:sz w:val="20"/>
          <w:szCs w:val="20"/>
          <w:color w:val="auto"/>
        </w:rPr>
      </w:pPr>
      <w:r>
        <w:rPr>
          <w:rFonts w:ascii="Arial" w:cs="Arial" w:eastAsia="Arial" w:hAnsi="Arial"/>
          <w:sz w:val="18"/>
          <w:szCs w:val="18"/>
          <w:color w:val="auto"/>
        </w:rPr>
        <w:t>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29" w:lineRule="exact"/>
        <w:rPr>
          <w:sz w:val="20"/>
          <w:szCs w:val="20"/>
          <w:color w:val="auto"/>
        </w:rPr>
      </w:pPr>
    </w:p>
    <w:p>
      <w:pPr>
        <w:ind w:firstLine="374"/>
        <w:spacing w:after="0" w:line="270"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12" w:lineRule="exact"/>
        <w:rPr>
          <w:sz w:val="20"/>
          <w:szCs w:val="20"/>
          <w:color w:val="auto"/>
        </w:rPr>
      </w:pPr>
    </w:p>
    <w:p>
      <w:pPr>
        <w:ind w:right="20" w:firstLine="374"/>
        <w:spacing w:after="0" w:line="275"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our Initial Public Offering and may not use them effectively.</w:t>
      </w:r>
    </w:p>
    <w:p>
      <w:pPr>
        <w:spacing w:after="0" w:line="131" w:lineRule="exact"/>
        <w:rPr>
          <w:sz w:val="20"/>
          <w:szCs w:val="20"/>
          <w:color w:val="auto"/>
        </w:rPr>
      </w:pPr>
    </w:p>
    <w:p>
      <w:pPr>
        <w:ind w:right="20" w:firstLine="374"/>
        <w:spacing w:after="0" w:line="272" w:lineRule="auto"/>
        <w:rPr>
          <w:sz w:val="20"/>
          <w:szCs w:val="20"/>
          <w:color w:val="auto"/>
        </w:rPr>
      </w:pPr>
      <w:r>
        <w:rPr>
          <w:rFonts w:ascii="Arial" w:cs="Arial" w:eastAsia="Arial" w:hAnsi="Arial"/>
          <w:sz w:val="18"/>
          <w:szCs w:val="18"/>
          <w:color w:val="auto"/>
        </w:rPr>
        <w:t>Our management has broad discretion in the application of the net proceeds from our Initial Public Offering, and you will be relying on the judgment of our management regarding the application of these proceeds. You will not have the opportunity, as part of your investment decision, to assess whether we are using the proceeds appropriately. Our management might not apply the net proceeds in ways that ultimately increase the value of your investment. If we do not invest or apply the net proceeds from our Initial Public Offering in ways that enhance stockholder value, we may fail to achieve expected financial results, which could cause our stock price to decline.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31" w:lineRule="exact"/>
        <w:rPr>
          <w:sz w:val="20"/>
          <w:szCs w:val="20"/>
          <w:color w:val="auto"/>
        </w:rPr>
      </w:pPr>
    </w:p>
    <w:p>
      <w:pPr>
        <w:ind w:right="180" w:firstLine="374"/>
        <w:spacing w:after="0" w:line="279"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102"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62" w:lineRule="exact"/>
        <w:rPr>
          <w:sz w:val="20"/>
          <w:szCs w:val="20"/>
          <w:color w:val="auto"/>
        </w:rPr>
      </w:pPr>
    </w:p>
    <w:p>
      <w:pPr>
        <w:ind w:right="140" w:firstLine="374"/>
        <w:spacing w:after="0" w:line="279"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8" w:name="page99"/>
    <w:bookmarkEnd w:id="98"/>
    <w:p>
      <w:pPr>
        <w:ind w:left="1080" w:right="240"/>
        <w:spacing w:after="0" w:line="293" w:lineRule="auto"/>
        <w:rPr>
          <w:sz w:val="20"/>
          <w:szCs w:val="20"/>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eliminate the ability of our stockholders to call special meetings of stockholders;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prohibit cumulative voting;</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authorize our board of directors to amend the bylaws;</w:t>
      </w:r>
    </w:p>
    <w:p>
      <w:pPr>
        <w:spacing w:after="0" w:line="158" w:lineRule="exact"/>
        <w:rPr>
          <w:sz w:val="20"/>
          <w:szCs w:val="20"/>
          <w:color w:val="auto"/>
        </w:rPr>
      </w:pPr>
    </w:p>
    <w:p>
      <w:pPr>
        <w:ind w:left="1080" w:right="700"/>
        <w:spacing w:after="0" w:line="293" w:lineRule="auto"/>
        <w:rPr>
          <w:sz w:val="20"/>
          <w:szCs w:val="20"/>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require a super-majority vote of stockholders to amend some provisions described above.</w:t>
      </w:r>
    </w:p>
    <w:p>
      <w:pPr>
        <w:spacing w:after="0" w:line="171" w:lineRule="exact"/>
        <w:rPr>
          <w:sz w:val="20"/>
          <w:szCs w:val="20"/>
          <w:color w:val="auto"/>
        </w:rPr>
      </w:pPr>
    </w:p>
    <w:p>
      <w:pPr>
        <w:ind w:right="40" w:firstLine="374"/>
        <w:spacing w:after="0" w:line="275"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04" w:lineRule="exact"/>
        <w:rPr>
          <w:sz w:val="20"/>
          <w:szCs w:val="20"/>
          <w:color w:val="auto"/>
        </w:rPr>
      </w:pPr>
    </w:p>
    <w:p>
      <w:pPr>
        <w:jc w:val="both"/>
        <w:ind w:right="80" w:firstLine="374"/>
        <w:spacing w:after="0" w:line="279"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15" w:lineRule="exact"/>
        <w:rPr>
          <w:sz w:val="20"/>
          <w:szCs w:val="20"/>
          <w:color w:val="auto"/>
        </w:rPr>
      </w:pPr>
    </w:p>
    <w:p>
      <w:pPr>
        <w:ind w:right="120"/>
        <w:spacing w:after="0" w:line="319" w:lineRule="auto"/>
        <w:rPr>
          <w:sz w:val="20"/>
          <w:szCs w:val="20"/>
          <w:color w:val="auto"/>
        </w:rPr>
      </w:pPr>
      <w:r>
        <w:rPr>
          <w:rFonts w:ascii="Arial" w:cs="Arial" w:eastAsia="Arial" w:hAnsi="Arial"/>
          <w:sz w:val="17"/>
          <w:szCs w:val="17"/>
          <w:b w:val="1"/>
          <w:bCs w:val="1"/>
          <w:i w:val="1"/>
          <w:iCs w:val="1"/>
          <w:color w:val="auto"/>
        </w:rPr>
        <w:t>Our amended and restated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Court of Chancery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is the exclusive forum for:</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derivative action or proceeding brought on our behalf;</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action asserting a claim of breach of fiduciary duty;</w:t>
      </w:r>
    </w:p>
    <w:p>
      <w:pPr>
        <w:spacing w:after="0" w:line="171" w:lineRule="exact"/>
        <w:rPr>
          <w:sz w:val="20"/>
          <w:szCs w:val="20"/>
          <w:color w:val="auto"/>
        </w:rPr>
      </w:pPr>
    </w:p>
    <w:p>
      <w:pPr>
        <w:ind w:left="1080" w:right="140"/>
        <w:spacing w:after="0" w:line="293" w:lineRule="auto"/>
        <w:rPr>
          <w:sz w:val="20"/>
          <w:szCs w:val="20"/>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action asserting a claim against us that is governed by the internal-affairs doctrine.</w:t>
      </w:r>
    </w:p>
    <w:p>
      <w:pPr>
        <w:spacing w:after="0" w:line="158" w:lineRule="exact"/>
        <w:rPr>
          <w:sz w:val="20"/>
          <w:szCs w:val="20"/>
          <w:color w:val="auto"/>
        </w:rPr>
      </w:pPr>
    </w:p>
    <w:p>
      <w:pPr>
        <w:ind w:firstLine="374"/>
        <w:spacing w:after="0" w:line="311" w:lineRule="auto"/>
        <w:rPr>
          <w:sz w:val="20"/>
          <w:szCs w:val="20"/>
          <w:color w:val="auto"/>
        </w:rPr>
      </w:pPr>
      <w:r>
        <w:rPr>
          <w:rFonts w:ascii="Arial" w:cs="Arial" w:eastAsia="Arial" w:hAnsi="Arial"/>
          <w:sz w:val="16"/>
          <w:szCs w:val="16"/>
          <w:color w:val="auto"/>
        </w:rPr>
        <w:t>This Delaware forum provision does not apply to actions arising under the Securities Exchange Act of 1934 because the federal courts have exclusive jurisdiction over such claims. 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spacing w:after="0" w:line="95" w:lineRule="exact"/>
        <w:rPr>
          <w:sz w:val="20"/>
          <w:szCs w:val="20"/>
          <w:color w:val="auto"/>
        </w:rPr>
      </w:pPr>
    </w:p>
    <w:p>
      <w:pPr>
        <w:ind w:firstLine="374"/>
        <w:spacing w:after="0" w:line="272" w:lineRule="auto"/>
        <w:rPr>
          <w:sz w:val="20"/>
          <w:szCs w:val="20"/>
          <w:color w:val="auto"/>
        </w:rPr>
      </w:pPr>
      <w:r>
        <w:rPr>
          <w:rFonts w:ascii="Arial" w:cs="Arial" w:eastAsia="Arial" w:hAnsi="Arial"/>
          <w:sz w:val="18"/>
          <w:szCs w:val="18"/>
          <w:color w:val="auto"/>
        </w:rPr>
        <w:t>Our amended and restated bylaws provide that, unless we consent in writing to the selection of an alternative forum, the federal district courts of the United States of America will be the exclusive forum for resolving any complaint asserting a cause of action arising under the Securities Act of 1933 against any person in connection with any offering of the Company’s securities, including but not limited to any auditor, underwriter, selling shareholder, expert, control person, or other defendant. This federal forum provision may limit a stockholder’s ability to bring a Securities Act claim in a judicial forum that the stockholder finds favorable, which may discourage lawsuits against</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95" w:right="419" w:bottom="1440" w:gutter="0" w:footer="0" w:header="0"/>
        </w:sectPr>
      </w:pPr>
    </w:p>
    <w:bookmarkStart w:id="99" w:name="page100"/>
    <w:bookmarkEnd w:id="99"/>
    <w:p>
      <w:pPr>
        <w:spacing w:after="0" w:line="271" w:lineRule="auto"/>
        <w:rPr>
          <w:sz w:val="20"/>
          <w:szCs w:val="20"/>
          <w:color w:val="auto"/>
        </w:rPr>
      </w:pPr>
      <w:r>
        <w:rPr>
          <w:rFonts w:ascii="Arial" w:cs="Arial" w:eastAsia="Arial" w:hAnsi="Arial"/>
          <w:sz w:val="18"/>
          <w:szCs w:val="18"/>
          <w:color w:val="auto"/>
        </w:rPr>
        <w:t>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spacing w:after="0" w:line="123"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7" w:lineRule="exact"/>
        <w:rPr>
          <w:sz w:val="20"/>
          <w:szCs w:val="20"/>
          <w:color w:val="auto"/>
        </w:rPr>
      </w:pPr>
    </w:p>
    <w:p>
      <w:pPr>
        <w:ind w:firstLine="374"/>
        <w:spacing w:after="0" w:line="290" w:lineRule="auto"/>
        <w:rPr>
          <w:sz w:val="20"/>
          <w:szCs w:val="20"/>
          <w:color w:val="auto"/>
        </w:rPr>
      </w:pPr>
      <w:r>
        <w:rPr>
          <w:rFonts w:ascii="Arial" w:cs="Arial" w:eastAsia="Arial" w:hAnsi="Arial"/>
          <w:sz w:val="17"/>
          <w:szCs w:val="17"/>
          <w:color w:val="auto"/>
        </w:rPr>
        <w:t>We rely on third party software for state and local tax rates, updated whenever tax rates change. We also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will be authorized to issue and designate shares of our preferred stock in additional series without stockholder approval.</w:t>
      </w:r>
    </w:p>
    <w:p>
      <w:pPr>
        <w:spacing w:after="0" w:line="154" w:lineRule="exact"/>
        <w:rPr>
          <w:sz w:val="20"/>
          <w:szCs w:val="20"/>
          <w:color w:val="auto"/>
        </w:rPr>
      </w:pPr>
    </w:p>
    <w:p>
      <w:pPr>
        <w:ind w:right="20" w:firstLine="374"/>
        <w:spacing w:after="0" w:line="314" w:lineRule="auto"/>
        <w:rPr>
          <w:sz w:val="20"/>
          <w:szCs w:val="20"/>
          <w:color w:val="auto"/>
        </w:rPr>
      </w:pPr>
      <w:r>
        <w:rPr>
          <w:rFonts w:ascii="Arial" w:cs="Arial" w:eastAsia="Arial" w:hAnsi="Arial"/>
          <w:sz w:val="16"/>
          <w:szCs w:val="16"/>
          <w:color w:val="auto"/>
        </w:rPr>
        <w:t>Our amended and restated certificate of incorporation will authorize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92"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right="20" w:firstLine="374"/>
        <w:spacing w:after="0" w:line="290" w:lineRule="auto"/>
        <w:rPr>
          <w:sz w:val="20"/>
          <w:szCs w:val="20"/>
          <w:color w:val="auto"/>
        </w:rPr>
      </w:pPr>
      <w:r>
        <w:rPr>
          <w:rFonts w:ascii="Arial" w:cs="Arial" w:eastAsia="Arial" w:hAnsi="Arial"/>
          <w:sz w:val="17"/>
          <w:szCs w:val="17"/>
          <w:color w:val="auto"/>
        </w:rPr>
        <w:t>The Tax Act enacted many significant changes to the U.S. tax laws, the consequences of which have not yet been fully determined.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one-time charges in the current or future taxable years and could increase our future U.S. tax expense. The foregoing items, as well as any future changes in tax laws, could have a material adverse effect on our business, cash flow, financial condition or results of operations. In addition, it is uncertain if and to what extent various states will conform to the newly enacted federal tax legislation.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48"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Our business, financial condition, results of operations and growth have been harmed by the effects of the COVID-19 pandemic and may continue to be harmed.</w:t>
      </w:r>
    </w:p>
    <w:p>
      <w:pPr>
        <w:spacing w:after="0" w:line="62" w:lineRule="exact"/>
        <w:rPr>
          <w:sz w:val="20"/>
          <w:szCs w:val="20"/>
          <w:color w:val="auto"/>
        </w:rPr>
      </w:pPr>
    </w:p>
    <w:p>
      <w:pPr>
        <w:ind w:right="100" w:firstLine="374"/>
        <w:spacing w:after="0" w:line="309" w:lineRule="auto"/>
        <w:rPr>
          <w:sz w:val="20"/>
          <w:szCs w:val="20"/>
          <w:color w:val="auto"/>
        </w:rPr>
      </w:pPr>
      <w:r>
        <w:rPr>
          <w:rFonts w:ascii="Arial" w:cs="Arial" w:eastAsia="Arial" w:hAnsi="Arial"/>
          <w:sz w:val="16"/>
          <w:szCs w:val="16"/>
          <w:color w:val="auto"/>
        </w:rPr>
        <w:t>We are subject to risks related to public health crises such as the global pandemic associated with COVID-19. In December 2019, a novel strain of coronavirus, SARS-CoV-2, was reported to have surfaced in Wuhan, China. Since then, SARS-CoV-2, and the resulting disease COVID-19, has spread to most countries, and all 50 states within the United States. The COVID-19 outbreak has negatively impacted and may continue to negatively impact our operations and revenues and overall financial condition by decreasing the number of our RxSight systems sold. The number of our RxSight systems sold, similar to other ophthalmic procedures, has decreased as health care organizations globally have prioritized the treatment of patients with COVID-19. For example, in the United States, governmental authorities have recommended, and in certain cases required, that elective, specialty and other procedures and appointments, including those related to cataract treatments, be suspended or canceled to avoid</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00" w:name="page101"/>
    <w:bookmarkEnd w:id="100"/>
    <w:p>
      <w:pPr>
        <w:ind w:right="60"/>
        <w:spacing w:after="0" w:line="311" w:lineRule="auto"/>
        <w:rPr>
          <w:sz w:val="20"/>
          <w:szCs w:val="20"/>
          <w:color w:val="auto"/>
        </w:rPr>
      </w:pPr>
      <w:r>
        <w:rPr>
          <w:rFonts w:ascii="Arial" w:cs="Arial" w:eastAsia="Arial" w:hAnsi="Arial"/>
          <w:sz w:val="16"/>
          <w:szCs w:val="16"/>
          <w:color w:val="auto"/>
        </w:rPr>
        <w:t>non-essential patient exposure to medical environments and potential infection with COVID-19 and to focus limited resources and personnel capacity toward the treatment of COVID-19. These measures and challenges may continue for the duration of the pandemic, which is uncertain, and will reduce our revenue and continue to interrupt the commercialization of our products while the pandemic continues. Further, once the pandemic subsides, we anticipate there will be a substantial backlog of patients seeking appointments with doctors and surgeries to be performed at ophthalmic practices and ambulatory surgery centers relating to a variety of medical conditions, and as a result, patients seeking to receive, or who have received, our LAL will have to navigate limited provider capacity. We believe this limited provider capacity could have an adverse effect on our sales following the end of the pandemic.</w:t>
      </w:r>
    </w:p>
    <w:p>
      <w:pPr>
        <w:spacing w:after="0" w:line="95" w:lineRule="exact"/>
        <w:rPr>
          <w:sz w:val="20"/>
          <w:szCs w:val="20"/>
          <w:color w:val="auto"/>
        </w:rPr>
      </w:pPr>
    </w:p>
    <w:p>
      <w:pPr>
        <w:ind w:firstLine="374"/>
        <w:spacing w:after="0" w:line="286" w:lineRule="auto"/>
        <w:rPr>
          <w:sz w:val="20"/>
          <w:szCs w:val="20"/>
          <w:color w:val="auto"/>
        </w:rPr>
      </w:pPr>
      <w:r>
        <w:rPr>
          <w:rFonts w:ascii="Arial" w:cs="Arial" w:eastAsia="Arial" w:hAnsi="Arial"/>
          <w:sz w:val="17"/>
          <w:szCs w:val="17"/>
          <w:color w:val="auto"/>
        </w:rPr>
        <w:t>Numerous state and local jurisdictions have imposed, and others in the future may impose, “shelter-in-place” orders, quarantines, executive orders and similar government orders and restrictions for their residents to control the spread of COVID-19. Starting in mid-March 2020, the governor of California, where our headquarters is located, issued “shelter-in-place” or “stay at home” orders restricting non-essential activities, travel and business operations for an indefinite period of time, subject to certain exceptions for necessary activities. Such orders or restrictions have resulted in the temporary closing of our headquarters, slowdowns and delays, travel restrictions and cancellation of events, among other effects, thereby negatively impacting our operations. Other disruptions or potential disruptions include restrictions on our personnel and personnel of partners to travel and access customers for training and case support; delays in approvals by regulatory bodies; delays in product development efforts; and additional government requirements or other incremental mitigation efforts that may further impact our capacity to manufacture, sell and support the use of our RxSight system. In addition, even after the “shelter-in-place” orders, quarantines, executive orders and similar government orders and restrictions for their residents to control the spread of COVID-19 are lifted, we may continue to experience disruptions to our business, including as a result of patients and customers continuing to be cautious in restarting elective procedures in light of the continued risk posed by the virus.</w:t>
      </w:r>
    </w:p>
    <w:p>
      <w:pPr>
        <w:spacing w:after="0" w:line="97"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As we continue to actively advance our clinical programs and discovery and research programs, we are in close contact with the third parties we engage with and are assessing the impact of the COVID-19 pandemic on each of our programs, expected timelines and costs on an ongoing basis. In light of ongoing developments relating to the COVID-19 pandemic, the focus of healthcare providers on fighting the virus, and consistent with the FDA’s industry guidance for conducting clinical trials issued in March 2020, updated subsequently, we and our contract research organizations have made certain adjustments to the operation of our clinical trials in an effort to ensure the monitoring and safety of patients and minimize risk to trial integrity during the pandemic and generally. Other COVID-related guidance recently released by FDA includes statistical considerations for clinical trials during the COVID-19 public health emergency and post-marketing adverse event reporting for medical products during a pandemic. We may need to make further adjustments in the future, including implementation of new policies and procedures.</w:t>
      </w:r>
    </w:p>
    <w:p>
      <w:pPr>
        <w:spacing w:after="0" w:line="114" w:lineRule="exact"/>
        <w:rPr>
          <w:sz w:val="20"/>
          <w:szCs w:val="20"/>
          <w:color w:val="auto"/>
        </w:rPr>
      </w:pPr>
    </w:p>
    <w:p>
      <w:pPr>
        <w:ind w:right="20" w:firstLine="374"/>
        <w:spacing w:after="0" w:line="269" w:lineRule="auto"/>
        <w:rPr>
          <w:sz w:val="20"/>
          <w:szCs w:val="20"/>
          <w:color w:val="auto"/>
        </w:rPr>
      </w:pPr>
      <w:r>
        <w:rPr>
          <w:rFonts w:ascii="Arial" w:cs="Arial" w:eastAsia="Arial" w:hAnsi="Arial"/>
          <w:sz w:val="18"/>
          <w:szCs w:val="18"/>
          <w:color w:val="auto"/>
        </w:rPr>
        <w:t>While the potential economic impact brought by and the duration of COVID-19 may be difficult to assess or predict, the widespread pandemic has resulted in, and may continue to result in, significant disruption of global financial markets, reducing our ability to access capital, which could in the future negatively affect our liquidity. We expect any further shelter-in-place policies and restrictions on elective surgical procedures worldwide to have a substantial near-term impact on our revenue. During the COVID-19 pandemic, our customers, including doctors, have experienced financial hardship and some of them may not fully recover. This could lead to some of these customers temporarily or permanently shutting down, filing for bankruptcy or being acquired by larger health systems, leading to reduced procedures and/or additional pricing pressure on our products. The COVID-19 pandemic has also resulted in a significant increase in unemployment in the United States which may continue even after the pandemic. The occurrence of any such events may lead to reduced disposable income and access to health insurance which could adversely affect the number of RxSight systems sold after the pandemic has ended.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31" w:lineRule="exact"/>
        <w:rPr>
          <w:sz w:val="20"/>
          <w:szCs w:val="20"/>
          <w:color w:val="auto"/>
        </w:rPr>
      </w:pPr>
    </w:p>
    <w:p>
      <w:pPr>
        <w:ind w:right="20" w:firstLine="374"/>
        <w:spacing w:after="0" w:line="329" w:lineRule="auto"/>
        <w:rPr>
          <w:sz w:val="20"/>
          <w:szCs w:val="20"/>
          <w:color w:val="auto"/>
        </w:rPr>
      </w:pPr>
      <w:r>
        <w:rPr>
          <w:rFonts w:ascii="Arial" w:cs="Arial" w:eastAsia="Arial" w:hAnsi="Arial"/>
          <w:sz w:val="16"/>
          <w:szCs w:val="16"/>
          <w:color w:val="auto"/>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101" w:name="page102"/>
    <w:bookmarkEnd w:id="101"/>
    <w:p>
      <w:pPr>
        <w:spacing w:after="0" w:line="271" w:lineRule="auto"/>
        <w:rPr>
          <w:sz w:val="20"/>
          <w:szCs w:val="20"/>
          <w:color w:val="auto"/>
        </w:rPr>
      </w:pPr>
      <w:r>
        <w:rPr>
          <w:rFonts w:ascii="Arial" w:cs="Arial" w:eastAsia="Arial" w:hAnsi="Arial"/>
          <w:sz w:val="18"/>
          <w:szCs w:val="18"/>
          <w:color w:val="auto"/>
        </w:rPr>
        <w:t>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123" w:lineRule="exact"/>
        <w:rPr>
          <w:sz w:val="20"/>
          <w:szCs w:val="20"/>
          <w:color w:val="auto"/>
        </w:rPr>
      </w:pPr>
    </w:p>
    <w:p>
      <w:pPr>
        <w:ind w:right="60" w:firstLine="374"/>
        <w:spacing w:after="0" w:line="292" w:lineRule="auto"/>
        <w:rPr>
          <w:sz w:val="20"/>
          <w:szCs w:val="20"/>
          <w:color w:val="auto"/>
        </w:rPr>
      </w:pPr>
      <w:r>
        <w:rPr>
          <w:rFonts w:ascii="Arial" w:cs="Arial" w:eastAsia="Arial" w:hAnsi="Arial"/>
          <w:sz w:val="17"/>
          <w:szCs w:val="17"/>
          <w:color w:val="auto"/>
        </w:rPr>
        <w:t>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 or security breaches.</w:t>
      </w:r>
    </w:p>
    <w:p>
      <w:pPr>
        <w:spacing w:after="0" w:line="131" w:lineRule="exact"/>
        <w:rPr>
          <w:sz w:val="20"/>
          <w:szCs w:val="20"/>
          <w:color w:val="auto"/>
        </w:rPr>
      </w:pPr>
    </w:p>
    <w:p>
      <w:pPr>
        <w:ind w:firstLine="374"/>
        <w:spacing w:after="0" w:line="288" w:lineRule="auto"/>
        <w:rPr>
          <w:sz w:val="20"/>
          <w:szCs w:val="20"/>
          <w:color w:val="auto"/>
        </w:rPr>
      </w:pPr>
      <w:r>
        <w:rPr>
          <w:rFonts w:ascii="Arial" w:cs="Arial" w:eastAsia="Arial" w:hAnsi="Arial"/>
          <w:sz w:val="17"/>
          <w:szCs w:val="17"/>
          <w:color w:val="auto"/>
        </w:rPr>
        <w:t>Our computer systems, as well as those of our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the commercialization of our RxSight system and our future products. For example, the loss of preclinical study or clinical trial data from completed, ongoing or planned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commercialization of our RxSight system and the further development of our current and future products could be delayed.</w:t>
      </w:r>
    </w:p>
    <w:p>
      <w:pPr>
        <w:spacing w:after="0" w:line="113" w:lineRule="exact"/>
        <w:rPr>
          <w:sz w:val="20"/>
          <w:szCs w:val="20"/>
          <w:color w:val="auto"/>
        </w:rPr>
      </w:pPr>
    </w:p>
    <w:p>
      <w:pPr>
        <w:ind w:right="40" w:firstLine="374"/>
        <w:spacing w:after="0" w:line="287" w:lineRule="auto"/>
        <w:rPr>
          <w:sz w:val="20"/>
          <w:szCs w:val="20"/>
          <w:color w:val="auto"/>
        </w:rPr>
      </w:pPr>
      <w:r>
        <w:rPr>
          <w:rFonts w:ascii="Arial" w:cs="Arial" w:eastAsia="Arial" w:hAnsi="Arial"/>
          <w:sz w:val="17"/>
          <w:szCs w:val="17"/>
          <w:color w:val="auto"/>
        </w:rPr>
        <w:t>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such material security breach to date, any such breach could compromise our networks and the information stored there could be accessed, publicly disclosed, lost or stolen. Any such actual or perceived access, disclosure or other security breach or loss of information (whether affecting us or one of our third-party service providers) could result in legal claims proceedings, regulatory investigations, liability under laws that protect the privacy of personal information, significant regulatory penalties or other fines,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w:t>
      </w:r>
    </w:p>
    <w:p>
      <w:pPr>
        <w:spacing w:after="0" w:line="110" w:lineRule="exact"/>
        <w:rPr>
          <w:sz w:val="20"/>
          <w:szCs w:val="20"/>
          <w:color w:val="auto"/>
        </w:rPr>
      </w:pPr>
    </w:p>
    <w:p>
      <w:pPr>
        <w:ind w:right="20" w:firstLine="374"/>
        <w:spacing w:after="0" w:line="286" w:lineRule="auto"/>
        <w:rPr>
          <w:sz w:val="20"/>
          <w:szCs w:val="20"/>
          <w:color w:val="auto"/>
        </w:rPr>
      </w:pPr>
      <w:r>
        <w:rPr>
          <w:rFonts w:ascii="Arial" w:cs="Arial" w:eastAsia="Arial" w:hAnsi="Arial"/>
          <w:sz w:val="17"/>
          <w:szCs w:val="17"/>
          <w:color w:val="auto"/>
        </w:rPr>
        <w:t>The techniques and sophistication used to conduct cyber-attacks and breaches of information technology systems, as well as the sources and targets of these attacks, may take many forms (including phishing, social engineering, denial or degradation of service attacks, malware or ransomware), change frequently and are often not recognized until such attacks are launched or have been in place for a period of time. In addition, our employees, contractors, or third parties with whom we do business or to whom we outsource business operations may attempt to circumvent our security measures in order to misappropriate regulated, protected, or personally identifiable information, and may purposefully or inadvertently cause a breach involving or compromise of such information. Third parties may have the technology or know-how to breach the security of the information collected, stored, or transmitted by us, and our respective security measures, as well as those of our third-party service providers, may not effectively prohibit others from obtaining improper access to this information. Advances in computer and software capabilities and encryption technology, new tools, and other developments may increase the risk of such a breach or compromise. There is no assurance that any security procedures or controls that we or our third-party providers have implemented will be sufficient to prevent data-security related incidents from occurring.</w:t>
      </w:r>
    </w:p>
    <w:p>
      <w:pPr>
        <w:spacing w:after="0" w:line="101" w:lineRule="exact"/>
        <w:rPr>
          <w:sz w:val="20"/>
          <w:szCs w:val="20"/>
          <w:color w:val="auto"/>
        </w:rPr>
      </w:pPr>
    </w:p>
    <w:p>
      <w:pPr>
        <w:ind w:right="440" w:firstLine="374"/>
        <w:spacing w:after="0" w:line="293" w:lineRule="auto"/>
        <w:rPr>
          <w:sz w:val="20"/>
          <w:szCs w:val="20"/>
          <w:color w:val="auto"/>
        </w:rPr>
      </w:pPr>
      <w:r>
        <w:rPr>
          <w:rFonts w:ascii="Arial" w:cs="Arial" w:eastAsia="Arial" w:hAnsi="Arial"/>
          <w:sz w:val="18"/>
          <w:szCs w:val="18"/>
          <w:color w:val="auto"/>
        </w:rPr>
        <w:t>We may be required to expend significant capital and other resources to protect against, respond to, and recover from any potential, attempted or existing security breaches or failures and their consequences. As data</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102" w:name="page103"/>
    <w:bookmarkEnd w:id="102"/>
    <w:p>
      <w:pPr>
        <w:ind w:right="40"/>
        <w:spacing w:after="0" w:line="311" w:lineRule="auto"/>
        <w:rPr>
          <w:sz w:val="20"/>
          <w:szCs w:val="20"/>
          <w:color w:val="auto"/>
        </w:rPr>
      </w:pPr>
      <w:r>
        <w:rPr>
          <w:rFonts w:ascii="Arial" w:cs="Arial" w:eastAsia="Arial" w:hAnsi="Arial"/>
          <w:sz w:val="16"/>
          <w:szCs w:val="16"/>
          <w:color w:val="auto"/>
        </w:rPr>
        <w:t>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may adversely affect our business.</w:t>
      </w:r>
    </w:p>
    <w:p>
      <w:pPr>
        <w:spacing w:after="0" w:line="131" w:lineRule="exact"/>
        <w:rPr>
          <w:sz w:val="20"/>
          <w:szCs w:val="20"/>
          <w:color w:val="auto"/>
        </w:rPr>
      </w:pPr>
    </w:p>
    <w:p>
      <w:pPr>
        <w:ind w:right="60" w:firstLine="374"/>
        <w:spacing w:after="0" w:line="272" w:lineRule="auto"/>
        <w:rPr>
          <w:sz w:val="20"/>
          <w:szCs w:val="20"/>
          <w:color w:val="auto"/>
        </w:rPr>
      </w:pPr>
      <w:r>
        <w:rPr>
          <w:rFonts w:ascii="Arial" w:cs="Arial" w:eastAsia="Arial" w:hAnsi="Arial"/>
          <w:sz w:val="18"/>
          <w:szCs w:val="18"/>
          <w:color w:val="auto"/>
        </w:rPr>
        <w:t>Adverse worldwide economic conditions, including those related to the COVID-19 pandemic, may negatively impact our business. A significant change in the liquidity or financial condition of our customers could cause unfavorable trends in their purchases and also in our receivable collections, and additional allowances may be required, which could adversely affect our business, financial condition and results of operations. Adverse worldwide economic conditions may also adversely impact our suppliers’ ability to provide us with materials and components, which could have a material adverse effect on our business, financial condition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131"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31" w:lineRule="exact"/>
        <w:rPr>
          <w:sz w:val="20"/>
          <w:szCs w:val="20"/>
          <w:color w:val="auto"/>
        </w:rPr>
      </w:pPr>
    </w:p>
    <w:p>
      <w:pPr>
        <w:ind w:right="20" w:firstLine="374"/>
        <w:spacing w:after="0" w:line="288" w:lineRule="auto"/>
        <w:rPr>
          <w:sz w:val="20"/>
          <w:szCs w:val="20"/>
          <w:color w:val="auto"/>
        </w:rPr>
      </w:pPr>
      <w:r>
        <w:rPr>
          <w:rFonts w:ascii="Arial" w:cs="Arial" w:eastAsia="Arial" w:hAnsi="Arial"/>
          <w:sz w:val="17"/>
          <w:szCs w:val="17"/>
          <w:color w:val="auto"/>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13"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b w:val="1"/>
          <w:bCs w:val="1"/>
          <w:i w:val="1"/>
          <w:iCs w:val="1"/>
          <w:color w:val="auto"/>
        </w:rPr>
        <w:t>Our results of operations could be materially harmed if we are unable to accurately forecast customer demand for our products and manage our inventory.</w:t>
      </w:r>
    </w:p>
    <w:p>
      <w:pPr>
        <w:spacing w:after="0" w:line="62" w:lineRule="exact"/>
        <w:rPr>
          <w:sz w:val="20"/>
          <w:szCs w:val="20"/>
          <w:color w:val="auto"/>
        </w:rPr>
      </w:pPr>
    </w:p>
    <w:p>
      <w:pPr>
        <w:ind w:firstLine="374"/>
        <w:spacing w:after="0" w:line="311" w:lineRule="auto"/>
        <w:rPr>
          <w:sz w:val="20"/>
          <w:szCs w:val="20"/>
          <w:color w:val="auto"/>
        </w:rPr>
      </w:pPr>
      <w:r>
        <w:rPr>
          <w:rFonts w:ascii="Arial" w:cs="Arial" w:eastAsia="Arial" w:hAnsi="Arial"/>
          <w:sz w:val="16"/>
          <w:szCs w:val="16"/>
          <w:color w:val="auto"/>
        </w:rPr>
        <w:t>We seek to maintain sufficient levels of inventory in order to protect ourselves from supply interruptions, but keep limited components, sub-assemblies, materials and finished products on hand.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product introductions by competitors, an increase or decrease in customer demand for our products, our failure to accurately forecast customer acceptance of new products, unanticipated</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103" w:name="page104"/>
    <w:bookmarkEnd w:id="103"/>
    <w:p>
      <w:pPr>
        <w:jc w:val="center"/>
        <w:ind w:right="100"/>
        <w:spacing w:after="0"/>
        <w:rPr>
          <w:sz w:val="20"/>
          <w:szCs w:val="20"/>
          <w:color w:val="auto"/>
        </w:rPr>
      </w:pPr>
      <w:r>
        <w:rPr>
          <w:rFonts w:ascii="Arial" w:cs="Arial" w:eastAsia="Arial" w:hAnsi="Arial"/>
          <w:sz w:val="16"/>
          <w:szCs w:val="16"/>
          <w:color w:val="auto"/>
        </w:rPr>
        <w:t>changes in general market conditions or regulatory matters and weakening of economic conditions or consumer confidence in future economic conditions.</w:t>
      </w:r>
    </w:p>
    <w:p>
      <w:pPr>
        <w:spacing w:after="0" w:line="194" w:lineRule="exact"/>
        <w:rPr>
          <w:sz w:val="20"/>
          <w:szCs w:val="20"/>
          <w:color w:val="auto"/>
        </w:rPr>
      </w:pPr>
    </w:p>
    <w:p>
      <w:pPr>
        <w:ind w:right="40" w:firstLine="374"/>
        <w:spacing w:after="0" w:line="306" w:lineRule="auto"/>
        <w:rPr>
          <w:sz w:val="20"/>
          <w:szCs w:val="20"/>
          <w:color w:val="auto"/>
        </w:rPr>
      </w:pPr>
      <w:r>
        <w:rPr>
          <w:rFonts w:ascii="Arial" w:cs="Arial" w:eastAsia="Arial" w:hAnsi="Arial"/>
          <w:sz w:val="16"/>
          <w:szCs w:val="16"/>
          <w:color w:val="auto"/>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333" w:lineRule="exact"/>
        <w:rPr>
          <w:sz w:val="20"/>
          <w:szCs w:val="20"/>
          <w:color w:val="auto"/>
        </w:rPr>
      </w:pPr>
    </w:p>
    <w:p>
      <w:pPr>
        <w:ind w:right="240" w:firstLine="374"/>
        <w:spacing w:after="0" w:line="372" w:lineRule="auto"/>
        <w:rPr>
          <w:sz w:val="20"/>
          <w:szCs w:val="20"/>
          <w:color w:val="auto"/>
        </w:rPr>
      </w:pPr>
      <w:r>
        <w:rPr>
          <w:rFonts w:ascii="Arial" w:cs="Arial" w:eastAsia="Arial" w:hAnsi="Arial"/>
          <w:sz w:val="16"/>
          <w:szCs w:val="16"/>
          <w:color w:val="auto"/>
        </w:rPr>
        <w:t>From July 1, 2021 through September 30, 2021, we granted to our employees and consultants stock options to purchase an aggregate of 295,633 shares of our common stock under our 2021 Equity Incentive Plan, at exercise prices ranging from $12.54 to $15.38 per share. On July 30, 2021, we granted to our named executive officers and certain employees stock options to purchase an aggregate of 622,990 shares of our common stock under our 2021 Equity Incentive Plan, at an exercise price of $16.00 per share. The awards will vest over one to four years of service.</w:t>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August 3, 2021, certain of our stockholders cash exercised 63,728 warrants to purchase our Series H Preferred Stock at the exercise price of</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$12.40 per share, and certain of our stockholders completed a cashless exercise of warrants to purchase 36,533 Series H Preferred Stock on August 3, 2021.</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aggregate 100,261 shares of Series H Preferred Stock were subsequently converted into 100,261 shares of common stock prior to the closing of the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IPO.</w:t>
      </w:r>
    </w:p>
    <w:p>
      <w:pPr>
        <w:spacing w:after="0" w:line="333" w:lineRule="exact"/>
        <w:rPr>
          <w:sz w:val="20"/>
          <w:szCs w:val="20"/>
          <w:color w:val="auto"/>
        </w:rPr>
      </w:pPr>
    </w:p>
    <w:p>
      <w:pPr>
        <w:ind w:firstLine="374"/>
        <w:spacing w:after="0" w:line="316"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250" w:lineRule="exact"/>
        <w:rPr>
          <w:sz w:val="20"/>
          <w:szCs w:val="20"/>
          <w:color w:val="auto"/>
        </w:rPr>
      </w:pPr>
    </w:p>
    <w:p>
      <w:pPr>
        <w:jc w:val="both"/>
        <w:ind w:right="120" w:firstLine="374"/>
        <w:spacing w:after="0" w:line="382" w:lineRule="auto"/>
        <w:rPr>
          <w:sz w:val="20"/>
          <w:szCs w:val="20"/>
          <w:color w:val="auto"/>
        </w:rPr>
      </w:pPr>
      <w:r>
        <w:rPr>
          <w:rFonts w:ascii="Arial" w:cs="Arial" w:eastAsia="Arial" w:hAnsi="Arial"/>
          <w:sz w:val="16"/>
          <w:szCs w:val="16"/>
          <w:color w:val="auto"/>
        </w:rPr>
        <w:t>On July 23, 2021, we effected a reverse stock split (the “Reverse Split”) of our common stock (excluding Series G and Series W common stock) and convertible preferred stock on a 1-for-10.33 basis. The par values of the common stock and convertible preferred stock were not adjusted as a result of the Reverse Split. No fractional shares were credited to stockholders as a result of the Reverse Split. Instead, any fractional shares owed to any of</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color w:val="auto"/>
        </w:rPr>
        <w:t>our stockholders as a result of the Reverse Split are to be paid in cash, on the basis of our $16.00 per share IPO price, by a third-party paying agent.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333" w:lineRule="exact"/>
        <w:rPr>
          <w:sz w:val="20"/>
          <w:szCs w:val="20"/>
          <w:color w:val="auto"/>
        </w:rPr>
      </w:pPr>
    </w:p>
    <w:p>
      <w:pPr>
        <w:ind w:firstLine="374"/>
        <w:spacing w:after="0" w:line="382" w:lineRule="auto"/>
        <w:rPr>
          <w:sz w:val="20"/>
          <w:szCs w:val="20"/>
          <w:color w:val="auto"/>
        </w:rPr>
      </w:pPr>
      <w:r>
        <w:rPr>
          <w:rFonts w:ascii="Arial" w:cs="Arial" w:eastAsia="Arial" w:hAnsi="Arial"/>
          <w:sz w:val="16"/>
          <w:szCs w:val="16"/>
          <w:color w:val="auto"/>
        </w:rPr>
        <w:t>On August 3, 2021, we completed our IPO, with a subsequent partial exercise of the underwriter’s option to purchase additional shares. We issued and sold an aggregate of 8,248,549 shares of common stock, par value $0.001 per share, at an offering price of $16.00 per share. We received aggregate net proceeds of $120.0 million, after deducting underwriters' discounts and commissions of $9.2 million and estimated offering expenses of $3.2 million.</w:t>
      </w:r>
    </w:p>
    <w:p>
      <w:pPr>
        <w:spacing w:after="0" w:line="201" w:lineRule="exact"/>
        <w:rPr>
          <w:sz w:val="20"/>
          <w:szCs w:val="20"/>
          <w:color w:val="auto"/>
        </w:rPr>
      </w:pPr>
    </w:p>
    <w:p>
      <w:pPr>
        <w:ind w:firstLine="374"/>
        <w:spacing w:after="0" w:line="362" w:lineRule="auto"/>
        <w:rPr>
          <w:sz w:val="20"/>
          <w:szCs w:val="20"/>
          <w:color w:val="auto"/>
        </w:rPr>
      </w:pPr>
      <w:r>
        <w:rPr>
          <w:rFonts w:ascii="Arial" w:cs="Arial" w:eastAsia="Arial" w:hAnsi="Arial"/>
          <w:sz w:val="16"/>
          <w:szCs w:val="16"/>
          <w:color w:val="auto"/>
        </w:rPr>
        <w:t>We intend to use the net proceeds we received from our IPO to support our operations, including for commercial expansion, to fund product development, research activities and clinical development, and for working capital and general corporate purposes. We may use a portion of such net proceeds to invest in short-term, interest-bearing, investment-grade instruments, certificates of deposit or direct or guaranteed obligations of the U.S. government. However, we do not have agreements or commitments for any material acquisitions or investments at this time. The representatives of the underwriters and joint book-running managers of our IPO were J.P. Morgan Securities LLC and BofA Securities, Inc. No payments were made by us to directors, officers or persons owning ten percent or more of our common stock or to their associates, or to our affiliates, other than payments in the ordinary course of business to officers for salaries and to non-employee directors pursuant to director offer letters and our outside director compensation policy.</w:t>
      </w:r>
    </w:p>
    <w:p>
      <w:pPr>
        <w:spacing w:after="0" w:line="217" w:lineRule="exact"/>
        <w:rPr>
          <w:sz w:val="20"/>
          <w:szCs w:val="20"/>
          <w:color w:val="auto"/>
        </w:rPr>
      </w:pPr>
    </w:p>
    <w:p>
      <w:pPr>
        <w:ind w:right="220" w:firstLine="374"/>
        <w:spacing w:after="0" w:line="340" w:lineRule="auto"/>
        <w:rPr>
          <w:sz w:val="20"/>
          <w:szCs w:val="20"/>
          <w:color w:val="auto"/>
        </w:rPr>
      </w:pPr>
      <w:r>
        <w:rPr>
          <w:rFonts w:ascii="Arial" w:cs="Arial" w:eastAsia="Arial" w:hAnsi="Arial"/>
          <w:sz w:val="18"/>
          <w:szCs w:val="18"/>
          <w:color w:val="auto"/>
        </w:rPr>
        <w:t>There has been no material change in the planned use of the IPO proceeds as described in our prospectus dated July 29, 2021, as filed with the SEC pursuant to Rule 424(b) under the Securities Act (File No. 333-257790).</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 unless otherwise stated.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rPr>
              <w:t>EXHIBIT INDEX</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20" w:type="dxa"/>
            <w:vAlign w:val="bottom"/>
            <w:gridSpan w:val="6"/>
          </w:tcPr>
          <w:p>
            <w:pPr>
              <w:ind w:left="280"/>
              <w:spacing w:after="0"/>
              <w:rPr>
                <w:sz w:val="20"/>
                <w:szCs w:val="20"/>
                <w:color w:val="auto"/>
              </w:rPr>
            </w:pPr>
            <w:r>
              <w:rPr>
                <w:rFonts w:ascii="Arial" w:cs="Arial" w:eastAsia="Arial" w:hAnsi="Arial"/>
                <w:sz w:val="18"/>
                <w:szCs w:val="18"/>
                <w:b w:val="1"/>
                <w:bCs w:val="1"/>
                <w:color w:val="auto"/>
              </w:rPr>
              <w:t>Incorporated by Reference</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40" w:type="dxa"/>
            <w:vAlign w:val="bottom"/>
            <w:gridSpan w:val="15"/>
          </w:tcPr>
          <w:p>
            <w:pPr>
              <w:spacing w:after="0"/>
              <w:rPr>
                <w:sz w:val="20"/>
                <w:szCs w:val="20"/>
                <w:color w:val="auto"/>
              </w:rPr>
            </w:pPr>
            <w:r>
              <w:rPr>
                <w:rFonts w:ascii="Arial" w:cs="Arial" w:eastAsia="Arial" w:hAnsi="Arial"/>
                <w:sz w:val="18"/>
                <w:szCs w:val="18"/>
                <w:b w:val="1"/>
                <w:bCs w:val="1"/>
                <w:color w:val="auto"/>
              </w:rPr>
              <w:t>Description</w:t>
            </w:r>
          </w:p>
        </w:tc>
        <w:tc>
          <w:tcPr>
            <w:tcW w:w="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Form</w:t>
            </w:r>
          </w:p>
        </w:tc>
        <w:tc>
          <w:tcPr>
            <w:tcW w:w="460" w:type="dxa"/>
            <w:vAlign w:val="bottom"/>
          </w:tcPr>
          <w:p>
            <w:pPr>
              <w:spacing w:after="0"/>
              <w:rPr>
                <w:sz w:val="21"/>
                <w:szCs w:val="21"/>
                <w:color w:val="auto"/>
              </w:rPr>
            </w:pPr>
          </w:p>
        </w:tc>
        <w:tc>
          <w:tcPr>
            <w:tcW w:w="154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92"/>
              </w:rPr>
              <w:t>File No.</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4860" w:type="dxa"/>
            <w:vAlign w:val="bottom"/>
            <w:gridSpan w:val="18"/>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Amended and Restated Certificate of Incorporation of the</w:t>
              </w:r>
            </w:hyperlink>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Registrant.</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5"/>
              </w:rPr>
              <w:t>S-1</w:t>
            </w:r>
          </w:p>
        </w:tc>
        <w:tc>
          <w:tcPr>
            <w:tcW w:w="2000" w:type="dxa"/>
            <w:vAlign w:val="bottom"/>
            <w:gridSpan w:val="4"/>
            <w:vMerge w:val="restart"/>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7"/>
              </w:rPr>
              <w:t>3.3</w:t>
            </w: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line="20" w:lineRule="exact"/>
              <w:rPr>
                <w:sz w:val="1"/>
                <w:szCs w:val="1"/>
                <w:color w:val="auto"/>
              </w:rPr>
            </w:pPr>
          </w:p>
        </w:tc>
      </w:tr>
      <w:tr>
        <w:trPr>
          <w:trHeight w:val="250"/>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1"/>
                <w:szCs w:val="21"/>
                <w:color w:val="auto"/>
              </w:rPr>
            </w:pPr>
          </w:p>
        </w:tc>
        <w:tc>
          <w:tcPr>
            <w:tcW w:w="4860" w:type="dxa"/>
            <w:vAlign w:val="bottom"/>
            <w:gridSpan w:val="18"/>
          </w:tcPr>
          <w:p>
            <w:pPr>
              <w:spacing w:after="0"/>
              <w:rPr>
                <w:rFonts w:ascii="Arial" w:cs="Arial" w:eastAsia="Arial" w:hAnsi="Arial"/>
                <w:sz w:val="18"/>
                <w:szCs w:val="18"/>
                <w:color w:val="0000FF"/>
              </w:rPr>
            </w:pPr>
            <w:hyperlink r:id="rId448">
              <w:r>
                <w:rPr>
                  <w:rFonts w:ascii="Arial" w:cs="Arial" w:eastAsia="Arial" w:hAnsi="Arial"/>
                  <w:sz w:val="18"/>
                  <w:szCs w:val="18"/>
                  <w:color w:val="0000FF"/>
                </w:rPr>
                <w:t>Amended and Restated Bylaws of the Registrant.</w:t>
              </w:r>
            </w:hyperlink>
          </w:p>
        </w:tc>
        <w:tc>
          <w:tcPr>
            <w:tcW w:w="760" w:type="dxa"/>
            <w:vAlign w:val="bottom"/>
            <w:gridSpan w:val="2"/>
            <w:vMerge w:val="continue"/>
          </w:tcPr>
          <w:p>
            <w:pPr>
              <w:spacing w:after="0"/>
              <w:rPr>
                <w:sz w:val="21"/>
                <w:szCs w:val="21"/>
                <w:color w:val="auto"/>
              </w:rPr>
            </w:pPr>
          </w:p>
        </w:tc>
        <w:tc>
          <w:tcPr>
            <w:tcW w:w="2000" w:type="dxa"/>
            <w:vAlign w:val="bottom"/>
            <w:gridSpan w:val="4"/>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4860" w:type="dxa"/>
            <w:vAlign w:val="bottom"/>
            <w:gridSpan w:val="18"/>
          </w:tcPr>
          <w:p>
            <w:pPr>
              <w:spacing w:after="0"/>
              <w:rPr>
                <w:rFonts w:ascii="Arial" w:cs="Arial" w:eastAsia="Arial" w:hAnsi="Arial"/>
                <w:sz w:val="18"/>
                <w:szCs w:val="18"/>
                <w:color w:val="0000FF"/>
              </w:rPr>
            </w:pPr>
            <w:hyperlink r:id="rId449">
              <w:r>
                <w:rPr>
                  <w:rFonts w:ascii="Arial" w:cs="Arial" w:eastAsia="Arial" w:hAnsi="Arial"/>
                  <w:sz w:val="18"/>
                  <w:szCs w:val="18"/>
                  <w:color w:val="0000FF"/>
                </w:rPr>
                <w:t>Specimen stock certificate of the Registrant.</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S-1/A</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July 26, 2021</w:t>
            </w: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4860" w:type="dxa"/>
            <w:vAlign w:val="bottom"/>
            <w:gridSpan w:val="18"/>
          </w:tcPr>
          <w:p>
            <w:pPr>
              <w:spacing w:after="0"/>
              <w:rPr>
                <w:rFonts w:ascii="Arial" w:cs="Arial" w:eastAsia="Arial" w:hAnsi="Arial"/>
                <w:sz w:val="18"/>
                <w:szCs w:val="18"/>
                <w:color w:val="0000FF"/>
              </w:rPr>
            </w:pPr>
            <w:hyperlink r:id="rId450">
              <w:r>
                <w:rPr>
                  <w:rFonts w:ascii="Arial" w:cs="Arial" w:eastAsia="Arial" w:hAnsi="Arial"/>
                  <w:sz w:val="18"/>
                  <w:szCs w:val="18"/>
                  <w:color w:val="0000FF"/>
                </w:rPr>
                <w:t>Form of Indemnification Agreement between the Registrant</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S-1</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rPr>
            </w:pPr>
            <w:hyperlink r:id="rId450">
              <w:r>
                <w:rPr>
                  <w:rFonts w:ascii="Arial" w:cs="Arial" w:eastAsia="Arial" w:hAnsi="Arial"/>
                  <w:sz w:val="18"/>
                  <w:szCs w:val="18"/>
                  <w:color w:val="0000FF"/>
                </w:rPr>
                <w:t>and each of its directors and executive officers.</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4860" w:type="dxa"/>
            <w:vAlign w:val="bottom"/>
            <w:gridSpan w:val="18"/>
          </w:tcPr>
          <w:p>
            <w:pPr>
              <w:spacing w:after="0"/>
              <w:rPr>
                <w:rFonts w:ascii="Arial" w:cs="Arial" w:eastAsia="Arial" w:hAnsi="Arial"/>
                <w:sz w:val="18"/>
                <w:szCs w:val="18"/>
                <w:color w:val="0000FF"/>
                <w:w w:val="98"/>
              </w:rPr>
            </w:pPr>
            <w:hyperlink w:anchor="page116">
              <w:r>
                <w:rPr>
                  <w:rFonts w:ascii="Arial" w:cs="Arial" w:eastAsia="Arial" w:hAnsi="Arial"/>
                  <w:sz w:val="18"/>
                  <w:szCs w:val="18"/>
                  <w:color w:val="0000FF"/>
                  <w:w w:val="98"/>
                </w:rPr>
                <w:t>2021 Equity Incentive Plan of the registrant, as amended, and</w:t>
              </w:r>
            </w:hyperlink>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142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forms of agreement thereunder.</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right w:val="single" w:sz="8" w:color="0000EE"/>
            </w:tcBorders>
            <w:gridSpan w:val="3"/>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1"/>
                <w:szCs w:val="21"/>
                <w:color w:val="auto"/>
              </w:rPr>
            </w:pPr>
          </w:p>
        </w:tc>
        <w:tc>
          <w:tcPr>
            <w:tcW w:w="4860" w:type="dxa"/>
            <w:vAlign w:val="bottom"/>
            <w:gridSpan w:val="18"/>
          </w:tcPr>
          <w:p>
            <w:pPr>
              <w:spacing w:after="0"/>
              <w:rPr>
                <w:rFonts w:ascii="Arial" w:cs="Arial" w:eastAsia="Arial" w:hAnsi="Arial"/>
                <w:sz w:val="18"/>
                <w:szCs w:val="18"/>
                <w:color w:val="0000FF"/>
              </w:rPr>
            </w:pPr>
            <w:hyperlink w:anchor="page140">
              <w:r>
                <w:rPr>
                  <w:rFonts w:ascii="Arial" w:cs="Arial" w:eastAsia="Arial" w:hAnsi="Arial"/>
                  <w:sz w:val="18"/>
                  <w:szCs w:val="18"/>
                  <w:color w:val="0000FF"/>
                </w:rPr>
                <w:t>2021 Employee Stock Purchase Plan of the registrant.</w:t>
              </w:r>
            </w:hyperlink>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12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4860" w:type="dxa"/>
            <w:vAlign w:val="bottom"/>
            <w:gridSpan w:val="18"/>
          </w:tcPr>
          <w:p>
            <w:pPr>
              <w:spacing w:after="0"/>
              <w:rPr>
                <w:rFonts w:ascii="Arial" w:cs="Arial" w:eastAsia="Arial" w:hAnsi="Arial"/>
                <w:sz w:val="18"/>
                <w:szCs w:val="18"/>
                <w:color w:val="0000FF"/>
              </w:rPr>
            </w:pPr>
            <w:hyperlink r:id="rId451">
              <w:r>
                <w:rPr>
                  <w:rFonts w:ascii="Arial" w:cs="Arial" w:eastAsia="Arial" w:hAnsi="Arial"/>
                  <w:sz w:val="18"/>
                  <w:szCs w:val="18"/>
                  <w:color w:val="0000FF"/>
                </w:rPr>
                <w:t>Consent and First Amendment to Loan and Security</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S-1/A</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July 26, 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12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w w:val="96"/>
              </w:rPr>
            </w:pPr>
            <w:hyperlink r:id="rId451">
              <w:r>
                <w:rPr>
                  <w:rFonts w:ascii="Arial" w:cs="Arial" w:eastAsia="Arial" w:hAnsi="Arial"/>
                  <w:sz w:val="18"/>
                  <w:szCs w:val="18"/>
                  <w:color w:val="0000FF"/>
                  <w:w w:val="96"/>
                </w:rPr>
                <w:t>Agreement, by and among the Registrant, Oxford Finance LLC</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120" w:type="dxa"/>
            <w:vAlign w:val="bottom"/>
            <w:tcBorders>
              <w:right w:val="single" w:sz="8" w:color="0000FF"/>
            </w:tcBorders>
            <w:gridSpan w:val="8"/>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w w:val="96"/>
              </w:rPr>
            </w:pPr>
            <w:hyperlink r:id="rId451">
              <w:r>
                <w:rPr>
                  <w:rFonts w:ascii="Arial" w:cs="Arial" w:eastAsia="Arial" w:hAnsi="Arial"/>
                  <w:sz w:val="18"/>
                  <w:szCs w:val="18"/>
                  <w:color w:val="0000FF"/>
                  <w:w w:val="96"/>
                </w:rPr>
                <w:t>and the lenders listed on Schedule 1.1 thereto, dated as of July</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rFonts w:ascii="Arial" w:cs="Arial" w:eastAsia="Arial" w:hAnsi="Arial"/>
                <w:sz w:val="18"/>
                <w:szCs w:val="18"/>
                <w:color w:val="0000FF"/>
                <w:w w:val="82"/>
              </w:rPr>
            </w:pPr>
            <w:hyperlink r:id="rId451">
              <w:r>
                <w:rPr>
                  <w:rFonts w:ascii="Arial" w:cs="Arial" w:eastAsia="Arial" w:hAnsi="Arial"/>
                  <w:sz w:val="18"/>
                  <w:szCs w:val="18"/>
                  <w:color w:val="0000FF"/>
                  <w:w w:val="82"/>
                </w:rPr>
                <w:t>6, 2021.</w:t>
              </w:r>
            </w:hyperlink>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1"/>
                <w:szCs w:val="21"/>
                <w:color w:val="auto"/>
              </w:rPr>
            </w:pPr>
          </w:p>
        </w:tc>
        <w:tc>
          <w:tcPr>
            <w:tcW w:w="4860" w:type="dxa"/>
            <w:vAlign w:val="bottom"/>
            <w:gridSpan w:val="18"/>
          </w:tcPr>
          <w:p>
            <w:pPr>
              <w:spacing w:after="0"/>
              <w:rPr>
                <w:rFonts w:ascii="Arial" w:cs="Arial" w:eastAsia="Arial" w:hAnsi="Arial"/>
                <w:sz w:val="18"/>
                <w:szCs w:val="18"/>
                <w:color w:val="0000FF"/>
              </w:rPr>
            </w:pPr>
            <w:hyperlink r:id="rId452">
              <w:r>
                <w:rPr>
                  <w:rFonts w:ascii="Arial" w:cs="Arial" w:eastAsia="Arial" w:hAnsi="Arial"/>
                  <w:sz w:val="18"/>
                  <w:szCs w:val="18"/>
                  <w:color w:val="0000FF"/>
                </w:rPr>
                <w:t>Confirmatory Employment Letter, by and between the</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S-1</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80" w:type="dxa"/>
            <w:vAlign w:val="bottom"/>
            <w:tcBorders>
              <w:right w:val="single" w:sz="8" w:color="0000FF"/>
            </w:tcBorders>
            <w:gridSpan w:val="9"/>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rPr>
            </w:pPr>
            <w:hyperlink r:id="rId452">
              <w:r>
                <w:rPr>
                  <w:rFonts w:ascii="Arial" w:cs="Arial" w:eastAsia="Arial" w:hAnsi="Arial"/>
                  <w:sz w:val="18"/>
                  <w:szCs w:val="18"/>
                  <w:color w:val="0000FF"/>
                </w:rPr>
                <w:t>Registrant and Ron Kurtz, dated as of July 8, 2021.</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80" w:type="dxa"/>
            <w:vAlign w:val="bottom"/>
            <w:tcBorders>
              <w:right w:val="single" w:sz="8" w:color="0000EE"/>
            </w:tcBorders>
            <w:gridSpan w:val="9"/>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4860" w:type="dxa"/>
            <w:vAlign w:val="bottom"/>
            <w:gridSpan w:val="18"/>
          </w:tcPr>
          <w:p>
            <w:pPr>
              <w:spacing w:after="0"/>
              <w:rPr>
                <w:rFonts w:ascii="Arial" w:cs="Arial" w:eastAsia="Arial" w:hAnsi="Arial"/>
                <w:sz w:val="18"/>
                <w:szCs w:val="18"/>
                <w:color w:val="0000FF"/>
              </w:rPr>
            </w:pPr>
            <w:hyperlink r:id="rId453">
              <w:r>
                <w:rPr>
                  <w:rFonts w:ascii="Arial" w:cs="Arial" w:eastAsia="Arial" w:hAnsi="Arial"/>
                  <w:sz w:val="18"/>
                  <w:szCs w:val="18"/>
                  <w:color w:val="0000FF"/>
                </w:rPr>
                <w:t>Confirmatory Employment Letter, by and between the</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S-1</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gridSpan w:val="1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rPr>
            </w:pPr>
            <w:hyperlink r:id="rId453">
              <w:r>
                <w:rPr>
                  <w:rFonts w:ascii="Arial" w:cs="Arial" w:eastAsia="Arial" w:hAnsi="Arial"/>
                  <w:sz w:val="18"/>
                  <w:szCs w:val="18"/>
                  <w:color w:val="0000FF"/>
                </w:rPr>
                <w:t>Registrant and Shelley Thunen, dated as of July 8, 2021.</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920" w:type="dxa"/>
            <w:vAlign w:val="bottom"/>
            <w:gridSpan w:val="1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4860" w:type="dxa"/>
            <w:vAlign w:val="bottom"/>
            <w:gridSpan w:val="18"/>
          </w:tcPr>
          <w:p>
            <w:pPr>
              <w:spacing w:after="0"/>
              <w:rPr>
                <w:rFonts w:ascii="Arial" w:cs="Arial" w:eastAsia="Arial" w:hAnsi="Arial"/>
                <w:sz w:val="18"/>
                <w:szCs w:val="18"/>
                <w:color w:val="0000FF"/>
              </w:rPr>
            </w:pPr>
            <w:hyperlink r:id="rId454">
              <w:r>
                <w:rPr>
                  <w:rFonts w:ascii="Arial" w:cs="Arial" w:eastAsia="Arial" w:hAnsi="Arial"/>
                  <w:sz w:val="18"/>
                  <w:szCs w:val="18"/>
                  <w:color w:val="0000FF"/>
                </w:rPr>
                <w:t>Confirmatory Employment Letter, by and between the</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S-1</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gridSpan w:val="1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rPr>
            </w:pPr>
            <w:hyperlink r:id="rId454">
              <w:r>
                <w:rPr>
                  <w:rFonts w:ascii="Arial" w:cs="Arial" w:eastAsia="Arial" w:hAnsi="Arial"/>
                  <w:sz w:val="18"/>
                  <w:szCs w:val="18"/>
                  <w:color w:val="0000FF"/>
                </w:rPr>
                <w:t>Registrant and Eric Weinberg, dated as of July 8, 2021.</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920" w:type="dxa"/>
            <w:vAlign w:val="bottom"/>
            <w:gridSpan w:val="12"/>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4860" w:type="dxa"/>
            <w:vAlign w:val="bottom"/>
            <w:gridSpan w:val="18"/>
          </w:tcPr>
          <w:p>
            <w:pPr>
              <w:spacing w:after="0"/>
              <w:rPr>
                <w:rFonts w:ascii="Arial" w:cs="Arial" w:eastAsia="Arial" w:hAnsi="Arial"/>
                <w:sz w:val="18"/>
                <w:szCs w:val="18"/>
                <w:color w:val="0000FF"/>
              </w:rPr>
            </w:pPr>
            <w:hyperlink r:id="rId455">
              <w:r>
                <w:rPr>
                  <w:rFonts w:ascii="Arial" w:cs="Arial" w:eastAsia="Arial" w:hAnsi="Arial"/>
                  <w:sz w:val="18"/>
                  <w:szCs w:val="18"/>
                  <w:color w:val="0000FF"/>
                </w:rPr>
                <w:t>Confirmatory Employment Letter, by and between the</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S-1</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10.17</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gridSpan w:val="1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rPr>
            </w:pPr>
            <w:hyperlink r:id="rId455">
              <w:r>
                <w:rPr>
                  <w:rFonts w:ascii="Arial" w:cs="Arial" w:eastAsia="Arial" w:hAnsi="Arial"/>
                  <w:sz w:val="18"/>
                  <w:szCs w:val="18"/>
                  <w:color w:val="0000FF"/>
                </w:rPr>
                <w:t>Registrant and Ilya Goldshleger, dated as of July 8, 2021.</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920" w:type="dxa"/>
            <w:vAlign w:val="bottom"/>
            <w:gridSpan w:val="1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4860" w:type="dxa"/>
            <w:vAlign w:val="bottom"/>
            <w:gridSpan w:val="18"/>
          </w:tcPr>
          <w:p>
            <w:pPr>
              <w:spacing w:after="0"/>
              <w:rPr>
                <w:rFonts w:ascii="Arial" w:cs="Arial" w:eastAsia="Arial" w:hAnsi="Arial"/>
                <w:sz w:val="18"/>
                <w:szCs w:val="18"/>
                <w:color w:val="0000FF"/>
                <w:w w:val="96"/>
              </w:rPr>
            </w:pPr>
            <w:hyperlink r:id="rId456">
              <w:r>
                <w:rPr>
                  <w:rFonts w:ascii="Arial" w:cs="Arial" w:eastAsia="Arial" w:hAnsi="Arial"/>
                  <w:sz w:val="18"/>
                  <w:szCs w:val="18"/>
                  <w:color w:val="0000FF"/>
                  <w:w w:val="96"/>
                </w:rPr>
                <w:t>Change in Control and Severance Agreement, by and between</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S-1</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10.18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gridSpan w:val="1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rPr>
            </w:pPr>
            <w:hyperlink r:id="rId456">
              <w:r>
                <w:rPr>
                  <w:rFonts w:ascii="Arial" w:cs="Arial" w:eastAsia="Arial" w:hAnsi="Arial"/>
                  <w:sz w:val="18"/>
                  <w:szCs w:val="18"/>
                  <w:color w:val="0000FF"/>
                </w:rPr>
                <w:t>the Registrant and Ron Kurtz, dated as of July 8, 2021.</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920" w:type="dxa"/>
            <w:vAlign w:val="bottom"/>
            <w:gridSpan w:val="1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4"/>
                <w:szCs w:val="24"/>
                <w:color w:val="auto"/>
              </w:rPr>
            </w:pPr>
          </w:p>
        </w:tc>
        <w:tc>
          <w:tcPr>
            <w:tcW w:w="4860" w:type="dxa"/>
            <w:vAlign w:val="bottom"/>
            <w:gridSpan w:val="18"/>
          </w:tcPr>
          <w:p>
            <w:pPr>
              <w:spacing w:after="0"/>
              <w:rPr>
                <w:rFonts w:ascii="Arial" w:cs="Arial" w:eastAsia="Arial" w:hAnsi="Arial"/>
                <w:sz w:val="18"/>
                <w:szCs w:val="18"/>
                <w:color w:val="0000FF"/>
                <w:w w:val="96"/>
              </w:rPr>
            </w:pPr>
            <w:hyperlink r:id="rId457">
              <w:r>
                <w:rPr>
                  <w:rFonts w:ascii="Arial" w:cs="Arial" w:eastAsia="Arial" w:hAnsi="Arial"/>
                  <w:sz w:val="18"/>
                  <w:szCs w:val="18"/>
                  <w:color w:val="0000FF"/>
                  <w:w w:val="96"/>
                </w:rPr>
                <w:t>Change in Control and Severance Agreement, by and between</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S-1</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40" w:type="dxa"/>
            <w:vAlign w:val="bottom"/>
            <w:tcBorders>
              <w:right w:val="single" w:sz="8" w:color="0000FF"/>
            </w:tcBorders>
            <w:gridSpan w:val="1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rPr>
            </w:pPr>
            <w:hyperlink r:id="rId457">
              <w:r>
                <w:rPr>
                  <w:rFonts w:ascii="Arial" w:cs="Arial" w:eastAsia="Arial" w:hAnsi="Arial"/>
                  <w:sz w:val="18"/>
                  <w:szCs w:val="18"/>
                  <w:color w:val="0000FF"/>
                </w:rPr>
                <w:t>the Registrant and Shelley Thunen, dated as of July 8, 2021.</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5"/>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tcBorders>
              <w:top w:val="single" w:sz="8" w:color="0000FF"/>
            </w:tcBorders>
            <w:gridSpan w:val="15"/>
          </w:tcPr>
          <w:p>
            <w:pPr>
              <w:spacing w:after="0"/>
              <w:rPr>
                <w:sz w:val="24"/>
                <w:szCs w:val="24"/>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6" w:name="page107"/>
    <w:bookmarkEnd w:id="106"/>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10.11+</w:t>
            </w:r>
          </w:p>
        </w:tc>
        <w:tc>
          <w:tcPr>
            <w:tcW w:w="4460" w:type="dxa"/>
            <w:vAlign w:val="bottom"/>
            <w:gridSpan w:val="7"/>
          </w:tcPr>
          <w:p>
            <w:pPr>
              <w:spacing w:after="0"/>
              <w:rPr>
                <w:rFonts w:ascii="Arial" w:cs="Arial" w:eastAsia="Arial" w:hAnsi="Arial"/>
                <w:sz w:val="18"/>
                <w:szCs w:val="18"/>
                <w:color w:val="0000FF"/>
                <w:w w:val="88"/>
              </w:rPr>
            </w:pPr>
            <w:hyperlink r:id="rId460">
              <w:r>
                <w:rPr>
                  <w:rFonts w:ascii="Arial" w:cs="Arial" w:eastAsia="Arial" w:hAnsi="Arial"/>
                  <w:sz w:val="18"/>
                  <w:szCs w:val="18"/>
                  <w:color w:val="0000FF"/>
                  <w:w w:val="88"/>
                </w:rPr>
                <w:t>Change in Control and Severance Agreement, by and between</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10.20</w:t>
            </w:r>
          </w:p>
        </w:tc>
        <w:tc>
          <w:tcPr>
            <w:tcW w:w="1400" w:type="dxa"/>
            <w:vAlign w:val="bottom"/>
          </w:tcPr>
          <w:p>
            <w:pPr>
              <w:jc w:val="center"/>
              <w:ind w:left="330"/>
              <w:spacing w:after="0"/>
              <w:rPr>
                <w:sz w:val="20"/>
                <w:szCs w:val="20"/>
                <w:color w:val="auto"/>
              </w:rPr>
            </w:pPr>
            <w:r>
              <w:rPr>
                <w:rFonts w:ascii="Arial" w:cs="Arial" w:eastAsia="Arial" w:hAnsi="Arial"/>
                <w:sz w:val="18"/>
                <w:szCs w:val="18"/>
                <w:color w:val="auto"/>
                <w:w w:val="92"/>
              </w:rPr>
              <w:t>July 9, 2021</w:t>
            </w:r>
          </w:p>
        </w:tc>
      </w:tr>
      <w:tr>
        <w:trPr>
          <w:trHeight w:val="20"/>
        </w:trPr>
        <w:tc>
          <w:tcPr>
            <w:tcW w:w="10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6"/>
        </w:trPr>
        <w:tc>
          <w:tcPr>
            <w:tcW w:w="1000" w:type="dxa"/>
            <w:vAlign w:val="bottom"/>
          </w:tcPr>
          <w:p>
            <w:pPr>
              <w:spacing w:after="0"/>
              <w:rPr>
                <w:sz w:val="20"/>
                <w:szCs w:val="20"/>
                <w:color w:val="auto"/>
              </w:rPr>
            </w:pPr>
          </w:p>
        </w:tc>
        <w:tc>
          <w:tcPr>
            <w:tcW w:w="4460" w:type="dxa"/>
            <w:vAlign w:val="bottom"/>
            <w:gridSpan w:val="7"/>
          </w:tcPr>
          <w:p>
            <w:pPr>
              <w:spacing w:after="0"/>
              <w:rPr>
                <w:rFonts w:ascii="Arial" w:cs="Arial" w:eastAsia="Arial" w:hAnsi="Arial"/>
                <w:sz w:val="18"/>
                <w:szCs w:val="18"/>
                <w:color w:val="0000FF"/>
                <w:w w:val="93"/>
              </w:rPr>
            </w:pPr>
            <w:hyperlink r:id="rId460">
              <w:r>
                <w:rPr>
                  <w:rFonts w:ascii="Arial" w:cs="Arial" w:eastAsia="Arial" w:hAnsi="Arial"/>
                  <w:sz w:val="18"/>
                  <w:szCs w:val="18"/>
                  <w:color w:val="0000FF"/>
                  <w:w w:val="93"/>
                </w:rPr>
                <w:t>the Registrant and Eric Weinberg, dated as of July 8, 2021.</w:t>
              </w:r>
            </w:hyperlink>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53"/>
        </w:trPr>
        <w:tc>
          <w:tcPr>
            <w:tcW w:w="1000" w:type="dxa"/>
            <w:vAlign w:val="bottom"/>
          </w:tcPr>
          <w:p>
            <w:pPr>
              <w:spacing w:after="0"/>
              <w:rPr>
                <w:sz w:val="20"/>
                <w:szCs w:val="20"/>
                <w:color w:val="auto"/>
              </w:rPr>
            </w:pPr>
            <w:r>
              <w:rPr>
                <w:rFonts w:ascii="Arial" w:cs="Arial" w:eastAsia="Arial" w:hAnsi="Arial"/>
                <w:sz w:val="18"/>
                <w:szCs w:val="18"/>
                <w:color w:val="auto"/>
              </w:rPr>
              <w:t>10.12+</w:t>
            </w:r>
          </w:p>
        </w:tc>
        <w:tc>
          <w:tcPr>
            <w:tcW w:w="4460" w:type="dxa"/>
            <w:vAlign w:val="bottom"/>
            <w:gridSpan w:val="7"/>
          </w:tcPr>
          <w:p>
            <w:pPr>
              <w:spacing w:after="0"/>
              <w:rPr>
                <w:rFonts w:ascii="Arial" w:cs="Arial" w:eastAsia="Arial" w:hAnsi="Arial"/>
                <w:sz w:val="18"/>
                <w:szCs w:val="18"/>
                <w:color w:val="0000FF"/>
                <w:w w:val="88"/>
              </w:rPr>
            </w:pPr>
            <w:hyperlink r:id="rId461">
              <w:r>
                <w:rPr>
                  <w:rFonts w:ascii="Arial" w:cs="Arial" w:eastAsia="Arial" w:hAnsi="Arial"/>
                  <w:sz w:val="18"/>
                  <w:szCs w:val="18"/>
                  <w:color w:val="0000FF"/>
                  <w:w w:val="88"/>
                </w:rPr>
                <w:t>Change in Control and Severance Agreement, by and between</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10.21</w:t>
            </w:r>
          </w:p>
        </w:tc>
        <w:tc>
          <w:tcPr>
            <w:tcW w:w="1400" w:type="dxa"/>
            <w:vAlign w:val="bottom"/>
          </w:tcPr>
          <w:p>
            <w:pPr>
              <w:jc w:val="center"/>
              <w:ind w:left="330"/>
              <w:spacing w:after="0"/>
              <w:rPr>
                <w:sz w:val="20"/>
                <w:szCs w:val="20"/>
                <w:color w:val="auto"/>
              </w:rPr>
            </w:pPr>
            <w:r>
              <w:rPr>
                <w:rFonts w:ascii="Arial" w:cs="Arial" w:eastAsia="Arial" w:hAnsi="Arial"/>
                <w:sz w:val="18"/>
                <w:szCs w:val="18"/>
                <w:color w:val="auto"/>
                <w:w w:val="92"/>
              </w:rPr>
              <w:t>July 9, 2021</w:t>
            </w:r>
          </w:p>
        </w:tc>
      </w:tr>
      <w:tr>
        <w:trPr>
          <w:trHeight w:val="20"/>
        </w:trPr>
        <w:tc>
          <w:tcPr>
            <w:tcW w:w="10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4460" w:type="dxa"/>
            <w:vAlign w:val="bottom"/>
            <w:gridSpan w:val="7"/>
          </w:tcPr>
          <w:p>
            <w:pPr>
              <w:spacing w:after="0"/>
              <w:rPr>
                <w:rFonts w:ascii="Arial" w:cs="Arial" w:eastAsia="Arial" w:hAnsi="Arial"/>
                <w:sz w:val="18"/>
                <w:szCs w:val="18"/>
                <w:color w:val="0000FF"/>
                <w:w w:val="90"/>
              </w:rPr>
            </w:pPr>
            <w:hyperlink r:id="rId461">
              <w:r>
                <w:rPr>
                  <w:rFonts w:ascii="Arial" w:cs="Arial" w:eastAsia="Arial" w:hAnsi="Arial"/>
                  <w:sz w:val="18"/>
                  <w:szCs w:val="18"/>
                  <w:color w:val="0000FF"/>
                  <w:w w:val="90"/>
                </w:rPr>
                <w:t>the Registrant and Ilya Goldshleger, dated as of July 8, 2021.</w:t>
              </w:r>
            </w:hyperlink>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53"/>
        </w:trPr>
        <w:tc>
          <w:tcPr>
            <w:tcW w:w="1000" w:type="dxa"/>
            <w:vAlign w:val="bottom"/>
          </w:tcPr>
          <w:p>
            <w:pPr>
              <w:spacing w:after="0"/>
              <w:rPr>
                <w:sz w:val="20"/>
                <w:szCs w:val="20"/>
                <w:color w:val="auto"/>
              </w:rPr>
            </w:pPr>
            <w:r>
              <w:rPr>
                <w:rFonts w:ascii="Arial" w:cs="Arial" w:eastAsia="Arial" w:hAnsi="Arial"/>
                <w:sz w:val="18"/>
                <w:szCs w:val="18"/>
                <w:color w:val="auto"/>
              </w:rPr>
              <w:t>10.13</w:t>
            </w:r>
          </w:p>
        </w:tc>
        <w:tc>
          <w:tcPr>
            <w:tcW w:w="4460" w:type="dxa"/>
            <w:vAlign w:val="bottom"/>
            <w:gridSpan w:val="7"/>
          </w:tcPr>
          <w:p>
            <w:pPr>
              <w:spacing w:after="0"/>
              <w:rPr>
                <w:rFonts w:ascii="Arial" w:cs="Arial" w:eastAsia="Arial" w:hAnsi="Arial"/>
                <w:sz w:val="18"/>
                <w:szCs w:val="18"/>
                <w:color w:val="0000FF"/>
                <w:w w:val="92"/>
              </w:rPr>
            </w:pPr>
            <w:hyperlink r:id="rId462">
              <w:r>
                <w:rPr>
                  <w:rFonts w:ascii="Arial" w:cs="Arial" w:eastAsia="Arial" w:hAnsi="Arial"/>
                  <w:sz w:val="18"/>
                  <w:szCs w:val="18"/>
                  <w:color w:val="0000FF"/>
                  <w:w w:val="92"/>
                </w:rPr>
                <w:t>Termination Agreement, by and between the Registrant and</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10.24</w:t>
            </w:r>
          </w:p>
        </w:tc>
        <w:tc>
          <w:tcPr>
            <w:tcW w:w="1400" w:type="dxa"/>
            <w:vAlign w:val="bottom"/>
          </w:tcPr>
          <w:p>
            <w:pPr>
              <w:jc w:val="center"/>
              <w:ind w:left="330"/>
              <w:spacing w:after="0"/>
              <w:rPr>
                <w:sz w:val="20"/>
                <w:szCs w:val="20"/>
                <w:color w:val="auto"/>
              </w:rPr>
            </w:pPr>
            <w:r>
              <w:rPr>
                <w:rFonts w:ascii="Arial" w:cs="Arial" w:eastAsia="Arial" w:hAnsi="Arial"/>
                <w:sz w:val="18"/>
                <w:szCs w:val="18"/>
                <w:color w:val="auto"/>
                <w:w w:val="91"/>
              </w:rPr>
              <w:t>July 26, 2021</w:t>
            </w:r>
          </w:p>
        </w:tc>
      </w:tr>
      <w:tr>
        <w:trPr>
          <w:trHeight w:val="20"/>
        </w:trPr>
        <w:tc>
          <w:tcPr>
            <w:tcW w:w="10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4460" w:type="dxa"/>
            <w:vAlign w:val="bottom"/>
            <w:gridSpan w:val="7"/>
          </w:tcPr>
          <w:p>
            <w:pPr>
              <w:spacing w:after="0"/>
              <w:rPr>
                <w:rFonts w:ascii="Arial" w:cs="Arial" w:eastAsia="Arial" w:hAnsi="Arial"/>
                <w:sz w:val="18"/>
                <w:szCs w:val="18"/>
                <w:color w:val="0000FF"/>
              </w:rPr>
            </w:pPr>
            <w:hyperlink r:id="rId462">
              <w:r>
                <w:rPr>
                  <w:rFonts w:ascii="Arial" w:cs="Arial" w:eastAsia="Arial" w:hAnsi="Arial"/>
                  <w:sz w:val="18"/>
                  <w:szCs w:val="18"/>
                  <w:color w:val="0000FF"/>
                </w:rPr>
                <w:t>Yelroc Consulting, Inc., dated as of August 3, 2021.</w:t>
              </w:r>
            </w:hyperlink>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763"/>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4460" w:type="dxa"/>
            <w:vAlign w:val="bottom"/>
            <w:gridSpan w:val="7"/>
          </w:tcPr>
          <w:p>
            <w:pPr>
              <w:spacing w:after="0"/>
              <w:rPr>
                <w:rFonts w:ascii="Arial" w:cs="Arial" w:eastAsia="Arial" w:hAnsi="Arial"/>
                <w:sz w:val="18"/>
                <w:szCs w:val="18"/>
                <w:color w:val="0000FF"/>
                <w:w w:val="92"/>
              </w:rPr>
            </w:pPr>
            <w:hyperlink w:anchor="page156">
              <w:r>
                <w:rPr>
                  <w:rFonts w:ascii="Arial" w:cs="Arial" w:eastAsia="Arial" w:hAnsi="Arial"/>
                  <w:sz w:val="18"/>
                  <w:szCs w:val="18"/>
                  <w:color w:val="0000FF"/>
                  <w:w w:val="92"/>
                </w:rPr>
                <w:t>Certification of Principal Executive Officer Pursuant to Rules</w:t>
              </w:r>
            </w:hyperlink>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4460" w:type="dxa"/>
            <w:vAlign w:val="bottom"/>
            <w:gridSpan w:val="7"/>
          </w:tcPr>
          <w:p>
            <w:pPr>
              <w:spacing w:after="0"/>
              <w:rPr>
                <w:rFonts w:ascii="Arial" w:cs="Arial" w:eastAsia="Arial" w:hAnsi="Arial"/>
                <w:sz w:val="18"/>
                <w:szCs w:val="18"/>
                <w:color w:val="0000FF"/>
                <w:w w:val="88"/>
              </w:rPr>
            </w:pPr>
            <w:hyperlink w:anchor="page156">
              <w:r>
                <w:rPr>
                  <w:rFonts w:ascii="Arial" w:cs="Arial" w:eastAsia="Arial" w:hAnsi="Arial"/>
                  <w:sz w:val="18"/>
                  <w:szCs w:val="18"/>
                  <w:color w:val="0000FF"/>
                  <w:w w:val="88"/>
                </w:rPr>
                <w:t>13a-14(a) and 15d-14(a) under the Securities Exchange Act of</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4460" w:type="dxa"/>
            <w:vAlign w:val="bottom"/>
            <w:gridSpan w:val="7"/>
          </w:tcPr>
          <w:p>
            <w:pPr>
              <w:spacing w:after="0"/>
              <w:rPr>
                <w:rFonts w:ascii="Arial" w:cs="Arial" w:eastAsia="Arial" w:hAnsi="Arial"/>
                <w:sz w:val="18"/>
                <w:szCs w:val="18"/>
                <w:color w:val="0000FF"/>
                <w:w w:val="92"/>
              </w:rPr>
            </w:pPr>
            <w:hyperlink w:anchor="page156">
              <w:r>
                <w:rPr>
                  <w:rFonts w:ascii="Arial" w:cs="Arial" w:eastAsia="Arial" w:hAnsi="Arial"/>
                  <w:sz w:val="18"/>
                  <w:szCs w:val="18"/>
                  <w:color w:val="0000FF"/>
                  <w:w w:val="92"/>
                </w:rPr>
                <w:t>1934, as Adopted Pursuant to Section 302 of the Sarbanes-</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4460" w:type="dxa"/>
            <w:vAlign w:val="bottom"/>
            <w:gridSpan w:val="7"/>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Oxley Act of 2002.</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85"/>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4460" w:type="dxa"/>
            <w:vAlign w:val="bottom"/>
            <w:gridSpan w:val="7"/>
          </w:tcPr>
          <w:p>
            <w:pPr>
              <w:spacing w:after="0"/>
              <w:rPr>
                <w:rFonts w:ascii="Arial" w:cs="Arial" w:eastAsia="Arial" w:hAnsi="Arial"/>
                <w:sz w:val="18"/>
                <w:szCs w:val="18"/>
                <w:color w:val="0000FF"/>
                <w:w w:val="93"/>
              </w:rPr>
            </w:pPr>
            <w:hyperlink w:anchor="page157">
              <w:r>
                <w:rPr>
                  <w:rFonts w:ascii="Arial" w:cs="Arial" w:eastAsia="Arial" w:hAnsi="Arial"/>
                  <w:sz w:val="18"/>
                  <w:szCs w:val="18"/>
                  <w:color w:val="0000FF"/>
                  <w:w w:val="93"/>
                </w:rPr>
                <w:t>Certification of Principal Financial Officer Pursuant to Rules</w:t>
              </w:r>
            </w:hyperlink>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4460" w:type="dxa"/>
            <w:vAlign w:val="bottom"/>
            <w:gridSpan w:val="7"/>
          </w:tcPr>
          <w:p>
            <w:pPr>
              <w:spacing w:after="0"/>
              <w:rPr>
                <w:rFonts w:ascii="Arial" w:cs="Arial" w:eastAsia="Arial" w:hAnsi="Arial"/>
                <w:sz w:val="18"/>
                <w:szCs w:val="18"/>
                <w:color w:val="0000FF"/>
                <w:w w:val="88"/>
              </w:rPr>
            </w:pPr>
            <w:hyperlink w:anchor="page157">
              <w:r>
                <w:rPr>
                  <w:rFonts w:ascii="Arial" w:cs="Arial" w:eastAsia="Arial" w:hAnsi="Arial"/>
                  <w:sz w:val="18"/>
                  <w:szCs w:val="18"/>
                  <w:color w:val="0000FF"/>
                  <w:w w:val="88"/>
                </w:rPr>
                <w:t>13a-14(a) and 15d-14(a) under the Securities Exchange Act of</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4460" w:type="dxa"/>
            <w:vAlign w:val="bottom"/>
            <w:gridSpan w:val="7"/>
          </w:tcPr>
          <w:p>
            <w:pPr>
              <w:spacing w:after="0"/>
              <w:rPr>
                <w:rFonts w:ascii="Arial" w:cs="Arial" w:eastAsia="Arial" w:hAnsi="Arial"/>
                <w:sz w:val="18"/>
                <w:szCs w:val="18"/>
                <w:color w:val="0000FF"/>
                <w:w w:val="92"/>
              </w:rPr>
            </w:pPr>
            <w:hyperlink w:anchor="page157">
              <w:r>
                <w:rPr>
                  <w:rFonts w:ascii="Arial" w:cs="Arial" w:eastAsia="Arial" w:hAnsi="Arial"/>
                  <w:sz w:val="18"/>
                  <w:szCs w:val="18"/>
                  <w:color w:val="0000FF"/>
                  <w:w w:val="92"/>
                </w:rPr>
                <w:t>1934, as Adopted Pursuant to Section 302 of the Sarbanes-</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4460" w:type="dxa"/>
            <w:vAlign w:val="bottom"/>
            <w:gridSpan w:val="7"/>
          </w:tcPr>
          <w:p>
            <w:pPr>
              <w:spacing w:after="0"/>
              <w:rPr>
                <w:rFonts w:ascii="Arial" w:cs="Arial" w:eastAsia="Arial" w:hAnsi="Arial"/>
                <w:sz w:val="18"/>
                <w:szCs w:val="18"/>
                <w:color w:val="0000FF"/>
              </w:rPr>
            </w:pPr>
            <w:hyperlink w:anchor="page157">
              <w:r>
                <w:rPr>
                  <w:rFonts w:ascii="Arial" w:cs="Arial" w:eastAsia="Arial" w:hAnsi="Arial"/>
                  <w:sz w:val="18"/>
                  <w:szCs w:val="18"/>
                  <w:color w:val="0000FF"/>
                </w:rPr>
                <w:t>Oxley Act of 2002.</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85"/>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4460" w:type="dxa"/>
            <w:vAlign w:val="bottom"/>
            <w:gridSpan w:val="7"/>
          </w:tcPr>
          <w:p>
            <w:pPr>
              <w:spacing w:after="0"/>
              <w:rPr>
                <w:rFonts w:ascii="Arial" w:cs="Arial" w:eastAsia="Arial" w:hAnsi="Arial"/>
                <w:sz w:val="18"/>
                <w:szCs w:val="18"/>
                <w:color w:val="0000FF"/>
                <w:w w:val="97"/>
              </w:rPr>
            </w:pPr>
            <w:hyperlink w:anchor="page158">
              <w:r>
                <w:rPr>
                  <w:rFonts w:ascii="Arial" w:cs="Arial" w:eastAsia="Arial" w:hAnsi="Arial"/>
                  <w:sz w:val="18"/>
                  <w:szCs w:val="18"/>
                  <w:color w:val="0000FF"/>
                  <w:w w:val="97"/>
                </w:rPr>
                <w:t>Certification of Principal Executive Officer Pursuant to 18</w:t>
              </w:r>
            </w:hyperlink>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4460" w:type="dxa"/>
            <w:vAlign w:val="bottom"/>
            <w:gridSpan w:val="7"/>
          </w:tcPr>
          <w:p>
            <w:pPr>
              <w:spacing w:after="0"/>
              <w:rPr>
                <w:rFonts w:ascii="Arial" w:cs="Arial" w:eastAsia="Arial" w:hAnsi="Arial"/>
                <w:sz w:val="18"/>
                <w:szCs w:val="18"/>
                <w:color w:val="0000FF"/>
                <w:w w:val="91"/>
              </w:rPr>
            </w:pPr>
            <w:hyperlink w:anchor="page158">
              <w:r>
                <w:rPr>
                  <w:rFonts w:ascii="Arial" w:cs="Arial" w:eastAsia="Arial" w:hAnsi="Arial"/>
                  <w:sz w:val="18"/>
                  <w:szCs w:val="18"/>
                  <w:color w:val="0000FF"/>
                  <w:w w:val="91"/>
                </w:rPr>
                <w:t>U.S.C. Section 1350, as Adopted Pursuant to Section 906 of</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4460" w:type="dxa"/>
            <w:vAlign w:val="bottom"/>
            <w:gridSpan w:val="7"/>
          </w:tcPr>
          <w:p>
            <w:pPr>
              <w:spacing w:after="0"/>
              <w:rPr>
                <w:rFonts w:ascii="Arial" w:cs="Arial" w:eastAsia="Arial" w:hAnsi="Arial"/>
                <w:sz w:val="18"/>
                <w:szCs w:val="18"/>
                <w:color w:val="0000FF"/>
              </w:rPr>
            </w:pPr>
            <w:hyperlink w:anchor="page158">
              <w:r>
                <w:rPr>
                  <w:rFonts w:ascii="Arial" w:cs="Arial" w:eastAsia="Arial" w:hAnsi="Arial"/>
                  <w:sz w:val="18"/>
                  <w:szCs w:val="18"/>
                  <w:color w:val="0000FF"/>
                </w:rPr>
                <w:t>the Sarbanes-Oxley Act of 2002.</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2"/>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85"/>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4460" w:type="dxa"/>
            <w:vAlign w:val="bottom"/>
            <w:gridSpan w:val="7"/>
          </w:tcPr>
          <w:p>
            <w:pPr>
              <w:spacing w:after="0"/>
              <w:rPr>
                <w:rFonts w:ascii="Arial" w:cs="Arial" w:eastAsia="Arial" w:hAnsi="Arial"/>
                <w:sz w:val="18"/>
                <w:szCs w:val="18"/>
                <w:color w:val="0000FF"/>
                <w:w w:val="99"/>
              </w:rPr>
            </w:pPr>
            <w:hyperlink w:anchor="page159">
              <w:r>
                <w:rPr>
                  <w:rFonts w:ascii="Arial" w:cs="Arial" w:eastAsia="Arial" w:hAnsi="Arial"/>
                  <w:sz w:val="18"/>
                  <w:szCs w:val="18"/>
                  <w:color w:val="0000FF"/>
                  <w:w w:val="99"/>
                </w:rPr>
                <w:t>Certification of Principal Financial Officer Pursuant to 18</w:t>
              </w:r>
            </w:hyperlink>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180" w:type="dxa"/>
            <w:vAlign w:val="bottom"/>
            <w:gridSpan w:val="4"/>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4460" w:type="dxa"/>
            <w:vAlign w:val="bottom"/>
            <w:gridSpan w:val="7"/>
          </w:tcPr>
          <w:p>
            <w:pPr>
              <w:spacing w:after="0"/>
              <w:rPr>
                <w:rFonts w:ascii="Arial" w:cs="Arial" w:eastAsia="Arial" w:hAnsi="Arial"/>
                <w:sz w:val="18"/>
                <w:szCs w:val="18"/>
                <w:color w:val="0000FF"/>
                <w:w w:val="91"/>
              </w:rPr>
            </w:pPr>
            <w:hyperlink w:anchor="page159">
              <w:r>
                <w:rPr>
                  <w:rFonts w:ascii="Arial" w:cs="Arial" w:eastAsia="Arial" w:hAnsi="Arial"/>
                  <w:sz w:val="18"/>
                  <w:szCs w:val="18"/>
                  <w:color w:val="0000FF"/>
                  <w:w w:val="91"/>
                </w:rPr>
                <w:t>U.S.C. Section 1350, as Adopted Pursuant to Section 906 of</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4360" w:type="dxa"/>
            <w:vAlign w:val="bottom"/>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4460" w:type="dxa"/>
            <w:vAlign w:val="bottom"/>
            <w:gridSpan w:val="7"/>
          </w:tcPr>
          <w:p>
            <w:pPr>
              <w:spacing w:after="0"/>
              <w:rPr>
                <w:rFonts w:ascii="Arial" w:cs="Arial" w:eastAsia="Arial" w:hAnsi="Arial"/>
                <w:sz w:val="18"/>
                <w:szCs w:val="18"/>
                <w:color w:val="0000FF"/>
              </w:rPr>
            </w:pPr>
            <w:hyperlink w:anchor="page159">
              <w:r>
                <w:rPr>
                  <w:rFonts w:ascii="Arial" w:cs="Arial" w:eastAsia="Arial" w:hAnsi="Arial"/>
                  <w:sz w:val="18"/>
                  <w:szCs w:val="18"/>
                  <w:color w:val="0000FF"/>
                </w:rPr>
                <w:t>the Sarbanes-Oxley Act of 2002.</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320" w:top="554" w:right="61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101.SCH</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101.CAL</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101.LAB</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XXBRL tags are embedded with8in the Inline XBRL document.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6493510</wp:posOffset>
            </wp:positionH>
            <wp:positionV relativeFrom="paragraph">
              <wp:posOffset>-130175</wp:posOffset>
            </wp:positionV>
            <wp:extent cx="8255" cy="2571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3">
                      <a:extLst>
                        <a:ext uri="{28A0092B-C50C-407E-A947-70E740481C1C}"/>
                      </a:extLst>
                    </a:blip>
                    <a:srcRect/>
                    <a:stretch>
                      <a:fillRect/>
                    </a:stretch>
                  </pic:blipFill>
                  <pic:spPr bwMode="auto">
                    <a:xfrm>
                      <a:off x="0" y="0"/>
                      <a:ext cx="8255" cy="25717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(embedded with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692150</wp:posOffset>
            </wp:positionV>
            <wp:extent cx="190309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00" w:space="300"/>
            <w:col w:w="9960"/>
          </w:cols>
          <w:pgMar w:left="320" w:top="554"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5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554" w:right="619" w:bottom="1440" w:gutter="0" w:footer="0" w:header="0"/>
          <w:type w:val="continuous"/>
        </w:sectPr>
      </w:pPr>
    </w:p>
    <w:bookmarkStart w:id="107" w:name="page108"/>
    <w:bookmarkEnd w:id="107"/>
    <w:p>
      <w:pPr>
        <w:ind w:left="-8" w:firstLine="8"/>
        <w:spacing w:after="0" w:line="306" w:lineRule="auto"/>
        <w:tabs>
          <w:tab w:leader="none" w:pos="12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Blend Labs,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273050</wp:posOffset>
            </wp:positionV>
            <wp:extent cx="28543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96520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52"/>
          </w:cols>
          <w:pgMar w:left="328" w:top="841" w:right="5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440"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3160" w:type="dxa"/>
            <w:vAlign w:val="bottom"/>
            <w:gridSpan w:val="2"/>
          </w:tcPr>
          <w:p>
            <w:pPr>
              <w:ind w:left="1880"/>
              <w:spacing w:after="0"/>
              <w:rPr>
                <w:sz w:val="20"/>
                <w:szCs w:val="20"/>
                <w:color w:val="auto"/>
              </w:rPr>
            </w:pPr>
            <w:r>
              <w:rPr>
                <w:rFonts w:ascii="Arial" w:cs="Arial" w:eastAsia="Arial" w:hAnsi="Arial"/>
                <w:sz w:val="18"/>
                <w:szCs w:val="18"/>
                <w:color w:val="auto"/>
              </w:rPr>
              <w:t>RxSight, Inc.</w:t>
            </w:r>
          </w:p>
        </w:tc>
        <w:tc>
          <w:tcPr>
            <w:tcW w:w="4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3720" w:type="dxa"/>
            <w:vAlign w:val="bottom"/>
          </w:tcPr>
          <w:p>
            <w:pPr>
              <w:ind w:left="80"/>
              <w:spacing w:after="0"/>
              <w:rPr>
                <w:sz w:val="20"/>
                <w:szCs w:val="20"/>
                <w:color w:val="auto"/>
              </w:rPr>
            </w:pPr>
            <w:r>
              <w:rPr>
                <w:rFonts w:ascii="Arial" w:cs="Arial" w:eastAsia="Arial" w:hAnsi="Arial"/>
                <w:sz w:val="18"/>
                <w:szCs w:val="18"/>
                <w:color w:val="auto"/>
              </w:rPr>
              <w:t>Date: November 10, 2021</w:t>
            </w:r>
          </w:p>
        </w:tc>
        <w:tc>
          <w:tcPr>
            <w:tcW w:w="3160" w:type="dxa"/>
            <w:vAlign w:val="bottom"/>
            <w:gridSpan w:val="2"/>
          </w:tcPr>
          <w:p>
            <w:pPr>
              <w:ind w:left="1880"/>
              <w:spacing w:after="0"/>
              <w:rPr>
                <w:sz w:val="20"/>
                <w:szCs w:val="20"/>
                <w:color w:val="auto"/>
              </w:rPr>
            </w:pPr>
            <w:r>
              <w:rPr>
                <w:rFonts w:ascii="Arial" w:cs="Arial" w:eastAsia="Arial" w:hAnsi="Arial"/>
                <w:sz w:val="18"/>
                <w:szCs w:val="18"/>
                <w:color w:val="auto"/>
              </w:rPr>
              <w:t>By:</w:t>
            </w:r>
          </w:p>
        </w:tc>
        <w:tc>
          <w:tcPr>
            <w:tcW w:w="4300" w:type="dxa"/>
            <w:vAlign w:val="bottom"/>
          </w:tcPr>
          <w:p>
            <w:pPr>
              <w:ind w:left="1180"/>
              <w:spacing w:after="0"/>
              <w:rPr>
                <w:sz w:val="20"/>
                <w:szCs w:val="20"/>
                <w:color w:val="auto"/>
              </w:rPr>
            </w:pPr>
            <w:r>
              <w:rPr>
                <w:rFonts w:ascii="Arial" w:cs="Arial" w:eastAsia="Arial" w:hAnsi="Arial"/>
                <w:sz w:val="18"/>
                <w:szCs w:val="18"/>
                <w:color w:val="auto"/>
              </w:rPr>
              <w:t>/s/ Ron Kurtz, M.D.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30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w w:val="95"/>
              </w:rPr>
              <w:t>Ron Kurtz, M.D.</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300" w:type="dxa"/>
            <w:vAlign w:val="bottom"/>
          </w:tcPr>
          <w:p>
            <w:pPr>
              <w:jc w:val="center"/>
              <w:ind w:right="350"/>
              <w:spacing w:after="0"/>
              <w:rPr>
                <w:sz w:val="20"/>
                <w:szCs w:val="20"/>
                <w:color w:val="auto"/>
              </w:rPr>
            </w:pPr>
            <w:r>
              <w:rPr>
                <w:rFonts w:ascii="Arial" w:cs="Arial" w:eastAsia="Arial" w:hAnsi="Arial"/>
                <w:sz w:val="18"/>
                <w:szCs w:val="18"/>
                <w:color w:val="auto"/>
                <w:w w:val="95"/>
              </w:rPr>
              <w:t>Chief Executive Officer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300" w:type="dxa"/>
            <w:vAlign w:val="bottom"/>
          </w:tcPr>
          <w:p>
            <w:pPr>
              <w:jc w:val="center"/>
              <w:ind w:right="310"/>
              <w:spacing w:after="0"/>
              <w:rPr>
                <w:sz w:val="20"/>
                <w:szCs w:val="20"/>
                <w:color w:val="auto"/>
              </w:rPr>
            </w:pPr>
            <w:r>
              <w:rPr>
                <w:rFonts w:ascii="Arial" w:cs="Arial" w:eastAsia="Arial" w:hAnsi="Arial"/>
                <w:sz w:val="18"/>
                <w:szCs w:val="18"/>
                <w:color w:val="auto"/>
                <w:w w:val="94"/>
              </w:rPr>
              <w:t>(Principal Executive Officer)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3720" w:type="dxa"/>
            <w:vAlign w:val="bottom"/>
            <w:vMerge w:val="restart"/>
          </w:tcPr>
          <w:p>
            <w:pPr>
              <w:ind w:left="80"/>
              <w:spacing w:after="0"/>
              <w:rPr>
                <w:sz w:val="20"/>
                <w:szCs w:val="20"/>
                <w:color w:val="auto"/>
              </w:rPr>
            </w:pPr>
            <w:r>
              <w:rPr>
                <w:rFonts w:ascii="Arial" w:cs="Arial" w:eastAsia="Arial" w:hAnsi="Arial"/>
                <w:sz w:val="18"/>
                <w:szCs w:val="18"/>
                <w:color w:val="auto"/>
              </w:rPr>
              <w:t>Date: November 10, 2021</w:t>
            </w:r>
          </w:p>
        </w:tc>
        <w:tc>
          <w:tcPr>
            <w:tcW w:w="3160" w:type="dxa"/>
            <w:vAlign w:val="bottom"/>
            <w:gridSpan w:val="2"/>
          </w:tcPr>
          <w:p>
            <w:pPr>
              <w:ind w:left="1880"/>
              <w:spacing w:after="0"/>
              <w:rPr>
                <w:sz w:val="20"/>
                <w:szCs w:val="20"/>
                <w:color w:val="auto"/>
              </w:rPr>
            </w:pPr>
            <w:r>
              <w:rPr>
                <w:rFonts w:ascii="Arial" w:cs="Arial" w:eastAsia="Arial" w:hAnsi="Arial"/>
                <w:sz w:val="18"/>
                <w:szCs w:val="18"/>
                <w:color w:val="auto"/>
              </w:rPr>
              <w:t>By:</w:t>
            </w:r>
          </w:p>
        </w:tc>
        <w:tc>
          <w:tcPr>
            <w:tcW w:w="4300" w:type="dxa"/>
            <w:vAlign w:val="bottom"/>
            <w:vMerge w:val="restart"/>
          </w:tcPr>
          <w:p>
            <w:pPr>
              <w:jc w:val="center"/>
              <w:ind w:right="310"/>
              <w:spacing w:after="0"/>
              <w:rPr>
                <w:sz w:val="20"/>
                <w:szCs w:val="20"/>
                <w:color w:val="auto"/>
              </w:rPr>
            </w:pPr>
            <w:r>
              <w:rPr>
                <w:rFonts w:ascii="Arial" w:cs="Arial" w:eastAsia="Arial" w:hAnsi="Arial"/>
                <w:sz w:val="18"/>
                <w:szCs w:val="18"/>
                <w:color w:val="auto"/>
                <w:w w:val="89"/>
              </w:rPr>
              <w:t>/s/ Shelley Thunen</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720" w:type="dxa"/>
            <w:vAlign w:val="bottom"/>
            <w:vMerge w:val="continue"/>
          </w:tcPr>
          <w:p>
            <w:pPr>
              <w:spacing w:after="0"/>
              <w:rPr>
                <w:sz w:val="6"/>
                <w:szCs w:val="6"/>
                <w:color w:val="auto"/>
              </w:rPr>
            </w:pPr>
          </w:p>
        </w:tc>
        <w:tc>
          <w:tcPr>
            <w:tcW w:w="276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30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tcPr>
          <w:p>
            <w:pPr>
              <w:jc w:val="center"/>
              <w:ind w:right="350"/>
              <w:spacing w:after="0"/>
              <w:rPr>
                <w:sz w:val="20"/>
                <w:szCs w:val="20"/>
                <w:color w:val="auto"/>
              </w:rPr>
            </w:pPr>
            <w:r>
              <w:rPr>
                <w:rFonts w:ascii="Arial" w:cs="Arial" w:eastAsia="Arial" w:hAnsi="Arial"/>
                <w:sz w:val="18"/>
                <w:szCs w:val="18"/>
                <w:color w:val="auto"/>
                <w:w w:val="91"/>
              </w:rPr>
              <w:t>Shelley Thunen</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300" w:type="dxa"/>
            <w:vAlign w:val="bottom"/>
          </w:tcPr>
          <w:p>
            <w:pPr>
              <w:jc w:val="center"/>
              <w:ind w:right="350"/>
              <w:spacing w:after="0"/>
              <w:rPr>
                <w:sz w:val="20"/>
                <w:szCs w:val="20"/>
                <w:color w:val="auto"/>
              </w:rPr>
            </w:pPr>
            <w:r>
              <w:rPr>
                <w:rFonts w:ascii="Arial" w:cs="Arial" w:eastAsia="Arial" w:hAnsi="Arial"/>
                <w:sz w:val="18"/>
                <w:szCs w:val="18"/>
                <w:color w:val="auto"/>
                <w:w w:val="93"/>
              </w:rPr>
              <w:t>Chief Financial Officer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300" w:type="dxa"/>
            <w:vAlign w:val="bottom"/>
          </w:tcPr>
          <w:p>
            <w:pPr>
              <w:jc w:val="center"/>
              <w:ind w:right="310"/>
              <w:spacing w:after="0"/>
              <w:rPr>
                <w:sz w:val="20"/>
                <w:szCs w:val="20"/>
                <w:color w:val="auto"/>
              </w:rPr>
            </w:pPr>
            <w:r>
              <w:rPr>
                <w:rFonts w:ascii="Arial" w:cs="Arial" w:eastAsia="Arial" w:hAnsi="Arial"/>
                <w:sz w:val="18"/>
                <w:szCs w:val="18"/>
                <w:color w:val="auto"/>
                <w:w w:val="93"/>
              </w:rPr>
              <w:t>(Principal Financial and Accounting Officer)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2"/>
        </w:trPr>
        <w:tc>
          <w:tcPr>
            <w:tcW w:w="3720" w:type="dxa"/>
            <w:vAlign w:val="bottom"/>
          </w:tcPr>
          <w:p>
            <w:pPr>
              <w:spacing w:after="0"/>
              <w:rPr>
                <w:sz w:val="24"/>
                <w:szCs w:val="24"/>
                <w:color w:val="auto"/>
              </w:rPr>
            </w:pPr>
          </w:p>
        </w:tc>
        <w:tc>
          <w:tcPr>
            <w:tcW w:w="2760" w:type="dxa"/>
            <w:vAlign w:val="bottom"/>
          </w:tcPr>
          <w:p>
            <w:pPr>
              <w:jc w:val="right"/>
              <w:ind w:right="63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720" w:type="dxa"/>
            <w:vAlign w:val="bottom"/>
            <w:tcBorders>
              <w:bottom w:val="single" w:sz="8" w:color="9A9A9A"/>
            </w:tcBorders>
          </w:tcPr>
          <w:p>
            <w:pPr>
              <w:spacing w:after="0"/>
              <w:rPr>
                <w:sz w:val="13"/>
                <w:szCs w:val="13"/>
                <w:color w:val="auto"/>
              </w:rPr>
            </w:pPr>
          </w:p>
        </w:tc>
        <w:tc>
          <w:tcPr>
            <w:tcW w:w="2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b w:val="1"/>
          <w:bCs w:val="1"/>
          <w:color w:val="auto"/>
        </w:rPr>
        <w:t>Exhibit 3.1</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AMENDED AND RESTATED CERTIFICATE OF INCORPORATION OF</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RXSIGHT, INC.</w:t>
      </w:r>
    </w:p>
    <w:p>
      <w:pPr>
        <w:spacing w:after="0" w:line="140" w:lineRule="exact"/>
        <w:rPr>
          <w:sz w:val="20"/>
          <w:szCs w:val="20"/>
          <w:color w:val="auto"/>
        </w:rPr>
      </w:pPr>
    </w:p>
    <w:p>
      <w:pPr>
        <w:jc w:val="both"/>
        <w:ind w:left="5100" w:right="5100" w:firstLine="1"/>
        <w:spacing w:after="0" w:line="372" w:lineRule="auto"/>
        <w:tabs>
          <w:tab w:leader="none" w:pos="5223"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Delaware corporation</w:t>
      </w:r>
    </w:p>
    <w:p>
      <w:pPr>
        <w:ind w:left="460"/>
        <w:spacing w:after="0"/>
        <w:rPr>
          <w:sz w:val="20"/>
          <w:szCs w:val="20"/>
          <w:color w:val="auto"/>
        </w:rPr>
      </w:pPr>
      <w:r>
        <w:rPr>
          <w:rFonts w:ascii="Arial" w:cs="Arial" w:eastAsia="Arial" w:hAnsi="Arial"/>
          <w:sz w:val="16"/>
          <w:szCs w:val="16"/>
          <w:color w:val="auto"/>
        </w:rPr>
        <w:t>RxSight, Inc., a corporation organized and existing under the laws of the State of Delaware (the “</w:t>
      </w:r>
      <w:r>
        <w:rPr>
          <w:rFonts w:ascii="Arial" w:cs="Arial" w:eastAsia="Arial" w:hAnsi="Arial"/>
          <w:sz w:val="16"/>
          <w:szCs w:val="16"/>
          <w:b w:val="1"/>
          <w:bCs w:val="1"/>
          <w:color w:val="auto"/>
        </w:rPr>
        <w:t>Company</w:t>
      </w:r>
      <w:r>
        <w:rPr>
          <w:rFonts w:ascii="Arial" w:cs="Arial" w:eastAsia="Arial" w:hAnsi="Arial"/>
          <w:sz w:val="16"/>
          <w:szCs w:val="16"/>
          <w:color w:val="auto"/>
        </w:rPr>
        <w:t>”), does hereby certify as follows: A.  The</w:t>
      </w:r>
    </w:p>
    <w:p>
      <w:pPr>
        <w:spacing w:after="0" w:line="198" w:lineRule="exact"/>
        <w:rPr>
          <w:sz w:val="20"/>
          <w:szCs w:val="20"/>
          <w:color w:val="auto"/>
        </w:rPr>
      </w:pPr>
    </w:p>
    <w:p>
      <w:pPr>
        <w:ind w:left="460"/>
        <w:spacing w:after="0"/>
        <w:tabs>
          <w:tab w:leader="none" w:pos="9280" w:val="left"/>
        </w:tabs>
        <w:rPr>
          <w:sz w:val="20"/>
          <w:szCs w:val="20"/>
          <w:color w:val="auto"/>
        </w:rPr>
      </w:pPr>
      <w:r>
        <w:rPr>
          <w:rFonts w:ascii="Arial" w:cs="Arial" w:eastAsia="Arial" w:hAnsi="Arial"/>
          <w:sz w:val="16"/>
          <w:szCs w:val="16"/>
          <w:color w:val="auto"/>
        </w:rPr>
        <w:t>original Certificate of Incorporation of the Company was filed with the Secretary of State of the State of Delaware on July 1, 2021. B.</w:t>
      </w:r>
      <w:r>
        <w:rPr>
          <w:sz w:val="20"/>
          <w:szCs w:val="20"/>
          <w:color w:val="auto"/>
        </w:rPr>
        <w:tab/>
      </w:r>
      <w:r>
        <w:rPr>
          <w:rFonts w:ascii="Arial" w:cs="Arial" w:eastAsia="Arial" w:hAnsi="Arial"/>
          <w:sz w:val="14"/>
          <w:szCs w:val="14"/>
          <w:color w:val="auto"/>
        </w:rPr>
        <w:t>This Amended and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Restated Certificate of Incorporation was duly adopted in accordance with Sections 242 and 245 of the General</w:t>
      </w:r>
    </w:p>
    <w:p>
      <w:pPr>
        <w:spacing w:after="0" w:line="82" w:lineRule="exact"/>
        <w:rPr>
          <w:sz w:val="20"/>
          <w:szCs w:val="20"/>
          <w:color w:val="auto"/>
        </w:rPr>
      </w:pPr>
    </w:p>
    <w:p>
      <w:pPr>
        <w:ind w:right="640"/>
        <w:spacing w:after="0" w:line="263" w:lineRule="auto"/>
        <w:rPr>
          <w:sz w:val="20"/>
          <w:szCs w:val="20"/>
          <w:color w:val="auto"/>
        </w:rPr>
      </w:pPr>
      <w:r>
        <w:rPr>
          <w:rFonts w:ascii="Arial" w:cs="Arial" w:eastAsia="Arial" w:hAnsi="Arial"/>
          <w:sz w:val="16"/>
          <w:szCs w:val="16"/>
          <w:color w:val="auto"/>
        </w:rPr>
        <w:t>Corporation Law of the State of Delaware (the “</w:t>
      </w:r>
      <w:r>
        <w:rPr>
          <w:rFonts w:ascii="Arial" w:cs="Arial" w:eastAsia="Arial" w:hAnsi="Arial"/>
          <w:sz w:val="16"/>
          <w:szCs w:val="16"/>
          <w:b w:val="1"/>
          <w:bCs w:val="1"/>
          <w:color w:val="auto"/>
        </w:rPr>
        <w:t>DGCL</w:t>
      </w:r>
      <w:r>
        <w:rPr>
          <w:rFonts w:ascii="Arial" w:cs="Arial" w:eastAsia="Arial" w:hAnsi="Arial"/>
          <w:sz w:val="16"/>
          <w:szCs w:val="16"/>
          <w:color w:val="auto"/>
        </w:rPr>
        <w:t>”) by the Board of Directors of the Company (the “</w:t>
      </w:r>
      <w:r>
        <w:rPr>
          <w:rFonts w:ascii="Arial" w:cs="Arial" w:eastAsia="Arial" w:hAnsi="Arial"/>
          <w:sz w:val="16"/>
          <w:szCs w:val="16"/>
          <w:b w:val="1"/>
          <w:bCs w:val="1"/>
          <w:color w:val="auto"/>
        </w:rPr>
        <w:t>Board of Directors</w:t>
      </w:r>
      <w:r>
        <w:rPr>
          <w:rFonts w:ascii="Arial" w:cs="Arial" w:eastAsia="Arial" w:hAnsi="Arial"/>
          <w:sz w:val="16"/>
          <w:szCs w:val="16"/>
          <w:color w:val="auto"/>
        </w:rPr>
        <w:t>”) and has been duly approved by the written consent of the stockholders of the Company in accordance with Section 228 of the DGCL.</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The text of the Amended and Restated Certificate of Incorporation is hereby amended and restated in its entirety to read as follows:</w:t>
      </w:r>
    </w:p>
    <w:p>
      <w:pPr>
        <w:spacing w:after="0" w:line="393"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ARTICLE</w:t>
      </w:r>
    </w:p>
    <w:p>
      <w:pPr>
        <w:spacing w:after="0" w:line="26"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I</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name of the Company is RxSight, Inc.</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ARTICLE</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II</w:t>
      </w:r>
    </w:p>
    <w:p>
      <w:pPr>
        <w:spacing w:after="0" w:line="204" w:lineRule="exact"/>
        <w:rPr>
          <w:sz w:val="20"/>
          <w:szCs w:val="20"/>
          <w:color w:val="auto"/>
        </w:rPr>
      </w:pPr>
    </w:p>
    <w:p>
      <w:pPr>
        <w:ind w:right="460" w:firstLine="460"/>
        <w:spacing w:after="0" w:line="293" w:lineRule="auto"/>
        <w:rPr>
          <w:sz w:val="20"/>
          <w:szCs w:val="20"/>
          <w:color w:val="auto"/>
        </w:rPr>
      </w:pPr>
      <w:r>
        <w:rPr>
          <w:rFonts w:ascii="Arial" w:cs="Arial" w:eastAsia="Arial" w:hAnsi="Arial"/>
          <w:sz w:val="16"/>
          <w:szCs w:val="16"/>
          <w:color w:val="auto"/>
        </w:rPr>
        <w:t>The address of the Company’s registered office in the State of Delaware is 1209 Orange Street, in the City of Wilmington, County of New Castle, Delaware 19801. The name of its registered agent at such address is The Corporation Trust Company.</w:t>
      </w: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ARTICLE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III</w:t>
      </w:r>
    </w:p>
    <w:p>
      <w:pPr>
        <w:spacing w:after="0" w:line="204" w:lineRule="exact"/>
        <w:rPr>
          <w:sz w:val="20"/>
          <w:szCs w:val="20"/>
          <w:color w:val="auto"/>
        </w:rPr>
      </w:pPr>
    </w:p>
    <w:p>
      <w:pPr>
        <w:ind w:right="900" w:firstLine="460"/>
        <w:spacing w:after="0" w:line="258" w:lineRule="auto"/>
        <w:rPr>
          <w:sz w:val="20"/>
          <w:szCs w:val="20"/>
          <w:color w:val="auto"/>
        </w:rPr>
      </w:pPr>
      <w:r>
        <w:rPr>
          <w:rFonts w:ascii="Arial" w:cs="Arial" w:eastAsia="Arial" w:hAnsi="Arial"/>
          <w:sz w:val="16"/>
          <w:szCs w:val="16"/>
          <w:color w:val="auto"/>
        </w:rPr>
        <w:t>The nature of the business or purposes to be conducted or promoted by the Company is to engage in any lawful act or activity for which corporations may be organized under the DGCL.</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IV</w:t>
      </w:r>
    </w:p>
    <w:p>
      <w:pPr>
        <w:spacing w:after="0" w:line="190" w:lineRule="exact"/>
        <w:rPr>
          <w:sz w:val="20"/>
          <w:szCs w:val="20"/>
          <w:color w:val="auto"/>
        </w:rPr>
      </w:pPr>
    </w:p>
    <w:p>
      <w:pPr>
        <w:ind w:right="320" w:firstLine="460"/>
        <w:spacing w:after="0" w:line="243" w:lineRule="auto"/>
        <w:rPr>
          <w:sz w:val="20"/>
          <w:szCs w:val="20"/>
          <w:color w:val="auto"/>
        </w:rPr>
      </w:pPr>
      <w:r>
        <w:rPr>
          <w:rFonts w:ascii="Arial" w:cs="Arial" w:eastAsia="Arial" w:hAnsi="Arial"/>
          <w:sz w:val="16"/>
          <w:szCs w:val="16"/>
          <w:color w:val="auto"/>
        </w:rPr>
        <w:t>Section 1. This Company is authorized to issue two classes of stock, to be designated, respectively, Common Stock and Preferred Stock. The total number of shares of stock that the Company shall have authority to issue is 1,000,000,000 shares, of which 900,000,000 shares are Common Stock, $0.001 par value per share, and 100,000,000 shares are Preferred Stock, $0.001 par value per share.</w:t>
      </w:r>
    </w:p>
    <w:p>
      <w:pPr>
        <w:spacing w:after="0" w:line="170" w:lineRule="exact"/>
        <w:rPr>
          <w:sz w:val="20"/>
          <w:szCs w:val="20"/>
          <w:color w:val="auto"/>
        </w:rPr>
      </w:pPr>
    </w:p>
    <w:p>
      <w:pPr>
        <w:ind w:right="140" w:firstLine="460"/>
        <w:spacing w:after="0" w:line="293" w:lineRule="auto"/>
        <w:rPr>
          <w:sz w:val="20"/>
          <w:szCs w:val="20"/>
          <w:color w:val="auto"/>
        </w:rPr>
      </w:pPr>
      <w:r>
        <w:rPr>
          <w:rFonts w:ascii="Arial" w:cs="Arial" w:eastAsia="Arial" w:hAnsi="Arial"/>
          <w:sz w:val="16"/>
          <w:szCs w:val="16"/>
          <w:color w:val="auto"/>
        </w:rPr>
        <w:t>Section 2. Each share of Common Stock outstanding as of the applicable record date shall entitle the holder thereof to one (1) vote on any matter submitted to a vote at a meeting of stockholders.</w:t>
      </w:r>
    </w:p>
    <w:p>
      <w:pPr>
        <w:spacing w:after="0" w:line="145" w:lineRule="exact"/>
        <w:rPr>
          <w:sz w:val="20"/>
          <w:szCs w:val="20"/>
          <w:color w:val="auto"/>
        </w:rPr>
      </w:pPr>
    </w:p>
    <w:p>
      <w:pPr>
        <w:ind w:right="220" w:firstLine="460"/>
        <w:spacing w:after="0" w:line="297" w:lineRule="auto"/>
        <w:rPr>
          <w:sz w:val="20"/>
          <w:szCs w:val="20"/>
          <w:color w:val="auto"/>
        </w:rPr>
      </w:pPr>
      <w:r>
        <w:rPr>
          <w:rFonts w:ascii="Arial" w:cs="Arial" w:eastAsia="Arial" w:hAnsi="Arial"/>
          <w:sz w:val="15"/>
          <w:szCs w:val="15"/>
          <w:color w:val="auto"/>
        </w:rPr>
        <w:t>Section 3.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325755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423" w:right="439" w:bottom="1440" w:gutter="0" w:footer="0" w:header="0"/>
        </w:sectPr>
      </w:pPr>
    </w:p>
    <w:bookmarkStart w:id="110" w:name="page111"/>
    <w:bookmarkEnd w:id="110"/>
    <w:p>
      <w:pPr>
        <w:ind w:right="140"/>
        <w:spacing w:after="0" w:line="264" w:lineRule="auto"/>
        <w:rPr>
          <w:sz w:val="20"/>
          <w:szCs w:val="20"/>
          <w:color w:val="auto"/>
        </w:rPr>
      </w:pPr>
      <w:r>
        <w:rPr>
          <w:rFonts w:ascii="Arial" w:cs="Arial" w:eastAsia="Arial" w:hAnsi="Arial"/>
          <w:sz w:val="16"/>
          <w:szCs w:val="16"/>
          <w:color w:val="auto"/>
        </w:rPr>
        <w:t>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this Amended and Restated Certificate of Incorporation or the resolution of the Board of</w:t>
      </w:r>
    </w:p>
    <w:p>
      <w:pPr>
        <w:spacing w:after="0" w:line="1" w:lineRule="exact"/>
        <w:rPr>
          <w:sz w:val="20"/>
          <w:szCs w:val="20"/>
          <w:color w:val="auto"/>
        </w:rPr>
      </w:pPr>
    </w:p>
    <w:p>
      <w:pPr>
        <w:ind w:right="380"/>
        <w:spacing w:after="0" w:line="244" w:lineRule="auto"/>
        <w:rPr>
          <w:sz w:val="20"/>
          <w:szCs w:val="20"/>
          <w:color w:val="auto"/>
        </w:rPr>
      </w:pPr>
      <w:r>
        <w:rPr>
          <w:rFonts w:ascii="Arial" w:cs="Arial" w:eastAsia="Arial" w:hAnsi="Arial"/>
          <w:sz w:val="15"/>
          <w:szCs w:val="15"/>
          <w:color w:val="auto"/>
        </w:rPr>
        <w:t>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w:t>
      </w:r>
    </w:p>
    <w:p>
      <w:pPr>
        <w:ind w:right="1440"/>
        <w:spacing w:after="0" w:line="257" w:lineRule="auto"/>
        <w:rPr>
          <w:sz w:val="20"/>
          <w:szCs w:val="20"/>
          <w:color w:val="auto"/>
        </w:rPr>
      </w:pPr>
      <w:r>
        <w:rPr>
          <w:rFonts w:ascii="Arial" w:cs="Arial" w:eastAsia="Arial" w:hAnsi="Arial"/>
          <w:sz w:val="16"/>
          <w:szCs w:val="16"/>
          <w:color w:val="auto"/>
        </w:rPr>
        <w:t>constituting such decrease to resume the status which they had prior to the adoption of the resolution originally fixing the number of shares of such series.</w:t>
      </w:r>
    </w:p>
    <w:p>
      <w:pPr>
        <w:spacing w:after="0" w:line="172" w:lineRule="exact"/>
        <w:rPr>
          <w:sz w:val="20"/>
          <w:szCs w:val="20"/>
          <w:color w:val="auto"/>
        </w:rPr>
      </w:pPr>
    </w:p>
    <w:p>
      <w:pPr>
        <w:ind w:right="420" w:firstLine="963"/>
        <w:spacing w:after="0" w:line="256" w:lineRule="auto"/>
        <w:rPr>
          <w:sz w:val="20"/>
          <w:szCs w:val="20"/>
          <w:color w:val="auto"/>
        </w:rPr>
      </w:pPr>
      <w:r>
        <w:rPr>
          <w:rFonts w:ascii="Arial" w:cs="Arial" w:eastAsia="Arial" w:hAnsi="Arial"/>
          <w:sz w:val="15"/>
          <w:szCs w:val="15"/>
          <w:color w:val="auto"/>
        </w:rPr>
        <w:t>Section 4. Except as otherwise required by law or provided in this Amended and Restated Certificate of Incorporation,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w:t>
      </w:r>
    </w:p>
    <w:p>
      <w:pPr>
        <w:spacing w:after="0" w:line="2" w:lineRule="exact"/>
        <w:rPr>
          <w:sz w:val="20"/>
          <w:szCs w:val="20"/>
          <w:color w:val="auto"/>
        </w:rPr>
      </w:pPr>
    </w:p>
    <w:p>
      <w:pPr>
        <w:ind w:right="1140"/>
        <w:spacing w:after="0" w:line="251" w:lineRule="auto"/>
        <w:rPr>
          <w:sz w:val="20"/>
          <w:szCs w:val="20"/>
          <w:color w:val="auto"/>
        </w:rPr>
      </w:pPr>
      <w:r>
        <w:rPr>
          <w:rFonts w:ascii="Arial" w:cs="Arial" w:eastAsia="Arial" w:hAnsi="Arial"/>
          <w:sz w:val="16"/>
          <w:szCs w:val="16"/>
          <w:color w:val="auto"/>
        </w:rPr>
        <w:t>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151" w:lineRule="exact"/>
        <w:rPr>
          <w:sz w:val="20"/>
          <w:szCs w:val="20"/>
          <w:color w:val="auto"/>
        </w:rPr>
      </w:pPr>
    </w:p>
    <w:p>
      <w:pPr>
        <w:ind w:right="240" w:firstLine="460"/>
        <w:spacing w:after="0" w:line="238" w:lineRule="auto"/>
        <w:rPr>
          <w:sz w:val="20"/>
          <w:szCs w:val="20"/>
          <w:color w:val="auto"/>
        </w:rPr>
      </w:pPr>
      <w:r>
        <w:rPr>
          <w:rFonts w:ascii="Arial" w:cs="Arial" w:eastAsia="Arial" w:hAnsi="Arial"/>
          <w:sz w:val="16"/>
          <w:szCs w:val="16"/>
          <w:color w:val="auto"/>
        </w:rPr>
        <w:t>Section 5. The number of authorized shares of Preferred Stock or Common Stock may be increased or decreased (but not below the number of shares thereof then outstanding) by the affirmative vote of the holders of a majority of the voting power of all the then-outstanding shares of capital</w:t>
      </w:r>
    </w:p>
    <w:p>
      <w:pPr>
        <w:spacing w:after="0" w:line="229" w:lineRule="auto"/>
        <w:rPr>
          <w:sz w:val="20"/>
          <w:szCs w:val="20"/>
          <w:color w:val="auto"/>
        </w:rPr>
      </w:pPr>
      <w:r>
        <w:rPr>
          <w:rFonts w:ascii="Arial" w:cs="Arial" w:eastAsia="Arial" w:hAnsi="Arial"/>
          <w:sz w:val="16"/>
          <w:szCs w:val="16"/>
          <w:color w:val="auto"/>
        </w:rPr>
        <w:t>stock of the Company entitled to vote thereon, without a separate vote of the holders of the class or classes the number of authorized shares of which are</w:t>
      </w:r>
    </w:p>
    <w:p>
      <w:pPr>
        <w:ind w:right="340"/>
        <w:spacing w:after="0" w:line="239" w:lineRule="auto"/>
        <w:rPr>
          <w:sz w:val="20"/>
          <w:szCs w:val="20"/>
          <w:color w:val="auto"/>
        </w:rPr>
      </w:pPr>
      <w:r>
        <w:rPr>
          <w:rFonts w:ascii="Arial" w:cs="Arial" w:eastAsia="Arial" w:hAnsi="Arial"/>
          <w:sz w:val="16"/>
          <w:szCs w:val="16"/>
          <w:color w:val="auto"/>
        </w:rPr>
        <w:t>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ARTICLE</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V</w:t>
      </w:r>
    </w:p>
    <w:p>
      <w:pPr>
        <w:spacing w:after="0" w:line="204" w:lineRule="exact"/>
        <w:rPr>
          <w:sz w:val="20"/>
          <w:szCs w:val="20"/>
          <w:color w:val="auto"/>
        </w:rPr>
      </w:pPr>
    </w:p>
    <w:p>
      <w:pPr>
        <w:ind w:firstLine="460"/>
        <w:spacing w:after="0" w:line="291" w:lineRule="auto"/>
        <w:rPr>
          <w:sz w:val="20"/>
          <w:szCs w:val="20"/>
          <w:color w:val="auto"/>
        </w:rPr>
      </w:pPr>
      <w:r>
        <w:rPr>
          <w:rFonts w:ascii="Arial" w:cs="Arial" w:eastAsia="Arial" w:hAnsi="Arial"/>
          <w:sz w:val="15"/>
          <w:szCs w:val="15"/>
          <w:color w:val="auto"/>
        </w:rPr>
        <w:t>Section 1. Subject to the rights of holders of Preferred Stock, the number of directors that constitutes the entire Board of Directors of the Company shall be fixed only by resolution of the Board of Directors acting pursuant to a resolution adopted by a majority of the Whole Board. For the purposes of this Amended and Restated Certificate of Incorporation, the term “</w:t>
      </w:r>
      <w:r>
        <w:rPr>
          <w:rFonts w:ascii="Arial" w:cs="Arial" w:eastAsia="Arial" w:hAnsi="Arial"/>
          <w:sz w:val="15"/>
          <w:szCs w:val="15"/>
          <w:b w:val="1"/>
          <w:bCs w:val="1"/>
          <w:color w:val="auto"/>
        </w:rPr>
        <w:t>Whole Board</w:t>
      </w:r>
      <w:r>
        <w:rPr>
          <w:rFonts w:ascii="Arial" w:cs="Arial" w:eastAsia="Arial" w:hAnsi="Arial"/>
          <w:sz w:val="15"/>
          <w:szCs w:val="15"/>
          <w:color w:val="auto"/>
        </w:rPr>
        <w:t>” 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49" w:lineRule="exact"/>
        <w:rPr>
          <w:sz w:val="20"/>
          <w:szCs w:val="20"/>
          <w:color w:val="auto"/>
        </w:rPr>
      </w:pPr>
    </w:p>
    <w:p>
      <w:pPr>
        <w:ind w:firstLine="460"/>
        <w:spacing w:after="0" w:line="264" w:lineRule="auto"/>
        <w:rPr>
          <w:sz w:val="20"/>
          <w:szCs w:val="20"/>
          <w:color w:val="auto"/>
        </w:rPr>
      </w:pPr>
      <w:r>
        <w:rPr>
          <w:rFonts w:ascii="Arial" w:cs="Arial" w:eastAsia="Arial" w:hAnsi="Arial"/>
          <w:sz w:val="16"/>
          <w:szCs w:val="16"/>
          <w:color w:val="auto"/>
        </w:rPr>
        <w:t>Section 2. From and after the effectiveness of this Amended and Restated Certificate of Incorporation, the directors of the Company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following the date hereof, the term of office of the Class I directors shall expire and Class I directors shall be elected for a full term of three years. At the second annual meeting of stockholders following the date hereof, the term of office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365125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440" w:right="499" w:bottom="1440" w:gutter="0" w:footer="0" w:header="0"/>
        </w:sectPr>
      </w:pPr>
    </w:p>
    <w:bookmarkStart w:id="111" w:name="page112"/>
    <w:bookmarkEnd w:id="111"/>
    <w:p>
      <w:pPr>
        <w:spacing w:after="0" w:line="318" w:lineRule="auto"/>
        <w:rPr>
          <w:sz w:val="20"/>
          <w:szCs w:val="20"/>
          <w:color w:val="auto"/>
        </w:rPr>
      </w:pPr>
      <w:r>
        <w:rPr>
          <w:rFonts w:ascii="Arial" w:cs="Arial" w:eastAsia="Arial" w:hAnsi="Arial"/>
          <w:sz w:val="14"/>
          <w:szCs w:val="14"/>
          <w:color w:val="auto"/>
        </w:rPr>
        <w:t xml:space="preserve">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no decrease in the number of directors constituting the Board of Directors shall shorten the term of any incumbent director.</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ARTICLE</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VI</w:t>
      </w:r>
    </w:p>
    <w:p>
      <w:pPr>
        <w:spacing w:after="0" w:line="217" w:lineRule="exact"/>
        <w:rPr>
          <w:sz w:val="20"/>
          <w:szCs w:val="20"/>
          <w:color w:val="auto"/>
        </w:rPr>
      </w:pPr>
    </w:p>
    <w:p>
      <w:pPr>
        <w:jc w:val="both"/>
        <w:ind w:firstLine="460"/>
        <w:spacing w:after="0" w:line="273" w:lineRule="auto"/>
        <w:rPr>
          <w:sz w:val="20"/>
          <w:szCs w:val="20"/>
          <w:color w:val="auto"/>
        </w:rPr>
      </w:pPr>
      <w:r>
        <w:rPr>
          <w:rFonts w:ascii="Arial" w:cs="Arial" w:eastAsia="Arial" w:hAnsi="Arial"/>
          <w:sz w:val="16"/>
          <w:szCs w:val="16"/>
          <w:color w:val="auto"/>
        </w:rPr>
        <w:t>Section 1. From and after the effectiveness of this Amended and Restated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a majority of the voting power of the issued and outstanding capital stock of the Company entitled to vote in the election of directors.</w:t>
      </w:r>
    </w:p>
    <w:p>
      <w:pPr>
        <w:spacing w:after="0" w:line="162" w:lineRule="exact"/>
        <w:rPr>
          <w:sz w:val="20"/>
          <w:szCs w:val="20"/>
          <w:color w:val="auto"/>
        </w:rPr>
      </w:pPr>
    </w:p>
    <w:p>
      <w:pPr>
        <w:ind w:right="180" w:firstLine="460"/>
        <w:spacing w:after="0" w:line="268" w:lineRule="auto"/>
        <w:rPr>
          <w:sz w:val="20"/>
          <w:szCs w:val="20"/>
          <w:color w:val="auto"/>
        </w:rPr>
      </w:pPr>
      <w:r>
        <w:rPr>
          <w:rFonts w:ascii="Arial" w:cs="Arial" w:eastAsia="Arial" w:hAnsi="Arial"/>
          <w:sz w:val="16"/>
          <w:szCs w:val="16"/>
          <w:color w:val="auto"/>
        </w:rPr>
        <w:t>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350"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ARTICLE</w:t>
      </w:r>
    </w:p>
    <w:p>
      <w:pPr>
        <w:spacing w:after="0" w:line="26"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VII</w:t>
      </w:r>
    </w:p>
    <w:p>
      <w:pPr>
        <w:spacing w:after="0" w:line="204"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6"/>
          <w:szCs w:val="16"/>
          <w:color w:val="auto"/>
        </w:rPr>
        <w:t>Section 1.</w:t>
      </w:r>
      <w:r>
        <w:rPr>
          <w:sz w:val="20"/>
          <w:szCs w:val="20"/>
          <w:color w:val="auto"/>
        </w:rPr>
        <w:tab/>
      </w:r>
      <w:r>
        <w:rPr>
          <w:rFonts w:ascii="Arial" w:cs="Arial" w:eastAsia="Arial" w:hAnsi="Arial"/>
          <w:sz w:val="14"/>
          <w:szCs w:val="14"/>
          <w:color w:val="auto"/>
        </w:rPr>
        <w:t>The Company is to have perpetual existence.</w:t>
      </w:r>
    </w:p>
    <w:p>
      <w:pPr>
        <w:spacing w:after="0" w:line="194" w:lineRule="exact"/>
        <w:rPr>
          <w:sz w:val="20"/>
          <w:szCs w:val="20"/>
          <w:color w:val="auto"/>
        </w:rPr>
      </w:pPr>
    </w:p>
    <w:p>
      <w:pPr>
        <w:ind w:right="60" w:firstLine="460"/>
        <w:spacing w:after="0" w:line="243" w:lineRule="auto"/>
        <w:rPr>
          <w:sz w:val="20"/>
          <w:szCs w:val="20"/>
          <w:color w:val="auto"/>
        </w:rPr>
      </w:pPr>
      <w:r>
        <w:rPr>
          <w:rFonts w:ascii="Arial" w:cs="Arial" w:eastAsia="Arial" w:hAnsi="Arial"/>
          <w:sz w:val="16"/>
          <w:szCs w:val="16"/>
          <w:color w:val="auto"/>
        </w:rPr>
        <w:t>Section 2. The business and affairs of the Company shall be managed by or under the direction of the Board of Directors. In addition to the powers and authority expressly conferred upon them by statute or by this Amended and Restated Certificate of Incorporation or the Bylaws of the Company, the directors are hereby empowered to exercise all such powers and do all such acts and things as may be exercised or done by the Company.</w:t>
      </w:r>
    </w:p>
    <w:p>
      <w:pPr>
        <w:spacing w:after="0" w:line="170" w:lineRule="exact"/>
        <w:rPr>
          <w:sz w:val="20"/>
          <w:szCs w:val="20"/>
          <w:color w:val="auto"/>
        </w:rPr>
      </w:pPr>
    </w:p>
    <w:p>
      <w:pPr>
        <w:ind w:right="140" w:firstLine="460"/>
        <w:spacing w:after="0" w:line="315" w:lineRule="auto"/>
        <w:rPr>
          <w:sz w:val="20"/>
          <w:szCs w:val="20"/>
          <w:color w:val="auto"/>
        </w:rPr>
      </w:pPr>
      <w:r>
        <w:rPr>
          <w:rFonts w:ascii="Arial" w:cs="Arial" w:eastAsia="Arial" w:hAnsi="Arial"/>
          <w:sz w:val="14"/>
          <w:szCs w:val="14"/>
          <w:color w:val="auto"/>
        </w:rPr>
        <w:t>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Notwithstanding the above or any other provision of this Amended and Restated Certificate of Incorporation, the Bylaws of the Company may not be amended, altered or repealed except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w:t>
      </w: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365125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440" w:right="399" w:bottom="1440" w:gutter="0" w:footer="0" w:header="0"/>
        </w:sectPr>
      </w:pPr>
    </w:p>
    <w:bookmarkStart w:id="112" w:name="page113"/>
    <w:bookmarkEnd w:id="112"/>
    <w:p>
      <w:pPr>
        <w:ind w:left="460"/>
        <w:spacing w:after="0"/>
        <w:tabs>
          <w:tab w:leader="none" w:pos="1240" w:val="left"/>
        </w:tabs>
        <w:rPr>
          <w:sz w:val="20"/>
          <w:szCs w:val="20"/>
          <w:color w:val="auto"/>
        </w:rPr>
      </w:pPr>
      <w:r>
        <w:rPr>
          <w:rFonts w:ascii="Arial" w:cs="Arial" w:eastAsia="Arial" w:hAnsi="Arial"/>
          <w:sz w:val="16"/>
          <w:szCs w:val="16"/>
          <w:color w:val="auto"/>
        </w:rPr>
        <w:t>Section 4.</w:t>
      </w:r>
      <w:r>
        <w:rPr>
          <w:sz w:val="20"/>
          <w:szCs w:val="20"/>
          <w:color w:val="auto"/>
        </w:rPr>
        <w:tab/>
      </w:r>
      <w:r>
        <w:rPr>
          <w:rFonts w:ascii="Arial" w:cs="Arial" w:eastAsia="Arial" w:hAnsi="Arial"/>
          <w:sz w:val="14"/>
          <w:szCs w:val="14"/>
          <w:color w:val="auto"/>
        </w:rPr>
        <w:t>The election of directors need not be by written ballot unless the Bylaws of the Company shall so provide. Section 5.</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stockholder will be permitted to cumulate votes at any election of directors.</w:t>
      </w:r>
    </w:p>
    <w:p>
      <w:pPr>
        <w:spacing w:after="0" w:line="312"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ARTICLE</w:t>
      </w:r>
    </w:p>
    <w:p>
      <w:pPr>
        <w:spacing w:after="0" w:line="26"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auto"/>
        </w:rPr>
        <w:t>VIII</w:t>
      </w:r>
    </w:p>
    <w:p>
      <w:pPr>
        <w:spacing w:after="0" w:line="204" w:lineRule="exact"/>
        <w:rPr>
          <w:sz w:val="20"/>
          <w:szCs w:val="20"/>
          <w:color w:val="auto"/>
        </w:rPr>
      </w:pPr>
    </w:p>
    <w:p>
      <w:pPr>
        <w:ind w:right="160" w:firstLine="460"/>
        <w:spacing w:after="0" w:line="273" w:lineRule="auto"/>
        <w:rPr>
          <w:sz w:val="20"/>
          <w:szCs w:val="20"/>
          <w:color w:val="auto"/>
        </w:rPr>
      </w:pPr>
      <w:r>
        <w:rPr>
          <w:rFonts w:ascii="Arial" w:cs="Arial" w:eastAsia="Arial" w:hAnsi="Arial"/>
          <w:sz w:val="16"/>
          <w:szCs w:val="16"/>
          <w:color w:val="auto"/>
        </w:rPr>
        <w:t>Section 1. From and after the closing of a firm commitment underwritten initial public offering of securities of the Company pursuant to an effective registration statement filed under the Securities Act of 1933, as amended,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62" w:lineRule="exact"/>
        <w:rPr>
          <w:sz w:val="20"/>
          <w:szCs w:val="20"/>
          <w:color w:val="auto"/>
        </w:rPr>
      </w:pPr>
    </w:p>
    <w:p>
      <w:pPr>
        <w:ind w:right="100" w:firstLine="460"/>
        <w:spacing w:after="0" w:line="297" w:lineRule="auto"/>
        <w:rPr>
          <w:sz w:val="20"/>
          <w:szCs w:val="20"/>
          <w:color w:val="auto"/>
        </w:rPr>
      </w:pPr>
      <w:r>
        <w:rPr>
          <w:rFonts w:ascii="Arial" w:cs="Arial" w:eastAsia="Arial" w:hAnsi="Arial"/>
          <w:sz w:val="15"/>
          <w:szCs w:val="15"/>
          <w:color w:val="auto"/>
        </w:rPr>
        <w:t>Section 2. 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45" w:lineRule="exact"/>
        <w:rPr>
          <w:sz w:val="20"/>
          <w:szCs w:val="20"/>
          <w:color w:val="auto"/>
        </w:rPr>
      </w:pPr>
    </w:p>
    <w:p>
      <w:pPr>
        <w:ind w:right="400" w:firstLine="460"/>
        <w:spacing w:after="0" w:line="293" w:lineRule="auto"/>
        <w:rPr>
          <w:sz w:val="20"/>
          <w:szCs w:val="20"/>
          <w:color w:val="auto"/>
        </w:rPr>
      </w:pPr>
      <w:r>
        <w:rPr>
          <w:rFonts w:ascii="Arial" w:cs="Arial" w:eastAsia="Arial" w:hAnsi="Arial"/>
          <w:sz w:val="16"/>
          <w:szCs w:val="16"/>
          <w:color w:val="auto"/>
        </w:rPr>
        <w:t>Section 3. Advance notice of stockholder nominations for the election of directors and of business to be brought by stockholders before any meeting of the stockholders of the Company shall be given in the manner and to the extent provided in the Bylaws of the Company.</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IX</w:t>
      </w:r>
    </w:p>
    <w:p>
      <w:pPr>
        <w:spacing w:after="0" w:line="204" w:lineRule="exact"/>
        <w:rPr>
          <w:sz w:val="20"/>
          <w:szCs w:val="20"/>
          <w:color w:val="auto"/>
        </w:rPr>
      </w:pPr>
    </w:p>
    <w:p>
      <w:pPr>
        <w:ind w:firstLine="460"/>
        <w:spacing w:after="0" w:line="273" w:lineRule="auto"/>
        <w:rPr>
          <w:sz w:val="20"/>
          <w:szCs w:val="20"/>
          <w:color w:val="auto"/>
        </w:rPr>
      </w:pPr>
      <w:r>
        <w:rPr>
          <w:rFonts w:ascii="Arial" w:cs="Arial" w:eastAsia="Arial" w:hAnsi="Arial"/>
          <w:sz w:val="16"/>
          <w:szCs w:val="16"/>
          <w:color w:val="auto"/>
        </w:rPr>
        <w:t>Section 1. 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62" w:lineRule="exact"/>
        <w:rPr>
          <w:sz w:val="20"/>
          <w:szCs w:val="20"/>
          <w:color w:val="auto"/>
        </w:rPr>
      </w:pPr>
    </w:p>
    <w:p>
      <w:pPr>
        <w:ind w:firstLine="460"/>
        <w:spacing w:after="0" w:line="264" w:lineRule="auto"/>
        <w:rPr>
          <w:sz w:val="20"/>
          <w:szCs w:val="20"/>
          <w:color w:val="auto"/>
        </w:rPr>
      </w:pPr>
      <w:r>
        <w:rPr>
          <w:rFonts w:ascii="Arial" w:cs="Arial" w:eastAsia="Arial" w:hAnsi="Arial"/>
          <w:sz w:val="16"/>
          <w:szCs w:val="16"/>
          <w:color w:val="auto"/>
        </w:rPr>
        <w:t>Section 2. 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such Proceeding. The Company shall be required to indemnify a person in connection with a Proceeding (or part thereof) initiated by such person only if the Proceeding (or part thereof) was authorized by the Board of Directors.</w:t>
      </w:r>
    </w:p>
    <w:p>
      <w:pPr>
        <w:spacing w:after="0" w:line="173" w:lineRule="exact"/>
        <w:rPr>
          <w:sz w:val="20"/>
          <w:szCs w:val="20"/>
          <w:color w:val="auto"/>
        </w:rPr>
      </w:pPr>
    </w:p>
    <w:p>
      <w:pPr>
        <w:ind w:right="360" w:firstLine="460"/>
        <w:spacing w:after="0" w:line="278" w:lineRule="auto"/>
        <w:rPr>
          <w:sz w:val="20"/>
          <w:szCs w:val="20"/>
          <w:color w:val="auto"/>
        </w:rPr>
      </w:pPr>
      <w:r>
        <w:rPr>
          <w:rFonts w:ascii="Arial" w:cs="Arial" w:eastAsia="Arial" w:hAnsi="Arial"/>
          <w:sz w:val="16"/>
          <w:szCs w:val="16"/>
          <w:color w:val="auto"/>
        </w:rPr>
        <w:t>Section 3. 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365125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548" w:right="499" w:bottom="1440" w:gutter="0" w:footer="0" w:header="0"/>
        </w:sectPr>
      </w:pPr>
    </w:p>
    <w:bookmarkStart w:id="113" w:name="page114"/>
    <w:bookmarkEnd w:id="113"/>
    <w:p>
      <w:pPr>
        <w:jc w:val="both"/>
        <w:ind w:right="260"/>
        <w:spacing w:after="0" w:line="369" w:lineRule="auto"/>
        <w:rPr>
          <w:sz w:val="20"/>
          <w:szCs w:val="20"/>
          <w:color w:val="auto"/>
        </w:rPr>
      </w:pPr>
      <w:r>
        <w:rPr>
          <w:rFonts w:ascii="Arial" w:cs="Arial" w:eastAsia="Arial" w:hAnsi="Arial"/>
          <w:sz w:val="14"/>
          <w:szCs w:val="14"/>
          <w:color w:val="auto"/>
        </w:rPr>
        <w:t>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99" w:lineRule="exact"/>
        <w:rPr>
          <w:sz w:val="20"/>
          <w:szCs w:val="20"/>
          <w:color w:val="auto"/>
        </w:rPr>
      </w:pPr>
    </w:p>
    <w:p>
      <w:pPr>
        <w:ind w:right="420" w:firstLine="460"/>
        <w:spacing w:after="0" w:line="273" w:lineRule="auto"/>
        <w:rPr>
          <w:sz w:val="20"/>
          <w:szCs w:val="20"/>
          <w:color w:val="auto"/>
        </w:rPr>
      </w:pPr>
      <w:r>
        <w:rPr>
          <w:rFonts w:ascii="Arial" w:cs="Arial" w:eastAsia="Arial" w:hAnsi="Arial"/>
          <w:sz w:val="16"/>
          <w:szCs w:val="16"/>
          <w:color w:val="auto"/>
        </w:rPr>
        <w:t>Section 4. Neither any amendment, nor repeal, nor elimination of any Section of this ARTICLE IX, nor the adoption of any provision of this Amended and Restated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elimination or adoption of an inconsistent provision.</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X</w:t>
      </w:r>
    </w:p>
    <w:p>
      <w:pPr>
        <w:spacing w:after="0" w:line="204" w:lineRule="exact"/>
        <w:rPr>
          <w:sz w:val="20"/>
          <w:szCs w:val="20"/>
          <w:color w:val="auto"/>
        </w:rPr>
      </w:pPr>
    </w:p>
    <w:p>
      <w:pPr>
        <w:ind w:right="120" w:firstLine="460"/>
        <w:spacing w:after="0" w:line="278" w:lineRule="auto"/>
        <w:rPr>
          <w:sz w:val="20"/>
          <w:szCs w:val="20"/>
          <w:color w:val="auto"/>
        </w:rPr>
      </w:pPr>
      <w:r>
        <w:rPr>
          <w:rFonts w:ascii="Arial" w:cs="Arial" w:eastAsia="Arial" w:hAnsi="Arial"/>
          <w:sz w:val="16"/>
          <w:szCs w:val="16"/>
          <w:color w:val="auto"/>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spacing w:after="0" w:line="342"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ARTICLE</w:t>
      </w:r>
    </w:p>
    <w:p>
      <w:pPr>
        <w:spacing w:after="0" w:line="26" w:lineRule="exact"/>
        <w:rPr>
          <w:sz w:val="20"/>
          <w:szCs w:val="20"/>
          <w:color w:val="auto"/>
        </w:rPr>
      </w:pPr>
    </w:p>
    <w:p>
      <w:pPr>
        <w:ind w:left="5460"/>
        <w:spacing w:after="0"/>
        <w:rPr>
          <w:sz w:val="20"/>
          <w:szCs w:val="20"/>
          <w:color w:val="auto"/>
        </w:rPr>
      </w:pPr>
      <w:r>
        <w:rPr>
          <w:rFonts w:ascii="Arial" w:cs="Arial" w:eastAsia="Arial" w:hAnsi="Arial"/>
          <w:sz w:val="16"/>
          <w:szCs w:val="16"/>
          <w:b w:val="1"/>
          <w:bCs w:val="1"/>
          <w:color w:val="auto"/>
        </w:rPr>
        <w:t>XI</w:t>
      </w:r>
    </w:p>
    <w:p>
      <w:pPr>
        <w:spacing w:after="0" w:line="204" w:lineRule="exact"/>
        <w:rPr>
          <w:sz w:val="20"/>
          <w:szCs w:val="20"/>
          <w:color w:val="auto"/>
        </w:rPr>
      </w:pPr>
    </w:p>
    <w:p>
      <w:pPr>
        <w:ind w:firstLine="460"/>
        <w:spacing w:after="0" w:line="269" w:lineRule="auto"/>
        <w:rPr>
          <w:sz w:val="20"/>
          <w:szCs w:val="20"/>
          <w:color w:val="auto"/>
        </w:rPr>
      </w:pPr>
      <w:r>
        <w:rPr>
          <w:rFonts w:ascii="Arial" w:cs="Arial" w:eastAsia="Arial" w:hAnsi="Arial"/>
          <w:sz w:val="16"/>
          <w:szCs w:val="16"/>
          <w:color w:val="auto"/>
        </w:rPr>
        <w:t xml:space="preserve">The Company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any other provision of this Amended and Restated Certificate of Incorporation or any provision of law that might 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Amended and Restated Certificate of Incorporation.</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365125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440" w:right="419" w:bottom="1440" w:gutter="0" w:footer="0" w:header="0"/>
        </w:sectPr>
      </w:pPr>
    </w:p>
    <w:bookmarkStart w:id="114" w:name="page115"/>
    <w:bookmarkEnd w:id="114"/>
    <w:p>
      <w:pPr>
        <w:ind w:firstLine="955"/>
        <w:spacing w:after="0" w:line="293" w:lineRule="auto"/>
        <w:rPr>
          <w:sz w:val="20"/>
          <w:szCs w:val="20"/>
          <w:color w:val="auto"/>
        </w:rPr>
      </w:pPr>
      <w:r>
        <w:rPr>
          <w:rFonts w:ascii="Arial" w:cs="Arial" w:eastAsia="Arial" w:hAnsi="Arial"/>
          <w:sz w:val="16"/>
          <w:szCs w:val="16"/>
          <w:color w:val="auto"/>
        </w:rPr>
        <w:t>IN WITNESS WHEREOF, RxSight, Inc. has caused this Amended and Restated Certificate of Incorporation to be signed by the President and Chief Executive Officer of the Company on this day of 2021.</w:t>
      </w:r>
    </w:p>
    <w:p>
      <w:pPr>
        <w:spacing w:after="0" w:line="200" w:lineRule="exact"/>
        <w:rPr>
          <w:sz w:val="20"/>
          <w:szCs w:val="20"/>
          <w:color w:val="auto"/>
        </w:rPr>
      </w:pPr>
    </w:p>
    <w:p>
      <w:pPr>
        <w:spacing w:after="0" w:line="228"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4377690</wp:posOffset>
            </wp:positionH>
            <wp:positionV relativeFrom="paragraph">
              <wp:posOffset>34925</wp:posOffset>
            </wp:positionV>
            <wp:extent cx="236601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6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Ron Kurtz</w:t>
      </w:r>
    </w:p>
    <w:p>
      <w:pPr>
        <w:spacing w:after="0" w:line="59"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Chief Executive Officer</w:t>
      </w: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219710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440" w:top="440" w:right="127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Exhibit 10.2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RxSIGHT,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39" w:lineRule="exact"/>
        <w:rPr>
          <w:sz w:val="20"/>
          <w:szCs w:val="20"/>
          <w:color w:val="auto"/>
        </w:rPr>
      </w:pPr>
    </w:p>
    <w:p>
      <w:pPr>
        <w:ind w:left="1400" w:hanging="600"/>
        <w:spacing w:after="0"/>
        <w:tabs>
          <w:tab w:leader="none" w:pos="1400" w:val="left"/>
        </w:tabs>
        <w:numPr>
          <w:ilvl w:val="0"/>
          <w:numId w:val="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Purposes of the Plan; Award Types</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firstLine="1678"/>
        <w:spacing w:after="0" w:line="266" w:lineRule="auto"/>
        <w:tabs>
          <w:tab w:leader="none" w:pos="2793"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Purposes of the Plan</w:t>
      </w:r>
      <w:r>
        <w:rPr>
          <w:rFonts w:ascii="Arial" w:cs="Arial" w:eastAsia="Arial" w:hAnsi="Arial"/>
          <w:sz w:val="22"/>
          <w:szCs w:val="22"/>
          <w:color w:val="auto"/>
          <w:highlight w:val="white"/>
        </w:rPr>
        <w:t>.</w:t>
      </w:r>
      <w:r>
        <w:rPr>
          <w:rFonts w:ascii="Arial" w:cs="Arial" w:eastAsia="Arial" w:hAnsi="Arial"/>
          <w:sz w:val="22"/>
          <w:szCs w:val="22"/>
          <w:color w:val="auto"/>
        </w:rPr>
        <w:t xml:space="preserve"> The purposes of this Plan are to attract and retain personnel for positions with the Company Group, to provide additional incentive to Employees, Directors, and Consultants (collectively, “</w:t>
      </w:r>
      <w:r>
        <w:rPr>
          <w:rFonts w:ascii="Arial" w:cs="Arial" w:eastAsia="Arial" w:hAnsi="Arial"/>
          <w:sz w:val="22"/>
          <w:szCs w:val="22"/>
          <w:u w:val="single" w:color="auto"/>
          <w:color w:val="auto"/>
        </w:rPr>
        <w:t>Service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Providers</w:t>
      </w:r>
      <w:r>
        <w:rPr>
          <w:rFonts w:ascii="Arial" w:cs="Arial" w:eastAsia="Arial" w:hAnsi="Arial"/>
          <w:sz w:val="22"/>
          <w:szCs w:val="22"/>
          <w:color w:val="auto"/>
        </w:rPr>
        <w:t>”), and to promote the success of the Company’s business.</w:t>
      </w:r>
    </w:p>
    <w:p>
      <w:pPr>
        <w:spacing w:after="0" w:line="184" w:lineRule="exact"/>
        <w:rPr>
          <w:rFonts w:ascii="Arial" w:cs="Arial" w:eastAsia="Arial" w:hAnsi="Arial"/>
          <w:sz w:val="22"/>
          <w:szCs w:val="22"/>
          <w:color w:val="auto"/>
        </w:rPr>
      </w:pPr>
    </w:p>
    <w:p>
      <w:pPr>
        <w:jc w:val="both"/>
        <w:ind w:firstLine="1678"/>
        <w:spacing w:after="0" w:line="266" w:lineRule="auto"/>
        <w:tabs>
          <w:tab w:leader="none" w:pos="2793"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Award Types</w:t>
      </w:r>
      <w:r>
        <w:rPr>
          <w:rFonts w:ascii="Arial" w:cs="Arial" w:eastAsia="Arial" w:hAnsi="Arial"/>
          <w:sz w:val="22"/>
          <w:szCs w:val="22"/>
          <w:color w:val="auto"/>
        </w:rPr>
        <w:t>. The Plan permits the grant of Incentive Stock Options to any ISO Employee and the grant of Nonstatutory Stock Options, Stock Appreciation Rights, Restricted Stock, Restricted Stock Units, and Performance Awards to any Service Provider.</w:t>
      </w:r>
    </w:p>
    <w:p>
      <w:pPr>
        <w:spacing w:after="0" w:line="184" w:lineRule="exact"/>
        <w:rPr>
          <w:rFonts w:ascii="Arial" w:cs="Arial" w:eastAsia="Arial" w:hAnsi="Arial"/>
          <w:sz w:val="22"/>
          <w:szCs w:val="22"/>
          <w:color w:val="auto"/>
        </w:rPr>
      </w:pPr>
    </w:p>
    <w:p>
      <w:pPr>
        <w:ind w:left="1400" w:hanging="600"/>
        <w:spacing w:after="0"/>
        <w:tabs>
          <w:tab w:leader="none" w:pos="1400" w:val="left"/>
        </w:tabs>
        <w:numPr>
          <w:ilvl w:val="0"/>
          <w:numId w:val="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are used in this Plan:</w:t>
      </w:r>
    </w:p>
    <w:p>
      <w:pPr>
        <w:spacing w:after="0" w:line="233" w:lineRule="exact"/>
        <w:rPr>
          <w:rFonts w:ascii="Arial" w:cs="Arial" w:eastAsia="Arial" w:hAnsi="Arial"/>
          <w:sz w:val="22"/>
          <w:szCs w:val="22"/>
          <w:u w:val="single" w:color="auto"/>
          <w:color w:val="auto"/>
        </w:rPr>
      </w:pPr>
    </w:p>
    <w:p>
      <w:pPr>
        <w:ind w:left="2800" w:hanging="1122"/>
        <w:spacing w:after="0"/>
        <w:tabs>
          <w:tab w:leader="none" w:pos="2800" w:val="left"/>
        </w:tabs>
        <w:numPr>
          <w:ilvl w:val="1"/>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Administrator as defined in Section 4(a).</w:t>
      </w:r>
    </w:p>
    <w:p>
      <w:pPr>
        <w:spacing w:after="0" w:line="233" w:lineRule="exact"/>
        <w:rPr>
          <w:rFonts w:ascii="Arial" w:cs="Arial" w:eastAsia="Arial" w:hAnsi="Arial"/>
          <w:sz w:val="22"/>
          <w:szCs w:val="22"/>
          <w:color w:val="auto"/>
        </w:rPr>
      </w:pPr>
    </w:p>
    <w:p>
      <w:pPr>
        <w:jc w:val="both"/>
        <w:ind w:firstLine="1678"/>
        <w:spacing w:after="0" w:line="273" w:lineRule="auto"/>
        <w:tabs>
          <w:tab w:leader="none" w:pos="2793" w:val="left"/>
        </w:tabs>
        <w:numPr>
          <w:ilvl w:val="1"/>
          <w:numId w:val="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Laws</w:t>
      </w:r>
      <w:r>
        <w:rPr>
          <w:rFonts w:ascii="Arial" w:cs="Arial" w:eastAsia="Arial" w:hAnsi="Arial"/>
          <w:sz w:val="21"/>
          <w:szCs w:val="21"/>
          <w:color w:val="auto"/>
        </w:rPr>
        <w:t>” means the legal and regulatory requirements relating to the administration of equity-based awards, including but not limited to the related issuance of Shares under U.S. federal and state corporate laws, U.S. federal and state securities laws, the Code, any stock exchange or quotation system on which the Common Stock is listed or quoted and, only to the extent applicable with respect to an Award or Awards, the tax, securities, exchange control, and other laws of any jurisdictions other than the United States where Awards are, or will be, granted under the Plan. Reference to a section of an Applicable Law or regulation related to that section shall include such section or regulation, any valid regulation issued under such section, and any comparable provision of any future legislation or regulation amending, supplementing or superseding such section or regulation.</w:t>
      </w:r>
    </w:p>
    <w:p>
      <w:pPr>
        <w:spacing w:after="0" w:line="178" w:lineRule="exact"/>
        <w:rPr>
          <w:rFonts w:ascii="Arial" w:cs="Arial" w:eastAsia="Arial" w:hAnsi="Arial"/>
          <w:sz w:val="21"/>
          <w:szCs w:val="21"/>
          <w:color w:val="auto"/>
        </w:rPr>
      </w:pPr>
    </w:p>
    <w:p>
      <w:pPr>
        <w:ind w:right="20" w:firstLine="1678"/>
        <w:spacing w:after="0" w:line="276" w:lineRule="auto"/>
        <w:tabs>
          <w:tab w:leader="none" w:pos="2793" w:val="left"/>
        </w:tabs>
        <w:numPr>
          <w:ilvl w:val="1"/>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individually or collectively, a grant under the Plan of Options, Stock Appreciation Rights, Restricted Stock, Restricted Stock Units, or Performance Awards.</w:t>
      </w:r>
    </w:p>
    <w:p>
      <w:pPr>
        <w:spacing w:after="0" w:line="174" w:lineRule="exact"/>
        <w:rPr>
          <w:rFonts w:ascii="Arial" w:cs="Arial" w:eastAsia="Arial" w:hAnsi="Arial"/>
          <w:sz w:val="22"/>
          <w:szCs w:val="22"/>
          <w:color w:val="auto"/>
        </w:rPr>
      </w:pPr>
    </w:p>
    <w:p>
      <w:pPr>
        <w:ind w:firstLine="1678"/>
        <w:spacing w:after="0" w:line="276" w:lineRule="auto"/>
        <w:tabs>
          <w:tab w:leader="none" w:pos="2793" w:val="left"/>
        </w:tabs>
        <w:numPr>
          <w:ilvl w:val="1"/>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 Agreement</w:t>
      </w:r>
      <w:r>
        <w:rPr>
          <w:rFonts w:ascii="Arial" w:cs="Arial" w:eastAsia="Arial" w:hAnsi="Arial"/>
          <w:sz w:val="22"/>
          <w:szCs w:val="22"/>
          <w:color w:val="auto"/>
        </w:rPr>
        <w:t>” means the written or electronic agreement setting forth the terms applicable to an Award granted under the Plan. The Award Agreement is subject to the terms of the Plan.</w:t>
      </w:r>
    </w:p>
    <w:p>
      <w:pPr>
        <w:spacing w:after="0" w:line="174" w:lineRule="exact"/>
        <w:rPr>
          <w:rFonts w:ascii="Arial" w:cs="Arial" w:eastAsia="Arial" w:hAnsi="Arial"/>
          <w:sz w:val="22"/>
          <w:szCs w:val="22"/>
          <w:color w:val="auto"/>
        </w:rPr>
      </w:pPr>
    </w:p>
    <w:p>
      <w:pPr>
        <w:ind w:left="2800" w:hanging="1122"/>
        <w:spacing w:after="0"/>
        <w:tabs>
          <w:tab w:leader="none" w:pos="2800" w:val="left"/>
        </w:tabs>
        <w:numPr>
          <w:ilvl w:val="1"/>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33" w:lineRule="exact"/>
        <w:rPr>
          <w:rFonts w:ascii="Arial" w:cs="Arial" w:eastAsia="Arial" w:hAnsi="Arial"/>
          <w:sz w:val="22"/>
          <w:szCs w:val="22"/>
          <w:color w:val="auto"/>
        </w:rPr>
      </w:pPr>
    </w:p>
    <w:p>
      <w:pPr>
        <w:ind w:left="2800" w:hanging="1122"/>
        <w:spacing w:after="0"/>
        <w:tabs>
          <w:tab w:leader="none" w:pos="2800" w:val="left"/>
        </w:tabs>
        <w:numPr>
          <w:ilvl w:val="1"/>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occurrence of any of the following events:</w:t>
      </w:r>
    </w:p>
    <w:p>
      <w:pPr>
        <w:spacing w:after="0" w:line="233" w:lineRule="exact"/>
        <w:rPr>
          <w:sz w:val="20"/>
          <w:szCs w:val="20"/>
          <w:color w:val="auto"/>
        </w:rPr>
      </w:pPr>
    </w:p>
    <w:p>
      <w:pPr>
        <w:jc w:val="both"/>
        <w:ind w:firstLine="2083"/>
        <w:spacing w:after="0" w:line="262" w:lineRule="auto"/>
        <w:rPr>
          <w:sz w:val="20"/>
          <w:szCs w:val="20"/>
          <w:color w:val="auto"/>
        </w:rPr>
      </w:pPr>
      <w:r>
        <w:rPr>
          <w:rFonts w:ascii="Arial" w:cs="Arial" w:eastAsia="Arial" w:hAnsi="Arial"/>
          <w:sz w:val="22"/>
          <w:szCs w:val="22"/>
          <w:color w:val="auto"/>
        </w:rPr>
        <w:t>(i) A change in the ownership of the Company which occurs on the date that any one person, or more than one person acting as a group (“</w:t>
      </w:r>
      <w:r>
        <w:rPr>
          <w:rFonts w:ascii="Arial" w:cs="Arial" w:eastAsia="Arial" w:hAnsi="Arial"/>
          <w:sz w:val="22"/>
          <w:szCs w:val="22"/>
          <w:u w:val="single" w:color="auto"/>
          <w:color w:val="auto"/>
        </w:rPr>
        <w:t>Person</w:t>
      </w:r>
      <w:r>
        <w:rPr>
          <w:rFonts w:ascii="Arial" w:cs="Arial" w:eastAsia="Arial" w:hAnsi="Arial"/>
          <w:sz w:val="22"/>
          <w:szCs w:val="22"/>
          <w:color w:val="auto"/>
        </w:rPr>
        <w:t>”), acquires ownership of the stock of the Company that, with the stock held by such Person, constitutes more than 50% of the total voting power of the stock of the Company; provided, that for this subsection, the acquisition of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116" w:name="page117"/>
    <w:bookmarkEnd w:id="116"/>
    <w:p>
      <w:pPr>
        <w:jc w:val="both"/>
        <w:spacing w:after="0" w:line="303" w:lineRule="auto"/>
        <w:rPr>
          <w:sz w:val="20"/>
          <w:szCs w:val="20"/>
          <w:color w:val="auto"/>
        </w:rPr>
      </w:pPr>
      <w:r>
        <w:rPr>
          <w:rFonts w:ascii="Arial" w:cs="Arial" w:eastAsia="Arial" w:hAnsi="Arial"/>
          <w:sz w:val="19"/>
          <w:szCs w:val="19"/>
          <w:color w:val="auto"/>
        </w:rPr>
        <w:t>stock by any one Person, who prior to such acquisition is considered to own more than 50% of the total voting power of the stock of the Company will not be considered a Change in Control and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50% or more of the total voting power of the stock of the Company or of the ultimate parent entity of the Company, such event shall not be considered a Change in Control under this Section 2(f)(i).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58" w:lineRule="exact"/>
        <w:rPr>
          <w:sz w:val="20"/>
          <w:szCs w:val="20"/>
          <w:color w:val="auto"/>
        </w:rPr>
      </w:pPr>
    </w:p>
    <w:p>
      <w:pPr>
        <w:jc w:val="both"/>
        <w:ind w:firstLine="2035"/>
        <w:spacing w:after="0" w:line="261" w:lineRule="auto"/>
        <w:rPr>
          <w:sz w:val="20"/>
          <w:szCs w:val="20"/>
          <w:color w:val="auto"/>
        </w:rPr>
      </w:pPr>
      <w:r>
        <w:rPr>
          <w:rFonts w:ascii="Arial" w:cs="Arial" w:eastAsia="Arial" w:hAnsi="Arial"/>
          <w:sz w:val="22"/>
          <w:szCs w:val="22"/>
          <w:color w:val="auto"/>
        </w:rPr>
        <w:t>(ii) A change in the effective control of the Company which occurs on the date a majority of members of the Board is replaced during any 12-month period by Directors whose appointment or election is not endorsed by a majority of the members of the Board prior to the appointment or election. For purposes of this Section 2(f)(ii), if any Person is considered to be in effective control of the Company, the acquisition of additional control of the Company by the same Person will not be considered a Change in Control; or</w:t>
      </w:r>
    </w:p>
    <w:p>
      <w:pPr>
        <w:spacing w:after="0" w:line="190" w:lineRule="exact"/>
        <w:rPr>
          <w:sz w:val="20"/>
          <w:szCs w:val="20"/>
          <w:color w:val="auto"/>
        </w:rPr>
      </w:pPr>
    </w:p>
    <w:p>
      <w:pPr>
        <w:jc w:val="both"/>
        <w:ind w:firstLine="1987"/>
        <w:spacing w:after="0" w:line="260" w:lineRule="auto"/>
        <w:rPr>
          <w:sz w:val="20"/>
          <w:szCs w:val="20"/>
          <w:color w:val="auto"/>
        </w:rPr>
      </w:pPr>
      <w:r>
        <w:rPr>
          <w:rFonts w:ascii="Arial" w:cs="Arial" w:eastAsia="Arial" w:hAnsi="Arial"/>
          <w:sz w:val="22"/>
          <w:szCs w:val="22"/>
          <w:color w:val="auto"/>
        </w:rPr>
        <w:t>(iii) 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that for this Section 2(f)(iii), the following will not constitute a change in the ownership of a substantial portion of the Company’s assets:</w:t>
      </w:r>
    </w:p>
    <w:p>
      <w:pPr>
        <w:sectPr>
          <w:pgSz w:w="11900" w:h="16838" w:orient="portrait"/>
          <w:cols w:equalWidth="0" w:num="1">
            <w:col w:w="11240"/>
          </w:cols>
          <w:pgMar w:left="320" w:top="618" w:right="339" w:bottom="1440" w:gutter="0" w:footer="0" w:header="0"/>
        </w:sectPr>
      </w:pPr>
    </w:p>
    <w:p>
      <w:pPr>
        <w:spacing w:after="0" w:line="192" w:lineRule="exact"/>
        <w:rPr>
          <w:sz w:val="20"/>
          <w:szCs w:val="20"/>
          <w:color w:val="auto"/>
        </w:rPr>
      </w:pPr>
    </w:p>
    <w:p>
      <w:pPr>
        <w:ind w:left="3700"/>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a transfer to an entity controlled by the Company’s stockholders</w:t>
      </w:r>
    </w:p>
    <w:p>
      <w:pPr>
        <w:spacing w:after="0" w:line="56" w:lineRule="exact"/>
        <w:rPr>
          <w:sz w:val="20"/>
          <w:szCs w:val="20"/>
          <w:color w:val="auto"/>
        </w:rPr>
      </w:pPr>
    </w:p>
    <w:p>
      <w:pPr>
        <w:sectPr>
          <w:pgSz w:w="11900" w:h="16838" w:orient="portrait"/>
          <w:cols w:equalWidth="0" w:num="2">
            <w:col w:w="4880" w:space="720"/>
            <w:col w:w="5640"/>
          </w:cols>
          <w:pgMar w:left="320" w:top="618" w:right="339" w:bottom="1440" w:gutter="0" w:footer="0" w:header="0"/>
          <w:type w:val="continuous"/>
        </w:sectPr>
      </w:pPr>
    </w:p>
    <w:p>
      <w:pPr>
        <w:spacing w:after="0"/>
        <w:rPr>
          <w:sz w:val="20"/>
          <w:szCs w:val="20"/>
          <w:color w:val="auto"/>
        </w:rPr>
      </w:pPr>
      <w:r>
        <w:rPr>
          <w:rFonts w:ascii="Arial" w:cs="Arial" w:eastAsia="Arial" w:hAnsi="Arial"/>
          <w:sz w:val="19"/>
          <w:szCs w:val="19"/>
          <w:color w:val="auto"/>
        </w:rPr>
        <w:t>immediately after the transfer, or</w:t>
      </w:r>
    </w:p>
    <w:p>
      <w:pPr>
        <w:sectPr>
          <w:pgSz w:w="11900" w:h="16838" w:orient="portrait"/>
          <w:cols w:equalWidth="0" w:num="1">
            <w:col w:w="11240"/>
          </w:cols>
          <w:pgMar w:left="320" w:top="618" w:right="339" w:bottom="1440" w:gutter="0" w:footer="0" w:header="0"/>
          <w:type w:val="continuous"/>
        </w:sectPr>
      </w:pPr>
    </w:p>
    <w:p>
      <w:pPr>
        <w:spacing w:after="0" w:line="263" w:lineRule="exact"/>
        <w:rPr>
          <w:sz w:val="20"/>
          <w:szCs w:val="20"/>
          <w:color w:val="auto"/>
        </w:rPr>
      </w:pPr>
    </w:p>
    <w:p>
      <w:pPr>
        <w:ind w:left="370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a transfer of assets by the Company to:</w:t>
      </w:r>
    </w:p>
    <w:p>
      <w:pPr>
        <w:spacing w:after="0" w:line="200" w:lineRule="exact"/>
        <w:rPr>
          <w:sz w:val="20"/>
          <w:szCs w:val="20"/>
          <w:color w:val="auto"/>
        </w:rPr>
      </w:pPr>
    </w:p>
    <w:p>
      <w:pPr>
        <w:sectPr>
          <w:pgSz w:w="11900" w:h="16838" w:orient="portrait"/>
          <w:cols w:equalWidth="0" w:num="2">
            <w:col w:w="4880" w:space="720"/>
            <w:col w:w="5640"/>
          </w:cols>
          <w:pgMar w:left="320" w:top="618" w:right="339" w:bottom="1440" w:gutter="0" w:footer="0" w:header="0"/>
          <w:type w:val="continuous"/>
        </w:sectPr>
      </w:pPr>
    </w:p>
    <w:p>
      <w:pPr>
        <w:spacing w:after="0" w:line="68" w:lineRule="exact"/>
        <w:rPr>
          <w:sz w:val="20"/>
          <w:szCs w:val="20"/>
          <w:color w:val="auto"/>
        </w:rPr>
      </w:pPr>
    </w:p>
    <w:p>
      <w:pPr>
        <w:ind w:firstLine="4824"/>
        <w:spacing w:after="0" w:line="276" w:lineRule="auto"/>
        <w:rPr>
          <w:sz w:val="20"/>
          <w:szCs w:val="20"/>
          <w:color w:val="auto"/>
        </w:rPr>
      </w:pPr>
      <w:r>
        <w:rPr>
          <w:rFonts w:ascii="Arial" w:cs="Arial" w:eastAsia="Arial" w:hAnsi="Arial"/>
          <w:sz w:val="22"/>
          <w:szCs w:val="22"/>
          <w:color w:val="auto"/>
        </w:rPr>
        <w:t>(A) a stockholder of the Company (immediately before the asset transfer) in exchange for or with respect to the Company’s stock,</w:t>
      </w:r>
    </w:p>
    <w:p>
      <w:pPr>
        <w:sectPr>
          <w:pgSz w:w="11900" w:h="16838" w:orient="portrait"/>
          <w:cols w:equalWidth="0" w:num="1">
            <w:col w:w="11240"/>
          </w:cols>
          <w:pgMar w:left="320" w:top="618" w:right="339" w:bottom="1440" w:gutter="0" w:footer="0" w:header="0"/>
          <w:type w:val="continuous"/>
        </w:sectPr>
      </w:pPr>
    </w:p>
    <w:p>
      <w:pPr>
        <w:spacing w:after="0" w:line="174"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(B)</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voting power of which is owned, directly or indirectly, by the Company,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an entity, 50% or more of the total value or</w:t>
      </w:r>
    </w:p>
    <w:p>
      <w:pPr>
        <w:spacing w:after="0" w:line="439" w:lineRule="exact"/>
        <w:rPr>
          <w:sz w:val="20"/>
          <w:szCs w:val="20"/>
          <w:color w:val="auto"/>
        </w:rPr>
      </w:pPr>
    </w:p>
    <w:p>
      <w:pPr>
        <w:sectPr>
          <w:pgSz w:w="11900" w:h="16838" w:orient="portrait"/>
          <w:cols w:equalWidth="0" w:num="2">
            <w:col w:w="6280" w:space="720"/>
            <w:col w:w="4240"/>
          </w:cols>
          <w:pgMar w:left="320" w:top="618" w:right="339" w:bottom="1440" w:gutter="0" w:footer="0" w:header="0"/>
          <w:type w:val="continuous"/>
        </w:sectPr>
      </w:pPr>
    </w:p>
    <w:p>
      <w:pPr>
        <w:spacing w:after="0" w:line="63" w:lineRule="exact"/>
        <w:rPr>
          <w:sz w:val="20"/>
          <w:szCs w:val="20"/>
          <w:color w:val="auto"/>
        </w:rPr>
      </w:pPr>
    </w:p>
    <w:p>
      <w:pPr>
        <w:ind w:firstLine="4824"/>
        <w:spacing w:after="0" w:line="276" w:lineRule="auto"/>
        <w:rPr>
          <w:sz w:val="20"/>
          <w:szCs w:val="20"/>
          <w:color w:val="auto"/>
        </w:rPr>
      </w:pPr>
      <w:r>
        <w:rPr>
          <w:rFonts w:ascii="Arial" w:cs="Arial" w:eastAsia="Arial" w:hAnsi="Arial"/>
          <w:sz w:val="22"/>
          <w:szCs w:val="22"/>
          <w:color w:val="auto"/>
        </w:rPr>
        <w:t>(C) a Person, that owns, directly or indirectly, 50% or more of the total value or voting power of all the outstanding stock of the Company, or</w:t>
      </w:r>
    </w:p>
    <w:p>
      <w:pPr>
        <w:spacing w:after="0" w:line="174" w:lineRule="exact"/>
        <w:rPr>
          <w:sz w:val="20"/>
          <w:szCs w:val="20"/>
          <w:color w:val="auto"/>
        </w:rPr>
      </w:pPr>
    </w:p>
    <w:p>
      <w:pPr>
        <w:ind w:left="4840"/>
        <w:spacing w:after="0"/>
        <w:tabs>
          <w:tab w:leader="none" w:pos="69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an entity, at least 50% of the total value or</w:t>
      </w:r>
    </w:p>
    <w:p>
      <w:pPr>
        <w:sectPr>
          <w:pgSz w:w="11900" w:h="16838" w:orient="portrait"/>
          <w:cols w:equalWidth="0" w:num="1">
            <w:col w:w="11240"/>
          </w:cols>
          <w:pgMar w:left="320" w:top="618" w:right="339" w:bottom="1440" w:gutter="0" w:footer="0" w:header="0"/>
          <w:type w:val="continuous"/>
        </w:sectPr>
      </w:pPr>
    </w:p>
    <w:p>
      <w:pPr>
        <w:spacing w:after="0" w:line="21" w:lineRule="exact"/>
        <w:rPr>
          <w:sz w:val="20"/>
          <w:szCs w:val="20"/>
          <w:color w:val="auto"/>
        </w:rPr>
      </w:pPr>
    </w:p>
    <w:p>
      <w:pPr>
        <w:jc w:val="center"/>
        <w:ind w:right="180"/>
        <w:spacing w:after="0" w:line="272" w:lineRule="auto"/>
        <w:rPr>
          <w:sz w:val="20"/>
          <w:szCs w:val="20"/>
          <w:color w:val="auto"/>
        </w:rPr>
      </w:pPr>
      <w:r>
        <w:rPr>
          <w:rFonts w:ascii="Arial" w:cs="Arial" w:eastAsia="Arial" w:hAnsi="Arial"/>
          <w:sz w:val="22"/>
          <w:szCs w:val="22"/>
          <w:color w:val="auto"/>
        </w:rPr>
        <w:t>voting power of which is owned, directly or indirectly, by a Person described in Section 2(f)(iii)(2)(A) to Section 2(f)(iii)(2)(C).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type w:val="continuous"/>
        </w:sectPr>
      </w:pPr>
    </w:p>
    <w:bookmarkStart w:id="117" w:name="page118"/>
    <w:bookmarkEnd w:id="117"/>
    <w:p>
      <w:pPr>
        <w:jc w:val="both"/>
        <w:ind w:firstLine="2246"/>
        <w:spacing w:after="0" w:line="276" w:lineRule="auto"/>
        <w:rPr>
          <w:sz w:val="20"/>
          <w:szCs w:val="20"/>
          <w:color w:val="auto"/>
        </w:rPr>
      </w:pPr>
      <w:r>
        <w:rPr>
          <w:rFonts w:ascii="Arial" w:cs="Arial" w:eastAsia="Arial" w:hAnsi="Arial"/>
          <w:sz w:val="21"/>
          <w:szCs w:val="21"/>
          <w:color w:val="auto"/>
        </w:rPr>
        <w:t>For this definition, gross fair market value means the value of the assets of the Company, or the value of the assets being disposed of, determined without regard to any liabilities associated with such assets. For this definition, persons will be acting as a group if they are owners of a corporation that enters into a merger, consolidation, purchase or acquisition of stock, or similar business transaction with the Company. For the avoidance of doubt, wholly-owned subsidiaries of the Company shall not be considered “Persons” for purposes of this Section 2(f).</w:t>
      </w:r>
    </w:p>
    <w:p>
      <w:pPr>
        <w:sectPr>
          <w:pgSz w:w="11900" w:h="16838" w:orient="portrait"/>
          <w:cols w:equalWidth="0" w:num="1">
            <w:col w:w="11240"/>
          </w:cols>
          <w:pgMar w:left="320" w:top="618" w:right="339" w:bottom="1440" w:gutter="0" w:footer="0" w:header="0"/>
        </w:sectPr>
      </w:pPr>
    </w:p>
    <w:p>
      <w:pPr>
        <w:spacing w:after="0" w:line="177" w:lineRule="exact"/>
        <w:rPr>
          <w:sz w:val="20"/>
          <w:szCs w:val="20"/>
          <w:color w:val="auto"/>
        </w:rPr>
      </w:pPr>
    </w:p>
    <w:p>
      <w:pPr>
        <w:jc w:val="center"/>
        <w:ind w:left="8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A transaction will not be a Change in Control:</w:t>
      </w:r>
    </w:p>
    <w:p>
      <w:pPr>
        <w:spacing w:after="0" w:line="234" w:lineRule="exact"/>
        <w:rPr>
          <w:sz w:val="20"/>
          <w:szCs w:val="20"/>
          <w:color w:val="auto"/>
        </w:rPr>
      </w:pPr>
    </w:p>
    <w:p>
      <w:pPr>
        <w:sectPr>
          <w:pgSz w:w="11900" w:h="16838" w:orient="portrait"/>
          <w:cols w:equalWidth="0" w:num="2">
            <w:col w:w="3480" w:space="720"/>
            <w:col w:w="7040"/>
          </w:cols>
          <w:pgMar w:left="320" w:top="618" w:right="339" w:bottom="1440" w:gutter="0" w:footer="0" w:header="0"/>
          <w:type w:val="continuous"/>
        </w:sectPr>
      </w:pPr>
    </w:p>
    <w:p>
      <w:pPr>
        <w:spacing w:after="0" w:line="33" w:lineRule="exact"/>
        <w:rPr>
          <w:sz w:val="20"/>
          <w:szCs w:val="20"/>
          <w:color w:val="auto"/>
        </w:rPr>
      </w:pPr>
    </w:p>
    <w:p>
      <w:pPr>
        <w:jc w:val="right"/>
        <w:ind w:right="940"/>
        <w:spacing w:after="0"/>
        <w:rPr>
          <w:sz w:val="20"/>
          <w:szCs w:val="20"/>
          <w:color w:val="auto"/>
        </w:rPr>
      </w:pPr>
      <w:r>
        <w:rPr>
          <w:rFonts w:ascii="Arial" w:cs="Arial" w:eastAsia="Arial" w:hAnsi="Arial"/>
          <w:sz w:val="22"/>
          <w:szCs w:val="22"/>
          <w:color w:val="auto"/>
        </w:rPr>
        <w:t>(1)</w:t>
      </w:r>
    </w:p>
    <w:p>
      <w:pPr>
        <w:spacing w:after="0" w:line="21" w:lineRule="exact"/>
        <w:rPr>
          <w:sz w:val="20"/>
          <w:szCs w:val="20"/>
          <w:color w:val="auto"/>
        </w:rPr>
      </w:pPr>
    </w:p>
    <w:p>
      <w:pPr>
        <w:jc w:val="right"/>
        <w:ind w:right="940"/>
        <w:spacing w:after="0"/>
        <w:rPr>
          <w:sz w:val="20"/>
          <w:szCs w:val="20"/>
          <w:color w:val="auto"/>
        </w:rPr>
      </w:pPr>
      <w:r>
        <w:rPr>
          <w:rFonts w:ascii="Arial" w:cs="Arial" w:eastAsia="Arial" w:hAnsi="Arial"/>
          <w:sz w:val="19"/>
          <w:szCs w:val="19"/>
          <w:color w:val="auto"/>
        </w:rPr>
        <w:t>within the meaning of Code Section 409A; or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unless the transaction qualifies as a change in control event</w:t>
      </w:r>
    </w:p>
    <w:p>
      <w:pPr>
        <w:spacing w:after="0" w:line="451" w:lineRule="exact"/>
        <w:rPr>
          <w:sz w:val="20"/>
          <w:szCs w:val="20"/>
          <w:color w:val="auto"/>
        </w:rPr>
      </w:pPr>
    </w:p>
    <w:p>
      <w:pPr>
        <w:sectPr>
          <w:pgSz w:w="11900" w:h="16838" w:orient="portrait"/>
          <w:cols w:equalWidth="0" w:num="2">
            <w:col w:w="4880" w:space="720"/>
            <w:col w:w="5640"/>
          </w:cols>
          <w:pgMar w:left="320" w:top="618" w:right="339" w:bottom="1440" w:gutter="0" w:footer="0" w:header="0"/>
          <w:type w:val="continuous"/>
        </w:sectPr>
      </w:pPr>
    </w:p>
    <w:p>
      <w:pPr>
        <w:spacing w:after="0" w:line="63" w:lineRule="exact"/>
        <w:rPr>
          <w:sz w:val="20"/>
          <w:szCs w:val="20"/>
          <w:color w:val="auto"/>
        </w:rPr>
      </w:pPr>
    </w:p>
    <w:p>
      <w:pPr>
        <w:ind w:left="3700"/>
        <w:spacing w:after="0"/>
        <w:tabs>
          <w:tab w:leader="none" w:pos="5580" w:val="left"/>
        </w:tabs>
        <w:rPr>
          <w:sz w:val="20"/>
          <w:szCs w:val="20"/>
          <w:color w:val="auto"/>
        </w:rPr>
      </w:pPr>
      <w:r>
        <w:rPr>
          <w:rFonts w:ascii="Arial" w:cs="Arial" w:eastAsia="Arial" w:hAnsi="Arial"/>
          <w:sz w:val="21"/>
          <w:szCs w:val="21"/>
          <w:color w:val="auto"/>
        </w:rPr>
        <w:t>(2)</w:t>
      </w:r>
      <w:r>
        <w:rPr>
          <w:sz w:val="20"/>
          <w:szCs w:val="20"/>
          <w:color w:val="auto"/>
        </w:rPr>
        <w:tab/>
      </w:r>
      <w:r>
        <w:rPr>
          <w:rFonts w:ascii="Arial" w:cs="Arial" w:eastAsia="Arial" w:hAnsi="Arial"/>
          <w:sz w:val="21"/>
          <w:szCs w:val="21"/>
          <w:color w:val="auto"/>
        </w:rPr>
        <w:t>if its primary purpose is to (1) change the jurisdiction of the</w:t>
      </w:r>
    </w:p>
    <w:p>
      <w:pPr>
        <w:sectPr>
          <w:pgSz w:w="11900" w:h="16838" w:orient="portrait"/>
          <w:cols w:equalWidth="0" w:num="1">
            <w:col w:w="11240"/>
          </w:cols>
          <w:pgMar w:left="320" w:top="618" w:right="339" w:bottom="1440" w:gutter="0" w:footer="0" w:header="0"/>
          <w:type w:val="continuous"/>
        </w:sectPr>
      </w:pPr>
    </w:p>
    <w:p>
      <w:pPr>
        <w:spacing w:after="0" w:line="33"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Company’s incorporation, or (2) create a holding company owned in substantially the same proportions by the persons who held the Company’s securities immediately before such transaction.</w:t>
      </w:r>
    </w:p>
    <w:p>
      <w:pPr>
        <w:spacing w:after="0" w:line="178" w:lineRule="exact"/>
        <w:rPr>
          <w:sz w:val="20"/>
          <w:szCs w:val="20"/>
          <w:color w:val="auto"/>
        </w:rPr>
      </w:pPr>
    </w:p>
    <w:p>
      <w:pPr>
        <w:jc w:val="both"/>
        <w:ind w:firstLine="1678"/>
        <w:spacing w:after="0" w:line="261" w:lineRule="auto"/>
        <w:tabs>
          <w:tab w:leader="none" w:pos="2793" w:val="left"/>
        </w:tabs>
        <w:numPr>
          <w:ilvl w:val="0"/>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 Reference to a section of the Code or regulation related to that section shall include such section or regulation, any valid regulation issued or other official applicable guidance of general or direct applicability promulgated under such section or regulation, and any comparable provision of any future legislation, regulation or official guidance of general or direct applicability amending, supplementing or superseding such section or regulation.</w:t>
      </w:r>
    </w:p>
    <w:p>
      <w:pPr>
        <w:spacing w:after="0" w:line="190" w:lineRule="exact"/>
        <w:rPr>
          <w:rFonts w:ascii="Arial" w:cs="Arial" w:eastAsia="Arial" w:hAnsi="Arial"/>
          <w:sz w:val="22"/>
          <w:szCs w:val="22"/>
          <w:color w:val="auto"/>
        </w:rPr>
      </w:pPr>
    </w:p>
    <w:p>
      <w:pPr>
        <w:ind w:left="2800" w:hanging="1122"/>
        <w:spacing w:after="0"/>
        <w:tabs>
          <w:tab w:leader="none" w:pos="28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a committee of Directors or of other individuals satisfying Applicable Laws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appointed by the Board.</w:t>
      </w:r>
    </w:p>
    <w:p>
      <w:pPr>
        <w:spacing w:after="0" w:line="228" w:lineRule="exact"/>
        <w:rPr>
          <w:rFonts w:ascii="Arial" w:cs="Arial" w:eastAsia="Arial" w:hAnsi="Arial"/>
          <w:sz w:val="19"/>
          <w:szCs w:val="19"/>
          <w:color w:val="auto"/>
        </w:rPr>
      </w:pPr>
    </w:p>
    <w:p>
      <w:pPr>
        <w:ind w:left="2800" w:hanging="1122"/>
        <w:spacing w:after="0"/>
        <w:tabs>
          <w:tab w:leader="none" w:pos="28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of the Company.</w:t>
      </w:r>
    </w:p>
    <w:p>
      <w:pPr>
        <w:spacing w:after="0" w:line="233" w:lineRule="exact"/>
        <w:rPr>
          <w:rFonts w:ascii="Arial" w:cs="Arial" w:eastAsia="Arial" w:hAnsi="Arial"/>
          <w:sz w:val="22"/>
          <w:szCs w:val="22"/>
          <w:color w:val="auto"/>
        </w:rPr>
      </w:pPr>
    </w:p>
    <w:p>
      <w:pPr>
        <w:ind w:left="2800" w:hanging="1122"/>
        <w:spacing w:after="0"/>
        <w:tabs>
          <w:tab w:leader="none" w:pos="28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RxSight, Inc., a Delaware corporation, or any of its successors.</w:t>
      </w:r>
    </w:p>
    <w:p>
      <w:pPr>
        <w:spacing w:after="0" w:line="233" w:lineRule="exact"/>
        <w:rPr>
          <w:rFonts w:ascii="Arial" w:cs="Arial" w:eastAsia="Arial" w:hAnsi="Arial"/>
          <w:sz w:val="22"/>
          <w:szCs w:val="22"/>
          <w:color w:val="auto"/>
        </w:rPr>
      </w:pPr>
    </w:p>
    <w:p>
      <w:pPr>
        <w:jc w:val="both"/>
        <w:ind w:firstLine="1678"/>
        <w:spacing w:after="0" w:line="266" w:lineRule="auto"/>
        <w:tabs>
          <w:tab w:leader="none" w:pos="2793" w:val="left"/>
        </w:tabs>
        <w:numPr>
          <w:ilvl w:val="0"/>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Group</w:t>
      </w:r>
      <w:r>
        <w:rPr>
          <w:rFonts w:ascii="Arial" w:cs="Arial" w:eastAsia="Arial" w:hAnsi="Arial"/>
          <w:sz w:val="22"/>
          <w:szCs w:val="22"/>
          <w:color w:val="auto"/>
        </w:rPr>
        <w:t>” means the Company, any Parent or Subsidiary, and any entity that, from time to time and at the time of any determination, directly or indirectly, is in control of, is controlled by or is under common control with the Company.</w:t>
      </w:r>
    </w:p>
    <w:p>
      <w:pPr>
        <w:spacing w:after="0" w:line="184" w:lineRule="exact"/>
        <w:rPr>
          <w:rFonts w:ascii="Arial" w:cs="Arial" w:eastAsia="Arial" w:hAnsi="Arial"/>
          <w:sz w:val="22"/>
          <w:szCs w:val="22"/>
          <w:color w:val="auto"/>
        </w:rPr>
      </w:pPr>
    </w:p>
    <w:p>
      <w:pPr>
        <w:jc w:val="both"/>
        <w:ind w:firstLine="1678"/>
        <w:spacing w:after="0" w:line="317" w:lineRule="auto"/>
        <w:tabs>
          <w:tab w:leader="none" w:pos="2793" w:val="left"/>
        </w:tabs>
        <w:numPr>
          <w:ilvl w:val="0"/>
          <w:numId w:val="1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Consultant</w:t>
      </w:r>
      <w:r>
        <w:rPr>
          <w:rFonts w:ascii="Arial" w:cs="Arial" w:eastAsia="Arial" w:hAnsi="Arial"/>
          <w:sz w:val="19"/>
          <w:szCs w:val="19"/>
          <w:color w:val="auto"/>
        </w:rPr>
        <w:t>” means any natural person engaged by a member of the Company Group to render bona fide services to such entity, provided the services (i) are not in connection with the offer or sale of securities in a capital raising transaction, and (ii) do not directly promote or maintain a market for the Company’s securities. A Consultant must be a person to whom the issuance of Shares registered on Form S-8 under the Securities Act is permitted.</w:t>
      </w:r>
    </w:p>
    <w:p>
      <w:pPr>
        <w:spacing w:after="0" w:line="141" w:lineRule="exact"/>
        <w:rPr>
          <w:rFonts w:ascii="Arial" w:cs="Arial" w:eastAsia="Arial" w:hAnsi="Arial"/>
          <w:sz w:val="19"/>
          <w:szCs w:val="19"/>
          <w:color w:val="auto"/>
        </w:rPr>
      </w:pPr>
    </w:p>
    <w:p>
      <w:pPr>
        <w:ind w:left="2800" w:hanging="1122"/>
        <w:spacing w:after="0"/>
        <w:tabs>
          <w:tab w:leader="none" w:pos="28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w:t>
      </w:r>
    </w:p>
    <w:p>
      <w:pPr>
        <w:spacing w:after="0" w:line="233" w:lineRule="exact"/>
        <w:rPr>
          <w:rFonts w:ascii="Arial" w:cs="Arial" w:eastAsia="Arial" w:hAnsi="Arial"/>
          <w:sz w:val="22"/>
          <w:szCs w:val="22"/>
          <w:color w:val="auto"/>
        </w:rPr>
      </w:pPr>
    </w:p>
    <w:p>
      <w:pPr>
        <w:jc w:val="both"/>
        <w:ind w:firstLine="1678"/>
        <w:spacing w:after="0" w:line="257" w:lineRule="auto"/>
        <w:tabs>
          <w:tab w:leader="none" w:pos="2793" w:val="left"/>
        </w:tabs>
        <w:numPr>
          <w:ilvl w:val="0"/>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type w:val="continuous"/>
        </w:sectPr>
      </w:pPr>
    </w:p>
    <w:bookmarkStart w:id="118" w:name="page119"/>
    <w:bookmarkEnd w:id="118"/>
    <w:p>
      <w:pPr>
        <w:jc w:val="both"/>
        <w:ind w:firstLine="1678"/>
        <w:spacing w:after="0" w:line="274" w:lineRule="auto"/>
        <w:tabs>
          <w:tab w:leader="none" w:pos="2793" w:val="left"/>
        </w:tabs>
        <w:numPr>
          <w:ilvl w:val="0"/>
          <w:numId w:val="1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w:t>
      </w:r>
      <w:r>
        <w:rPr>
          <w:rFonts w:ascii="Arial" w:cs="Arial" w:eastAsia="Arial" w:hAnsi="Arial"/>
          <w:sz w:val="21"/>
          <w:szCs w:val="21"/>
          <w:color w:val="auto"/>
        </w:rPr>
        <w:t>” means any person, including Officers and Directors, providing services as an employee to the Company or any member of the Company Group. However, with respect to Incentive Stock Options, an Employee must be employed by the Company or any Parent or Subsidiary of the Company (such an Employee, an “</w:t>
      </w:r>
      <w:r>
        <w:rPr>
          <w:rFonts w:ascii="Arial" w:cs="Arial" w:eastAsia="Arial" w:hAnsi="Arial"/>
          <w:sz w:val="21"/>
          <w:szCs w:val="21"/>
          <w:u w:val="single" w:color="auto"/>
          <w:color w:val="auto"/>
        </w:rPr>
        <w:t>ISO</w:t>
      </w:r>
      <w:r>
        <w:rPr>
          <w:rFonts w:ascii="Arial" w:cs="Arial" w:eastAsia="Arial" w:hAnsi="Arial"/>
          <w:sz w:val="21"/>
          <w:szCs w:val="21"/>
          <w:color w:val="auto"/>
        </w:rPr>
        <w:t xml:space="preserve"> </w:t>
      </w:r>
      <w:r>
        <w:rPr>
          <w:rFonts w:ascii="Arial" w:cs="Arial" w:eastAsia="Arial" w:hAnsi="Arial"/>
          <w:sz w:val="21"/>
          <w:szCs w:val="21"/>
          <w:u w:val="single" w:color="auto"/>
          <w:color w:val="auto"/>
        </w:rPr>
        <w:t>Employee</w:t>
      </w:r>
      <w:r>
        <w:rPr>
          <w:rFonts w:ascii="Arial" w:cs="Arial" w:eastAsia="Arial" w:hAnsi="Arial"/>
          <w:sz w:val="21"/>
          <w:szCs w:val="21"/>
          <w:color w:val="auto"/>
        </w:rPr>
        <w:t>”). Notwithstanding, Options awarded to individuals not providing services to the Company or a Subsidiary of the Company should be carefully structured to comply with the payment timing rule of Code Section 409A. Neither service as a Director nor payment of a director’s fee by the Company will constitute “employment” by the Company.</w:t>
      </w:r>
    </w:p>
    <w:p>
      <w:pPr>
        <w:spacing w:after="0" w:line="181" w:lineRule="exact"/>
        <w:rPr>
          <w:rFonts w:ascii="Arial" w:cs="Arial" w:eastAsia="Arial" w:hAnsi="Arial"/>
          <w:sz w:val="21"/>
          <w:szCs w:val="21"/>
          <w:color w:val="auto"/>
        </w:rPr>
      </w:pPr>
    </w:p>
    <w:p>
      <w:pPr>
        <w:ind w:left="2800" w:hanging="1122"/>
        <w:spacing w:after="0"/>
        <w:tabs>
          <w:tab w:leader="none" w:pos="28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U.S. Securities Exchange Act of 1934.</w:t>
      </w:r>
    </w:p>
    <w:p>
      <w:pPr>
        <w:spacing w:after="0" w:line="233" w:lineRule="exact"/>
        <w:rPr>
          <w:rFonts w:ascii="Arial" w:cs="Arial" w:eastAsia="Arial" w:hAnsi="Arial"/>
          <w:sz w:val="22"/>
          <w:szCs w:val="22"/>
          <w:color w:val="auto"/>
        </w:rPr>
      </w:pPr>
    </w:p>
    <w:p>
      <w:pPr>
        <w:jc w:val="both"/>
        <w:ind w:firstLine="1678"/>
        <w:spacing w:after="0" w:line="311" w:lineRule="auto"/>
        <w:tabs>
          <w:tab w:leader="none" w:pos="2793" w:val="left"/>
        </w:tabs>
        <w:numPr>
          <w:ilvl w:val="0"/>
          <w:numId w:val="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Program</w:t>
      </w:r>
      <w:r>
        <w:rPr>
          <w:rFonts w:ascii="Arial" w:cs="Arial" w:eastAsia="Arial" w:hAnsi="Arial"/>
          <w:sz w:val="19"/>
          <w:szCs w:val="19"/>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50" w:lineRule="exact"/>
        <w:rPr>
          <w:rFonts w:ascii="Arial" w:cs="Arial" w:eastAsia="Arial" w:hAnsi="Arial"/>
          <w:sz w:val="19"/>
          <w:szCs w:val="19"/>
          <w:color w:val="auto"/>
        </w:rPr>
      </w:pPr>
    </w:p>
    <w:p>
      <w:pPr>
        <w:ind w:left="2800" w:hanging="1122"/>
        <w:spacing w:after="0"/>
        <w:tabs>
          <w:tab w:leader="none" w:pos="28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Exercise Price</w:t>
      </w:r>
      <w:r>
        <w:rPr>
          <w:rFonts w:ascii="Arial" w:cs="Arial" w:eastAsia="Arial" w:hAnsi="Arial"/>
          <w:sz w:val="22"/>
          <w:szCs w:val="22"/>
          <w:color w:val="auto"/>
        </w:rPr>
        <w:t>” means the price payable per share to exercise an Award.</w:t>
      </w:r>
    </w:p>
    <w:p>
      <w:pPr>
        <w:spacing w:after="0" w:line="233" w:lineRule="exact"/>
        <w:rPr>
          <w:rFonts w:ascii="Arial" w:cs="Arial" w:eastAsia="Arial" w:hAnsi="Arial"/>
          <w:sz w:val="22"/>
          <w:szCs w:val="22"/>
          <w:color w:val="auto"/>
        </w:rPr>
      </w:pPr>
    </w:p>
    <w:p>
      <w:pPr>
        <w:jc w:val="both"/>
        <w:ind w:firstLine="1678"/>
        <w:spacing w:after="0" w:line="262" w:lineRule="auto"/>
        <w:tabs>
          <w:tab w:leader="none" w:pos="2793"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Expiration Date</w:t>
      </w:r>
      <w:r>
        <w:rPr>
          <w:rFonts w:ascii="Arial" w:cs="Arial" w:eastAsia="Arial" w:hAnsi="Arial"/>
          <w:sz w:val="22"/>
          <w:szCs w:val="22"/>
          <w:color w:val="auto"/>
        </w:rPr>
        <w:t>” means the last possible day on which an Option or Stock Appreciation Right may be exercised. Any exercise must be completed before midnight U.S. Pacific Time between the Expiration Date and the following date; provided, however, that any broker-assisted cashless exercise of an Option granted hereunder must be completed by the close of market trading on the Expiration Date.</w:t>
      </w:r>
    </w:p>
    <w:p>
      <w:pPr>
        <w:spacing w:after="0" w:line="191" w:lineRule="exact"/>
        <w:rPr>
          <w:rFonts w:ascii="Arial" w:cs="Arial" w:eastAsia="Arial" w:hAnsi="Arial"/>
          <w:sz w:val="22"/>
          <w:szCs w:val="22"/>
          <w:color w:val="auto"/>
        </w:rPr>
      </w:pPr>
    </w:p>
    <w:p>
      <w:pPr>
        <w:ind w:left="2800" w:hanging="1122"/>
        <w:spacing w:after="0"/>
        <w:tabs>
          <w:tab w:leader="none" w:pos="2800" w:val="left"/>
        </w:tabs>
        <w:numPr>
          <w:ilvl w:val="0"/>
          <w:numId w:val="1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 as of any date, the value of a Share, determined as follows:</w:t>
      </w:r>
    </w:p>
    <w:p>
      <w:pPr>
        <w:spacing w:after="0" w:line="245" w:lineRule="exact"/>
        <w:rPr>
          <w:sz w:val="20"/>
          <w:szCs w:val="20"/>
          <w:color w:val="auto"/>
        </w:rPr>
      </w:pPr>
    </w:p>
    <w:p>
      <w:pPr>
        <w:jc w:val="both"/>
        <w:ind w:firstLine="2083"/>
        <w:spacing w:after="0" w:line="273" w:lineRule="auto"/>
        <w:rPr>
          <w:sz w:val="20"/>
          <w:szCs w:val="20"/>
          <w:color w:val="auto"/>
        </w:rPr>
      </w:pPr>
      <w:r>
        <w:rPr>
          <w:rFonts w:ascii="Arial" w:cs="Arial" w:eastAsia="Arial" w:hAnsi="Arial"/>
          <w:sz w:val="21"/>
          <w:szCs w:val="21"/>
          <w:color w:val="auto"/>
        </w:rPr>
        <w:t>(i) If the Common Stock is listed on any established stock exchange or a national market system, including without limitation the New York Stock Exchange, the NASDAQ Global Select Market, the NASDAQ Global Market or the NASDAQ Capital Market of The NASDAQ Stock Market, the Fair Market Value will be the closing sales price for a Share (or the closing bid, if no sales were reported) as quoted on such exchange or system on the day of determination, as reported by such source as the Administrator determines to be reliable. If the determination date for the Fair Market Value occurs on a non-Trading Day (i.e., a weekend or holiday), the Fair Market Value will be such price on the immediately preceding Trading Day, unless otherwise determined by the Administrator;</w:t>
      </w:r>
    </w:p>
    <w:p>
      <w:pPr>
        <w:spacing w:after="0" w:line="183" w:lineRule="exact"/>
        <w:rPr>
          <w:sz w:val="20"/>
          <w:szCs w:val="20"/>
          <w:color w:val="auto"/>
        </w:rPr>
      </w:pPr>
    </w:p>
    <w:p>
      <w:pPr>
        <w:jc w:val="both"/>
        <w:ind w:firstLine="2035"/>
        <w:spacing w:after="0" w:line="279" w:lineRule="auto"/>
        <w:rPr>
          <w:sz w:val="20"/>
          <w:szCs w:val="20"/>
          <w:color w:val="auto"/>
        </w:rPr>
      </w:pPr>
      <w:r>
        <w:rPr>
          <w:rFonts w:ascii="Arial" w:cs="Arial" w:eastAsia="Arial" w:hAnsi="Arial"/>
          <w:sz w:val="21"/>
          <w:szCs w:val="21"/>
          <w:color w:val="auto"/>
        </w:rPr>
        <w:t>(ii) 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on the last Trading Day such bids and asks were reported), as reported by such source as the Administrator determines to be reliable;</w:t>
      </w:r>
    </w:p>
    <w:p>
      <w:pPr>
        <w:spacing w:after="0" w:line="173" w:lineRule="exact"/>
        <w:rPr>
          <w:sz w:val="20"/>
          <w:szCs w:val="20"/>
          <w:color w:val="auto"/>
        </w:rPr>
      </w:pPr>
    </w:p>
    <w:p>
      <w:pPr>
        <w:jc w:val="both"/>
        <w:ind w:firstLine="1987"/>
        <w:spacing w:after="0" w:line="258" w:lineRule="auto"/>
        <w:rPr>
          <w:sz w:val="20"/>
          <w:szCs w:val="20"/>
          <w:color w:val="auto"/>
        </w:rPr>
      </w:pPr>
      <w:r>
        <w:rPr>
          <w:rFonts w:ascii="Arial" w:cs="Arial" w:eastAsia="Arial" w:hAnsi="Arial"/>
          <w:sz w:val="22"/>
          <w:szCs w:val="22"/>
          <w:color w:val="auto"/>
        </w:rPr>
        <w:t>(iii) For purposes of any Awards granted on the Registration Date, the Fair Market Value will be the initial price to the public as set forth in the final prospectus included within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119" w:name="page120"/>
    <w:bookmarkEnd w:id="119"/>
    <w:p>
      <w:pPr>
        <w:jc w:val="both"/>
        <w:spacing w:after="0" w:line="276" w:lineRule="auto"/>
        <w:rPr>
          <w:sz w:val="20"/>
          <w:szCs w:val="20"/>
          <w:color w:val="auto"/>
        </w:rPr>
      </w:pPr>
      <w:r>
        <w:rPr>
          <w:rFonts w:ascii="Arial" w:cs="Arial" w:eastAsia="Arial" w:hAnsi="Arial"/>
          <w:sz w:val="22"/>
          <w:szCs w:val="22"/>
          <w:color w:val="auto"/>
        </w:rPr>
        <w:t>the registration statement on Form S-1 filed with the U.S. Securities and Exchange Commission for the initial public offering of the Common Stock; or</w:t>
      </w:r>
    </w:p>
    <w:p>
      <w:pPr>
        <w:spacing w:after="0" w:line="174" w:lineRule="exact"/>
        <w:rPr>
          <w:sz w:val="20"/>
          <w:szCs w:val="20"/>
          <w:color w:val="auto"/>
        </w:rPr>
      </w:pPr>
    </w:p>
    <w:p>
      <w:pPr>
        <w:jc w:val="both"/>
        <w:ind w:firstLine="1997"/>
        <w:spacing w:after="0" w:line="276" w:lineRule="auto"/>
        <w:rPr>
          <w:sz w:val="20"/>
          <w:szCs w:val="20"/>
          <w:color w:val="auto"/>
        </w:rPr>
      </w:pPr>
      <w:r>
        <w:rPr>
          <w:rFonts w:ascii="Arial" w:cs="Arial" w:eastAsia="Arial" w:hAnsi="Arial"/>
          <w:sz w:val="22"/>
          <w:szCs w:val="22"/>
          <w:color w:val="auto"/>
        </w:rPr>
        <w:t>(iv) Absent an established market for the Common Stock, the Fair Market Value will be determined in good faith by the Administrator.</w:t>
      </w:r>
    </w:p>
    <w:p>
      <w:pPr>
        <w:spacing w:after="0" w:line="17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1"/>
          <w:szCs w:val="21"/>
          <w:color w:val="auto"/>
        </w:rPr>
        <w:t>Notwithstanding the foregoing, if the determination date for the Fair Market Value occurs on a weekend, holiday or other day other than a Trading Day, the Fair Market Value will be the price as determined under subsections (t)(i) or (t)(ii) above on the immediately preceding Trading Day, unless otherwise determined by the Administrator. 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Note that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79" w:lineRule="exact"/>
        <w:rPr>
          <w:sz w:val="20"/>
          <w:szCs w:val="20"/>
          <w:color w:val="auto"/>
        </w:rPr>
      </w:pPr>
    </w:p>
    <w:p>
      <w:pPr>
        <w:ind w:left="2800" w:hanging="1122"/>
        <w:spacing w:after="0"/>
        <w:tabs>
          <w:tab w:leader="none" w:pos="2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a fiscal year of the Company.</w:t>
      </w:r>
    </w:p>
    <w:p>
      <w:pPr>
        <w:spacing w:after="0" w:line="233" w:lineRule="exact"/>
        <w:rPr>
          <w:rFonts w:ascii="Arial" w:cs="Arial" w:eastAsia="Arial" w:hAnsi="Arial"/>
          <w:sz w:val="22"/>
          <w:szCs w:val="22"/>
          <w:color w:val="auto"/>
        </w:rPr>
      </w:pPr>
    </w:p>
    <w:p>
      <w:pPr>
        <w:ind w:left="2800" w:hanging="1122"/>
        <w:spacing w:after="0"/>
        <w:tabs>
          <w:tab w:leader="none" w:pos="2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 Date</w:t>
      </w:r>
      <w:r>
        <w:rPr>
          <w:rFonts w:ascii="Arial" w:cs="Arial" w:eastAsia="Arial" w:hAnsi="Arial"/>
          <w:sz w:val="22"/>
          <w:szCs w:val="22"/>
          <w:color w:val="auto"/>
        </w:rPr>
        <w:t>” means Grant Date as defined in Section 4(c).</w:t>
      </w:r>
    </w:p>
    <w:p>
      <w:pPr>
        <w:spacing w:after="0" w:line="233" w:lineRule="exact"/>
        <w:rPr>
          <w:rFonts w:ascii="Arial" w:cs="Arial" w:eastAsia="Arial" w:hAnsi="Arial"/>
          <w:sz w:val="22"/>
          <w:szCs w:val="22"/>
          <w:color w:val="auto"/>
        </w:rPr>
      </w:pPr>
    </w:p>
    <w:p>
      <w:pPr>
        <w:ind w:firstLine="1678"/>
        <w:spacing w:after="0" w:line="276" w:lineRule="auto"/>
        <w:tabs>
          <w:tab w:leader="none" w:pos="2793"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means an Option that is intended to qualify and does qualify as an incentive stock option within the meaning of Code Section 422.</w:t>
      </w:r>
    </w:p>
    <w:p>
      <w:pPr>
        <w:spacing w:after="0" w:line="174" w:lineRule="exact"/>
        <w:rPr>
          <w:rFonts w:ascii="Arial" w:cs="Arial" w:eastAsia="Arial" w:hAnsi="Arial"/>
          <w:sz w:val="22"/>
          <w:szCs w:val="22"/>
          <w:color w:val="auto"/>
        </w:rPr>
      </w:pPr>
    </w:p>
    <w:p>
      <w:pPr>
        <w:ind w:right="20" w:firstLine="1678"/>
        <w:spacing w:after="0" w:line="276" w:lineRule="auto"/>
        <w:tabs>
          <w:tab w:leader="none" w:pos="2793"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Nonstatutory Stock Option</w:t>
      </w:r>
      <w:r>
        <w:rPr>
          <w:rFonts w:ascii="Arial" w:cs="Arial" w:eastAsia="Arial" w:hAnsi="Arial"/>
          <w:sz w:val="22"/>
          <w:szCs w:val="22"/>
          <w:color w:val="auto"/>
        </w:rPr>
        <w:t>” means an Option that by its terms does not qualify or is not intended to qualify as an Incentive Stock Option.</w:t>
      </w:r>
    </w:p>
    <w:p>
      <w:pPr>
        <w:spacing w:after="0" w:line="174" w:lineRule="exact"/>
        <w:rPr>
          <w:rFonts w:ascii="Arial" w:cs="Arial" w:eastAsia="Arial" w:hAnsi="Arial"/>
          <w:sz w:val="22"/>
          <w:szCs w:val="22"/>
          <w:color w:val="auto"/>
        </w:rPr>
      </w:pPr>
    </w:p>
    <w:p>
      <w:pPr>
        <w:ind w:left="2800" w:hanging="1122"/>
        <w:spacing w:after="0"/>
        <w:tabs>
          <w:tab w:leader="none" w:pos="28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Officer</w:t>
      </w:r>
      <w:r>
        <w:rPr>
          <w:rFonts w:ascii="Arial" w:cs="Arial" w:eastAsia="Arial" w:hAnsi="Arial"/>
          <w:sz w:val="19"/>
          <w:szCs w:val="19"/>
          <w:color w:val="auto"/>
        </w:rPr>
        <w:t>” means a person who is an officer of the Company within the meaning of Section 16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Exchange Act.</w:t>
      </w:r>
    </w:p>
    <w:p>
      <w:pPr>
        <w:spacing w:after="0" w:line="228" w:lineRule="exact"/>
        <w:rPr>
          <w:rFonts w:ascii="Arial" w:cs="Arial" w:eastAsia="Arial" w:hAnsi="Arial"/>
          <w:sz w:val="19"/>
          <w:szCs w:val="19"/>
          <w:color w:val="auto"/>
        </w:rPr>
      </w:pPr>
    </w:p>
    <w:p>
      <w:pPr>
        <w:ind w:left="2800" w:hanging="1122"/>
        <w:spacing w:after="0"/>
        <w:tabs>
          <w:tab w:leader="none" w:pos="2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means a right to acquire Shares granted under Section 6.</w:t>
      </w:r>
    </w:p>
    <w:p>
      <w:pPr>
        <w:spacing w:after="0" w:line="233" w:lineRule="exact"/>
        <w:rPr>
          <w:rFonts w:ascii="Arial" w:cs="Arial" w:eastAsia="Arial" w:hAnsi="Arial"/>
          <w:sz w:val="22"/>
          <w:szCs w:val="22"/>
          <w:color w:val="auto"/>
        </w:rPr>
      </w:pPr>
    </w:p>
    <w:p>
      <w:pPr>
        <w:ind w:left="2800" w:hanging="1122"/>
        <w:spacing w:after="0"/>
        <w:tabs>
          <w:tab w:leader="none" w:pos="2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Outside Director</w:t>
      </w:r>
      <w:r>
        <w:rPr>
          <w:rFonts w:ascii="Arial" w:cs="Arial" w:eastAsia="Arial" w:hAnsi="Arial"/>
          <w:sz w:val="22"/>
          <w:szCs w:val="22"/>
          <w:color w:val="auto"/>
        </w:rPr>
        <w:t>” means a Director who is not an Employee.</w:t>
      </w:r>
    </w:p>
    <w:p>
      <w:pPr>
        <w:spacing w:after="0" w:line="233" w:lineRule="exact"/>
        <w:rPr>
          <w:rFonts w:ascii="Arial" w:cs="Arial" w:eastAsia="Arial" w:hAnsi="Arial"/>
          <w:sz w:val="22"/>
          <w:szCs w:val="22"/>
          <w:color w:val="auto"/>
        </w:rPr>
      </w:pPr>
    </w:p>
    <w:p>
      <w:pPr>
        <w:ind w:left="2800" w:hanging="1122"/>
        <w:spacing w:after="0"/>
        <w:tabs>
          <w:tab w:leader="none" w:pos="28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 “parent corporation,” whether now or hereafter existing, as defined in Code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424(e).</w:t>
      </w:r>
    </w:p>
    <w:p>
      <w:pPr>
        <w:spacing w:after="0" w:line="228" w:lineRule="exact"/>
        <w:rPr>
          <w:rFonts w:ascii="Arial" w:cs="Arial" w:eastAsia="Arial" w:hAnsi="Arial"/>
          <w:sz w:val="19"/>
          <w:szCs w:val="19"/>
          <w:color w:val="auto"/>
        </w:rPr>
      </w:pPr>
    </w:p>
    <w:p>
      <w:pPr>
        <w:ind w:left="2800" w:hanging="1122"/>
        <w:spacing w:after="0"/>
        <w:tabs>
          <w:tab w:leader="none" w:pos="2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the holder of an outstanding Award.</w:t>
      </w:r>
    </w:p>
    <w:p>
      <w:pPr>
        <w:spacing w:after="0" w:line="233" w:lineRule="exact"/>
        <w:rPr>
          <w:rFonts w:ascii="Arial" w:cs="Arial" w:eastAsia="Arial" w:hAnsi="Arial"/>
          <w:sz w:val="22"/>
          <w:szCs w:val="22"/>
          <w:color w:val="auto"/>
        </w:rPr>
      </w:pPr>
    </w:p>
    <w:p>
      <w:pPr>
        <w:jc w:val="both"/>
        <w:ind w:firstLine="1678"/>
        <w:spacing w:after="0" w:line="327" w:lineRule="auto"/>
        <w:tabs>
          <w:tab w:leader="none" w:pos="2793" w:val="left"/>
        </w:tabs>
        <w:numPr>
          <w:ilvl w:val="0"/>
          <w:numId w:val="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Awards</w:t>
      </w:r>
      <w:r>
        <w:rPr>
          <w:rFonts w:ascii="Arial" w:cs="Arial" w:eastAsia="Arial" w:hAnsi="Arial"/>
          <w:sz w:val="19"/>
          <w:szCs w:val="19"/>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32" w:lineRule="exact"/>
        <w:rPr>
          <w:rFonts w:ascii="Arial" w:cs="Arial" w:eastAsia="Arial" w:hAnsi="Arial"/>
          <w:sz w:val="19"/>
          <w:szCs w:val="19"/>
          <w:color w:val="auto"/>
        </w:rPr>
      </w:pPr>
    </w:p>
    <w:p>
      <w:pPr>
        <w:ind w:left="2800" w:hanging="1122"/>
        <w:spacing w:after="0"/>
        <w:tabs>
          <w:tab w:leader="none" w:pos="2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Performance Period as defined in Section 10(a)</w:t>
      </w:r>
    </w:p>
    <w:p>
      <w:pPr>
        <w:spacing w:after="0" w:line="233" w:lineRule="exact"/>
        <w:rPr>
          <w:sz w:val="20"/>
          <w:szCs w:val="20"/>
          <w:color w:val="auto"/>
        </w:rPr>
      </w:pPr>
    </w:p>
    <w:p>
      <w:pPr>
        <w:ind w:firstLine="1678"/>
        <w:spacing w:after="0" w:line="258" w:lineRule="auto"/>
        <w:tabs>
          <w:tab w:leader="none" w:pos="2793"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Period of Restriction</w:t>
      </w:r>
      <w:r>
        <w:rPr>
          <w:rFonts w:ascii="Arial" w:cs="Arial" w:eastAsia="Arial" w:hAnsi="Arial"/>
          <w:sz w:val="22"/>
          <w:szCs w:val="22"/>
          <w:color w:val="auto"/>
        </w:rPr>
        <w:t>” means the period during which the transfer of Shares of Restricted Stock is subject to restrictions and therefore, the Shares are subject to a substantial risk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120" w:name="page121"/>
    <w:bookmarkEnd w:id="120"/>
    <w:p>
      <w:pPr>
        <w:spacing w:after="0" w:line="276" w:lineRule="auto"/>
        <w:rPr>
          <w:sz w:val="20"/>
          <w:szCs w:val="20"/>
          <w:color w:val="auto"/>
        </w:rPr>
      </w:pPr>
      <w:r>
        <w:rPr>
          <w:rFonts w:ascii="Arial" w:cs="Arial" w:eastAsia="Arial" w:hAnsi="Arial"/>
          <w:sz w:val="22"/>
          <w:szCs w:val="22"/>
          <w:color w:val="auto"/>
        </w:rPr>
        <w:t>forfeiture. Such restrictions may be based on the passage of time, the achievement of target levels of performance, or the occurrence of other events as determined by the Administrator.</w:t>
      </w:r>
    </w:p>
    <w:p>
      <w:pPr>
        <w:spacing w:after="0" w:line="174" w:lineRule="exact"/>
        <w:rPr>
          <w:sz w:val="20"/>
          <w:szCs w:val="20"/>
          <w:color w:val="auto"/>
        </w:rPr>
      </w:pPr>
    </w:p>
    <w:p>
      <w:pPr>
        <w:ind w:left="2800" w:hanging="1122"/>
        <w:spacing w:after="0"/>
        <w:tabs>
          <w:tab w:leader="none" w:pos="2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2021 Equity Incentive Plan.</w:t>
      </w:r>
    </w:p>
    <w:p>
      <w:pPr>
        <w:spacing w:after="0" w:line="233" w:lineRule="exact"/>
        <w:rPr>
          <w:rFonts w:ascii="Arial" w:cs="Arial" w:eastAsia="Arial" w:hAnsi="Arial"/>
          <w:sz w:val="22"/>
          <w:szCs w:val="22"/>
          <w:color w:val="auto"/>
        </w:rPr>
      </w:pPr>
    </w:p>
    <w:p>
      <w:pPr>
        <w:jc w:val="both"/>
        <w:ind w:firstLine="1678"/>
        <w:spacing w:after="0" w:line="266" w:lineRule="auto"/>
        <w:tabs>
          <w:tab w:leader="none" w:pos="2793"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Date</w:t>
      </w:r>
      <w:r>
        <w:rPr>
          <w:rFonts w:ascii="Arial" w:cs="Arial" w:eastAsia="Arial" w:hAnsi="Arial"/>
          <w:sz w:val="22"/>
          <w:szCs w:val="22"/>
          <w:color w:val="auto"/>
        </w:rPr>
        <w:t>” means the effective date of the first registration statement that is filed by the Company and declared effective pursuant to Section 12(b) of the Exchange Act, with respect to any class of the Company’s securities.</w:t>
      </w:r>
    </w:p>
    <w:p>
      <w:pPr>
        <w:spacing w:after="0" w:line="184" w:lineRule="exact"/>
        <w:rPr>
          <w:rFonts w:ascii="Arial" w:cs="Arial" w:eastAsia="Arial" w:hAnsi="Arial"/>
          <w:sz w:val="22"/>
          <w:szCs w:val="22"/>
          <w:color w:val="auto"/>
        </w:rPr>
      </w:pPr>
    </w:p>
    <w:p>
      <w:pPr>
        <w:ind w:firstLine="1678"/>
        <w:spacing w:after="0" w:line="276" w:lineRule="auto"/>
        <w:tabs>
          <w:tab w:leader="none" w:pos="2793"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w:t>
      </w:r>
      <w:r>
        <w:rPr>
          <w:rFonts w:ascii="Arial" w:cs="Arial" w:eastAsia="Arial" w:hAnsi="Arial"/>
          <w:sz w:val="22"/>
          <w:szCs w:val="22"/>
          <w:color w:val="auto"/>
        </w:rPr>
        <w:t>” means Shares issued under an Award granted under Section 8 or issued as a result of the early exercise of an Option.</w:t>
      </w:r>
    </w:p>
    <w:p>
      <w:pPr>
        <w:spacing w:after="0" w:line="174" w:lineRule="exact"/>
        <w:rPr>
          <w:rFonts w:ascii="Arial" w:cs="Arial" w:eastAsia="Arial" w:hAnsi="Arial"/>
          <w:sz w:val="22"/>
          <w:szCs w:val="22"/>
          <w:color w:val="auto"/>
        </w:rPr>
      </w:pPr>
    </w:p>
    <w:p>
      <w:pPr>
        <w:jc w:val="both"/>
        <w:ind w:firstLine="1678"/>
        <w:spacing w:after="0" w:line="266" w:lineRule="auto"/>
        <w:tabs>
          <w:tab w:leader="none" w:pos="2793"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Unit</w:t>
      </w:r>
      <w:r>
        <w:rPr>
          <w:rFonts w:ascii="Arial" w:cs="Arial" w:eastAsia="Arial" w:hAnsi="Arial"/>
          <w:sz w:val="22"/>
          <w:szCs w:val="22"/>
          <w:color w:val="auto"/>
        </w:rPr>
        <w:t>” means a bookkeeping entry representing an amount equal to the Fair Market Value, granted under Section 9. Each Restricted Stock Unit represents an unfunded and unsecured obligation of the Company.</w:t>
      </w:r>
    </w:p>
    <w:p>
      <w:pPr>
        <w:spacing w:after="0" w:line="184" w:lineRule="exact"/>
        <w:rPr>
          <w:rFonts w:ascii="Arial" w:cs="Arial" w:eastAsia="Arial" w:hAnsi="Arial"/>
          <w:sz w:val="22"/>
          <w:szCs w:val="22"/>
          <w:color w:val="auto"/>
        </w:rPr>
      </w:pPr>
    </w:p>
    <w:p>
      <w:pPr>
        <w:ind w:left="2800" w:hanging="1122"/>
        <w:spacing w:after="0"/>
        <w:tabs>
          <w:tab w:leader="none" w:pos="2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U.S. Securities Act of 1933.</w:t>
      </w:r>
    </w:p>
    <w:p>
      <w:pPr>
        <w:spacing w:after="0" w:line="233" w:lineRule="exact"/>
        <w:rPr>
          <w:rFonts w:ascii="Arial" w:cs="Arial" w:eastAsia="Arial" w:hAnsi="Arial"/>
          <w:sz w:val="22"/>
          <w:szCs w:val="22"/>
          <w:color w:val="auto"/>
        </w:rPr>
      </w:pPr>
    </w:p>
    <w:p>
      <w:pPr>
        <w:ind w:left="2800" w:hanging="1122"/>
        <w:spacing w:after="0"/>
        <w:tabs>
          <w:tab w:leader="none" w:pos="2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Provider</w:t>
      </w:r>
      <w:r>
        <w:rPr>
          <w:rFonts w:ascii="Arial" w:cs="Arial" w:eastAsia="Arial" w:hAnsi="Arial"/>
          <w:sz w:val="22"/>
          <w:szCs w:val="22"/>
          <w:color w:val="auto"/>
        </w:rPr>
        <w:t>” means an Employee, Director or Consultant.</w:t>
      </w:r>
    </w:p>
    <w:p>
      <w:pPr>
        <w:spacing w:after="0" w:line="233" w:lineRule="exact"/>
        <w:rPr>
          <w:rFonts w:ascii="Arial" w:cs="Arial" w:eastAsia="Arial" w:hAnsi="Arial"/>
          <w:sz w:val="22"/>
          <w:szCs w:val="22"/>
          <w:color w:val="auto"/>
        </w:rPr>
      </w:pPr>
    </w:p>
    <w:p>
      <w:pPr>
        <w:ind w:left="2800" w:hanging="1122"/>
        <w:spacing w:after="0"/>
        <w:tabs>
          <w:tab w:leader="none" w:pos="28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Share</w:t>
      </w:r>
      <w:r>
        <w:rPr>
          <w:rFonts w:ascii="Arial" w:cs="Arial" w:eastAsia="Arial" w:hAnsi="Arial"/>
          <w:sz w:val="19"/>
          <w:szCs w:val="19"/>
          <w:color w:val="auto"/>
        </w:rPr>
        <w:t>” means a share of the Common Stock as adjusted in accordance with Section 13 of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Plan.</w:t>
      </w:r>
    </w:p>
    <w:p>
      <w:pPr>
        <w:spacing w:after="0" w:line="228" w:lineRule="exact"/>
        <w:rPr>
          <w:rFonts w:ascii="Arial" w:cs="Arial" w:eastAsia="Arial" w:hAnsi="Arial"/>
          <w:sz w:val="19"/>
          <w:szCs w:val="19"/>
          <w:color w:val="auto"/>
        </w:rPr>
      </w:pPr>
    </w:p>
    <w:p>
      <w:pPr>
        <w:ind w:left="2800" w:hanging="1122"/>
        <w:spacing w:after="0"/>
        <w:tabs>
          <w:tab w:leader="none" w:pos="2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Appreciation Right</w:t>
      </w:r>
      <w:r>
        <w:rPr>
          <w:rFonts w:ascii="Arial" w:cs="Arial" w:eastAsia="Arial" w:hAnsi="Arial"/>
          <w:sz w:val="22"/>
          <w:szCs w:val="22"/>
          <w:color w:val="auto"/>
        </w:rPr>
        <w:t>” means an Award granted under Section 7.</w:t>
      </w:r>
    </w:p>
    <w:p>
      <w:pPr>
        <w:spacing w:after="0" w:line="233" w:lineRule="exact"/>
        <w:rPr>
          <w:rFonts w:ascii="Arial" w:cs="Arial" w:eastAsia="Arial" w:hAnsi="Arial"/>
          <w:sz w:val="22"/>
          <w:szCs w:val="22"/>
          <w:color w:val="auto"/>
        </w:rPr>
      </w:pPr>
    </w:p>
    <w:p>
      <w:pPr>
        <w:ind w:left="2800" w:hanging="1122"/>
        <w:spacing w:after="0"/>
        <w:tabs>
          <w:tab w:leader="none" w:pos="28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 “subsidiary corporation” as defined in Code Section 424(f), in relation to</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Company.</w:t>
      </w:r>
    </w:p>
    <w:p>
      <w:pPr>
        <w:spacing w:after="0" w:line="228" w:lineRule="exact"/>
        <w:rPr>
          <w:rFonts w:ascii="Arial" w:cs="Arial" w:eastAsia="Arial" w:hAnsi="Arial"/>
          <w:sz w:val="19"/>
          <w:szCs w:val="19"/>
          <w:color w:val="auto"/>
        </w:rPr>
      </w:pPr>
    </w:p>
    <w:p>
      <w:pPr>
        <w:jc w:val="both"/>
        <w:ind w:firstLine="1678"/>
        <w:spacing w:after="0" w:line="271" w:lineRule="auto"/>
        <w:tabs>
          <w:tab w:leader="none" w:pos="2793" w:val="left"/>
        </w:tabs>
        <w:numPr>
          <w:ilvl w:val="0"/>
          <w:numId w:val="1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Withholdings</w:t>
      </w:r>
      <w:r>
        <w:rPr>
          <w:rFonts w:ascii="Arial" w:cs="Arial" w:eastAsia="Arial" w:hAnsi="Arial"/>
          <w:sz w:val="21"/>
          <w:szCs w:val="21"/>
          <w:color w:val="auto"/>
          <w:highlight w:val="white"/>
        </w:rPr>
        <w:t>” means tax, social insurance and social security liability or premium</w:t>
      </w:r>
      <w:r>
        <w:rPr>
          <w:rFonts w:ascii="Arial" w:cs="Arial" w:eastAsia="Arial" w:hAnsi="Arial"/>
          <w:sz w:val="21"/>
          <w:szCs w:val="21"/>
          <w:color w:val="auto"/>
        </w:rPr>
        <w:t xml:space="preserve"> obligations in connection with the Awards, including, without limitation, (i) all federal, state, and local income, employment and any other taxes (including the Participant’s U.S. Federal Insurance Contributions Act (FICA) obligation) that are required to be withheld by the Company or a member of the Company Group, (ii) the Participant’s and, to the extent required by the Company, the fringe benefit tax liability of the Company or a member of the Company Group, if any, associated with the grant, vesting, or exercise of an Award or sale of Shares issued under the Award, and (iii) any other taxes or social insurance or social security liabilities or premium the responsibility for which the Participant has, or has agreed to bear, with respect to such Award, the Shares subject to, or other amounts or property payable under, an Award, or otherwise associated with or related to participation in the Plan and with respect to which the Company or the applicable member of the Company Group has either agreed to withhold or has an obligation to withhold.</w:t>
      </w:r>
    </w:p>
    <w:p>
      <w:pPr>
        <w:spacing w:after="0" w:line="189" w:lineRule="exact"/>
        <w:rPr>
          <w:rFonts w:ascii="Arial" w:cs="Arial" w:eastAsia="Arial" w:hAnsi="Arial"/>
          <w:sz w:val="21"/>
          <w:szCs w:val="21"/>
          <w:color w:val="auto"/>
        </w:rPr>
      </w:pPr>
    </w:p>
    <w:p>
      <w:pPr>
        <w:ind w:left="2800" w:hanging="1122"/>
        <w:spacing w:after="0"/>
        <w:tabs>
          <w:tab w:leader="none" w:pos="2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Percent Owner</w:t>
      </w:r>
      <w:r>
        <w:rPr>
          <w:rFonts w:ascii="Arial" w:cs="Arial" w:eastAsia="Arial" w:hAnsi="Arial"/>
          <w:sz w:val="22"/>
          <w:szCs w:val="22"/>
          <w:color w:val="auto"/>
        </w:rPr>
        <w:t>” means Ten Percent Owner as defined in Section 6(b)(i).</w:t>
      </w:r>
    </w:p>
    <w:p>
      <w:pPr>
        <w:spacing w:after="0" w:line="233" w:lineRule="exact"/>
        <w:rPr>
          <w:rFonts w:ascii="Arial" w:cs="Arial" w:eastAsia="Arial" w:hAnsi="Arial"/>
          <w:sz w:val="22"/>
          <w:szCs w:val="22"/>
          <w:color w:val="auto"/>
        </w:rPr>
      </w:pPr>
    </w:p>
    <w:p>
      <w:pPr>
        <w:ind w:firstLine="1678"/>
        <w:spacing w:after="0" w:line="276" w:lineRule="auto"/>
        <w:tabs>
          <w:tab w:leader="none" w:pos="2793"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 day on which the primary stock exchange or national market system (or other trading platform, as applicable) on which the Common Stock trades is open for trading.</w:t>
      </w:r>
    </w:p>
    <w:p>
      <w:pPr>
        <w:spacing w:after="0" w:line="174" w:lineRule="exact"/>
        <w:rPr>
          <w:rFonts w:ascii="Arial" w:cs="Arial" w:eastAsia="Arial" w:hAnsi="Arial"/>
          <w:sz w:val="22"/>
          <w:szCs w:val="22"/>
          <w:color w:val="auto"/>
        </w:rPr>
      </w:pPr>
    </w:p>
    <w:p>
      <w:pPr>
        <w:ind w:left="2800" w:hanging="1122"/>
        <w:spacing w:after="0"/>
        <w:tabs>
          <w:tab w:leader="none" w:pos="2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w:t>
      </w:r>
      <w:r>
        <w:rPr>
          <w:rFonts w:ascii="Arial" w:cs="Arial" w:eastAsia="Arial" w:hAnsi="Arial"/>
          <w:sz w:val="22"/>
          <w:szCs w:val="22"/>
          <w:color w:val="auto"/>
        </w:rPr>
        <w:t>” means Transaction as defined in Section 14(a).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121" w:name="page122"/>
    <w:bookmarkEnd w:id="121"/>
    <w:p>
      <w:pPr>
        <w:ind w:left="1400" w:hanging="600"/>
        <w:spacing w:after="0"/>
        <w:tabs>
          <w:tab w:leader="none" w:pos="1400" w:val="left"/>
        </w:tabs>
        <w:numPr>
          <w:ilvl w:val="0"/>
          <w:numId w:val="1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Shares Subject to the Plan</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ind w:left="2800" w:hanging="1122"/>
        <w:spacing w:after="0"/>
        <w:tabs>
          <w:tab w:leader="none" w:pos="2800"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Allocation of Shares to Plan</w:t>
      </w:r>
      <w:r>
        <w:rPr>
          <w:rFonts w:ascii="Arial" w:cs="Arial" w:eastAsia="Arial" w:hAnsi="Arial"/>
          <w:sz w:val="19"/>
          <w:szCs w:val="19"/>
          <w:color w:val="auto"/>
        </w:rPr>
        <w:t>. The maximum aggregate number of Shares that may be issued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under the Plan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-500380</wp:posOffset>
            </wp:positionV>
            <wp:extent cx="342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p>
      <w:pPr>
        <w:spacing w:after="0" w:line="229" w:lineRule="exact"/>
        <w:rPr>
          <w:sz w:val="20"/>
          <w:szCs w:val="20"/>
          <w:color w:val="auto"/>
        </w:rPr>
      </w:pPr>
    </w:p>
    <w:p>
      <w:pPr>
        <w:jc w:val="center"/>
        <w:ind w:left="9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2,420,135 Shares, plus</w:t>
      </w:r>
    </w:p>
    <w:p>
      <w:pPr>
        <w:spacing w:after="0" w:line="234" w:lineRule="exact"/>
        <w:rPr>
          <w:sz w:val="20"/>
          <w:szCs w:val="20"/>
          <w:color w:val="auto"/>
        </w:rPr>
      </w:pPr>
    </w:p>
    <w:p>
      <w:pPr>
        <w:sectPr>
          <w:pgSz w:w="11900" w:h="16838" w:orient="portrait"/>
          <w:cols w:equalWidth="0" w:num="2">
            <w:col w:w="3480" w:space="720"/>
            <w:col w:w="7040"/>
          </w:cols>
          <w:pgMar w:left="320" w:top="618" w:right="339" w:bottom="1440" w:gutter="0" w:footer="0" w:header="0"/>
          <w:type w:val="continuous"/>
        </w:sectPr>
      </w:pPr>
    </w:p>
    <w:p>
      <w:pPr>
        <w:spacing w:after="0" w:line="33" w:lineRule="exact"/>
        <w:rPr>
          <w:sz w:val="20"/>
          <w:szCs w:val="20"/>
          <w:color w:val="auto"/>
        </w:rPr>
      </w:pPr>
    </w:p>
    <w:p>
      <w:pPr>
        <w:ind w:left="2040"/>
        <w:spacing w:after="0"/>
        <w:tabs>
          <w:tab w:leader="none" w:pos="418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any Shares subject to stock options or other awards granted under the Company’s</w:t>
      </w:r>
    </w:p>
    <w:p>
      <w:pPr>
        <w:sectPr>
          <w:pgSz w:w="11900" w:h="16838" w:orient="portrait"/>
          <w:cols w:equalWidth="0" w:num="1">
            <w:col w:w="11240"/>
          </w:cols>
          <w:pgMar w:left="320" w:top="618" w:right="339" w:bottom="1440" w:gutter="0" w:footer="0" w:header="0"/>
          <w:type w:val="continuous"/>
        </w:sectPr>
      </w:pP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2015 Equity Incentive Plan (the “</w:t>
      </w:r>
      <w:r>
        <w:rPr>
          <w:rFonts w:ascii="Arial" w:cs="Arial" w:eastAsia="Arial" w:hAnsi="Arial"/>
          <w:sz w:val="22"/>
          <w:szCs w:val="22"/>
          <w:u w:val="single" w:color="auto"/>
          <w:color w:val="auto"/>
        </w:rPr>
        <w:t>2015 Plan</w:t>
      </w:r>
      <w:r>
        <w:rPr>
          <w:rFonts w:ascii="Arial" w:cs="Arial" w:eastAsia="Arial" w:hAnsi="Arial"/>
          <w:sz w:val="22"/>
          <w:szCs w:val="22"/>
          <w:color w:val="auto"/>
        </w:rPr>
        <w:t>”) or the 2006 Stock Plan (the “</w:t>
      </w:r>
      <w:r>
        <w:rPr>
          <w:rFonts w:ascii="Arial" w:cs="Arial" w:eastAsia="Arial" w:hAnsi="Arial"/>
          <w:sz w:val="22"/>
          <w:szCs w:val="22"/>
          <w:u w:val="single" w:color="auto"/>
          <w:color w:val="auto"/>
        </w:rPr>
        <w:t>2006 Plan</w:t>
      </w:r>
      <w:r>
        <w:rPr>
          <w:rFonts w:ascii="Arial" w:cs="Arial" w:eastAsia="Arial" w:hAnsi="Arial"/>
          <w:sz w:val="22"/>
          <w:szCs w:val="22"/>
          <w:color w:val="auto"/>
        </w:rPr>
        <w:t>”) that, on or after the business day immediately prior to the Registration Date, expire or otherwise terminate without having been exercised in full, are tendered to or withheld by the Company for payment of an exercise price or for tax withholding obligations, and any Shares issued pursuant to awards granted under the 2015 Plan or 2006 Plan that, on or after the business day immediately prior to the Registration Date, are forfeited to or repurchased by the Company due to failure to vest, with the maximum number of Shares to be added to the Plan under this clause (ii) equal to 4,840,271 Shares, plus</w:t>
      </w:r>
    </w:p>
    <w:p>
      <w:pPr>
        <w:sectPr>
          <w:pgSz w:w="11900" w:h="16838" w:orient="portrait"/>
          <w:cols w:equalWidth="0" w:num="1">
            <w:col w:w="11240"/>
          </w:cols>
          <w:pgMar w:left="320" w:top="618" w:right="339" w:bottom="1440" w:gutter="0" w:footer="0" w:header="0"/>
          <w:type w:val="continuous"/>
        </w:sectPr>
      </w:pPr>
    </w:p>
    <w:p>
      <w:pPr>
        <w:spacing w:after="0" w:line="194" w:lineRule="exact"/>
        <w:rPr>
          <w:sz w:val="20"/>
          <w:szCs w:val="20"/>
          <w:color w:val="auto"/>
        </w:rPr>
      </w:pPr>
    </w:p>
    <w:p>
      <w:pPr>
        <w:jc w:val="center"/>
        <w:ind w:left="78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any additional Shares that become available for issuance under the Plan under</w:t>
      </w:r>
    </w:p>
    <w:p>
      <w:pPr>
        <w:spacing w:after="0" w:line="55" w:lineRule="exact"/>
        <w:rPr>
          <w:sz w:val="20"/>
          <w:szCs w:val="20"/>
          <w:color w:val="auto"/>
        </w:rPr>
      </w:pPr>
    </w:p>
    <w:p>
      <w:pPr>
        <w:sectPr>
          <w:pgSz w:w="11900" w:h="16838" w:orient="portrait"/>
          <w:cols w:equalWidth="0" w:num="2">
            <w:col w:w="3540" w:space="720"/>
            <w:col w:w="6980"/>
          </w:cols>
          <w:pgMar w:left="320" w:top="618" w:right="339" w:bottom="1440" w:gutter="0" w:footer="0" w:header="0"/>
          <w:type w:val="continuous"/>
        </w:sectPr>
      </w:pPr>
    </w:p>
    <w:p>
      <w:pPr>
        <w:spacing w:after="0"/>
        <w:rPr>
          <w:sz w:val="20"/>
          <w:szCs w:val="20"/>
          <w:color w:val="auto"/>
        </w:rPr>
      </w:pPr>
      <w:r>
        <w:rPr>
          <w:rFonts w:ascii="Arial" w:cs="Arial" w:eastAsia="Arial" w:hAnsi="Arial"/>
          <w:sz w:val="19"/>
          <w:szCs w:val="19"/>
          <w:color w:val="auto"/>
        </w:rPr>
        <w:t>Sections 3(b) and 3(c).</w:t>
      </w:r>
    </w:p>
    <w:p>
      <w:pPr>
        <w:sectPr>
          <w:pgSz w:w="11900" w:h="16838" w:orient="portrait"/>
          <w:cols w:equalWidth="0" w:num="1">
            <w:col w:w="11240"/>
          </w:cols>
          <w:pgMar w:left="320" w:top="618" w:right="339" w:bottom="1440" w:gutter="0" w:footer="0" w:header="0"/>
          <w:type w:val="continuous"/>
        </w:sectPr>
      </w:pPr>
    </w:p>
    <w:p>
      <w:pPr>
        <w:spacing w:after="0" w:line="263" w:lineRule="exact"/>
        <w:rPr>
          <w:sz w:val="20"/>
          <w:szCs w:val="20"/>
          <w:color w:val="auto"/>
        </w:rPr>
      </w:pPr>
    </w:p>
    <w:p>
      <w:pPr>
        <w:ind w:firstLine="749"/>
        <w:spacing w:after="0" w:line="276" w:lineRule="auto"/>
        <w:rPr>
          <w:sz w:val="20"/>
          <w:szCs w:val="20"/>
          <w:color w:val="auto"/>
        </w:rPr>
      </w:pPr>
      <w:r>
        <w:rPr>
          <w:rFonts w:ascii="Arial" w:cs="Arial" w:eastAsia="Arial" w:hAnsi="Arial"/>
          <w:sz w:val="22"/>
          <w:szCs w:val="22"/>
          <w:color w:val="auto"/>
        </w:rPr>
        <w:t>The Shares may be authorized but unissued Common Stock or Common Stock issued and then reacquired by the Company.</w:t>
      </w:r>
    </w:p>
    <w:p>
      <w:pPr>
        <w:spacing w:after="0" w:line="174" w:lineRule="exact"/>
        <w:rPr>
          <w:sz w:val="20"/>
          <w:szCs w:val="20"/>
          <w:color w:val="auto"/>
        </w:rPr>
      </w:pPr>
    </w:p>
    <w:p>
      <w:pPr>
        <w:ind w:firstLine="1678"/>
        <w:spacing w:after="0" w:line="358" w:lineRule="auto"/>
        <w:tabs>
          <w:tab w:leader="none" w:pos="2793"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Automatic Share Reserve Increase</w:t>
      </w:r>
      <w:r>
        <w:rPr>
          <w:rFonts w:ascii="Arial" w:cs="Arial" w:eastAsia="Arial" w:hAnsi="Arial"/>
          <w:sz w:val="19"/>
          <w:szCs w:val="19"/>
          <w:color w:val="auto"/>
        </w:rPr>
        <w:t xml:space="preserve">. The number of Shares available for issuance under the Plan will be increased on the first day of each Fiscal Year beginning with the 2022 Fiscal Year, in an amount equal to the </w:t>
      </w:r>
      <w:r>
        <w:rPr>
          <w:rFonts w:ascii="Arial" w:cs="Arial" w:eastAsia="Arial" w:hAnsi="Arial"/>
          <w:sz w:val="19"/>
          <w:szCs w:val="19"/>
          <w:u w:val="single" w:color="auto"/>
          <w:color w:val="auto"/>
        </w:rPr>
        <w:t>least</w:t>
      </w:r>
      <w:r>
        <w:rPr>
          <w:rFonts w:ascii="Arial" w:cs="Arial" w:eastAsia="Arial" w:hAnsi="Arial"/>
          <w:sz w:val="19"/>
          <w:szCs w:val="19"/>
          <w:color w:val="auto"/>
        </w:rPr>
        <w:t xml:space="preserve"> of:</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800" w:type="dxa"/>
            <w:vAlign w:val="bottom"/>
          </w:tcPr>
          <w:p>
            <w:pPr>
              <w:jc w:val="center"/>
              <w:ind w:left="1492"/>
              <w:spacing w:after="0"/>
              <w:rPr>
                <w:sz w:val="20"/>
                <w:szCs w:val="20"/>
                <w:color w:val="auto"/>
              </w:rPr>
            </w:pPr>
            <w:r>
              <w:rPr>
                <w:rFonts w:ascii="Arial" w:cs="Arial" w:eastAsia="Arial" w:hAnsi="Arial"/>
                <w:sz w:val="22"/>
                <w:szCs w:val="22"/>
                <w:color w:val="auto"/>
              </w:rPr>
              <w:t>(i)</w:t>
            </w:r>
          </w:p>
        </w:tc>
        <w:tc>
          <w:tcPr>
            <w:tcW w:w="8420" w:type="dxa"/>
            <w:vAlign w:val="bottom"/>
            <w:gridSpan w:val="2"/>
          </w:tcPr>
          <w:p>
            <w:pPr>
              <w:ind w:left="1400"/>
              <w:spacing w:after="0"/>
              <w:rPr>
                <w:sz w:val="20"/>
                <w:szCs w:val="20"/>
                <w:color w:val="auto"/>
              </w:rPr>
            </w:pPr>
            <w:r>
              <w:rPr>
                <w:rFonts w:ascii="Arial" w:cs="Arial" w:eastAsia="Arial" w:hAnsi="Arial"/>
                <w:sz w:val="22"/>
                <w:szCs w:val="22"/>
                <w:color w:val="auto"/>
              </w:rPr>
              <w:t>7,260,406 Shares,</w:t>
            </w:r>
          </w:p>
        </w:tc>
      </w:tr>
      <w:tr>
        <w:trPr>
          <w:trHeight w:val="482"/>
        </w:trPr>
        <w:tc>
          <w:tcPr>
            <w:tcW w:w="2800" w:type="dxa"/>
            <w:vAlign w:val="bottom"/>
          </w:tcPr>
          <w:p>
            <w:pPr>
              <w:jc w:val="center"/>
              <w:ind w:left="1432"/>
              <w:spacing w:after="0"/>
              <w:rPr>
                <w:sz w:val="20"/>
                <w:szCs w:val="20"/>
                <w:color w:val="auto"/>
              </w:rPr>
            </w:pPr>
            <w:r>
              <w:rPr>
                <w:rFonts w:ascii="Arial" w:cs="Arial" w:eastAsia="Arial" w:hAnsi="Arial"/>
                <w:sz w:val="22"/>
                <w:szCs w:val="22"/>
                <w:color w:val="auto"/>
              </w:rPr>
              <w:t>(ii)</w:t>
            </w:r>
          </w:p>
        </w:tc>
        <w:tc>
          <w:tcPr>
            <w:tcW w:w="8420" w:type="dxa"/>
            <w:vAlign w:val="bottom"/>
            <w:gridSpan w:val="2"/>
          </w:tcPr>
          <w:p>
            <w:pPr>
              <w:ind w:left="1400"/>
              <w:spacing w:after="0"/>
              <w:rPr>
                <w:sz w:val="20"/>
                <w:szCs w:val="20"/>
                <w:color w:val="auto"/>
              </w:rPr>
            </w:pPr>
            <w:r>
              <w:rPr>
                <w:rFonts w:ascii="Arial" w:cs="Arial" w:eastAsia="Arial" w:hAnsi="Arial"/>
                <w:sz w:val="22"/>
                <w:szCs w:val="22"/>
                <w:color w:val="auto"/>
                <w:w w:val="89"/>
              </w:rPr>
              <w:t>4% of the total number of shares of all classes of common stock of the Company</w:t>
            </w:r>
          </w:p>
        </w:tc>
      </w:tr>
      <w:tr>
        <w:trPr>
          <w:trHeight w:val="274"/>
        </w:trPr>
        <w:tc>
          <w:tcPr>
            <w:tcW w:w="11220" w:type="dxa"/>
            <w:vAlign w:val="bottom"/>
            <w:gridSpan w:val="3"/>
          </w:tcPr>
          <w:p>
            <w:pPr>
              <w:spacing w:after="0"/>
              <w:rPr>
                <w:sz w:val="20"/>
                <w:szCs w:val="20"/>
                <w:color w:val="auto"/>
              </w:rPr>
            </w:pPr>
            <w:r>
              <w:rPr>
                <w:rFonts w:ascii="Arial" w:cs="Arial" w:eastAsia="Arial" w:hAnsi="Arial"/>
                <w:sz w:val="22"/>
                <w:szCs w:val="22"/>
                <w:color w:val="auto"/>
              </w:rPr>
              <w:t>outstanding on the last day of the immediately preceding Fiscal Year, and</w:t>
            </w:r>
          </w:p>
        </w:tc>
      </w:tr>
      <w:tr>
        <w:trPr>
          <w:trHeight w:val="486"/>
        </w:trPr>
        <w:tc>
          <w:tcPr>
            <w:tcW w:w="2800" w:type="dxa"/>
            <w:vAlign w:val="bottom"/>
          </w:tcPr>
          <w:p>
            <w:pPr>
              <w:ind w:left="2000"/>
              <w:spacing w:after="0"/>
              <w:rPr>
                <w:sz w:val="20"/>
                <w:szCs w:val="20"/>
                <w:color w:val="auto"/>
              </w:rPr>
            </w:pPr>
            <w:r>
              <w:rPr>
                <w:rFonts w:ascii="Arial" w:cs="Arial" w:eastAsia="Arial" w:hAnsi="Arial"/>
                <w:sz w:val="22"/>
                <w:szCs w:val="22"/>
                <w:color w:val="auto"/>
              </w:rPr>
              <w:t>(iii)</w:t>
            </w:r>
          </w:p>
        </w:tc>
        <w:tc>
          <w:tcPr>
            <w:tcW w:w="8420" w:type="dxa"/>
            <w:vAlign w:val="bottom"/>
            <w:gridSpan w:val="2"/>
          </w:tcPr>
          <w:p>
            <w:pPr>
              <w:ind w:left="1400"/>
              <w:spacing w:after="0"/>
              <w:rPr>
                <w:sz w:val="20"/>
                <w:szCs w:val="20"/>
                <w:color w:val="auto"/>
              </w:rPr>
            </w:pPr>
            <w:r>
              <w:rPr>
                <w:rFonts w:ascii="Arial" w:cs="Arial" w:eastAsia="Arial" w:hAnsi="Arial"/>
                <w:sz w:val="22"/>
                <w:szCs w:val="22"/>
                <w:color w:val="auto"/>
              </w:rPr>
              <w:t>a lesser number of Shares determined by the Administrator.</w:t>
            </w:r>
          </w:p>
        </w:tc>
      </w:tr>
      <w:tr>
        <w:trPr>
          <w:trHeight w:val="435"/>
        </w:trPr>
        <w:tc>
          <w:tcPr>
            <w:tcW w:w="2800" w:type="dxa"/>
            <w:vAlign w:val="bottom"/>
          </w:tcPr>
          <w:p>
            <w:pPr>
              <w:ind w:left="1680"/>
              <w:spacing w:after="0"/>
              <w:rPr>
                <w:sz w:val="20"/>
                <w:szCs w:val="20"/>
                <w:color w:val="auto"/>
              </w:rPr>
            </w:pPr>
            <w:r>
              <w:rPr>
                <w:rFonts w:ascii="Arial" w:cs="Arial" w:eastAsia="Arial" w:hAnsi="Arial"/>
                <w:sz w:val="22"/>
                <w:szCs w:val="22"/>
                <w:color w:val="auto"/>
              </w:rPr>
              <w:t>(c)</w:t>
            </w:r>
          </w:p>
        </w:tc>
        <w:tc>
          <w:tcPr>
            <w:tcW w:w="8420" w:type="dxa"/>
            <w:vAlign w:val="bottom"/>
            <w:gridSpan w:val="2"/>
          </w:tcPr>
          <w:p>
            <w:pPr>
              <w:spacing w:after="0"/>
              <w:rPr>
                <w:sz w:val="20"/>
                <w:szCs w:val="20"/>
                <w:color w:val="auto"/>
              </w:rPr>
            </w:pPr>
            <w:r>
              <w:rPr>
                <w:rFonts w:ascii="Arial" w:cs="Arial" w:eastAsia="Arial" w:hAnsi="Arial"/>
                <w:sz w:val="22"/>
                <w:szCs w:val="22"/>
                <w:color w:val="auto"/>
              </w:rPr>
              <w:t>Share Reserve Return</w:t>
            </w:r>
            <w:r>
              <w:rPr>
                <w:rFonts w:ascii="Arial" w:cs="Arial" w:eastAsia="Arial" w:hAnsi="Arial"/>
                <w:sz w:val="22"/>
                <w:szCs w:val="22"/>
                <w:color w:val="auto"/>
                <w:highlight w:val="white"/>
              </w:rPr>
              <w:t>.</w:t>
            </w:r>
          </w:p>
        </w:tc>
      </w:tr>
      <w:tr>
        <w:trPr>
          <w:trHeight w:val="20"/>
        </w:trPr>
        <w:tc>
          <w:tcPr>
            <w:tcW w:w="28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bl>
    <w:p>
      <w:pPr>
        <w:spacing w:after="0" w:line="249" w:lineRule="exact"/>
        <w:rPr>
          <w:sz w:val="20"/>
          <w:szCs w:val="20"/>
          <w:color w:val="auto"/>
        </w:rPr>
      </w:pPr>
    </w:p>
    <w:p>
      <w:pPr>
        <w:ind w:left="2100"/>
        <w:spacing w:after="0"/>
        <w:tabs>
          <w:tab w:leader="none" w:pos="4180" w:val="left"/>
        </w:tabs>
        <w:rPr>
          <w:sz w:val="20"/>
          <w:szCs w:val="20"/>
          <w:color w:val="auto"/>
        </w:rPr>
      </w:pPr>
      <w:r>
        <w:rPr>
          <w:rFonts w:ascii="Arial" w:cs="Arial" w:eastAsia="Arial" w:hAnsi="Arial"/>
          <w:sz w:val="21"/>
          <w:szCs w:val="21"/>
          <w:u w:val="single" w:color="auto"/>
          <w:color w:val="auto"/>
        </w:rPr>
        <w:t>(i)</w:t>
      </w:r>
      <w:r>
        <w:rPr>
          <w:sz w:val="20"/>
          <w:szCs w:val="20"/>
          <w:color w:val="auto"/>
        </w:rPr>
        <w:tab/>
      </w:r>
      <w:r>
        <w:rPr>
          <w:rFonts w:ascii="Arial" w:cs="Arial" w:eastAsia="Arial" w:hAnsi="Arial"/>
          <w:sz w:val="21"/>
          <w:szCs w:val="21"/>
          <w:u w:val="single" w:color="auto"/>
          <w:color w:val="auto"/>
        </w:rPr>
        <w:t>Options and Stock Appreciation Rights</w:t>
      </w:r>
      <w:r>
        <w:rPr>
          <w:rFonts w:ascii="Arial" w:cs="Arial" w:eastAsia="Arial" w:hAnsi="Arial"/>
          <w:sz w:val="21"/>
          <w:szCs w:val="21"/>
          <w:color w:val="auto"/>
        </w:rPr>
        <w:t>. If an Option or Stock Appreciation</w:t>
      </w:r>
    </w:p>
    <w:p>
      <w:pPr>
        <w:spacing w:after="0" w:line="33" w:lineRule="exact"/>
        <w:rPr>
          <w:sz w:val="20"/>
          <w:szCs w:val="20"/>
          <w:color w:val="auto"/>
        </w:rPr>
      </w:pPr>
    </w:p>
    <w:p>
      <w:pPr>
        <w:jc w:val="both"/>
        <w:spacing w:after="0" w:line="353" w:lineRule="auto"/>
        <w:rPr>
          <w:sz w:val="20"/>
          <w:szCs w:val="20"/>
          <w:color w:val="auto"/>
        </w:rPr>
      </w:pPr>
      <w:r>
        <w:rPr>
          <w:rFonts w:ascii="Arial" w:cs="Arial" w:eastAsia="Arial" w:hAnsi="Arial"/>
          <w:sz w:val="19"/>
          <w:szCs w:val="19"/>
          <w:color w:val="auto"/>
        </w:rPr>
        <w:t>Right expires or becomes unexercisable without having been exercised in full or is surrendered under an Exchange Program, the unissued Shares subject to the Option or Stock Appreciation Right will become available for future issuance under the Plan.</w:t>
      </w:r>
    </w:p>
    <w:p>
      <w:pPr>
        <w:spacing w:after="0" w:line="109" w:lineRule="exact"/>
        <w:rPr>
          <w:sz w:val="20"/>
          <w:szCs w:val="20"/>
          <w:color w:val="auto"/>
        </w:rPr>
      </w:pPr>
    </w:p>
    <w:p>
      <w:pPr>
        <w:jc w:val="both"/>
        <w:ind w:firstLine="2035"/>
        <w:spacing w:after="0" w:line="266" w:lineRule="auto"/>
        <w:rPr>
          <w:sz w:val="20"/>
          <w:szCs w:val="20"/>
          <w:color w:val="auto"/>
        </w:rPr>
      </w:pPr>
      <w:r>
        <w:rPr>
          <w:rFonts w:ascii="Arial" w:cs="Arial" w:eastAsia="Arial" w:hAnsi="Arial"/>
          <w:sz w:val="22"/>
          <w:szCs w:val="22"/>
          <w:u w:val="single" w:color="auto"/>
          <w:color w:val="auto"/>
        </w:rPr>
        <w:t>(ii) Stock Appreciation Rights</w:t>
      </w:r>
      <w:r>
        <w:rPr>
          <w:rFonts w:ascii="Arial" w:cs="Arial" w:eastAsia="Arial" w:hAnsi="Arial"/>
          <w:sz w:val="22"/>
          <w:szCs w:val="22"/>
          <w:color w:val="auto"/>
        </w:rPr>
        <w:t>. Only Shares actually issued pursuant to a Stock Appreciation Right (i.e., the net Shares issued) will cease to be available under the Plan; all remaining Shares originally subject to the Stock Appreciation Right will remain available for future issuance under the Plan.</w:t>
      </w:r>
    </w:p>
    <w:p>
      <w:pPr>
        <w:spacing w:after="0" w:line="185" w:lineRule="exact"/>
        <w:rPr>
          <w:sz w:val="20"/>
          <w:szCs w:val="20"/>
          <w:color w:val="auto"/>
        </w:rPr>
      </w:pPr>
    </w:p>
    <w:p>
      <w:pPr>
        <w:jc w:val="both"/>
        <w:ind w:firstLine="1987"/>
        <w:spacing w:after="0" w:line="258" w:lineRule="auto"/>
        <w:rPr>
          <w:sz w:val="20"/>
          <w:szCs w:val="20"/>
          <w:color w:val="auto"/>
        </w:rPr>
      </w:pPr>
      <w:r>
        <w:rPr>
          <w:rFonts w:ascii="Arial" w:cs="Arial" w:eastAsia="Arial" w:hAnsi="Arial"/>
          <w:sz w:val="22"/>
          <w:szCs w:val="22"/>
          <w:u w:val="single" w:color="auto"/>
          <w:color w:val="auto"/>
        </w:rPr>
        <w:t>(iii) Full-Value Awards</w:t>
      </w:r>
      <w:r>
        <w:rPr>
          <w:rFonts w:ascii="Arial" w:cs="Arial" w:eastAsia="Arial" w:hAnsi="Arial"/>
          <w:sz w:val="22"/>
          <w:szCs w:val="22"/>
          <w:color w:val="auto"/>
        </w:rPr>
        <w:t>. Shares issued pursuant to Awards of Restricted Stock, Restricted Stock Units, or stock-settled Performance Awards that are reacquired by the Company due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22"/>
          <w:szCs w:val="22"/>
          <w:color w:val="auto"/>
        </w:rPr>
        <w:t>to failure to vest or are forfeited to the Company will become available for future issuance under the Plan.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60" w:type="dxa"/>
            <w:vAlign w:val="bottom"/>
          </w:tcPr>
          <w:p>
            <w:pPr>
              <w:spacing w:after="0"/>
              <w:rPr>
                <w:sz w:val="21"/>
                <w:szCs w:val="21"/>
                <w:color w:val="auto"/>
              </w:rPr>
            </w:pPr>
          </w:p>
        </w:tc>
        <w:tc>
          <w:tcPr>
            <w:tcW w:w="240" w:type="dxa"/>
            <w:vAlign w:val="bottom"/>
          </w:tcPr>
          <w:p>
            <w:pPr>
              <w:jc w:val="center"/>
              <w:spacing w:after="0"/>
              <w:rPr>
                <w:sz w:val="20"/>
                <w:szCs w:val="20"/>
                <w:color w:val="auto"/>
              </w:rPr>
            </w:pPr>
            <w:r>
              <w:rPr>
                <w:rFonts w:ascii="Arial" w:cs="Arial" w:eastAsia="Arial" w:hAnsi="Arial"/>
                <w:sz w:val="22"/>
                <w:szCs w:val="22"/>
                <w:color w:val="auto"/>
                <w:w w:val="84"/>
              </w:rPr>
              <w:t>(iv)</w:t>
            </w:r>
          </w:p>
        </w:tc>
        <w:tc>
          <w:tcPr>
            <w:tcW w:w="8920" w:type="dxa"/>
            <w:vAlign w:val="bottom"/>
            <w:gridSpan w:val="4"/>
          </w:tcPr>
          <w:p>
            <w:pPr>
              <w:ind w:left="1900"/>
              <w:spacing w:after="0"/>
              <w:rPr>
                <w:sz w:val="20"/>
                <w:szCs w:val="20"/>
                <w:color w:val="auto"/>
              </w:rPr>
            </w:pPr>
            <w:r>
              <w:rPr>
                <w:rFonts w:ascii="Arial" w:cs="Arial" w:eastAsia="Arial" w:hAnsi="Arial"/>
                <w:sz w:val="22"/>
                <w:szCs w:val="22"/>
                <w:color w:val="auto"/>
                <w:w w:val="88"/>
              </w:rPr>
              <w:t>Withheld Shares. Shares used to pay the Exercise Price of an Award or to satisfy</w:t>
            </w:r>
          </w:p>
        </w:tc>
      </w:tr>
      <w:tr>
        <w:trPr>
          <w:trHeight w:val="20"/>
        </w:trPr>
        <w:tc>
          <w:tcPr>
            <w:tcW w:w="20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00" w:type="dxa"/>
            <w:vAlign w:val="bottom"/>
            <w:tcBorders>
              <w:left w:val="single" w:sz="8" w:color="auto"/>
            </w:tcBorders>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301"/>
        </w:trPr>
        <w:tc>
          <w:tcPr>
            <w:tcW w:w="11220" w:type="dxa"/>
            <w:vAlign w:val="bottom"/>
            <w:gridSpan w:val="6"/>
          </w:tcPr>
          <w:p>
            <w:pPr>
              <w:spacing w:after="0"/>
              <w:rPr>
                <w:sz w:val="20"/>
                <w:szCs w:val="20"/>
                <w:color w:val="auto"/>
              </w:rPr>
            </w:pPr>
            <w:r>
              <w:rPr>
                <w:rFonts w:ascii="Arial" w:cs="Arial" w:eastAsia="Arial" w:hAnsi="Arial"/>
                <w:sz w:val="22"/>
                <w:szCs w:val="22"/>
                <w:color w:val="auto"/>
              </w:rPr>
              <w:t>Tax Withholdings related to an Award will become available for future issuance under the Plan.</w:t>
            </w:r>
          </w:p>
        </w:tc>
      </w:tr>
      <w:tr>
        <w:trPr>
          <w:trHeight w:val="436"/>
        </w:trPr>
        <w:tc>
          <w:tcPr>
            <w:tcW w:w="206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22"/>
                <w:szCs w:val="22"/>
                <w:color w:val="auto"/>
                <w:w w:val="93"/>
              </w:rPr>
              <w:t>(v)</w:t>
            </w:r>
          </w:p>
        </w:tc>
        <w:tc>
          <w:tcPr>
            <w:tcW w:w="8920" w:type="dxa"/>
            <w:vAlign w:val="bottom"/>
            <w:gridSpan w:val="4"/>
          </w:tcPr>
          <w:p>
            <w:pPr>
              <w:ind w:left="1900"/>
              <w:spacing w:after="0"/>
              <w:rPr>
                <w:sz w:val="20"/>
                <w:szCs w:val="20"/>
                <w:color w:val="auto"/>
              </w:rPr>
            </w:pPr>
            <w:r>
              <w:rPr>
                <w:rFonts w:ascii="Arial" w:cs="Arial" w:eastAsia="Arial" w:hAnsi="Arial"/>
                <w:sz w:val="22"/>
                <w:szCs w:val="22"/>
                <w:color w:val="auto"/>
                <w:w w:val="95"/>
              </w:rPr>
              <w:t>Cash-Settled Awards. If any portion of an Award under the Plan is paid to a</w:t>
            </w:r>
          </w:p>
        </w:tc>
      </w:tr>
      <w:tr>
        <w:trPr>
          <w:trHeight w:val="20"/>
        </w:trPr>
        <w:tc>
          <w:tcPr>
            <w:tcW w:w="2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bl>
    <w:p>
      <w:pPr>
        <w:spacing w:after="0" w:line="33"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Participant in cash rather than Shares, that cash payment will not reduce the number of Shares available for issuance under the Plan.</w:t>
      </w:r>
    </w:p>
    <w:p>
      <w:pPr>
        <w:spacing w:after="0" w:line="174" w:lineRule="exact"/>
        <w:rPr>
          <w:sz w:val="20"/>
          <w:szCs w:val="20"/>
          <w:color w:val="auto"/>
        </w:rPr>
      </w:pPr>
    </w:p>
    <w:p>
      <w:pPr>
        <w:jc w:val="both"/>
        <w:ind w:firstLine="1678"/>
        <w:spacing w:after="0" w:line="327" w:lineRule="auto"/>
        <w:tabs>
          <w:tab w:leader="none" w:pos="2793"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Incentive Stock Options</w:t>
      </w:r>
      <w:r>
        <w:rPr>
          <w:rFonts w:ascii="Arial" w:cs="Arial" w:eastAsia="Arial" w:hAnsi="Arial"/>
          <w:sz w:val="19"/>
          <w:szCs w:val="19"/>
          <w:color w:val="auto"/>
        </w:rPr>
        <w:t>. The maximum number of Shares that may be issued upon the exercise of Incentive Stock Options will equal 300% of the aggregate Share number stated in Section 3(a) plus, to the extent allowable under Code Section 422, any Shares that become available for issuance under the Plan under Sections 3(b) and 3(c).</w:t>
      </w:r>
    </w:p>
    <w:p>
      <w:pPr>
        <w:spacing w:after="0" w:line="132" w:lineRule="exact"/>
        <w:rPr>
          <w:rFonts w:ascii="Arial" w:cs="Arial" w:eastAsia="Arial" w:hAnsi="Arial"/>
          <w:sz w:val="19"/>
          <w:szCs w:val="19"/>
          <w:color w:val="auto"/>
        </w:rPr>
      </w:pPr>
    </w:p>
    <w:p>
      <w:pPr>
        <w:ind w:firstLine="1678"/>
        <w:spacing w:after="0" w:line="276" w:lineRule="auto"/>
        <w:tabs>
          <w:tab w:leader="none" w:pos="2793"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Adjustment</w:t>
      </w:r>
      <w:r>
        <w:rPr>
          <w:rFonts w:ascii="Arial" w:cs="Arial" w:eastAsia="Arial" w:hAnsi="Arial"/>
          <w:sz w:val="22"/>
          <w:szCs w:val="22"/>
          <w:color w:val="auto"/>
        </w:rPr>
        <w:t>. The numbers provided in Sections 3(a), 3(b), and 3(d) will be adjusted as a result of changes in capitalization and any other adjustments under Section 13.</w:t>
      </w:r>
    </w:p>
    <w:p>
      <w:pPr>
        <w:spacing w:after="0" w:line="174" w:lineRule="exact"/>
        <w:rPr>
          <w:rFonts w:ascii="Arial" w:cs="Arial" w:eastAsia="Arial" w:hAnsi="Arial"/>
          <w:sz w:val="22"/>
          <w:szCs w:val="22"/>
          <w:color w:val="auto"/>
        </w:rPr>
      </w:pPr>
    </w:p>
    <w:p>
      <w:pPr>
        <w:jc w:val="both"/>
        <w:ind w:firstLine="1678"/>
        <w:spacing w:after="0" w:line="327" w:lineRule="auto"/>
        <w:tabs>
          <w:tab w:leader="none" w:pos="2793"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Substitute Awards</w:t>
      </w:r>
      <w:r>
        <w:rPr>
          <w:rFonts w:ascii="Arial" w:cs="Arial" w:eastAsia="Arial" w:hAnsi="Arial"/>
          <w:sz w:val="19"/>
          <w:szCs w:val="19"/>
          <w:color w:val="auto"/>
          <w:highlight w:val="white"/>
        </w:rPr>
        <w:t>. If the Committee grants Awards in substitution for equity compensation</w:t>
      </w:r>
      <w:r>
        <w:rPr>
          <w:rFonts w:ascii="Arial" w:cs="Arial" w:eastAsia="Arial" w:hAnsi="Arial"/>
          <w:sz w:val="19"/>
          <w:szCs w:val="19"/>
          <w:color w:val="auto"/>
        </w:rPr>
        <w:t xml:space="preserve"> awards outstanding under a plan maintained by an entity acquired by or becomes a part of any member of the Company Group, the grant of those substitute Awards will not decrease the number of Shares available for issuance under the Plan.</w:t>
      </w:r>
    </w:p>
    <w:p>
      <w:pPr>
        <w:spacing w:after="0" w:line="132" w:lineRule="exact"/>
        <w:rPr>
          <w:rFonts w:ascii="Arial" w:cs="Arial" w:eastAsia="Arial" w:hAnsi="Arial"/>
          <w:sz w:val="19"/>
          <w:szCs w:val="19"/>
          <w:color w:val="auto"/>
        </w:rPr>
      </w:pPr>
    </w:p>
    <w:p>
      <w:pPr>
        <w:ind w:right="20" w:firstLine="1678"/>
        <w:spacing w:after="0" w:line="276" w:lineRule="auto"/>
        <w:tabs>
          <w:tab w:leader="none" w:pos="2793"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Share Reserve</w:t>
      </w:r>
      <w:r>
        <w:rPr>
          <w:rFonts w:ascii="Arial" w:cs="Arial" w:eastAsia="Arial" w:hAnsi="Arial"/>
          <w:sz w:val="22"/>
          <w:szCs w:val="22"/>
          <w:color w:val="auto"/>
        </w:rPr>
        <w:t>. The Company, during the term of this Plan, will at all times reserve and keep available such number of Shares as will be sufficient to satisfy the requirements of the Plan.</w:t>
      </w:r>
    </w:p>
    <w:p>
      <w:pPr>
        <w:spacing w:after="0" w:line="174" w:lineRule="exact"/>
        <w:rPr>
          <w:rFonts w:ascii="Arial" w:cs="Arial" w:eastAsia="Arial" w:hAnsi="Arial"/>
          <w:sz w:val="22"/>
          <w:szCs w:val="22"/>
          <w:color w:val="auto"/>
        </w:rPr>
      </w:pPr>
    </w:p>
    <w:p>
      <w:pPr>
        <w:ind w:left="1400" w:hanging="600"/>
        <w:spacing w:after="0"/>
        <w:tabs>
          <w:tab w:leader="none" w:pos="1400" w:val="left"/>
        </w:tabs>
        <w:numPr>
          <w:ilvl w:val="0"/>
          <w:numId w:val="1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Administration of the Plan</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ind w:left="2800" w:hanging="1122"/>
        <w:spacing w:after="0"/>
        <w:tabs>
          <w:tab w:leader="none" w:pos="2800"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Procedure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-326390</wp:posOffset>
            </wp:positionV>
            <wp:extent cx="342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13" w:lineRule="exact"/>
        <w:rPr>
          <w:sz w:val="20"/>
          <w:szCs w:val="20"/>
          <w:color w:val="auto"/>
        </w:rPr>
      </w:pPr>
    </w:p>
    <w:p>
      <w:pPr>
        <w:jc w:val="both"/>
        <w:ind w:firstLine="2083"/>
        <w:spacing w:after="0" w:line="262" w:lineRule="auto"/>
        <w:rPr>
          <w:sz w:val="20"/>
          <w:szCs w:val="20"/>
          <w:color w:val="auto"/>
        </w:rPr>
      </w:pPr>
      <w:r>
        <w:rPr>
          <w:rFonts w:ascii="Arial" w:cs="Arial" w:eastAsia="Arial" w:hAnsi="Arial"/>
          <w:sz w:val="22"/>
          <w:szCs w:val="22"/>
          <w:color w:val="auto"/>
        </w:rPr>
        <w:t>(i) The Plan will be administered by the Board or a Committee (the “</w:t>
      </w:r>
      <w:r>
        <w:rPr>
          <w:rFonts w:ascii="Arial" w:cs="Arial" w:eastAsia="Arial" w:hAnsi="Arial"/>
          <w:sz w:val="22"/>
          <w:szCs w:val="22"/>
          <w:u w:val="single" w:color="auto"/>
          <w:color w:val="auto"/>
        </w:rPr>
        <w:t>Administrator</w:t>
      </w:r>
      <w:r>
        <w:rPr>
          <w:rFonts w:ascii="Arial" w:cs="Arial" w:eastAsia="Arial" w:hAnsi="Arial"/>
          <w:sz w:val="22"/>
          <w:szCs w:val="22"/>
          <w:color w:val="auto"/>
        </w:rPr>
        <w:t>”). Different Administrators may administer the Plan with respect to different groups of Service Providers. The Board may retain the authority to concurrently administer the Plan with a Committee and may revoke the delegation of some or all authority previously delegated.</w:t>
      </w:r>
    </w:p>
    <w:p>
      <w:pPr>
        <w:spacing w:after="0" w:line="191" w:lineRule="exact"/>
        <w:rPr>
          <w:sz w:val="20"/>
          <w:szCs w:val="20"/>
          <w:color w:val="auto"/>
        </w:rPr>
      </w:pPr>
    </w:p>
    <w:p>
      <w:pPr>
        <w:jc w:val="both"/>
        <w:ind w:firstLine="2035"/>
        <w:spacing w:after="0" w:line="261" w:lineRule="auto"/>
        <w:rPr>
          <w:sz w:val="20"/>
          <w:szCs w:val="20"/>
          <w:color w:val="auto"/>
        </w:rPr>
      </w:pPr>
      <w:r>
        <w:rPr>
          <w:rFonts w:ascii="Arial" w:cs="Arial" w:eastAsia="Arial" w:hAnsi="Arial"/>
          <w:sz w:val="22"/>
          <w:szCs w:val="22"/>
          <w:color w:val="auto"/>
        </w:rPr>
        <w:t>(ii) To the extent permitted by Applicable Laws, the Board or a Committee may delegate to one or more subcommittees of the Board or a Committee or officers the authority to grant Awards to Employees of the Company or any of its Subsidiaries, provided that the delegation must comply with any limitations on the authority required by Applicable Laws, including the total number of Shares that may be subject to the Awards granted by such officer(s). This delegation may be revoked at any time by the Board or Committee.</w:t>
      </w:r>
    </w:p>
    <w:p>
      <w:pPr>
        <w:spacing w:after="0" w:line="190" w:lineRule="exact"/>
        <w:rPr>
          <w:sz w:val="20"/>
          <w:szCs w:val="20"/>
          <w:color w:val="auto"/>
        </w:rPr>
      </w:pPr>
    </w:p>
    <w:p>
      <w:pPr>
        <w:jc w:val="both"/>
        <w:ind w:firstLine="1678"/>
        <w:spacing w:after="0" w:line="298" w:lineRule="auto"/>
        <w:tabs>
          <w:tab w:leader="none" w:pos="2793"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Powers of the Administrator</w:t>
      </w:r>
      <w:r>
        <w:rPr>
          <w:rFonts w:ascii="Arial" w:cs="Arial" w:eastAsia="Arial" w:hAnsi="Arial"/>
          <w:sz w:val="19"/>
          <w:szCs w:val="19"/>
          <w:color w:val="auto"/>
        </w:rPr>
        <w:t>. Subject to the terms of the Plan, any limitations on delegations specified by the Board, and any requirements imposed by Applicable Laws, the Administrator will have the authority, in its sole discretion, to make any determinations and perform any actions deemed necessary or advisable to administer the Plan including: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74"/>
        </w:trPr>
        <w:tc>
          <w:tcPr>
            <w:tcW w:w="3580" w:type="dxa"/>
            <w:vAlign w:val="bottom"/>
          </w:tcPr>
          <w:p>
            <w:pPr>
              <w:ind w:left="2100"/>
              <w:spacing w:after="0"/>
              <w:rPr>
                <w:sz w:val="20"/>
                <w:szCs w:val="20"/>
                <w:color w:val="auto"/>
              </w:rPr>
            </w:pPr>
            <w:r>
              <w:rPr>
                <w:rFonts w:ascii="Arial" w:cs="Arial" w:eastAsia="Arial" w:hAnsi="Arial"/>
                <w:sz w:val="22"/>
                <w:szCs w:val="22"/>
                <w:color w:val="auto"/>
              </w:rPr>
              <w:t>(i)</w:t>
            </w:r>
          </w:p>
        </w:tc>
        <w:tc>
          <w:tcPr>
            <w:tcW w:w="7660" w:type="dxa"/>
            <w:vAlign w:val="bottom"/>
          </w:tcPr>
          <w:p>
            <w:pPr>
              <w:ind w:left="620"/>
              <w:spacing w:after="0"/>
              <w:rPr>
                <w:sz w:val="20"/>
                <w:szCs w:val="20"/>
                <w:color w:val="auto"/>
              </w:rPr>
            </w:pPr>
            <w:r>
              <w:rPr>
                <w:rFonts w:ascii="Arial" w:cs="Arial" w:eastAsia="Arial" w:hAnsi="Arial"/>
                <w:sz w:val="22"/>
                <w:szCs w:val="22"/>
                <w:color w:val="auto"/>
              </w:rPr>
              <w:t>to determine the Fair Market Value;</w:t>
            </w:r>
          </w:p>
        </w:tc>
      </w:tr>
      <w:tr>
        <w:trPr>
          <w:trHeight w:val="486"/>
        </w:trPr>
        <w:tc>
          <w:tcPr>
            <w:tcW w:w="3580" w:type="dxa"/>
            <w:vAlign w:val="bottom"/>
          </w:tcPr>
          <w:p>
            <w:pPr>
              <w:jc w:val="center"/>
              <w:ind w:left="652"/>
              <w:spacing w:after="0"/>
              <w:rPr>
                <w:sz w:val="20"/>
                <w:szCs w:val="20"/>
                <w:color w:val="auto"/>
              </w:rPr>
            </w:pPr>
            <w:r>
              <w:rPr>
                <w:rFonts w:ascii="Arial" w:cs="Arial" w:eastAsia="Arial" w:hAnsi="Arial"/>
                <w:sz w:val="22"/>
                <w:szCs w:val="22"/>
                <w:color w:val="auto"/>
              </w:rPr>
              <w:t>(ii)</w:t>
            </w:r>
          </w:p>
        </w:tc>
        <w:tc>
          <w:tcPr>
            <w:tcW w:w="7660" w:type="dxa"/>
            <w:vAlign w:val="bottom"/>
          </w:tcPr>
          <w:p>
            <w:pPr>
              <w:ind w:left="620"/>
              <w:spacing w:after="0"/>
              <w:rPr>
                <w:sz w:val="20"/>
                <w:szCs w:val="20"/>
                <w:color w:val="auto"/>
              </w:rPr>
            </w:pPr>
            <w:r>
              <w:rPr>
                <w:rFonts w:ascii="Arial" w:cs="Arial" w:eastAsia="Arial" w:hAnsi="Arial"/>
                <w:sz w:val="22"/>
                <w:szCs w:val="22"/>
                <w:color w:val="auto"/>
              </w:rPr>
              <w:t>to approve forms of Award Agreements for use under the Plan;</w:t>
            </w:r>
          </w:p>
        </w:tc>
      </w:tr>
      <w:tr>
        <w:trPr>
          <w:trHeight w:val="482"/>
        </w:trPr>
        <w:tc>
          <w:tcPr>
            <w:tcW w:w="3580" w:type="dxa"/>
            <w:vAlign w:val="bottom"/>
          </w:tcPr>
          <w:p>
            <w:pPr>
              <w:jc w:val="center"/>
              <w:ind w:left="632"/>
              <w:spacing w:after="0"/>
              <w:rPr>
                <w:sz w:val="20"/>
                <w:szCs w:val="20"/>
                <w:color w:val="auto"/>
              </w:rPr>
            </w:pPr>
            <w:r>
              <w:rPr>
                <w:rFonts w:ascii="Arial" w:cs="Arial" w:eastAsia="Arial" w:hAnsi="Arial"/>
                <w:sz w:val="22"/>
                <w:szCs w:val="22"/>
                <w:color w:val="auto"/>
              </w:rPr>
              <w:t>(iii)</w:t>
            </w:r>
          </w:p>
        </w:tc>
        <w:tc>
          <w:tcPr>
            <w:tcW w:w="7660" w:type="dxa"/>
            <w:vAlign w:val="bottom"/>
          </w:tcPr>
          <w:p>
            <w:pPr>
              <w:ind w:left="620"/>
              <w:spacing w:after="0"/>
              <w:rPr>
                <w:sz w:val="20"/>
                <w:szCs w:val="20"/>
                <w:color w:val="auto"/>
              </w:rPr>
            </w:pPr>
            <w:r>
              <w:rPr>
                <w:rFonts w:ascii="Arial" w:cs="Arial" w:eastAsia="Arial" w:hAnsi="Arial"/>
                <w:sz w:val="22"/>
                <w:szCs w:val="22"/>
                <w:color w:val="auto"/>
                <w:w w:val="96"/>
              </w:rPr>
              <w:t>to select the Service Providers to whom Awards may be granted and grant</w:t>
            </w:r>
          </w:p>
        </w:tc>
      </w:tr>
      <w:tr>
        <w:trPr>
          <w:trHeight w:val="274"/>
        </w:trPr>
        <w:tc>
          <w:tcPr>
            <w:tcW w:w="3580" w:type="dxa"/>
            <w:vAlign w:val="bottom"/>
          </w:tcPr>
          <w:p>
            <w:pPr>
              <w:spacing w:after="0"/>
              <w:rPr>
                <w:sz w:val="20"/>
                <w:szCs w:val="20"/>
                <w:color w:val="auto"/>
              </w:rPr>
            </w:pPr>
            <w:r>
              <w:rPr>
                <w:rFonts w:ascii="Arial" w:cs="Arial" w:eastAsia="Arial" w:hAnsi="Arial"/>
                <w:sz w:val="22"/>
                <w:szCs w:val="22"/>
                <w:color w:val="auto"/>
              </w:rPr>
              <w:t>Awards to such Service Providers;</w:t>
            </w:r>
          </w:p>
        </w:tc>
        <w:tc>
          <w:tcPr>
            <w:tcW w:w="7660" w:type="dxa"/>
            <w:vAlign w:val="bottom"/>
          </w:tcPr>
          <w:p>
            <w:pPr>
              <w:spacing w:after="0"/>
              <w:rPr>
                <w:sz w:val="23"/>
                <w:szCs w:val="23"/>
                <w:color w:val="auto"/>
              </w:rPr>
            </w:pPr>
          </w:p>
        </w:tc>
      </w:tr>
      <w:tr>
        <w:trPr>
          <w:trHeight w:val="486"/>
        </w:trPr>
        <w:tc>
          <w:tcPr>
            <w:tcW w:w="3580" w:type="dxa"/>
            <w:vAlign w:val="bottom"/>
          </w:tcPr>
          <w:p>
            <w:pPr>
              <w:jc w:val="center"/>
              <w:ind w:left="632"/>
              <w:spacing w:after="0"/>
              <w:rPr>
                <w:sz w:val="20"/>
                <w:szCs w:val="20"/>
                <w:color w:val="auto"/>
              </w:rPr>
            </w:pPr>
            <w:r>
              <w:rPr>
                <w:rFonts w:ascii="Arial" w:cs="Arial" w:eastAsia="Arial" w:hAnsi="Arial"/>
                <w:sz w:val="22"/>
                <w:szCs w:val="22"/>
                <w:color w:val="auto"/>
              </w:rPr>
              <w:t>(iv)</w:t>
            </w:r>
          </w:p>
        </w:tc>
        <w:tc>
          <w:tcPr>
            <w:tcW w:w="7660" w:type="dxa"/>
            <w:vAlign w:val="bottom"/>
          </w:tcPr>
          <w:p>
            <w:pPr>
              <w:ind w:left="620"/>
              <w:spacing w:after="0"/>
              <w:rPr>
                <w:sz w:val="20"/>
                <w:szCs w:val="20"/>
                <w:color w:val="auto"/>
              </w:rPr>
            </w:pPr>
            <w:r>
              <w:rPr>
                <w:rFonts w:ascii="Arial" w:cs="Arial" w:eastAsia="Arial" w:hAnsi="Arial"/>
                <w:sz w:val="22"/>
                <w:szCs w:val="22"/>
                <w:color w:val="auto"/>
                <w:w w:val="97"/>
              </w:rPr>
              <w:t>to determine the number of Shares to be covered by each Award granted;</w:t>
            </w:r>
          </w:p>
        </w:tc>
      </w:tr>
      <w:tr>
        <w:trPr>
          <w:trHeight w:val="486"/>
        </w:trPr>
        <w:tc>
          <w:tcPr>
            <w:tcW w:w="3580" w:type="dxa"/>
            <w:vAlign w:val="bottom"/>
          </w:tcPr>
          <w:p>
            <w:pPr>
              <w:jc w:val="center"/>
              <w:ind w:left="672"/>
              <w:spacing w:after="0"/>
              <w:rPr>
                <w:sz w:val="20"/>
                <w:szCs w:val="20"/>
                <w:color w:val="auto"/>
              </w:rPr>
            </w:pPr>
            <w:r>
              <w:rPr>
                <w:rFonts w:ascii="Arial" w:cs="Arial" w:eastAsia="Arial" w:hAnsi="Arial"/>
                <w:sz w:val="22"/>
                <w:szCs w:val="22"/>
                <w:color w:val="auto"/>
                <w:w w:val="93"/>
              </w:rPr>
              <w:t>(v)</w:t>
            </w:r>
          </w:p>
        </w:tc>
        <w:tc>
          <w:tcPr>
            <w:tcW w:w="7660" w:type="dxa"/>
            <w:vAlign w:val="bottom"/>
          </w:tcPr>
          <w:p>
            <w:pPr>
              <w:ind w:left="620"/>
              <w:spacing w:after="0"/>
              <w:rPr>
                <w:sz w:val="20"/>
                <w:szCs w:val="20"/>
                <w:color w:val="auto"/>
              </w:rPr>
            </w:pPr>
            <w:r>
              <w:rPr>
                <w:rFonts w:ascii="Arial" w:cs="Arial" w:eastAsia="Arial" w:hAnsi="Arial"/>
                <w:sz w:val="22"/>
                <w:szCs w:val="22"/>
                <w:color w:val="auto"/>
                <w:w w:val="93"/>
              </w:rPr>
              <w:t>to determine the terms and conditions, consistent with the Plan, of any Award</w:t>
            </w:r>
          </w:p>
        </w:tc>
      </w:tr>
    </w:tbl>
    <w:p>
      <w:pPr>
        <w:jc w:val="both"/>
        <w:spacing w:after="0" w:line="264" w:lineRule="auto"/>
        <w:rPr>
          <w:sz w:val="20"/>
          <w:szCs w:val="20"/>
          <w:color w:val="auto"/>
        </w:rPr>
      </w:pPr>
      <w:r>
        <w:rPr>
          <w:rFonts w:ascii="Arial" w:cs="Arial" w:eastAsia="Arial" w:hAnsi="Arial"/>
          <w:sz w:val="22"/>
          <w:szCs w:val="22"/>
          <w:color w:val="auto"/>
        </w:rPr>
        <w:t>granted. Such terms and conditions may include, but are not limited to, the Exercise Price, the time(s) when Awards may be exercised (which may be based on performance criteria), any vesting acceleration or waiver of forfeiture restrictions, and any restriction or limitation regarding any Award or the Shares relating to an Award;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260" w:type="dxa"/>
            <w:vAlign w:val="bottom"/>
          </w:tcPr>
          <w:p>
            <w:pPr>
              <w:jc w:val="center"/>
              <w:ind w:left="952"/>
              <w:spacing w:after="0"/>
              <w:rPr>
                <w:sz w:val="20"/>
                <w:szCs w:val="20"/>
                <w:color w:val="auto"/>
              </w:rPr>
            </w:pPr>
            <w:r>
              <w:rPr>
                <w:rFonts w:ascii="Arial" w:cs="Arial" w:eastAsia="Arial" w:hAnsi="Arial"/>
                <w:sz w:val="22"/>
                <w:szCs w:val="22"/>
                <w:color w:val="auto"/>
              </w:rPr>
              <w:t>(vi)</w:t>
            </w:r>
          </w:p>
        </w:tc>
        <w:tc>
          <w:tcPr>
            <w:tcW w:w="7980" w:type="dxa"/>
            <w:vAlign w:val="bottom"/>
          </w:tcPr>
          <w:p>
            <w:pPr>
              <w:ind w:left="940"/>
              <w:spacing w:after="0"/>
              <w:rPr>
                <w:sz w:val="20"/>
                <w:szCs w:val="20"/>
                <w:color w:val="auto"/>
              </w:rPr>
            </w:pPr>
            <w:r>
              <w:rPr>
                <w:rFonts w:ascii="Arial" w:cs="Arial" w:eastAsia="Arial" w:hAnsi="Arial"/>
                <w:sz w:val="22"/>
                <w:szCs w:val="22"/>
                <w:color w:val="auto"/>
                <w:w w:val="93"/>
              </w:rPr>
              <w:t>to institute and determine the terms and conditions of an Exchange Program;</w:t>
            </w:r>
          </w:p>
        </w:tc>
      </w:tr>
      <w:tr>
        <w:trPr>
          <w:trHeight w:val="482"/>
        </w:trPr>
        <w:tc>
          <w:tcPr>
            <w:tcW w:w="3260" w:type="dxa"/>
            <w:vAlign w:val="bottom"/>
          </w:tcPr>
          <w:p>
            <w:pPr>
              <w:jc w:val="center"/>
              <w:ind w:left="912"/>
              <w:spacing w:after="0"/>
              <w:rPr>
                <w:sz w:val="20"/>
                <w:szCs w:val="20"/>
                <w:color w:val="auto"/>
              </w:rPr>
            </w:pPr>
            <w:r>
              <w:rPr>
                <w:rFonts w:ascii="Arial" w:cs="Arial" w:eastAsia="Arial" w:hAnsi="Arial"/>
                <w:sz w:val="22"/>
                <w:szCs w:val="22"/>
                <w:color w:val="auto"/>
              </w:rPr>
              <w:t>(vii)</w:t>
            </w:r>
          </w:p>
        </w:tc>
        <w:tc>
          <w:tcPr>
            <w:tcW w:w="7980" w:type="dxa"/>
            <w:vAlign w:val="bottom"/>
          </w:tcPr>
          <w:p>
            <w:pPr>
              <w:ind w:left="940"/>
              <w:spacing w:after="0"/>
              <w:rPr>
                <w:sz w:val="20"/>
                <w:szCs w:val="20"/>
                <w:color w:val="auto"/>
              </w:rPr>
            </w:pPr>
            <w:r>
              <w:rPr>
                <w:rFonts w:ascii="Arial" w:cs="Arial" w:eastAsia="Arial" w:hAnsi="Arial"/>
                <w:sz w:val="22"/>
                <w:szCs w:val="22"/>
                <w:color w:val="auto"/>
                <w:w w:val="87"/>
              </w:rPr>
              <w:t>to construe interpret the Plan and make any decisions necessary to administer the</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Plan, including but not limited to determining whether and when a Change in Control has occurred;</w:t>
            </w:r>
          </w:p>
        </w:tc>
      </w:tr>
      <w:tr>
        <w:trPr>
          <w:trHeight w:val="486"/>
        </w:trPr>
        <w:tc>
          <w:tcPr>
            <w:tcW w:w="3260" w:type="dxa"/>
            <w:vAlign w:val="bottom"/>
          </w:tcPr>
          <w:p>
            <w:pPr>
              <w:ind w:left="1900"/>
              <w:spacing w:after="0"/>
              <w:rPr>
                <w:sz w:val="20"/>
                <w:szCs w:val="20"/>
                <w:color w:val="auto"/>
              </w:rPr>
            </w:pPr>
            <w:r>
              <w:rPr>
                <w:rFonts w:ascii="Arial" w:cs="Arial" w:eastAsia="Arial" w:hAnsi="Arial"/>
                <w:sz w:val="22"/>
                <w:szCs w:val="22"/>
                <w:color w:val="auto"/>
              </w:rPr>
              <w:t>(viii)</w:t>
            </w:r>
          </w:p>
        </w:tc>
        <w:tc>
          <w:tcPr>
            <w:tcW w:w="7980" w:type="dxa"/>
            <w:vAlign w:val="bottom"/>
          </w:tcPr>
          <w:p>
            <w:pPr>
              <w:ind w:left="940"/>
              <w:spacing w:after="0"/>
              <w:rPr>
                <w:sz w:val="20"/>
                <w:szCs w:val="20"/>
                <w:color w:val="auto"/>
              </w:rPr>
            </w:pPr>
            <w:r>
              <w:rPr>
                <w:rFonts w:ascii="Arial" w:cs="Arial" w:eastAsia="Arial" w:hAnsi="Arial"/>
                <w:sz w:val="22"/>
                <w:szCs w:val="22"/>
                <w:color w:val="auto"/>
                <w:w w:val="96"/>
              </w:rPr>
              <w:t>to establish, amend and rescind rules and regulations and adopt sub-plans</w:t>
            </w:r>
          </w:p>
        </w:tc>
      </w:tr>
    </w:tbl>
    <w:p>
      <w:pPr>
        <w:jc w:val="both"/>
        <w:spacing w:after="0" w:line="282" w:lineRule="auto"/>
        <w:rPr>
          <w:sz w:val="20"/>
          <w:szCs w:val="20"/>
          <w:color w:val="auto"/>
        </w:rPr>
      </w:pPr>
      <w:r>
        <w:rPr>
          <w:rFonts w:ascii="Arial" w:cs="Arial" w:eastAsia="Arial" w:hAnsi="Arial"/>
          <w:sz w:val="21"/>
          <w:szCs w:val="21"/>
          <w:color w:val="auto"/>
        </w:rPr>
        <w:t>relating to the Plan, including rules, regulations and sub-plans for the purposes of facilitating compliance with applicable non-U.S. laws, easing the administration of the Plan and/or obtaining tax-favorable treatment for Awards granted to Service Providers located outside the U.S., in each case as the Administrator may deem necessary or advisable;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60" w:type="dxa"/>
            <w:vAlign w:val="bottom"/>
          </w:tcPr>
          <w:p>
            <w:pPr>
              <w:jc w:val="center"/>
              <w:ind w:left="952"/>
              <w:spacing w:after="0"/>
              <w:rPr>
                <w:sz w:val="20"/>
                <w:szCs w:val="20"/>
                <w:color w:val="auto"/>
              </w:rPr>
            </w:pPr>
            <w:r>
              <w:rPr>
                <w:rFonts w:ascii="Arial" w:cs="Arial" w:eastAsia="Arial" w:hAnsi="Arial"/>
                <w:sz w:val="22"/>
                <w:szCs w:val="22"/>
                <w:color w:val="auto"/>
              </w:rPr>
              <w:t>(ix)</w:t>
            </w:r>
          </w:p>
        </w:tc>
        <w:tc>
          <w:tcPr>
            <w:tcW w:w="7980" w:type="dxa"/>
            <w:vAlign w:val="bottom"/>
          </w:tcPr>
          <w:p>
            <w:pPr>
              <w:ind w:left="940"/>
              <w:spacing w:after="0"/>
              <w:rPr>
                <w:sz w:val="20"/>
                <w:szCs w:val="20"/>
                <w:color w:val="auto"/>
              </w:rPr>
            </w:pPr>
            <w:r>
              <w:rPr>
                <w:rFonts w:ascii="Arial" w:cs="Arial" w:eastAsia="Arial" w:hAnsi="Arial"/>
                <w:sz w:val="22"/>
                <w:szCs w:val="22"/>
                <w:color w:val="auto"/>
                <w:w w:val="96"/>
              </w:rPr>
              <w:t>to interpret, modify or amend each Award (subject to Section 19), including</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extending the Expiration Date and the post-termination exercisability period of such modified or amended Awards;</w:t>
            </w:r>
          </w:p>
        </w:tc>
      </w:tr>
      <w:tr>
        <w:trPr>
          <w:trHeight w:val="482"/>
        </w:trPr>
        <w:tc>
          <w:tcPr>
            <w:tcW w:w="3260" w:type="dxa"/>
            <w:vAlign w:val="bottom"/>
          </w:tcPr>
          <w:p>
            <w:pPr>
              <w:jc w:val="center"/>
              <w:ind w:left="992"/>
              <w:spacing w:after="0"/>
              <w:rPr>
                <w:sz w:val="20"/>
                <w:szCs w:val="20"/>
                <w:color w:val="auto"/>
              </w:rPr>
            </w:pPr>
            <w:r>
              <w:rPr>
                <w:rFonts w:ascii="Arial" w:cs="Arial" w:eastAsia="Arial" w:hAnsi="Arial"/>
                <w:sz w:val="22"/>
                <w:szCs w:val="22"/>
                <w:color w:val="auto"/>
                <w:w w:val="93"/>
              </w:rPr>
              <w:t>(x)</w:t>
            </w:r>
          </w:p>
        </w:tc>
        <w:tc>
          <w:tcPr>
            <w:tcW w:w="7980" w:type="dxa"/>
            <w:vAlign w:val="bottom"/>
          </w:tcPr>
          <w:p>
            <w:pPr>
              <w:ind w:left="940"/>
              <w:spacing w:after="0"/>
              <w:rPr>
                <w:sz w:val="20"/>
                <w:szCs w:val="20"/>
                <w:color w:val="auto"/>
              </w:rPr>
            </w:pPr>
            <w:r>
              <w:rPr>
                <w:rFonts w:ascii="Arial" w:cs="Arial" w:eastAsia="Arial" w:hAnsi="Arial"/>
                <w:sz w:val="22"/>
                <w:szCs w:val="22"/>
                <w:color w:val="auto"/>
              </w:rPr>
              <w:t>to allow Participants to satisfy tax withholding obligations in any manner</w:t>
            </w:r>
          </w:p>
        </w:tc>
      </w:tr>
      <w:tr>
        <w:trPr>
          <w:trHeight w:val="274"/>
        </w:trPr>
        <w:tc>
          <w:tcPr>
            <w:tcW w:w="3260" w:type="dxa"/>
            <w:vAlign w:val="bottom"/>
          </w:tcPr>
          <w:p>
            <w:pPr>
              <w:spacing w:after="0"/>
              <w:rPr>
                <w:sz w:val="20"/>
                <w:szCs w:val="20"/>
                <w:color w:val="auto"/>
              </w:rPr>
            </w:pPr>
            <w:r>
              <w:rPr>
                <w:rFonts w:ascii="Arial" w:cs="Arial" w:eastAsia="Arial" w:hAnsi="Arial"/>
                <w:sz w:val="22"/>
                <w:szCs w:val="22"/>
                <w:color w:val="auto"/>
              </w:rPr>
              <w:t>permitted by Section 16;</w:t>
            </w:r>
          </w:p>
        </w:tc>
        <w:tc>
          <w:tcPr>
            <w:tcW w:w="7980" w:type="dxa"/>
            <w:vAlign w:val="bottom"/>
          </w:tcPr>
          <w:p>
            <w:pPr>
              <w:spacing w:after="0"/>
              <w:rPr>
                <w:sz w:val="23"/>
                <w:szCs w:val="23"/>
                <w:color w:val="auto"/>
              </w:rPr>
            </w:pPr>
          </w:p>
        </w:tc>
      </w:tr>
      <w:tr>
        <w:trPr>
          <w:trHeight w:val="486"/>
        </w:trPr>
        <w:tc>
          <w:tcPr>
            <w:tcW w:w="3260" w:type="dxa"/>
            <w:vAlign w:val="bottom"/>
          </w:tcPr>
          <w:p>
            <w:pPr>
              <w:jc w:val="center"/>
              <w:ind w:left="952"/>
              <w:spacing w:after="0"/>
              <w:rPr>
                <w:sz w:val="20"/>
                <w:szCs w:val="20"/>
                <w:color w:val="auto"/>
              </w:rPr>
            </w:pPr>
            <w:r>
              <w:rPr>
                <w:rFonts w:ascii="Arial" w:cs="Arial" w:eastAsia="Arial" w:hAnsi="Arial"/>
                <w:sz w:val="22"/>
                <w:szCs w:val="22"/>
                <w:color w:val="auto"/>
              </w:rPr>
              <w:t>(xi)</w:t>
            </w:r>
          </w:p>
        </w:tc>
        <w:tc>
          <w:tcPr>
            <w:tcW w:w="7980" w:type="dxa"/>
            <w:vAlign w:val="bottom"/>
          </w:tcPr>
          <w:p>
            <w:pPr>
              <w:ind w:left="940"/>
              <w:spacing w:after="0"/>
              <w:rPr>
                <w:sz w:val="20"/>
                <w:szCs w:val="20"/>
                <w:color w:val="auto"/>
              </w:rPr>
            </w:pPr>
            <w:r>
              <w:rPr>
                <w:rFonts w:ascii="Arial" w:cs="Arial" w:eastAsia="Arial" w:hAnsi="Arial"/>
                <w:sz w:val="22"/>
                <w:szCs w:val="22"/>
                <w:color w:val="auto"/>
              </w:rPr>
              <w:t>to delegate ministerial duties to any of the Company’s employees;</w:t>
            </w:r>
          </w:p>
        </w:tc>
      </w:tr>
      <w:tr>
        <w:trPr>
          <w:trHeight w:val="482"/>
        </w:trPr>
        <w:tc>
          <w:tcPr>
            <w:tcW w:w="3260" w:type="dxa"/>
            <w:vAlign w:val="bottom"/>
          </w:tcPr>
          <w:p>
            <w:pPr>
              <w:jc w:val="center"/>
              <w:ind w:left="912"/>
              <w:spacing w:after="0"/>
              <w:rPr>
                <w:sz w:val="20"/>
                <w:szCs w:val="20"/>
                <w:color w:val="auto"/>
              </w:rPr>
            </w:pPr>
            <w:r>
              <w:rPr>
                <w:rFonts w:ascii="Arial" w:cs="Arial" w:eastAsia="Arial" w:hAnsi="Arial"/>
                <w:sz w:val="22"/>
                <w:szCs w:val="22"/>
                <w:color w:val="auto"/>
              </w:rPr>
              <w:t>(xii)</w:t>
            </w:r>
          </w:p>
        </w:tc>
        <w:tc>
          <w:tcPr>
            <w:tcW w:w="7980" w:type="dxa"/>
            <w:vAlign w:val="bottom"/>
          </w:tcPr>
          <w:p>
            <w:pPr>
              <w:ind w:left="940"/>
              <w:spacing w:after="0"/>
              <w:rPr>
                <w:sz w:val="20"/>
                <w:szCs w:val="20"/>
                <w:color w:val="auto"/>
              </w:rPr>
            </w:pPr>
            <w:r>
              <w:rPr>
                <w:rFonts w:ascii="Arial" w:cs="Arial" w:eastAsia="Arial" w:hAnsi="Arial"/>
                <w:sz w:val="22"/>
                <w:szCs w:val="22"/>
                <w:color w:val="auto"/>
                <w:w w:val="87"/>
              </w:rPr>
              <w:t>to authorize any person to take any steps and execute, on behalf of the Company,</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any documents required for an Award previously granted by the Administrator to be effective;</w:t>
            </w:r>
          </w:p>
        </w:tc>
      </w:tr>
      <w:tr>
        <w:trPr>
          <w:trHeight w:val="486"/>
        </w:trPr>
        <w:tc>
          <w:tcPr>
            <w:tcW w:w="3260" w:type="dxa"/>
            <w:vAlign w:val="bottom"/>
          </w:tcPr>
          <w:p>
            <w:pPr>
              <w:ind w:left="1900"/>
              <w:spacing w:after="0"/>
              <w:rPr>
                <w:sz w:val="20"/>
                <w:szCs w:val="20"/>
                <w:color w:val="auto"/>
              </w:rPr>
            </w:pPr>
            <w:r>
              <w:rPr>
                <w:rFonts w:ascii="Arial" w:cs="Arial" w:eastAsia="Arial" w:hAnsi="Arial"/>
                <w:sz w:val="22"/>
                <w:szCs w:val="22"/>
                <w:color w:val="auto"/>
              </w:rPr>
              <w:t>(xiii)</w:t>
            </w:r>
          </w:p>
        </w:tc>
        <w:tc>
          <w:tcPr>
            <w:tcW w:w="7980" w:type="dxa"/>
            <w:vAlign w:val="bottom"/>
          </w:tcPr>
          <w:p>
            <w:pPr>
              <w:ind w:left="940"/>
              <w:spacing w:after="0"/>
              <w:rPr>
                <w:sz w:val="20"/>
                <w:szCs w:val="20"/>
                <w:color w:val="auto"/>
              </w:rPr>
            </w:pPr>
            <w:r>
              <w:rPr>
                <w:rFonts w:ascii="Arial" w:cs="Arial" w:eastAsia="Arial" w:hAnsi="Arial"/>
                <w:sz w:val="22"/>
                <w:szCs w:val="22"/>
                <w:color w:val="auto"/>
                <w:w w:val="90"/>
              </w:rPr>
              <w:t>to temporarily suspend the exercisability of an Award if the Administrator deems</w:t>
            </w:r>
          </w:p>
        </w:tc>
      </w:tr>
    </w:tbl>
    <w:p>
      <w:pPr>
        <w:jc w:val="both"/>
        <w:spacing w:after="0" w:line="353" w:lineRule="auto"/>
        <w:rPr>
          <w:sz w:val="20"/>
          <w:szCs w:val="20"/>
          <w:color w:val="auto"/>
        </w:rPr>
      </w:pPr>
      <w:r>
        <w:rPr>
          <w:rFonts w:ascii="Arial" w:cs="Arial" w:eastAsia="Arial" w:hAnsi="Arial"/>
          <w:sz w:val="19"/>
          <w:szCs w:val="19"/>
          <w:color w:val="auto"/>
        </w:rPr>
        <w:t>such suspension to be necessary or appropriate for administrative purposes, provided that, unless prohibited by Applicable Laws, such suspension shall be lifted in all cases not less than 10 Trading Days before the last date that the Award may be exercised;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60" w:type="dxa"/>
            <w:vAlign w:val="bottom"/>
          </w:tcPr>
          <w:p>
            <w:pPr>
              <w:jc w:val="center"/>
              <w:ind w:left="892"/>
              <w:spacing w:after="0"/>
              <w:rPr>
                <w:sz w:val="20"/>
                <w:szCs w:val="20"/>
                <w:color w:val="auto"/>
              </w:rPr>
            </w:pPr>
            <w:r>
              <w:rPr>
                <w:rFonts w:ascii="Arial" w:cs="Arial" w:eastAsia="Arial" w:hAnsi="Arial"/>
                <w:sz w:val="22"/>
                <w:szCs w:val="22"/>
                <w:color w:val="auto"/>
              </w:rPr>
              <w:t>(xiv)</w:t>
            </w:r>
          </w:p>
        </w:tc>
        <w:tc>
          <w:tcPr>
            <w:tcW w:w="7980" w:type="dxa"/>
            <w:vAlign w:val="bottom"/>
          </w:tcPr>
          <w:p>
            <w:pPr>
              <w:ind w:left="940"/>
              <w:spacing w:after="0"/>
              <w:rPr>
                <w:sz w:val="20"/>
                <w:szCs w:val="20"/>
                <w:color w:val="auto"/>
              </w:rPr>
            </w:pPr>
            <w:r>
              <w:rPr>
                <w:rFonts w:ascii="Arial" w:cs="Arial" w:eastAsia="Arial" w:hAnsi="Arial"/>
                <w:sz w:val="22"/>
                <w:szCs w:val="22"/>
                <w:color w:val="auto"/>
                <w:w w:val="89"/>
              </w:rPr>
              <w:t>to allow Participants to defer the receipt of the payment of cash or the delivery of</w:t>
            </w:r>
          </w:p>
        </w:tc>
      </w:tr>
      <w:tr>
        <w:trPr>
          <w:trHeight w:val="274"/>
        </w:trPr>
        <w:tc>
          <w:tcPr>
            <w:tcW w:w="11240" w:type="dxa"/>
            <w:vAlign w:val="bottom"/>
            <w:gridSpan w:val="2"/>
          </w:tcPr>
          <w:p>
            <w:pPr>
              <w:jc w:val="right"/>
              <w:ind w:right="5332"/>
              <w:spacing w:after="0"/>
              <w:rPr>
                <w:sz w:val="20"/>
                <w:szCs w:val="20"/>
                <w:color w:val="auto"/>
              </w:rPr>
            </w:pPr>
            <w:r>
              <w:rPr>
                <w:rFonts w:ascii="Arial" w:cs="Arial" w:eastAsia="Arial" w:hAnsi="Arial"/>
                <w:sz w:val="22"/>
                <w:szCs w:val="22"/>
                <w:color w:val="auto"/>
                <w:w w:val="87"/>
              </w:rPr>
              <w:t>Shares otherwise due to any such Participants under an Award; and</w:t>
            </w:r>
          </w:p>
        </w:tc>
      </w:tr>
      <w:tr>
        <w:trPr>
          <w:trHeight w:val="482"/>
        </w:trPr>
        <w:tc>
          <w:tcPr>
            <w:tcW w:w="3260" w:type="dxa"/>
            <w:vAlign w:val="bottom"/>
          </w:tcPr>
          <w:p>
            <w:pPr>
              <w:jc w:val="center"/>
              <w:ind w:left="912"/>
              <w:spacing w:after="0"/>
              <w:rPr>
                <w:sz w:val="20"/>
                <w:szCs w:val="20"/>
                <w:color w:val="auto"/>
              </w:rPr>
            </w:pPr>
            <w:r>
              <w:rPr>
                <w:rFonts w:ascii="Arial" w:cs="Arial" w:eastAsia="Arial" w:hAnsi="Arial"/>
                <w:sz w:val="22"/>
                <w:szCs w:val="22"/>
                <w:color w:val="auto"/>
                <w:w w:val="98"/>
              </w:rPr>
              <w:t>(xv)</w:t>
            </w:r>
          </w:p>
        </w:tc>
        <w:tc>
          <w:tcPr>
            <w:tcW w:w="7980" w:type="dxa"/>
            <w:vAlign w:val="bottom"/>
          </w:tcPr>
          <w:p>
            <w:pPr>
              <w:ind w:left="940"/>
              <w:spacing w:after="0"/>
              <w:rPr>
                <w:sz w:val="20"/>
                <w:szCs w:val="20"/>
                <w:color w:val="auto"/>
              </w:rPr>
            </w:pPr>
            <w:r>
              <w:rPr>
                <w:rFonts w:ascii="Arial" w:cs="Arial" w:eastAsia="Arial" w:hAnsi="Arial"/>
                <w:sz w:val="22"/>
                <w:szCs w:val="22"/>
                <w:color w:val="auto"/>
              </w:rPr>
              <w:t>to make any determinations necessary or appropriate under Section 13</w:t>
            </w:r>
          </w:p>
        </w:tc>
      </w:tr>
      <w:tr>
        <w:trPr>
          <w:trHeight w:val="274"/>
        </w:trPr>
        <w:tc>
          <w:tcPr>
            <w:tcW w:w="3260" w:type="dxa"/>
            <w:vAlign w:val="bottom"/>
          </w:tcPr>
          <w:p>
            <w:pPr>
              <w:spacing w:after="0"/>
              <w:rPr>
                <w:sz w:val="23"/>
                <w:szCs w:val="23"/>
                <w:color w:val="auto"/>
              </w:rPr>
            </w:pPr>
          </w:p>
        </w:tc>
        <w:tc>
          <w:tcPr>
            <w:tcW w:w="7980" w:type="dxa"/>
            <w:vAlign w:val="bottom"/>
          </w:tcPr>
          <w:p>
            <w:pPr>
              <w:jc w:val="right"/>
              <w:ind w:right="5452"/>
              <w:spacing w:after="0"/>
              <w:rPr>
                <w:sz w:val="20"/>
                <w:szCs w:val="20"/>
                <w:color w:val="auto"/>
              </w:rPr>
            </w:pPr>
            <w:r>
              <w:rPr>
                <w:rFonts w:ascii="Arial" w:cs="Arial" w:eastAsia="Arial" w:hAnsi="Arial"/>
                <w:sz w:val="22"/>
                <w:szCs w:val="22"/>
                <w:color w:val="auto"/>
              </w:rPr>
              <w:t>9</w:t>
            </w:r>
          </w:p>
        </w:tc>
      </w:tr>
      <w:tr>
        <w:trPr>
          <w:trHeight w:val="119"/>
        </w:trPr>
        <w:tc>
          <w:tcPr>
            <w:tcW w:w="3260" w:type="dxa"/>
            <w:vAlign w:val="bottom"/>
            <w:tcBorders>
              <w:bottom w:val="single" w:sz="8" w:color="9A9A9A"/>
            </w:tcBorders>
          </w:tcPr>
          <w:p>
            <w:pPr>
              <w:spacing w:after="0"/>
              <w:rPr>
                <w:sz w:val="10"/>
                <w:szCs w:val="10"/>
                <w:color w:val="auto"/>
              </w:rPr>
            </w:pPr>
          </w:p>
        </w:tc>
        <w:tc>
          <w:tcPr>
            <w:tcW w:w="7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124" w:name="page125"/>
    <w:bookmarkEnd w:id="124"/>
    <w:p>
      <w:pPr>
        <w:jc w:val="both"/>
        <w:ind w:firstLine="1678"/>
        <w:spacing w:after="0" w:line="262" w:lineRule="auto"/>
        <w:tabs>
          <w:tab w:leader="none" w:pos="2793"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Grant Date</w:t>
      </w:r>
      <w:r>
        <w:rPr>
          <w:rFonts w:ascii="Arial" w:cs="Arial" w:eastAsia="Arial" w:hAnsi="Arial"/>
          <w:sz w:val="22"/>
          <w:szCs w:val="22"/>
          <w:color w:val="auto"/>
        </w:rPr>
        <w:t>. The grant date of an Award (“</w:t>
      </w:r>
      <w:r>
        <w:rPr>
          <w:rFonts w:ascii="Arial" w:cs="Arial" w:eastAsia="Arial" w:hAnsi="Arial"/>
          <w:sz w:val="22"/>
          <w:szCs w:val="22"/>
          <w:u w:val="single" w:color="auto"/>
          <w:color w:val="auto"/>
        </w:rPr>
        <w:t>Grant Date</w:t>
      </w:r>
      <w:r>
        <w:rPr>
          <w:rFonts w:ascii="Arial" w:cs="Arial" w:eastAsia="Arial" w:hAnsi="Arial"/>
          <w:sz w:val="22"/>
          <w:szCs w:val="22"/>
          <w:color w:val="auto"/>
        </w:rPr>
        <w:t>”) will be the date that the Administrator makes the determination granting such Award or may be a later date if such later date is designated by the Administrator on the date of the determination or under an automatic grant policy. Notice of the determination will be provided to each Participant within a reasonable time after the Grant Date.</w:t>
      </w:r>
    </w:p>
    <w:p>
      <w:pPr>
        <w:spacing w:after="0" w:line="191" w:lineRule="exact"/>
        <w:rPr>
          <w:rFonts w:ascii="Arial" w:cs="Arial" w:eastAsia="Arial" w:hAnsi="Arial"/>
          <w:sz w:val="22"/>
          <w:szCs w:val="22"/>
          <w:color w:val="auto"/>
        </w:rPr>
      </w:pPr>
    </w:p>
    <w:p>
      <w:pPr>
        <w:ind w:left="2800" w:hanging="1122"/>
        <w:spacing w:after="0"/>
        <w:tabs>
          <w:tab w:leader="none" w:pos="2800"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Administrator may waive any terms, conditions or restrictions.</w:t>
      </w:r>
    </w:p>
    <w:p>
      <w:pPr>
        <w:spacing w:after="0" w:line="233" w:lineRule="exact"/>
        <w:rPr>
          <w:rFonts w:ascii="Arial" w:cs="Arial" w:eastAsia="Arial" w:hAnsi="Arial"/>
          <w:sz w:val="22"/>
          <w:szCs w:val="22"/>
          <w:color w:val="auto"/>
        </w:rPr>
      </w:pPr>
    </w:p>
    <w:p>
      <w:pPr>
        <w:jc w:val="both"/>
        <w:ind w:firstLine="1678"/>
        <w:spacing w:after="0" w:line="266" w:lineRule="auto"/>
        <w:tabs>
          <w:tab w:leader="none" w:pos="2793"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Except as otherwise provided by the Administrator, any fractional Shares that result from the adjustment of Awards will be canceled. Any fractional Shares that result from vesting percentages will be accumulated and vested on the date that an accumulated full Share is vested.</w:t>
      </w:r>
    </w:p>
    <w:p>
      <w:pPr>
        <w:spacing w:after="0" w:line="184" w:lineRule="exact"/>
        <w:rPr>
          <w:rFonts w:ascii="Arial" w:cs="Arial" w:eastAsia="Arial" w:hAnsi="Arial"/>
          <w:sz w:val="22"/>
          <w:szCs w:val="22"/>
          <w:color w:val="auto"/>
        </w:rPr>
      </w:pPr>
    </w:p>
    <w:p>
      <w:pPr>
        <w:jc w:val="both"/>
        <w:ind w:firstLine="1678"/>
        <w:spacing w:after="0" w:line="279" w:lineRule="auto"/>
        <w:tabs>
          <w:tab w:leader="none" w:pos="2793" w:val="left"/>
        </w:tabs>
        <w:numPr>
          <w:ilvl w:val="1"/>
          <w:numId w:val="20"/>
        </w:numPr>
        <w:rPr>
          <w:rFonts w:ascii="Arial" w:cs="Arial" w:eastAsia="Arial" w:hAnsi="Arial"/>
          <w:sz w:val="21"/>
          <w:szCs w:val="21"/>
          <w:color w:val="auto"/>
        </w:rPr>
      </w:pPr>
      <w:r>
        <w:rPr>
          <w:rFonts w:ascii="Arial" w:cs="Arial" w:eastAsia="Arial" w:hAnsi="Arial"/>
          <w:sz w:val="21"/>
          <w:szCs w:val="21"/>
          <w:u w:val="single" w:color="auto"/>
          <w:color w:val="auto"/>
        </w:rPr>
        <w:t>Electronic Delivery</w:t>
      </w:r>
      <w:r>
        <w:rPr>
          <w:rFonts w:ascii="Arial" w:cs="Arial" w:eastAsia="Arial" w:hAnsi="Arial"/>
          <w:sz w:val="21"/>
          <w:szCs w:val="21"/>
          <w:color w:val="auto"/>
        </w:rPr>
        <w:t>. The Company may deliver by e-mail or other electronic means (including posting on a website maintained by the Company or by a third party under contract with the Company or another member of the Company Group) all documents relating to the Plan or any Award and all other documents that the Company is required to deliver to its security holders (including prospectuses, annual reports and proxy statements).</w:t>
      </w:r>
    </w:p>
    <w:p>
      <w:pPr>
        <w:spacing w:after="0" w:line="173" w:lineRule="exact"/>
        <w:rPr>
          <w:rFonts w:ascii="Arial" w:cs="Arial" w:eastAsia="Arial" w:hAnsi="Arial"/>
          <w:sz w:val="21"/>
          <w:szCs w:val="21"/>
          <w:color w:val="auto"/>
        </w:rPr>
      </w:pPr>
    </w:p>
    <w:p>
      <w:pPr>
        <w:jc w:val="both"/>
        <w:ind w:firstLine="1678"/>
        <w:spacing w:after="0" w:line="308" w:lineRule="auto"/>
        <w:tabs>
          <w:tab w:leader="none" w:pos="2793"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Choice of Law; Choice of Forum</w:t>
      </w:r>
      <w:r>
        <w:rPr>
          <w:rFonts w:ascii="Arial" w:cs="Arial" w:eastAsia="Arial" w:hAnsi="Arial"/>
          <w:sz w:val="19"/>
          <w:szCs w:val="19"/>
          <w:color w:val="auto"/>
        </w:rPr>
        <w:t>. The Plan, all Awards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this Plan, a Participant’s acceptance of an Award is his or her consent to the jurisdiction of the State of Delaware, and agreement that any such litigation will be conducted in Delaware Court of Chancery, or the federal courts for the United States for the District of Delaware, and no other courts, regardless of where a Participant’s services are performed.</w:t>
      </w:r>
    </w:p>
    <w:p>
      <w:pPr>
        <w:spacing w:after="0" w:line="153" w:lineRule="exact"/>
        <w:rPr>
          <w:rFonts w:ascii="Arial" w:cs="Arial" w:eastAsia="Arial" w:hAnsi="Arial"/>
          <w:sz w:val="19"/>
          <w:szCs w:val="19"/>
          <w:color w:val="auto"/>
        </w:rPr>
      </w:pPr>
    </w:p>
    <w:p>
      <w:pPr>
        <w:ind w:firstLine="1678"/>
        <w:spacing w:after="0" w:line="276" w:lineRule="auto"/>
        <w:tabs>
          <w:tab w:leader="none" w:pos="2793"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Effect of Administrator’s Decision</w:t>
      </w:r>
      <w:r>
        <w:rPr>
          <w:rFonts w:ascii="Arial" w:cs="Arial" w:eastAsia="Arial" w:hAnsi="Arial"/>
          <w:sz w:val="22"/>
          <w:szCs w:val="22"/>
          <w:color w:val="auto"/>
        </w:rPr>
        <w:t>. The Administrator’s decisions, determinations and interpretations will be final and binding on all Participants and any other holders of Awards.</w:t>
      </w:r>
    </w:p>
    <w:p>
      <w:pPr>
        <w:spacing w:after="0" w:line="174" w:lineRule="exact"/>
        <w:rPr>
          <w:rFonts w:ascii="Arial" w:cs="Arial" w:eastAsia="Arial" w:hAnsi="Arial"/>
          <w:sz w:val="22"/>
          <w:szCs w:val="22"/>
          <w:color w:val="auto"/>
        </w:rPr>
      </w:pPr>
    </w:p>
    <w:p>
      <w:pPr>
        <w:ind w:right="20" w:firstLine="800"/>
        <w:spacing w:after="0" w:line="358" w:lineRule="auto"/>
        <w:tabs>
          <w:tab w:leader="none" w:pos="1397" w:val="left"/>
        </w:tabs>
        <w:numPr>
          <w:ilvl w:val="0"/>
          <w:numId w:val="2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Eligibility</w:t>
      </w:r>
      <w:r>
        <w:rPr>
          <w:rFonts w:ascii="Arial" w:cs="Arial" w:eastAsia="Arial" w:hAnsi="Arial"/>
          <w:sz w:val="19"/>
          <w:szCs w:val="19"/>
          <w:color w:val="auto"/>
        </w:rPr>
        <w:t>. Nonstatutory Stock Options, Stock Appreciation Rights, Restricted Stock, Restricted Stock Units and Performance Awards may be granted to Service Providers. Incentive Stock Options may be granted only to Employees.</w:t>
      </w:r>
    </w:p>
    <w:p>
      <w:pPr>
        <w:spacing w:after="0" w:line="104" w:lineRule="exact"/>
        <w:rPr>
          <w:rFonts w:ascii="Arial" w:cs="Arial" w:eastAsia="Arial" w:hAnsi="Arial"/>
          <w:sz w:val="19"/>
          <w:szCs w:val="19"/>
          <w:u w:val="single" w:color="auto"/>
          <w:color w:val="auto"/>
        </w:rPr>
      </w:pPr>
    </w:p>
    <w:p>
      <w:pPr>
        <w:ind w:left="1400" w:hanging="600"/>
        <w:spacing w:after="0"/>
        <w:tabs>
          <w:tab w:leader="none" w:pos="1400" w:val="left"/>
        </w:tabs>
        <w:numPr>
          <w:ilvl w:val="0"/>
          <w:numId w:val="2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Stock Options</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firstLine="1678"/>
        <w:spacing w:after="0" w:line="317" w:lineRule="auto"/>
        <w:tabs>
          <w:tab w:leader="none" w:pos="2793"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Stock Option Award Agreement</w:t>
      </w:r>
      <w:r>
        <w:rPr>
          <w:rFonts w:ascii="Arial" w:cs="Arial" w:eastAsia="Arial" w:hAnsi="Arial"/>
          <w:sz w:val="19"/>
          <w:szCs w:val="19"/>
          <w:color w:val="auto"/>
        </w:rPr>
        <w:t>. Each Option will be evidenced by an Award Agreement that will specify the number of Shares subject to the Option, per share Exercise Price, its Expiration Date, and such other terms and conditions as the Administrator determines. Each Option will be designated in the Award Agreement as either an Incentive Stock Option or a Nonstatutory Stock Option. An Option not designated as an Incentive Stock Option is a Nonstatutory Stock Option.</w:t>
      </w:r>
    </w:p>
    <w:p>
      <w:pPr>
        <w:spacing w:after="0" w:line="141" w:lineRule="exact"/>
        <w:rPr>
          <w:rFonts w:ascii="Arial" w:cs="Arial" w:eastAsia="Arial" w:hAnsi="Arial"/>
          <w:sz w:val="19"/>
          <w:szCs w:val="19"/>
          <w:color w:val="auto"/>
        </w:rPr>
      </w:pPr>
    </w:p>
    <w:p>
      <w:pPr>
        <w:ind w:firstLine="1678"/>
        <w:spacing w:after="0" w:line="258" w:lineRule="auto"/>
        <w:tabs>
          <w:tab w:leader="none" w:pos="2793"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Exercise Price for the Shares to be issued upon exercise of an Option will be determined by the Administrator and stated in the Award Agreement, subject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2899410</wp:posOffset>
            </wp:positionH>
            <wp:positionV relativeFrom="paragraph">
              <wp:posOffset>-4283075</wp:posOffset>
            </wp:positionV>
            <wp:extent cx="431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125" w:name="page126"/>
    <w:bookmarkEnd w:id="125"/>
    <w:p>
      <w:pPr>
        <w:jc w:val="center"/>
        <w:ind w:left="9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 the case of an Incentive Stock Option:</w:t>
      </w:r>
    </w:p>
    <w:p>
      <w:pPr>
        <w:spacing w:after="0" w:line="234" w:lineRule="exact"/>
        <w:rPr>
          <w:sz w:val="20"/>
          <w:szCs w:val="20"/>
          <w:color w:val="auto"/>
        </w:rPr>
      </w:pPr>
    </w:p>
    <w:p>
      <w:pPr>
        <w:sectPr>
          <w:pgSz w:w="11900" w:h="16838" w:orient="portrait"/>
          <w:cols w:equalWidth="0" w:num="2">
            <w:col w:w="3480" w:space="720"/>
            <w:col w:w="7040"/>
          </w:cols>
          <w:pgMar w:left="320" w:top="618" w:right="339" w:bottom="1440" w:gutter="0" w:footer="0" w:header="0"/>
        </w:sectPr>
      </w:pPr>
    </w:p>
    <w:p>
      <w:pPr>
        <w:spacing w:after="0" w:line="33" w:lineRule="exact"/>
        <w:rPr>
          <w:sz w:val="20"/>
          <w:szCs w:val="20"/>
          <w:color w:val="auto"/>
        </w:rPr>
      </w:pPr>
    </w:p>
    <w:p>
      <w:pPr>
        <w:ind w:left="3700"/>
        <w:spacing w:after="0"/>
        <w:tabs>
          <w:tab w:leader="none" w:pos="558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9"/>
          <w:szCs w:val="19"/>
          <w:color w:val="auto"/>
        </w:rPr>
        <w:t>granted to an ISO Employee who, at the time the Incentive Stock</w:t>
      </w:r>
    </w:p>
    <w:p>
      <w:pPr>
        <w:sectPr>
          <w:pgSz w:w="11900" w:h="16838" w:orient="portrait"/>
          <w:cols w:equalWidth="0" w:num="1">
            <w:col w:w="11240"/>
          </w:cols>
          <w:pgMar w:left="320" w:top="618" w:right="339" w:bottom="1440" w:gutter="0" w:footer="0" w:header="0"/>
          <w:type w:val="continuous"/>
        </w:sectPr>
      </w:pPr>
    </w:p>
    <w:p>
      <w:pPr>
        <w:spacing w:after="0" w:line="56"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Option is granted, owns stock representing more than 10% of the voting power of all classes of stock of the Company or any Parent or Subsidiary (a “</w:t>
      </w:r>
      <w:r>
        <w:rPr>
          <w:rFonts w:ascii="Arial" w:cs="Arial" w:eastAsia="Arial" w:hAnsi="Arial"/>
          <w:sz w:val="22"/>
          <w:szCs w:val="22"/>
          <w:u w:val="single" w:color="auto"/>
          <w:color w:val="auto"/>
        </w:rPr>
        <w:t>Ten Percent Owner</w:t>
      </w:r>
      <w:r>
        <w:rPr>
          <w:rFonts w:ascii="Arial" w:cs="Arial" w:eastAsia="Arial" w:hAnsi="Arial"/>
          <w:sz w:val="22"/>
          <w:szCs w:val="22"/>
          <w:color w:val="auto"/>
        </w:rPr>
        <w:t>”), the Exercise Price for the Shares to be issued will be no less than 110% of the Fair Market Value per Share on the date of grant; and</w:t>
      </w:r>
    </w:p>
    <w:p>
      <w:pPr>
        <w:spacing w:after="0" w:line="187" w:lineRule="exact"/>
        <w:rPr>
          <w:sz w:val="20"/>
          <w:szCs w:val="20"/>
          <w:color w:val="auto"/>
        </w:rPr>
      </w:pPr>
    </w:p>
    <w:p>
      <w:pPr>
        <w:jc w:val="both"/>
        <w:ind w:right="220" w:firstLine="3686"/>
        <w:spacing w:after="0" w:line="358" w:lineRule="auto"/>
        <w:rPr>
          <w:sz w:val="20"/>
          <w:szCs w:val="20"/>
          <w:color w:val="auto"/>
        </w:rPr>
      </w:pPr>
      <w:r>
        <w:rPr>
          <w:rFonts w:ascii="Arial" w:cs="Arial" w:eastAsia="Arial" w:hAnsi="Arial"/>
          <w:sz w:val="19"/>
          <w:szCs w:val="19"/>
          <w:color w:val="auto"/>
        </w:rPr>
        <w:t>(2) granted to any ISO Employee other than a Ten Percent Owner, the Exercise Price for the Shares to be issued will be no less than 100% of the Fair Market Value per Share on the date of grant.</w:t>
      </w:r>
    </w:p>
    <w:p>
      <w:pPr>
        <w:spacing w:after="0" w:line="104" w:lineRule="exact"/>
        <w:rPr>
          <w:sz w:val="20"/>
          <w:szCs w:val="20"/>
          <w:color w:val="auto"/>
        </w:rPr>
      </w:pPr>
    </w:p>
    <w:p>
      <w:pPr>
        <w:ind w:firstLine="2035"/>
        <w:spacing w:after="0" w:line="276" w:lineRule="auto"/>
        <w:rPr>
          <w:sz w:val="20"/>
          <w:szCs w:val="20"/>
          <w:color w:val="auto"/>
        </w:rPr>
      </w:pPr>
      <w:r>
        <w:rPr>
          <w:rFonts w:ascii="Arial" w:cs="Arial" w:eastAsia="Arial" w:hAnsi="Arial"/>
          <w:sz w:val="22"/>
          <w:szCs w:val="22"/>
          <w:color w:val="auto"/>
        </w:rPr>
        <w:t>(ii) In the case of a Nonstatutory Stock Option, the Exercise Price for the Shares to be issued will be no less than 100% of the Fair Market Value per Share on the date of grant.</w:t>
      </w:r>
    </w:p>
    <w:p>
      <w:pPr>
        <w:spacing w:after="0" w:line="174" w:lineRule="exact"/>
        <w:rPr>
          <w:sz w:val="20"/>
          <w:szCs w:val="20"/>
          <w:color w:val="auto"/>
        </w:rPr>
      </w:pPr>
    </w:p>
    <w:p>
      <w:pPr>
        <w:ind w:left="2000"/>
        <w:spacing w:after="0"/>
        <w:tabs>
          <w:tab w:leader="none" w:pos="4180" w:val="left"/>
        </w:tabs>
        <w:rPr>
          <w:sz w:val="20"/>
          <w:szCs w:val="20"/>
          <w:color w:val="auto"/>
        </w:rPr>
      </w:pPr>
      <w:r>
        <w:rPr>
          <w:rFonts w:ascii="Arial" w:cs="Arial" w:eastAsia="Arial" w:hAnsi="Arial"/>
          <w:sz w:val="19"/>
          <w:szCs w:val="19"/>
          <w:color w:val="auto"/>
        </w:rPr>
        <w:t>(iii)</w:t>
      </w:r>
      <w:r>
        <w:rPr>
          <w:sz w:val="20"/>
          <w:szCs w:val="20"/>
          <w:color w:val="auto"/>
        </w:rPr>
        <w:tab/>
      </w:r>
      <w:r>
        <w:rPr>
          <w:rFonts w:ascii="Arial" w:cs="Arial" w:eastAsia="Arial" w:hAnsi="Arial"/>
          <w:sz w:val="19"/>
          <w:szCs w:val="19"/>
          <w:color w:val="auto"/>
        </w:rPr>
        <w:t>Notwithstanding the foregoing, Options may be granted with an Exercise Price</w:t>
      </w:r>
    </w:p>
    <w:p>
      <w:pPr>
        <w:spacing w:after="0" w:line="56" w:lineRule="exact"/>
        <w:rPr>
          <w:sz w:val="20"/>
          <w:szCs w:val="20"/>
          <w:color w:val="auto"/>
        </w:rPr>
      </w:pPr>
    </w:p>
    <w:p>
      <w:pPr>
        <w:ind w:right="20"/>
        <w:spacing w:after="0" w:line="272" w:lineRule="auto"/>
        <w:rPr>
          <w:sz w:val="20"/>
          <w:szCs w:val="20"/>
          <w:color w:val="auto"/>
        </w:rPr>
      </w:pPr>
      <w:r>
        <w:rPr>
          <w:rFonts w:ascii="Arial" w:cs="Arial" w:eastAsia="Arial" w:hAnsi="Arial"/>
          <w:sz w:val="22"/>
          <w:szCs w:val="22"/>
          <w:color w:val="auto"/>
        </w:rPr>
        <w:t>of less than 100% of the Fair Market Value per Share on the date of grant (i) pursuant to a transaction described in, and in a manner consistent with, Section 424(a) of the Code or (ii) to a Service Provider that is not a U.S. taxpayer.</w:t>
      </w:r>
    </w:p>
    <w:p>
      <w:pPr>
        <w:spacing w:after="0" w:line="178" w:lineRule="exact"/>
        <w:rPr>
          <w:sz w:val="20"/>
          <w:szCs w:val="20"/>
          <w:color w:val="auto"/>
        </w:rPr>
      </w:pPr>
    </w:p>
    <w:p>
      <w:pPr>
        <w:jc w:val="both"/>
        <w:ind w:firstLine="1678"/>
        <w:spacing w:after="0" w:line="266" w:lineRule="auto"/>
        <w:tabs>
          <w:tab w:leader="none" w:pos="2793"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Form of Consideration</w:t>
      </w:r>
      <w:r>
        <w:rPr>
          <w:rFonts w:ascii="Arial" w:cs="Arial" w:eastAsia="Arial" w:hAnsi="Arial"/>
          <w:sz w:val="22"/>
          <w:szCs w:val="22"/>
          <w:color w:val="auto"/>
        </w:rPr>
        <w:t>. The Administrator will determine the acceptable form(s) of consideration for exercising an Option. Unless the Administrator determines otherwise, the consideration may consist of any one or more or combination of the following, to the extent permitted by Applicable Laws:</w:t>
      </w:r>
    </w:p>
    <w:p>
      <w:pPr>
        <w:spacing w:after="0" w:line="185" w:lineRule="exact"/>
        <w:rPr>
          <w:sz w:val="20"/>
          <w:szCs w:val="20"/>
          <w:color w:val="auto"/>
        </w:rPr>
      </w:pPr>
    </w:p>
    <w:tbl>
      <w:tblPr>
        <w:tblLayout w:type="fixed"/>
        <w:tblInd w:w="2000" w:type="dxa"/>
        <w:tblCellMar>
          <w:top w:w="0" w:type="dxa"/>
          <w:left w:w="0" w:type="dxa"/>
          <w:bottom w:w="0" w:type="dxa"/>
          <w:right w:w="0" w:type="dxa"/>
        </w:tblCellMar>
      </w:tblPr>
      <w:tr>
        <w:trPr>
          <w:trHeight w:val="274"/>
        </w:trPr>
        <w:tc>
          <w:tcPr>
            <w:tcW w:w="1260" w:type="dxa"/>
            <w:vAlign w:val="bottom"/>
          </w:tcPr>
          <w:p>
            <w:pPr>
              <w:ind w:left="100"/>
              <w:spacing w:after="0"/>
              <w:rPr>
                <w:sz w:val="20"/>
                <w:szCs w:val="20"/>
                <w:color w:val="auto"/>
              </w:rPr>
            </w:pPr>
            <w:r>
              <w:rPr>
                <w:rFonts w:ascii="Arial" w:cs="Arial" w:eastAsia="Arial" w:hAnsi="Arial"/>
                <w:sz w:val="22"/>
                <w:szCs w:val="22"/>
                <w:color w:val="auto"/>
              </w:rPr>
              <w:t>(i)</w:t>
            </w:r>
          </w:p>
        </w:tc>
        <w:tc>
          <w:tcPr>
            <w:tcW w:w="7960" w:type="dxa"/>
            <w:vAlign w:val="bottom"/>
          </w:tcPr>
          <w:p>
            <w:pPr>
              <w:ind w:left="940"/>
              <w:spacing w:after="0"/>
              <w:rPr>
                <w:sz w:val="20"/>
                <w:szCs w:val="20"/>
                <w:color w:val="auto"/>
              </w:rPr>
            </w:pPr>
            <w:r>
              <w:rPr>
                <w:rFonts w:ascii="Arial" w:cs="Arial" w:eastAsia="Arial" w:hAnsi="Arial"/>
                <w:sz w:val="22"/>
                <w:szCs w:val="22"/>
                <w:color w:val="auto"/>
              </w:rPr>
              <w:t>cash;</w:t>
            </w:r>
          </w:p>
        </w:tc>
      </w:tr>
      <w:tr>
        <w:trPr>
          <w:trHeight w:val="486"/>
        </w:trPr>
        <w:tc>
          <w:tcPr>
            <w:tcW w:w="1260" w:type="dxa"/>
            <w:vAlign w:val="bottom"/>
          </w:tcPr>
          <w:p>
            <w:pPr>
              <w:jc w:val="center"/>
              <w:ind w:right="812"/>
              <w:spacing w:after="0"/>
              <w:rPr>
                <w:sz w:val="20"/>
                <w:szCs w:val="20"/>
                <w:color w:val="auto"/>
              </w:rPr>
            </w:pPr>
            <w:r>
              <w:rPr>
                <w:rFonts w:ascii="Arial" w:cs="Arial" w:eastAsia="Arial" w:hAnsi="Arial"/>
                <w:sz w:val="22"/>
                <w:szCs w:val="22"/>
                <w:color w:val="auto"/>
              </w:rPr>
              <w:t>(ii)</w:t>
            </w:r>
          </w:p>
        </w:tc>
        <w:tc>
          <w:tcPr>
            <w:tcW w:w="7960" w:type="dxa"/>
            <w:vAlign w:val="bottom"/>
          </w:tcPr>
          <w:p>
            <w:pPr>
              <w:ind w:left="940"/>
              <w:spacing w:after="0"/>
              <w:rPr>
                <w:sz w:val="20"/>
                <w:szCs w:val="20"/>
                <w:color w:val="auto"/>
              </w:rPr>
            </w:pPr>
            <w:r>
              <w:rPr>
                <w:rFonts w:ascii="Arial" w:cs="Arial" w:eastAsia="Arial" w:hAnsi="Arial"/>
                <w:sz w:val="22"/>
                <w:szCs w:val="22"/>
                <w:color w:val="auto"/>
              </w:rPr>
              <w:t>check or wire transfer;</w:t>
            </w:r>
          </w:p>
        </w:tc>
      </w:tr>
      <w:tr>
        <w:trPr>
          <w:trHeight w:val="486"/>
        </w:trPr>
        <w:tc>
          <w:tcPr>
            <w:tcW w:w="1260" w:type="dxa"/>
            <w:vAlign w:val="bottom"/>
          </w:tcPr>
          <w:p>
            <w:pPr>
              <w:jc w:val="center"/>
              <w:ind w:right="832"/>
              <w:spacing w:after="0"/>
              <w:rPr>
                <w:sz w:val="20"/>
                <w:szCs w:val="20"/>
                <w:color w:val="auto"/>
              </w:rPr>
            </w:pPr>
            <w:r>
              <w:rPr>
                <w:rFonts w:ascii="Arial" w:cs="Arial" w:eastAsia="Arial" w:hAnsi="Arial"/>
                <w:sz w:val="22"/>
                <w:szCs w:val="22"/>
                <w:color w:val="auto"/>
              </w:rPr>
              <w:t>(iii)</w:t>
            </w:r>
          </w:p>
        </w:tc>
        <w:tc>
          <w:tcPr>
            <w:tcW w:w="7960" w:type="dxa"/>
            <w:vAlign w:val="bottom"/>
          </w:tcPr>
          <w:p>
            <w:pPr>
              <w:ind w:left="940"/>
              <w:spacing w:after="0"/>
              <w:rPr>
                <w:sz w:val="20"/>
                <w:szCs w:val="20"/>
                <w:color w:val="auto"/>
              </w:rPr>
            </w:pPr>
            <w:r>
              <w:rPr>
                <w:rFonts w:ascii="Arial" w:cs="Arial" w:eastAsia="Arial" w:hAnsi="Arial"/>
                <w:sz w:val="22"/>
                <w:szCs w:val="22"/>
                <w:color w:val="auto"/>
              </w:rPr>
              <w:t>promissory note, if and to the extent approved by the Company;</w:t>
            </w:r>
          </w:p>
        </w:tc>
      </w:tr>
      <w:tr>
        <w:trPr>
          <w:trHeight w:val="486"/>
        </w:trPr>
        <w:tc>
          <w:tcPr>
            <w:tcW w:w="1260" w:type="dxa"/>
            <w:vAlign w:val="bottom"/>
          </w:tcPr>
          <w:p>
            <w:pPr>
              <w:jc w:val="center"/>
              <w:ind w:right="832"/>
              <w:spacing w:after="0"/>
              <w:rPr>
                <w:sz w:val="20"/>
                <w:szCs w:val="20"/>
                <w:color w:val="auto"/>
              </w:rPr>
            </w:pPr>
            <w:r>
              <w:rPr>
                <w:rFonts w:ascii="Arial" w:cs="Arial" w:eastAsia="Arial" w:hAnsi="Arial"/>
                <w:sz w:val="22"/>
                <w:szCs w:val="22"/>
                <w:color w:val="auto"/>
              </w:rPr>
              <w:t>(iv)</w:t>
            </w:r>
          </w:p>
        </w:tc>
        <w:tc>
          <w:tcPr>
            <w:tcW w:w="7960" w:type="dxa"/>
            <w:vAlign w:val="bottom"/>
          </w:tcPr>
          <w:p>
            <w:pPr>
              <w:ind w:left="940"/>
              <w:spacing w:after="0"/>
              <w:rPr>
                <w:sz w:val="20"/>
                <w:szCs w:val="20"/>
                <w:color w:val="auto"/>
              </w:rPr>
            </w:pPr>
            <w:r>
              <w:rPr>
                <w:rFonts w:ascii="Arial" w:cs="Arial" w:eastAsia="Arial" w:hAnsi="Arial"/>
                <w:sz w:val="22"/>
                <w:szCs w:val="22"/>
                <w:color w:val="auto"/>
                <w:w w:val="90"/>
              </w:rPr>
              <w:t>other Shares that have a fair market value on the date of surrender equal to the</w:t>
            </w:r>
          </w:p>
        </w:tc>
      </w:tr>
    </w:tbl>
    <w:p>
      <w:pPr>
        <w:jc w:val="both"/>
        <w:spacing w:after="0" w:line="264" w:lineRule="auto"/>
        <w:rPr>
          <w:sz w:val="20"/>
          <w:szCs w:val="20"/>
          <w:color w:val="auto"/>
        </w:rPr>
      </w:pPr>
      <w:r>
        <w:rPr>
          <w:rFonts w:ascii="Arial" w:cs="Arial" w:eastAsia="Arial" w:hAnsi="Arial"/>
          <w:sz w:val="22"/>
          <w:szCs w:val="22"/>
          <w:color w:val="auto"/>
        </w:rPr>
        <w:t>aggregate Exercise Price of the Shares as to which such Option will be exercised. To the extent not prohibited by the Administrator, this shall include the ability to tender Shares to exercise the Option and then use the Shares received on exercise to exercise the Option with respect to additional Shares;</w:t>
      </w:r>
    </w:p>
    <w:p>
      <w:pPr>
        <w:spacing w:after="0" w:line="187" w:lineRule="exact"/>
        <w:rPr>
          <w:sz w:val="20"/>
          <w:szCs w:val="20"/>
          <w:color w:val="auto"/>
        </w:rPr>
      </w:pPr>
    </w:p>
    <w:p>
      <w:pPr>
        <w:jc w:val="both"/>
        <w:ind w:firstLine="2045"/>
        <w:spacing w:after="0" w:line="266" w:lineRule="auto"/>
        <w:rPr>
          <w:sz w:val="20"/>
          <w:szCs w:val="20"/>
          <w:color w:val="auto"/>
        </w:rPr>
      </w:pPr>
      <w:r>
        <w:rPr>
          <w:rFonts w:ascii="Arial" w:cs="Arial" w:eastAsia="Arial" w:hAnsi="Arial"/>
          <w:sz w:val="22"/>
          <w:szCs w:val="22"/>
          <w:color w:val="auto"/>
        </w:rPr>
        <w:t>(v) consideration received by the Company under a cashless exercise arrangement (whether through a broker or otherwise) implemented by the Company for the exercise of Options that has been approved by the Administrator, if and to the extent permitted by the Company with respect to a particular Award;</w:t>
      </w:r>
    </w:p>
    <w:p>
      <w:pPr>
        <w:spacing w:after="0" w:line="185" w:lineRule="exact"/>
        <w:rPr>
          <w:sz w:val="20"/>
          <w:szCs w:val="20"/>
          <w:color w:val="auto"/>
        </w:rPr>
      </w:pPr>
    </w:p>
    <w:p>
      <w:pPr>
        <w:jc w:val="both"/>
        <w:ind w:firstLine="1997"/>
        <w:spacing w:after="0" w:line="266" w:lineRule="auto"/>
        <w:rPr>
          <w:sz w:val="20"/>
          <w:szCs w:val="20"/>
          <w:color w:val="auto"/>
        </w:rPr>
      </w:pPr>
      <w:r>
        <w:rPr>
          <w:rFonts w:ascii="Arial" w:cs="Arial" w:eastAsia="Arial" w:hAnsi="Arial"/>
          <w:sz w:val="22"/>
          <w:szCs w:val="22"/>
          <w:color w:val="auto"/>
        </w:rPr>
        <w:t>(vi) consideration received by the Company under a net exercise program under which Shares are withheld from otherwise deliverable Shares that has been approved by the Administrator, if and to the extent permitted by the Company with respect to a particular Award; and</w:t>
      </w:r>
    </w:p>
    <w:p>
      <w:pPr>
        <w:spacing w:after="0" w:line="185" w:lineRule="exact"/>
        <w:rPr>
          <w:sz w:val="20"/>
          <w:szCs w:val="20"/>
          <w:color w:val="auto"/>
        </w:rPr>
      </w:pPr>
    </w:p>
    <w:p>
      <w:pPr>
        <w:jc w:val="both"/>
        <w:ind w:firstLine="1949"/>
        <w:spacing w:after="0" w:line="258" w:lineRule="auto"/>
        <w:rPr>
          <w:sz w:val="20"/>
          <w:szCs w:val="20"/>
          <w:color w:val="auto"/>
        </w:rPr>
      </w:pPr>
      <w:r>
        <w:rPr>
          <w:rFonts w:ascii="Arial" w:cs="Arial" w:eastAsia="Arial" w:hAnsi="Arial"/>
          <w:sz w:val="22"/>
          <w:szCs w:val="22"/>
          <w:color w:val="auto"/>
        </w:rPr>
        <w:t>(vii) any other consideration or method of payment to issue Shares (provided that other forms of considerations may only be approved by the Administrator).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type w:val="continuous"/>
        </w:sectPr>
      </w:pPr>
    </w:p>
    <w:bookmarkStart w:id="126" w:name="page127"/>
    <w:bookmarkEnd w:id="126"/>
    <w:p>
      <w:pPr>
        <w:spacing w:after="0" w:line="276" w:lineRule="auto"/>
        <w:rPr>
          <w:sz w:val="20"/>
          <w:szCs w:val="20"/>
          <w:color w:val="auto"/>
        </w:rPr>
      </w:pPr>
      <w:r>
        <w:rPr>
          <w:rFonts w:ascii="Arial" w:cs="Arial" w:eastAsia="Arial" w:hAnsi="Arial"/>
          <w:sz w:val="22"/>
          <w:szCs w:val="22"/>
          <w:color w:val="auto"/>
        </w:rPr>
        <w:t>The Administrator has the power to remove or limit any of the above forms of consideration for exercising an Option, except for the payment of cash, at any time in its sole discretion.</w:t>
      </w:r>
    </w:p>
    <w:p>
      <w:pPr>
        <w:spacing w:after="0" w:line="174" w:lineRule="exact"/>
        <w:rPr>
          <w:sz w:val="20"/>
          <w:szCs w:val="20"/>
          <w:color w:val="auto"/>
        </w:rPr>
      </w:pPr>
    </w:p>
    <w:p>
      <w:pPr>
        <w:jc w:val="both"/>
        <w:ind w:firstLine="1678"/>
        <w:spacing w:after="0" w:line="260" w:lineRule="auto"/>
        <w:tabs>
          <w:tab w:leader="none" w:pos="2793"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Term of Option</w:t>
      </w:r>
      <w:r>
        <w:rPr>
          <w:rFonts w:ascii="Arial" w:cs="Arial" w:eastAsia="Arial" w:hAnsi="Arial"/>
          <w:sz w:val="22"/>
          <w:szCs w:val="22"/>
          <w:color w:val="auto"/>
        </w:rPr>
        <w:t>. The term of each Option will be determined by the Administrator and stated in the Award Agreement, provided that, in the case of an Incentive Stock Option: (a) granted to a Ten Percent Owner, the Option may not be exercisable after the expiration of 5 years from the date such Option is granted, or such shorter term as may be provided in the Award Agreement; and (b) granted to an ISO Employee other than a Ten Percent Owner, the Option may not be exercisable after the expiration of 10 years from the date such Option is granted term, or such shorter term as may be provided in the Award Agreement.</w:t>
      </w:r>
    </w:p>
    <w:p>
      <w:pPr>
        <w:spacing w:after="0" w:line="191" w:lineRule="exact"/>
        <w:rPr>
          <w:rFonts w:ascii="Arial" w:cs="Arial" w:eastAsia="Arial" w:hAnsi="Arial"/>
          <w:sz w:val="22"/>
          <w:szCs w:val="22"/>
          <w:color w:val="auto"/>
        </w:rPr>
      </w:pPr>
    </w:p>
    <w:p>
      <w:pPr>
        <w:ind w:left="2800" w:hanging="1122"/>
        <w:spacing w:after="0"/>
        <w:tabs>
          <w:tab w:leader="none" w:pos="280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Incentive Stock Option Limitations.</w:t>
      </w:r>
    </w:p>
    <w:p>
      <w:pPr>
        <w:spacing w:after="0" w:line="233" w:lineRule="exact"/>
        <w:rPr>
          <w:sz w:val="20"/>
          <w:szCs w:val="20"/>
          <w:color w:val="auto"/>
        </w:rPr>
      </w:pPr>
    </w:p>
    <w:p>
      <w:pPr>
        <w:jc w:val="both"/>
        <w:ind w:firstLine="2083"/>
        <w:spacing w:after="0" w:line="260" w:lineRule="auto"/>
        <w:rPr>
          <w:sz w:val="20"/>
          <w:szCs w:val="20"/>
          <w:color w:val="auto"/>
        </w:rPr>
      </w:pPr>
      <w:r>
        <w:rPr>
          <w:rFonts w:ascii="Arial" w:cs="Arial" w:eastAsia="Arial" w:hAnsi="Arial"/>
          <w:sz w:val="22"/>
          <w:szCs w:val="22"/>
          <w:color w:val="auto"/>
        </w:rPr>
        <w:t>(i) To the extent that the aggregate fair market value of the shares with respect to which incentive stock options under Code Section 422(b) are exercisable for the first time by a Participant during any calendar year (under all plans and agreements of the Company Group) exceeds $100,000, the incentive stock options whose value exceeds $100,000 will be treated as nonstatutory stock options. Incentive stock options will be considered in the order in which they were granted. For this purpose, the fair market value of the shares subject to an option will be determined as of the grant date of each option.</w:t>
      </w:r>
    </w:p>
    <w:p>
      <w:pPr>
        <w:spacing w:after="0" w:line="192" w:lineRule="exact"/>
        <w:rPr>
          <w:sz w:val="20"/>
          <w:szCs w:val="20"/>
          <w:color w:val="auto"/>
        </w:rPr>
      </w:pPr>
    </w:p>
    <w:p>
      <w:pPr>
        <w:jc w:val="both"/>
        <w:ind w:firstLine="2035"/>
        <w:spacing w:after="0" w:line="266" w:lineRule="auto"/>
        <w:rPr>
          <w:sz w:val="20"/>
          <w:szCs w:val="20"/>
          <w:color w:val="auto"/>
        </w:rPr>
      </w:pPr>
      <w:r>
        <w:rPr>
          <w:rFonts w:ascii="Arial" w:cs="Arial" w:eastAsia="Arial" w:hAnsi="Arial"/>
          <w:sz w:val="22"/>
          <w:szCs w:val="22"/>
          <w:color w:val="auto"/>
        </w:rPr>
        <w:t>(ii) If an Option is designated in the Administrator action that granted it as an Incentive Stock Option but the terms of the Option do not comply with Sections 6(b) and 6(d), then the Option will not qualify as an Incentive Stock Option.</w:t>
      </w:r>
    </w:p>
    <w:p>
      <w:pPr>
        <w:spacing w:after="0" w:line="185" w:lineRule="exact"/>
        <w:rPr>
          <w:sz w:val="20"/>
          <w:szCs w:val="20"/>
          <w:color w:val="auto"/>
        </w:rPr>
      </w:pPr>
    </w:p>
    <w:p>
      <w:pPr>
        <w:jc w:val="both"/>
        <w:ind w:firstLine="1678"/>
        <w:spacing w:after="0" w:line="271" w:lineRule="auto"/>
        <w:tabs>
          <w:tab w:leader="none" w:pos="2793"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Exercise of Option</w:t>
      </w:r>
      <w:r>
        <w:rPr>
          <w:rFonts w:ascii="Arial" w:cs="Arial" w:eastAsia="Arial" w:hAnsi="Arial"/>
          <w:sz w:val="21"/>
          <w:szCs w:val="21"/>
          <w:color w:val="auto"/>
        </w:rPr>
        <w:t>. An Option is exercised when the Company receives: (i) a notice of exercise (in such form as the Administrator may specify from time to time) from the person entitled to exercise the Option and (ii) full payment for the Shares with respect to which the Option is exercised (together with applicable Tax Withholdings). Shares issued upon exercise of an Option will be issued in the name of the Participant. Until the Shares are issued (as evidenced by the entry on the books of the Company or of a duly authorized transfer agent of the Company), no right to vote or receive dividends or any other rights as a stockholder will exist with respect to the Shares subject to an Option, despite the exercise of the Option. The Company will issue (or cause to be issued) such Shares promptly after the Option is exercised. An Option may not be exercised for a fraction of a Share. Exercising an Option in any manner will decrease the number of Shares thereafter available, both for purposes of the Plan (except as provided in Section 3(c)) and for purchase under the Option, by the number of Shares as to which the Option is exercised.</w:t>
      </w:r>
    </w:p>
    <w:p>
      <w:pPr>
        <w:spacing w:after="0" w:line="189" w:lineRule="exact"/>
        <w:rPr>
          <w:sz w:val="20"/>
          <w:szCs w:val="20"/>
          <w:color w:val="auto"/>
        </w:rPr>
      </w:pPr>
    </w:p>
    <w:p>
      <w:pPr>
        <w:ind w:left="2100"/>
        <w:spacing w:after="0"/>
        <w:tabs>
          <w:tab w:leader="none" w:pos="424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u w:val="single" w:color="auto"/>
          <w:color w:val="auto"/>
        </w:rPr>
        <w:t>Termination of Relationship as a Service Provider</w:t>
      </w:r>
      <w:r>
        <w:rPr>
          <w:rFonts w:ascii="Arial" w:cs="Arial" w:eastAsia="Arial" w:hAnsi="Arial"/>
          <w:sz w:val="19"/>
          <w:szCs w:val="19"/>
          <w:color w:val="auto"/>
        </w:rPr>
        <w:t>. If a Participant ceases to be a</w:t>
      </w:r>
    </w:p>
    <w:p>
      <w:pPr>
        <w:spacing w:after="0" w:line="5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Service Provider, other than upon such cessation as the result of the Participant’s death or Disability, the Participant may exercise his or her Option within 30 days of such cessation, or such longer period of time as is specified in the Award Agreement (but in no event later than the expiration of the term of such Option as set forth in the Award Agreement or Section 6(d), as applicable) to the extent that the Option is vested on the date of cessation. Unless otherwise provided by the Administrator or set forth in the Award Agreement or other written agreement authorized by the Administrator between the Participant and the Company or any of its Subsidiaries or Parents, as applicable, if on the date of such cessation the Participant is not vested as to his or her entire Option,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127" w:name="page128"/>
    <w:bookmarkEnd w:id="127"/>
    <w:p>
      <w:pPr>
        <w:jc w:val="both"/>
        <w:spacing w:after="0" w:line="266" w:lineRule="auto"/>
        <w:rPr>
          <w:sz w:val="20"/>
          <w:szCs w:val="20"/>
          <w:color w:val="auto"/>
        </w:rPr>
      </w:pPr>
      <w:r>
        <w:rPr>
          <w:rFonts w:ascii="Arial" w:cs="Arial" w:eastAsia="Arial" w:hAnsi="Arial"/>
          <w:sz w:val="22"/>
          <w:szCs w:val="22"/>
          <w:color w:val="auto"/>
        </w:rPr>
        <w:t>the Shares covered by the unvested portion of the Option will revert to the Plan immediately. If after such cessation the Participant does not exercise his or her Option within the time specified by the Administrator, the Option will terminate, and the Shares covered by such Option will revert to the Plan.</w:t>
      </w:r>
    </w:p>
    <w:p>
      <w:pPr>
        <w:spacing w:after="0" w:line="185" w:lineRule="exact"/>
        <w:rPr>
          <w:sz w:val="20"/>
          <w:szCs w:val="20"/>
          <w:color w:val="auto"/>
        </w:rPr>
      </w:pPr>
    </w:p>
    <w:p>
      <w:pPr>
        <w:jc w:val="both"/>
        <w:ind w:firstLine="2035"/>
        <w:spacing w:after="0" w:line="304" w:lineRule="auto"/>
        <w:rPr>
          <w:sz w:val="20"/>
          <w:szCs w:val="20"/>
          <w:color w:val="auto"/>
        </w:rPr>
      </w:pPr>
      <w:r>
        <w:rPr>
          <w:rFonts w:ascii="Arial" w:cs="Arial" w:eastAsia="Arial" w:hAnsi="Arial"/>
          <w:sz w:val="19"/>
          <w:szCs w:val="19"/>
          <w:u w:val="single" w:color="auto"/>
          <w:color w:val="auto"/>
        </w:rPr>
        <w:t>(ii) Disability of Participant</w:t>
      </w:r>
      <w:r>
        <w:rPr>
          <w:rFonts w:ascii="Arial" w:cs="Arial" w:eastAsia="Arial" w:hAnsi="Arial"/>
          <w:sz w:val="19"/>
          <w:szCs w:val="19"/>
          <w:color w:val="auto"/>
        </w:rPr>
        <w:t>. If a Participant ceases to be a Service Provider as a result of the Participant’s Disability, the Participant may exercise his or her Option within 6 months of cessation, or such longer period of time as is specified in the Award Agreement (but in no event later than the expiration of the term of such Option as set forth in the Award Agreement or Section 6(d), as applicable) to the extent the Option is vested on the date of cessation.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Option, the Shares covered by the unvested portion of the Option will revert to the Plan immediately. If after such cessation the Participant does not exercise his or her Option within the time specified herein, the Option will terminate, and the Shares covered by such Option will revert to the Plan.</w:t>
      </w:r>
    </w:p>
    <w:p>
      <w:pPr>
        <w:spacing w:after="0" w:line="155" w:lineRule="exact"/>
        <w:rPr>
          <w:sz w:val="20"/>
          <w:szCs w:val="20"/>
          <w:color w:val="auto"/>
        </w:rPr>
      </w:pPr>
    </w:p>
    <w:p>
      <w:pPr>
        <w:jc w:val="both"/>
        <w:ind w:firstLine="1987"/>
        <w:spacing w:after="0" w:line="300" w:lineRule="auto"/>
        <w:rPr>
          <w:sz w:val="20"/>
          <w:szCs w:val="20"/>
          <w:color w:val="auto"/>
        </w:rPr>
      </w:pPr>
      <w:r>
        <w:rPr>
          <w:rFonts w:ascii="Arial" w:cs="Arial" w:eastAsia="Arial" w:hAnsi="Arial"/>
          <w:sz w:val="19"/>
          <w:szCs w:val="19"/>
          <w:color w:val="auto"/>
        </w:rPr>
        <w:t xml:space="preserve">(iii) </w:t>
      </w:r>
      <w:r>
        <w:rPr>
          <w:rFonts w:ascii="Arial" w:cs="Arial" w:eastAsia="Arial" w:hAnsi="Arial"/>
          <w:sz w:val="19"/>
          <w:szCs w:val="19"/>
          <w:u w:val="single" w:color="auto"/>
          <w:color w:val="auto"/>
        </w:rPr>
        <w:t>Death of Participant</w:t>
      </w:r>
      <w:r>
        <w:rPr>
          <w:rFonts w:ascii="Arial" w:cs="Arial" w:eastAsia="Arial" w:hAnsi="Arial"/>
          <w:sz w:val="19"/>
          <w:szCs w:val="19"/>
          <w:color w:val="auto"/>
        </w:rPr>
        <w:t>. If a Participant dies while a Service Provider, the Option may be exercised within 6 months following the Participant’s death, or within such longer period of time as is specified in the Award Agreement (but in no event later than the expiration of the term of such Option as set forth in the Award Agreement or Section 6(d), as applicable) to the extent that the Option is vested on the date of death, by the Participant’s designated beneficiary, provided the Administrator has permitted the designation of a beneficiary and provided such beneficiary has been designated prior to the Participant’s death in a form (if any) acceptable to the Administrator. If the Administrator has not permitted the designation of the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If the Option is exercised pursuant to this Section 6(f)(iii), Participant’s designated beneficiary or personal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his or her entire Option, the Shares covered by the unvested portion of the Option will revert to the Plan immediately. If the Option is not so exercised within the time specified herein, the Option will terminate, and the Shares covered by such Option will revert to the Plan.</w:t>
      </w:r>
    </w:p>
    <w:p>
      <w:pPr>
        <w:spacing w:after="0" w:line="200" w:lineRule="exact"/>
        <w:rPr>
          <w:sz w:val="20"/>
          <w:szCs w:val="20"/>
          <w:color w:val="auto"/>
        </w:rPr>
      </w:pPr>
    </w:p>
    <w:p>
      <w:pPr>
        <w:spacing w:after="0" w:line="239" w:lineRule="exact"/>
        <w:rPr>
          <w:sz w:val="20"/>
          <w:szCs w:val="20"/>
          <w:color w:val="auto"/>
        </w:rPr>
      </w:pPr>
    </w:p>
    <w:p>
      <w:pPr>
        <w:jc w:val="both"/>
        <w:ind w:firstLine="1678"/>
        <w:spacing w:after="0" w:line="266" w:lineRule="auto"/>
        <w:tabs>
          <w:tab w:leader="none" w:pos="2793"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Expiration of Options</w:t>
      </w:r>
      <w:r>
        <w:rPr>
          <w:rFonts w:ascii="Arial" w:cs="Arial" w:eastAsia="Arial" w:hAnsi="Arial"/>
          <w:sz w:val="22"/>
          <w:szCs w:val="22"/>
          <w:color w:val="auto"/>
        </w:rPr>
        <w:t>. Subject to Section 6(d), an Option’s Expiration Date will be set forth in the Award Agreement. An Option may expire before its expiration date under the Plan (including pursuant to Sections 6(f), 13, 14, or 17(d)) or under the Award Agreement.</w:t>
      </w:r>
    </w:p>
    <w:p>
      <w:pPr>
        <w:spacing w:after="0" w:line="184" w:lineRule="exact"/>
        <w:rPr>
          <w:rFonts w:ascii="Arial" w:cs="Arial" w:eastAsia="Arial" w:hAnsi="Arial"/>
          <w:sz w:val="22"/>
          <w:szCs w:val="22"/>
          <w:color w:val="auto"/>
        </w:rPr>
      </w:pPr>
    </w:p>
    <w:p>
      <w:pPr>
        <w:jc w:val="both"/>
        <w:ind w:firstLine="1678"/>
        <w:spacing w:after="0" w:line="257" w:lineRule="auto"/>
        <w:tabs>
          <w:tab w:leader="none" w:pos="2793"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Tolling of Expiration</w:t>
      </w:r>
      <w:r>
        <w:rPr>
          <w:rFonts w:ascii="Arial" w:cs="Arial" w:eastAsia="Arial" w:hAnsi="Arial"/>
          <w:sz w:val="22"/>
          <w:szCs w:val="22"/>
          <w:color w:val="auto"/>
        </w:rPr>
        <w:t>. If exercising an Option prior to its expiration is not permitted because of Applicable Laws, other than the rules of any stock exchange or quotation system on which the Common Stock is listed or quoted, the Option will remain exercisable until 30 days after the first date on which exercise no longer would be prevented by such provisions; provided, however, that this tolling of expiration shall not apply if and to the extent the holder of such Option is a United</w:t>
      </w: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128" w:name="page129"/>
    <w:bookmarkEnd w:id="128"/>
    <w:p>
      <w:pPr>
        <w:jc w:val="both"/>
        <w:spacing w:after="0" w:line="317" w:lineRule="auto"/>
        <w:rPr>
          <w:sz w:val="20"/>
          <w:szCs w:val="20"/>
          <w:color w:val="auto"/>
        </w:rPr>
      </w:pPr>
      <w:r>
        <w:rPr>
          <w:rFonts w:ascii="Arial" w:cs="Arial" w:eastAsia="Arial" w:hAnsi="Arial"/>
          <w:sz w:val="19"/>
          <w:szCs w:val="19"/>
          <w:color w:val="auto"/>
        </w:rPr>
        <w:t>States taxpayer and the tolling would result in a violation of Section 409A such that the Option would be subject to additional taxation or interest under Section 409A. If this would result in the Option remaining exercisable past its Expiration Date, then unless earlier terminated pursuant to Section 14, the Option will remain exercisable only until the end of the later of (x) the first day on which its exercise would not be prevented by Section 20(a) and (y) its Expiration Date.</w:t>
      </w:r>
    </w:p>
    <w:p>
      <w:pPr>
        <w:spacing w:after="0" w:line="142" w:lineRule="exact"/>
        <w:rPr>
          <w:sz w:val="20"/>
          <w:szCs w:val="20"/>
          <w:color w:val="auto"/>
        </w:rPr>
      </w:pPr>
    </w:p>
    <w:p>
      <w:pPr>
        <w:ind w:left="1400" w:hanging="600"/>
        <w:spacing w:after="0"/>
        <w:tabs>
          <w:tab w:leader="none" w:pos="1400" w:val="left"/>
        </w:tabs>
        <w:numPr>
          <w:ilvl w:val="0"/>
          <w:numId w:val="2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Stock Appreciation Rights</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firstLine="1678"/>
        <w:spacing w:after="0" w:line="284" w:lineRule="auto"/>
        <w:tabs>
          <w:tab w:leader="none" w:pos="2793"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Stock Appreciation Right Award Agreement</w:t>
      </w:r>
      <w:r>
        <w:rPr>
          <w:rFonts w:ascii="Arial" w:cs="Arial" w:eastAsia="Arial" w:hAnsi="Arial"/>
          <w:sz w:val="21"/>
          <w:szCs w:val="21"/>
          <w:color w:val="auto"/>
        </w:rPr>
        <w:t>. Each Stock Appreciation Right grant will be evidenced by an Award Agreement that will specify the number of Shares subject to the Stock Appreciation Right, its per share Exercise Price, its Expiration Date, and such other terms and conditions as the Administrator determines.</w:t>
      </w:r>
    </w:p>
    <w:p>
      <w:pPr>
        <w:spacing w:after="0" w:line="168" w:lineRule="exact"/>
        <w:rPr>
          <w:rFonts w:ascii="Arial" w:cs="Arial" w:eastAsia="Arial" w:hAnsi="Arial"/>
          <w:sz w:val="21"/>
          <w:szCs w:val="21"/>
          <w:color w:val="auto"/>
        </w:rPr>
      </w:pPr>
    </w:p>
    <w:p>
      <w:pPr>
        <w:jc w:val="both"/>
        <w:ind w:firstLine="1678"/>
        <w:spacing w:after="0" w:line="266" w:lineRule="auto"/>
        <w:tabs>
          <w:tab w:leader="none" w:pos="2793"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Exercise Price of a Stock Appreciation Right will be determined by the Administrator, provided that in the case of a Stock Appreciation Right granted to a U.S. taxpayer, the Exercise Price will be no less than 100% of the Fair Market Value of a Share on the date of grant.</w:t>
      </w:r>
    </w:p>
    <w:p>
      <w:pPr>
        <w:spacing w:after="0" w:line="184" w:lineRule="exact"/>
        <w:rPr>
          <w:rFonts w:ascii="Arial" w:cs="Arial" w:eastAsia="Arial" w:hAnsi="Arial"/>
          <w:sz w:val="22"/>
          <w:szCs w:val="22"/>
          <w:color w:val="auto"/>
        </w:rPr>
      </w:pPr>
    </w:p>
    <w:p>
      <w:pPr>
        <w:jc w:val="both"/>
        <w:ind w:firstLine="1678"/>
        <w:spacing w:after="0" w:line="261" w:lineRule="auto"/>
        <w:tabs>
          <w:tab w:leader="none" w:pos="2793"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Payment of Stock Appreciation Right Amount</w:t>
      </w:r>
      <w:r>
        <w:rPr>
          <w:rFonts w:ascii="Arial" w:cs="Arial" w:eastAsia="Arial" w:hAnsi="Arial"/>
          <w:sz w:val="22"/>
          <w:szCs w:val="22"/>
          <w:color w:val="auto"/>
        </w:rPr>
        <w:t>. Payment upon Stock Appreciation Right exercise may be made in cash, in Shares (which, on the date of exercise, have an aggregate fair market value equal to the amount of payment to be made under the Award), or any combination of cash and Shares, with the determination of form of payment made by the Administrator. When a Participant exercises a Stock Appreciation Right, he or she will be entitled to receive a payment from the Company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2381250</wp:posOffset>
            </wp:positionH>
            <wp:positionV relativeFrom="paragraph">
              <wp:posOffset>-2342515</wp:posOffset>
            </wp:positionV>
            <wp:extent cx="342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p>
      <w:pPr>
        <w:spacing w:after="0" w:line="190"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(i)</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Exercise Price multiplied by</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the excess, if any, between the fair market value on the date of exercise over the</w:t>
      </w:r>
    </w:p>
    <w:p>
      <w:pPr>
        <w:spacing w:after="0" w:line="474" w:lineRule="exact"/>
        <w:rPr>
          <w:sz w:val="20"/>
          <w:szCs w:val="20"/>
          <w:color w:val="auto"/>
        </w:rPr>
      </w:pPr>
    </w:p>
    <w:p>
      <w:pPr>
        <w:sectPr>
          <w:pgSz w:w="11900" w:h="16838" w:orient="portrait"/>
          <w:cols w:equalWidth="0" w:num="2">
            <w:col w:w="3480" w:space="720"/>
            <w:col w:w="7040"/>
          </w:cols>
          <w:pgMar w:left="320" w:top="618" w:right="339" w:bottom="1440" w:gutter="0" w:footer="0" w:header="0"/>
          <w:type w:val="continuous"/>
        </w:sectPr>
      </w:pPr>
    </w:p>
    <w:p>
      <w:pPr>
        <w:spacing w:after="0" w:line="63" w:lineRule="exact"/>
        <w:rPr>
          <w:sz w:val="20"/>
          <w:szCs w:val="20"/>
          <w:color w:val="auto"/>
        </w:rPr>
      </w:pPr>
    </w:p>
    <w:p>
      <w:pPr>
        <w:jc w:val="center"/>
        <w:ind w:left="8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the number of Shares with respect to which the Stock Appreciation Right is</w:t>
      </w:r>
    </w:p>
    <w:p>
      <w:pPr>
        <w:spacing w:after="0" w:line="32" w:lineRule="exact"/>
        <w:rPr>
          <w:sz w:val="20"/>
          <w:szCs w:val="20"/>
          <w:color w:val="auto"/>
        </w:rPr>
      </w:pPr>
    </w:p>
    <w:p>
      <w:pPr>
        <w:sectPr>
          <w:pgSz w:w="11900" w:h="16838" w:orient="portrait"/>
          <w:cols w:equalWidth="0" w:num="2">
            <w:col w:w="3480" w:space="720"/>
            <w:col w:w="7040"/>
          </w:cols>
          <w:pgMar w:left="320" w:top="618" w:right="339" w:bottom="1440" w:gutter="0" w:footer="0" w:header="0"/>
          <w:type w:val="continuous"/>
        </w:sectPr>
      </w:pPr>
    </w:p>
    <w:p>
      <w:pPr>
        <w:spacing w:after="0"/>
        <w:rPr>
          <w:sz w:val="20"/>
          <w:szCs w:val="20"/>
          <w:color w:val="auto"/>
        </w:rPr>
      </w:pPr>
      <w:r>
        <w:rPr>
          <w:rFonts w:ascii="Arial" w:cs="Arial" w:eastAsia="Arial" w:hAnsi="Arial"/>
          <w:sz w:val="19"/>
          <w:szCs w:val="19"/>
          <w:color w:val="auto"/>
        </w:rPr>
        <w:t>exercised.</w:t>
      </w:r>
    </w:p>
    <w:p>
      <w:pPr>
        <w:sectPr>
          <w:pgSz w:w="11900" w:h="16838" w:orient="portrait"/>
          <w:cols w:equalWidth="0" w:num="1">
            <w:col w:w="11240"/>
          </w:cols>
          <w:pgMar w:left="320" w:top="618" w:right="339" w:bottom="1440" w:gutter="0" w:footer="0" w:header="0"/>
          <w:type w:val="continuous"/>
        </w:sectPr>
      </w:pPr>
    </w:p>
    <w:p>
      <w:pPr>
        <w:spacing w:after="0" w:line="263" w:lineRule="exact"/>
        <w:rPr>
          <w:sz w:val="20"/>
          <w:szCs w:val="20"/>
          <w:color w:val="auto"/>
        </w:rPr>
      </w:pPr>
    </w:p>
    <w:p>
      <w:pPr>
        <w:jc w:val="both"/>
        <w:ind w:firstLine="1678"/>
        <w:spacing w:after="0" w:line="271" w:lineRule="auto"/>
        <w:tabs>
          <w:tab w:leader="none" w:pos="2793"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Exercise of Stock Appreciation Right</w:t>
      </w:r>
      <w:r>
        <w:rPr>
          <w:rFonts w:ascii="Arial" w:cs="Arial" w:eastAsia="Arial" w:hAnsi="Arial"/>
          <w:sz w:val="21"/>
          <w:szCs w:val="21"/>
          <w:color w:val="auto"/>
        </w:rPr>
        <w:t>. A Stock Appreciation Right is exercised when the Company receives a notice of exercise (in such form as the Administrator may specify from time to time) from the person entitled to exercise the Stock Appreciation Right. Shares issued upon exercise of a Stock Appreciation Right will be issued in the name of the Participant. Until the Shares are issued (as evidenced by the entry on the books of the Company or of a duly authorized transfer agent of the Company), no right to vote or receive dividends or any other rights as a stockholder will exist with respect to the Shares subject to a Stock Appreciation Right, despite the exercise of the Stock Appreciation Right. The Company will issue (or cause to be issued) such Shares promptly after the Stock Appreciation Right is exercised. A Stock Appreciation Right may not be exercised for a fraction of a Share. Exercising a Stock Appreciation Right in any manner will decrease (x) the number of Shares thereafter available under the Stock Appreciation Right by the number of Shares as to which the Stock Appreciation Right is exercised and (y) the number of Shares thereafter available under the Plan by the number of Shares issued upon such exercise.</w:t>
      </w:r>
    </w:p>
    <w:p>
      <w:pPr>
        <w:spacing w:after="0" w:line="186" w:lineRule="exact"/>
        <w:rPr>
          <w:rFonts w:ascii="Arial" w:cs="Arial" w:eastAsia="Arial" w:hAnsi="Arial"/>
          <w:sz w:val="21"/>
          <w:szCs w:val="21"/>
          <w:color w:val="auto"/>
        </w:rPr>
      </w:pPr>
    </w:p>
    <w:p>
      <w:pPr>
        <w:jc w:val="both"/>
        <w:ind w:firstLine="1678"/>
        <w:spacing w:after="0" w:line="257" w:lineRule="auto"/>
        <w:tabs>
          <w:tab w:leader="none" w:pos="2793"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Expiration of Stock Appreciation Rights</w:t>
      </w:r>
      <w:r>
        <w:rPr>
          <w:rFonts w:ascii="Arial" w:cs="Arial" w:eastAsia="Arial" w:hAnsi="Arial"/>
          <w:sz w:val="22"/>
          <w:szCs w:val="22"/>
          <w:color w:val="auto"/>
        </w:rPr>
        <w:t>. A Stock Appreciation Right’s Expiration Date will be set forth in the Award Agreement. A Stock Appreciation Right may expire before its expiration date under the Plan (including pursuant to Sections 13, 14, or 17(d))or under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type w:val="continuous"/>
        </w:sectPr>
      </w:pPr>
    </w:p>
    <w:bookmarkStart w:id="129" w:name="page130"/>
    <w:bookmarkEnd w:id="129"/>
    <w:p>
      <w:pPr>
        <w:spacing w:after="0" w:line="276" w:lineRule="auto"/>
        <w:rPr>
          <w:sz w:val="20"/>
          <w:szCs w:val="20"/>
          <w:color w:val="auto"/>
        </w:rPr>
      </w:pPr>
      <w:r>
        <w:rPr>
          <w:rFonts w:ascii="Arial" w:cs="Arial" w:eastAsia="Arial" w:hAnsi="Arial"/>
          <w:sz w:val="22"/>
          <w:szCs w:val="22"/>
          <w:color w:val="auto"/>
        </w:rPr>
        <w:t>Award Agreement. Notwithstanding the foregoing, the rules of Section 6(d) relating to the maximum term and Section 6(f) relating to exercise also will apply to Stock Appreciation Rights.</w:t>
      </w:r>
    </w:p>
    <w:p>
      <w:pPr>
        <w:spacing w:after="0" w:line="174" w:lineRule="exact"/>
        <w:rPr>
          <w:sz w:val="20"/>
          <w:szCs w:val="20"/>
          <w:color w:val="auto"/>
        </w:rPr>
      </w:pPr>
    </w:p>
    <w:p>
      <w:pPr>
        <w:jc w:val="both"/>
        <w:ind w:firstLine="1678"/>
        <w:spacing w:after="0" w:line="304" w:lineRule="auto"/>
        <w:tabs>
          <w:tab w:leader="none" w:pos="2793"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Tolling of Expiration</w:t>
      </w:r>
      <w:r>
        <w:rPr>
          <w:rFonts w:ascii="Arial" w:cs="Arial" w:eastAsia="Arial" w:hAnsi="Arial"/>
          <w:sz w:val="19"/>
          <w:szCs w:val="19"/>
          <w:color w:val="auto"/>
        </w:rPr>
        <w:t>. If exercising a Stock Appreciation Right prior to its expiration is not permitted because of Applicable Laws, other than the rules of any stock exchange or quotation system on which the Common Stock is listed or quoted, the Stock Appreciation Right will remain exercisable until 30 days after the first date on which exercise no longer would be prevented by such provisions; provided, however, that this tolling of expiration shall not apply if and to the extent the holder of such Stock Appreciation Right is a United States taxpayer and the tolling would result in a violation of Section 409A such that the Stock Appreciation Right would be subject to additional taxation or interest under Section 409A. If this would result in the Stock Appreciation Right remaining exercisable past its Expiration Date, then unless earlier terminated pursuant to Section 14, the Stock Appreciation Right will remain exercisable only until the end of the later of (x) the first day on which its exercise would not be prevented by Section 20(a) and (y) its Expiration Date.</w:t>
      </w:r>
    </w:p>
    <w:p>
      <w:pPr>
        <w:spacing w:after="0" w:line="155" w:lineRule="exact"/>
        <w:rPr>
          <w:rFonts w:ascii="Arial" w:cs="Arial" w:eastAsia="Arial" w:hAnsi="Arial"/>
          <w:sz w:val="19"/>
          <w:szCs w:val="19"/>
          <w:color w:val="auto"/>
        </w:rPr>
      </w:pPr>
    </w:p>
    <w:p>
      <w:pPr>
        <w:ind w:left="1400" w:hanging="600"/>
        <w:spacing w:after="0"/>
        <w:tabs>
          <w:tab w:leader="none" w:pos="1400" w:val="left"/>
        </w:tabs>
        <w:numPr>
          <w:ilvl w:val="0"/>
          <w:numId w:val="2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Restricted Stock</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firstLine="1678"/>
        <w:spacing w:after="0" w:line="261" w:lineRule="auto"/>
        <w:tabs>
          <w:tab w:leader="none" w:pos="2793"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Restricted Stock Award Agreement</w:t>
      </w:r>
      <w:r>
        <w:rPr>
          <w:rFonts w:ascii="Arial" w:cs="Arial" w:eastAsia="Arial" w:hAnsi="Arial"/>
          <w:sz w:val="22"/>
          <w:szCs w:val="22"/>
          <w:color w:val="auto"/>
        </w:rPr>
        <w:t>. Each Award of Restricted Stock will be evidenced by an Award Agreement that will specify the number of Shares subject to the Award of Restricted Stock and such other terms and conditions as the Administrator determines. For the avoidance of doubt, Restricted Stock may be granted without any Period of Restriction (e.g., fully vested stock bonuses). Unless the Administrator determines otherwise, Shares of Restricted Stock will be held in escrow while unvested.</w:t>
      </w:r>
    </w:p>
    <w:p>
      <w:pPr>
        <w:spacing w:after="0" w:line="190" w:lineRule="exact"/>
        <w:rPr>
          <w:rFonts w:ascii="Arial" w:cs="Arial" w:eastAsia="Arial" w:hAnsi="Arial"/>
          <w:sz w:val="22"/>
          <w:szCs w:val="22"/>
          <w:color w:val="auto"/>
        </w:rPr>
      </w:pPr>
    </w:p>
    <w:p>
      <w:pPr>
        <w:ind w:left="2800" w:hanging="1122"/>
        <w:spacing w:after="0"/>
        <w:tabs>
          <w:tab w:leader="none" w:pos="2800"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Restrictions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-17780</wp:posOffset>
            </wp:positionV>
            <wp:extent cx="342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13" w:lineRule="exact"/>
        <w:rPr>
          <w:sz w:val="20"/>
          <w:szCs w:val="20"/>
          <w:color w:val="auto"/>
        </w:rPr>
      </w:pPr>
    </w:p>
    <w:p>
      <w:pPr>
        <w:jc w:val="both"/>
        <w:ind w:firstLine="2083"/>
        <w:spacing w:after="0" w:line="276" w:lineRule="auto"/>
        <w:rPr>
          <w:sz w:val="20"/>
          <w:szCs w:val="20"/>
          <w:color w:val="auto"/>
        </w:rPr>
      </w:pPr>
      <w:r>
        <w:rPr>
          <w:rFonts w:ascii="Arial" w:cs="Arial" w:eastAsia="Arial" w:hAnsi="Arial"/>
          <w:sz w:val="22"/>
          <w:szCs w:val="22"/>
          <w:color w:val="auto"/>
        </w:rPr>
        <w:t>(i) Except as provided in this Section 8(b) or the Award Agreement, while unvested, Shares of Restricted Stock may not be sold, transferred, pledged, assigned, or otherwise alienated.</w:t>
      </w:r>
    </w:p>
    <w:p>
      <w:pPr>
        <w:spacing w:after="0" w:line="174" w:lineRule="exact"/>
        <w:rPr>
          <w:sz w:val="20"/>
          <w:szCs w:val="20"/>
          <w:color w:val="auto"/>
        </w:rPr>
      </w:pPr>
    </w:p>
    <w:p>
      <w:pPr>
        <w:jc w:val="both"/>
        <w:ind w:firstLine="2035"/>
        <w:spacing w:after="0" w:line="276" w:lineRule="auto"/>
        <w:rPr>
          <w:sz w:val="20"/>
          <w:szCs w:val="20"/>
          <w:color w:val="auto"/>
        </w:rPr>
      </w:pPr>
      <w:r>
        <w:rPr>
          <w:rFonts w:ascii="Arial" w:cs="Arial" w:eastAsia="Arial" w:hAnsi="Arial"/>
          <w:sz w:val="22"/>
          <w:szCs w:val="22"/>
          <w:color w:val="auto"/>
        </w:rPr>
        <w:t>(ii) While unvested, Service Providers holding Shares of Restricted Stock may exercise full voting rights with respect to those Shares, unless the Administrator determines otherwise.</w:t>
      </w:r>
    </w:p>
    <w:p>
      <w:pPr>
        <w:spacing w:after="0" w:line="174" w:lineRule="exact"/>
        <w:rPr>
          <w:sz w:val="20"/>
          <w:szCs w:val="20"/>
          <w:color w:val="auto"/>
        </w:rPr>
      </w:pPr>
    </w:p>
    <w:p>
      <w:pPr>
        <w:ind w:left="2000"/>
        <w:spacing w:after="0"/>
        <w:tabs>
          <w:tab w:leader="none" w:pos="4180" w:val="left"/>
        </w:tabs>
        <w:rPr>
          <w:sz w:val="20"/>
          <w:szCs w:val="20"/>
          <w:color w:val="auto"/>
        </w:rPr>
      </w:pPr>
      <w:r>
        <w:rPr>
          <w:rFonts w:ascii="Arial" w:cs="Arial" w:eastAsia="Arial" w:hAnsi="Arial"/>
          <w:sz w:val="19"/>
          <w:szCs w:val="19"/>
          <w:color w:val="auto"/>
        </w:rPr>
        <w:t>(iii)</w:t>
      </w:r>
      <w:r>
        <w:rPr>
          <w:sz w:val="20"/>
          <w:szCs w:val="20"/>
          <w:color w:val="auto"/>
        </w:rPr>
        <w:tab/>
      </w:r>
      <w:r>
        <w:rPr>
          <w:rFonts w:ascii="Arial" w:cs="Arial" w:eastAsia="Arial" w:hAnsi="Arial"/>
          <w:sz w:val="19"/>
          <w:szCs w:val="19"/>
          <w:color w:val="auto"/>
        </w:rPr>
        <w:t>Service Providers holding a Share covered by an Award of Restricted Stock will</w:t>
      </w:r>
    </w:p>
    <w:p>
      <w:pPr>
        <w:spacing w:after="0" w:line="56" w:lineRule="exact"/>
        <w:rPr>
          <w:sz w:val="20"/>
          <w:szCs w:val="20"/>
          <w:color w:val="auto"/>
        </w:rPr>
      </w:pPr>
    </w:p>
    <w:p>
      <w:pPr>
        <w:jc w:val="both"/>
        <w:spacing w:after="0" w:line="258" w:lineRule="auto"/>
        <w:rPr>
          <w:sz w:val="20"/>
          <w:szCs w:val="20"/>
          <w:color w:val="auto"/>
        </w:rPr>
      </w:pPr>
      <w:r>
        <w:rPr>
          <w:rFonts w:ascii="Arial" w:cs="Arial" w:eastAsia="Arial" w:hAnsi="Arial"/>
          <w:sz w:val="22"/>
          <w:szCs w:val="22"/>
          <w:color w:val="auto"/>
        </w:rPr>
        <w:t>not be entitled to receive dividends and other distributions paid with respect to such Shares while such Shares are unvested, unless the Administrator provides otherwise. If the Administrator provides that dividends and distributions will be received and any such dividends or distributions are paid in cash they will be subject to the same provisions regarding forfeitability as the Shares with respect to which they were paid and if such dividend or distributions are paid in Shares, the Shares will be subject to the same restrictions on transferability and forfeitability as the Shares with respect to which they were paid and, unless the Administrator determines otherwise, the Company will hold such dividends until the restrictions on the Shares with respect to which they were paid have lapsed.</w:t>
      </w:r>
    </w:p>
    <w:p>
      <w:pPr>
        <w:spacing w:after="0" w:line="198" w:lineRule="exact"/>
        <w:rPr>
          <w:sz w:val="20"/>
          <w:szCs w:val="20"/>
          <w:color w:val="auto"/>
        </w:rPr>
      </w:pPr>
    </w:p>
    <w:p>
      <w:pPr>
        <w:jc w:val="both"/>
        <w:ind w:firstLine="1997"/>
        <w:spacing w:after="0" w:line="257" w:lineRule="auto"/>
        <w:rPr>
          <w:sz w:val="20"/>
          <w:szCs w:val="20"/>
          <w:color w:val="auto"/>
        </w:rPr>
      </w:pPr>
      <w:r>
        <w:rPr>
          <w:rFonts w:ascii="Arial" w:cs="Arial" w:eastAsia="Arial" w:hAnsi="Arial"/>
          <w:sz w:val="22"/>
          <w:szCs w:val="22"/>
          <w:color w:val="auto"/>
        </w:rPr>
        <w:t>(iv) Except as otherwise provided in this Section 8(b) or an Award Agreement, a Share covered by each Award of Restricted Stock made under the Plan will be released from escrow when practicable after the last day of the applicable Period of Restriction.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130" w:name="page131"/>
    <w:bookmarkEnd w:id="130"/>
    <w:p>
      <w:pPr>
        <w:ind w:right="20" w:firstLine="2045"/>
        <w:spacing w:after="0" w:line="276" w:lineRule="auto"/>
        <w:rPr>
          <w:sz w:val="20"/>
          <w:szCs w:val="20"/>
          <w:color w:val="auto"/>
        </w:rPr>
      </w:pPr>
      <w:r>
        <w:rPr>
          <w:rFonts w:ascii="Arial" w:cs="Arial" w:eastAsia="Arial" w:hAnsi="Arial"/>
          <w:sz w:val="22"/>
          <w:szCs w:val="22"/>
          <w:color w:val="auto"/>
        </w:rPr>
        <w:t>(v) The Administrator may impose (prior to grant) or remove (at any time) any restrictions on Shares covered by an Award of Restricted Stock.</w:t>
      </w:r>
    </w:p>
    <w:p>
      <w:pPr>
        <w:spacing w:after="0" w:line="174" w:lineRule="exact"/>
        <w:rPr>
          <w:sz w:val="20"/>
          <w:szCs w:val="20"/>
          <w:color w:val="auto"/>
        </w:rPr>
      </w:pPr>
    </w:p>
    <w:p>
      <w:pPr>
        <w:ind w:left="1400" w:hanging="600"/>
        <w:spacing w:after="0"/>
        <w:tabs>
          <w:tab w:leader="none" w:pos="1400" w:val="left"/>
        </w:tabs>
        <w:numPr>
          <w:ilvl w:val="0"/>
          <w:numId w:val="3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firstLine="1678"/>
        <w:spacing w:after="0" w:line="266" w:lineRule="auto"/>
        <w:tabs>
          <w:tab w:leader="none" w:pos="2793"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Restricted Stock Unit Award Agreement</w:t>
      </w:r>
      <w:r>
        <w:rPr>
          <w:rFonts w:ascii="Arial" w:cs="Arial" w:eastAsia="Arial" w:hAnsi="Arial"/>
          <w:sz w:val="22"/>
          <w:szCs w:val="22"/>
          <w:color w:val="auto"/>
        </w:rPr>
        <w:t>. Each Award of Restricted Stock Units will be evidenced by an Award Agreement that will specify the number of Restricted Stock Units subject to the Award of Restricted Stock Units and such other terms and conditions as the Administrator determines.</w:t>
      </w:r>
    </w:p>
    <w:p>
      <w:pPr>
        <w:spacing w:after="0" w:line="184" w:lineRule="exact"/>
        <w:rPr>
          <w:rFonts w:ascii="Arial" w:cs="Arial" w:eastAsia="Arial" w:hAnsi="Arial"/>
          <w:sz w:val="22"/>
          <w:szCs w:val="22"/>
          <w:color w:val="auto"/>
        </w:rPr>
      </w:pPr>
    </w:p>
    <w:p>
      <w:pPr>
        <w:jc w:val="both"/>
        <w:ind w:firstLine="1678"/>
        <w:spacing w:after="0" w:line="261" w:lineRule="auto"/>
        <w:tabs>
          <w:tab w:leader="none" w:pos="2793"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Vesting Criteria and Other Terms</w:t>
      </w:r>
      <w:r>
        <w:rPr>
          <w:rFonts w:ascii="Arial" w:cs="Arial" w:eastAsia="Arial" w:hAnsi="Arial"/>
          <w:sz w:val="22"/>
          <w:szCs w:val="22"/>
          <w:color w:val="auto"/>
        </w:rPr>
        <w:t>. The Administrator will set vesting criteria, if any, that, depending on the extent to which the criteria are met, will determine the number of Restricted Stock Units paid out to the Participant. The Administrator may set vesting criteria based upon the achievement of Company-wide, divisional, business unit, or individual goals (that may include continued employment or service) or any other basis determined by the Administrator in its sole discretion.</w:t>
      </w:r>
    </w:p>
    <w:p>
      <w:pPr>
        <w:spacing w:after="0" w:line="190" w:lineRule="exact"/>
        <w:rPr>
          <w:rFonts w:ascii="Arial" w:cs="Arial" w:eastAsia="Arial" w:hAnsi="Arial"/>
          <w:sz w:val="22"/>
          <w:szCs w:val="22"/>
          <w:color w:val="auto"/>
        </w:rPr>
      </w:pPr>
    </w:p>
    <w:p>
      <w:pPr>
        <w:jc w:val="both"/>
        <w:ind w:firstLine="1678"/>
        <w:spacing w:after="0" w:line="266" w:lineRule="auto"/>
        <w:tabs>
          <w:tab w:leader="none" w:pos="2793"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Earning Restricted Stock Units</w:t>
      </w:r>
      <w:r>
        <w:rPr>
          <w:rFonts w:ascii="Arial" w:cs="Arial" w:eastAsia="Arial" w:hAnsi="Arial"/>
          <w:sz w:val="22"/>
          <w:szCs w:val="22"/>
          <w:color w:val="auto"/>
        </w:rPr>
        <w:t>. Upon meeting any applicable vesting criteria, the Participant will have earned the Restricted Stock Units and will be paid as determined in Section 9(d). The Administrator may reduce or waive any criteria that must be met to earn the Restricted Stock Units.</w:t>
      </w:r>
    </w:p>
    <w:p>
      <w:pPr>
        <w:spacing w:after="0" w:line="184" w:lineRule="exact"/>
        <w:rPr>
          <w:rFonts w:ascii="Arial" w:cs="Arial" w:eastAsia="Arial" w:hAnsi="Arial"/>
          <w:sz w:val="22"/>
          <w:szCs w:val="22"/>
          <w:color w:val="auto"/>
        </w:rPr>
      </w:pPr>
    </w:p>
    <w:p>
      <w:pPr>
        <w:jc w:val="both"/>
        <w:ind w:firstLine="1678"/>
        <w:spacing w:after="0" w:line="284" w:lineRule="auto"/>
        <w:tabs>
          <w:tab w:leader="none" w:pos="2793" w:val="left"/>
        </w:tabs>
        <w:numPr>
          <w:ilvl w:val="1"/>
          <w:numId w:val="30"/>
        </w:numPr>
        <w:rPr>
          <w:rFonts w:ascii="Arial" w:cs="Arial" w:eastAsia="Arial" w:hAnsi="Arial"/>
          <w:sz w:val="21"/>
          <w:szCs w:val="21"/>
          <w:color w:val="auto"/>
        </w:rPr>
      </w:pPr>
      <w:r>
        <w:rPr>
          <w:rFonts w:ascii="Arial" w:cs="Arial" w:eastAsia="Arial" w:hAnsi="Arial"/>
          <w:sz w:val="21"/>
          <w:szCs w:val="21"/>
          <w:u w:val="single" w:color="auto"/>
          <w:color w:val="auto"/>
        </w:rPr>
        <w:t>Form and Timing of Payment</w:t>
      </w:r>
      <w:r>
        <w:rPr>
          <w:rFonts w:ascii="Arial" w:cs="Arial" w:eastAsia="Arial" w:hAnsi="Arial"/>
          <w:sz w:val="21"/>
          <w:szCs w:val="21"/>
          <w:color w:val="auto"/>
        </w:rPr>
        <w:t>. Payment of earned Restricted Stock Units will be made at the time(s) set forth in the Award Agreement and determined by the Administrator. Unless otherwise provided in the Award Agreement, the Administrator may settle earned Restricted Stock Units in cash, Shares, or a combination of both.</w:t>
      </w:r>
    </w:p>
    <w:p>
      <w:pPr>
        <w:spacing w:after="0" w:line="168" w:lineRule="exact"/>
        <w:rPr>
          <w:rFonts w:ascii="Arial" w:cs="Arial" w:eastAsia="Arial" w:hAnsi="Arial"/>
          <w:sz w:val="21"/>
          <w:szCs w:val="21"/>
          <w:color w:val="auto"/>
        </w:rPr>
      </w:pPr>
    </w:p>
    <w:p>
      <w:pPr>
        <w:ind w:left="1400" w:hanging="600"/>
        <w:spacing w:after="0"/>
        <w:tabs>
          <w:tab w:leader="none" w:pos="1400" w:val="left"/>
        </w:tabs>
        <w:numPr>
          <w:ilvl w:val="0"/>
          <w:numId w:val="3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Performance Awards</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firstLine="1678"/>
        <w:spacing w:after="0" w:line="284" w:lineRule="auto"/>
        <w:tabs>
          <w:tab w:leader="none" w:pos="2793" w:val="left"/>
        </w:tabs>
        <w:numPr>
          <w:ilvl w:val="1"/>
          <w:numId w:val="30"/>
        </w:numPr>
        <w:rPr>
          <w:rFonts w:ascii="Arial" w:cs="Arial" w:eastAsia="Arial" w:hAnsi="Arial"/>
          <w:sz w:val="21"/>
          <w:szCs w:val="21"/>
          <w:color w:val="auto"/>
        </w:rPr>
      </w:pPr>
      <w:r>
        <w:rPr>
          <w:rFonts w:ascii="Arial" w:cs="Arial" w:eastAsia="Arial" w:hAnsi="Arial"/>
          <w:sz w:val="21"/>
          <w:szCs w:val="21"/>
          <w:u w:val="single" w:color="auto"/>
          <w:color w:val="auto"/>
        </w:rPr>
        <w:t>Award Agreement</w:t>
      </w:r>
      <w:r>
        <w:rPr>
          <w:rFonts w:ascii="Arial" w:cs="Arial" w:eastAsia="Arial" w:hAnsi="Arial"/>
          <w:sz w:val="21"/>
          <w:szCs w:val="21"/>
          <w:color w:val="auto"/>
        </w:rPr>
        <w:t>. Each Performance Award will be evidenced by an Award Agreement that will specify the specify any time period during which any performance objectives or other vesting provisions, if any, will be measured (“</w:t>
      </w:r>
      <w:r>
        <w:rPr>
          <w:rFonts w:ascii="Arial" w:cs="Arial" w:eastAsia="Arial" w:hAnsi="Arial"/>
          <w:sz w:val="21"/>
          <w:szCs w:val="21"/>
          <w:u w:val="single" w:color="auto"/>
          <w:color w:val="auto"/>
        </w:rPr>
        <w:t>Performance Period</w:t>
      </w:r>
      <w:r>
        <w:rPr>
          <w:rFonts w:ascii="Arial" w:cs="Arial" w:eastAsia="Arial" w:hAnsi="Arial"/>
          <w:sz w:val="21"/>
          <w:szCs w:val="21"/>
          <w:color w:val="auto"/>
        </w:rPr>
        <w:t>”), and such other terms and conditions as the Administrator determines.</w:t>
      </w:r>
    </w:p>
    <w:p>
      <w:pPr>
        <w:spacing w:after="0" w:line="168" w:lineRule="exact"/>
        <w:rPr>
          <w:rFonts w:ascii="Arial" w:cs="Arial" w:eastAsia="Arial" w:hAnsi="Arial"/>
          <w:sz w:val="21"/>
          <w:szCs w:val="21"/>
          <w:color w:val="auto"/>
        </w:rPr>
      </w:pPr>
    </w:p>
    <w:p>
      <w:pPr>
        <w:jc w:val="both"/>
        <w:ind w:firstLine="1678"/>
        <w:spacing w:after="0" w:line="261" w:lineRule="auto"/>
        <w:tabs>
          <w:tab w:leader="none" w:pos="2793"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Objectives or Vesting Provisions and Other Terms</w:t>
      </w:r>
      <w:r>
        <w:rPr>
          <w:rFonts w:ascii="Arial" w:cs="Arial" w:eastAsia="Arial" w:hAnsi="Arial"/>
          <w:sz w:val="22"/>
          <w:szCs w:val="22"/>
          <w:color w:val="auto"/>
        </w:rPr>
        <w:t>. The Administrator will set objectives or vesting provisions that, depending on the extent to which the objectives or vesting provisions are met, will determine the value of the payout for the Performance Awards. The Administrator may set vesting criteria based upon the achievement of Company-wide, divisional, business unit, or individual goals (that may include continued employment or service) or any other basis determined by the Administrator in its sole discretion.</w:t>
      </w:r>
    </w:p>
    <w:p>
      <w:pPr>
        <w:spacing w:after="0" w:line="190" w:lineRule="exact"/>
        <w:rPr>
          <w:rFonts w:ascii="Arial" w:cs="Arial" w:eastAsia="Arial" w:hAnsi="Arial"/>
          <w:sz w:val="22"/>
          <w:szCs w:val="22"/>
          <w:color w:val="auto"/>
        </w:rPr>
      </w:pPr>
    </w:p>
    <w:p>
      <w:pPr>
        <w:jc w:val="both"/>
        <w:ind w:firstLine="1678"/>
        <w:spacing w:after="0" w:line="269" w:lineRule="auto"/>
        <w:tabs>
          <w:tab w:leader="none" w:pos="2793" w:val="left"/>
        </w:tabs>
        <w:numPr>
          <w:ilvl w:val="1"/>
          <w:numId w:val="30"/>
        </w:numPr>
        <w:rPr>
          <w:rFonts w:ascii="Arial" w:cs="Arial" w:eastAsia="Arial" w:hAnsi="Arial"/>
          <w:sz w:val="21"/>
          <w:szCs w:val="21"/>
          <w:color w:val="auto"/>
        </w:rPr>
      </w:pPr>
      <w:r>
        <w:rPr>
          <w:rFonts w:ascii="Arial" w:cs="Arial" w:eastAsia="Arial" w:hAnsi="Arial"/>
          <w:sz w:val="21"/>
          <w:szCs w:val="21"/>
          <w:u w:val="single" w:color="auto"/>
          <w:color w:val="auto"/>
        </w:rPr>
        <w:t>Form and Timing of Payment</w:t>
      </w:r>
      <w:r>
        <w:rPr>
          <w:rFonts w:ascii="Arial" w:cs="Arial" w:eastAsia="Arial" w:hAnsi="Arial"/>
          <w:sz w:val="21"/>
          <w:szCs w:val="21"/>
          <w:color w:val="auto"/>
        </w:rPr>
        <w:t>. Payment of earned Performance Awards will be made at the time(s) specified in the Award Agreement. Payment with respect to earned Performance Awards will be made in cash, in Shares of equivalent value, or any combination of cash and Shares, with the determination of form of payment made by the Administrator at the time of payment or, in the discretion of the Administrator,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-1539240</wp:posOffset>
            </wp:positionV>
            <wp:extent cx="596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131" w:name="page132"/>
    <w:bookmarkEnd w:id="131"/>
    <w:p>
      <w:pPr>
        <w:ind w:firstLine="1678"/>
        <w:spacing w:after="0" w:line="276" w:lineRule="auto"/>
        <w:tabs>
          <w:tab w:leader="none" w:pos="2793"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Value of Performance Awards</w:t>
      </w:r>
      <w:r>
        <w:rPr>
          <w:rFonts w:ascii="Arial" w:cs="Arial" w:eastAsia="Arial" w:hAnsi="Arial"/>
          <w:sz w:val="22"/>
          <w:szCs w:val="22"/>
          <w:color w:val="auto"/>
        </w:rPr>
        <w:t>. Each Performance Award’s threshold, target, and maximum payout values will be established by the Administrator on or before the Grant Date.</w:t>
      </w:r>
    </w:p>
    <w:p>
      <w:pPr>
        <w:spacing w:after="0" w:line="174" w:lineRule="exact"/>
        <w:rPr>
          <w:rFonts w:ascii="Arial" w:cs="Arial" w:eastAsia="Arial" w:hAnsi="Arial"/>
          <w:sz w:val="22"/>
          <w:szCs w:val="22"/>
          <w:color w:val="auto"/>
        </w:rPr>
      </w:pPr>
    </w:p>
    <w:p>
      <w:pPr>
        <w:jc w:val="both"/>
        <w:ind w:firstLine="1678"/>
        <w:spacing w:after="0" w:line="262" w:lineRule="auto"/>
        <w:tabs>
          <w:tab w:leader="none" w:pos="2793"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Earning Performance Awards</w:t>
      </w:r>
      <w:r>
        <w:rPr>
          <w:rFonts w:ascii="Arial" w:cs="Arial" w:eastAsia="Arial" w:hAnsi="Arial"/>
          <w:sz w:val="22"/>
          <w:szCs w:val="22"/>
          <w:color w:val="auto"/>
        </w:rPr>
        <w:t>. After an applicable Performance Period has ended, the holder of a Performance Award will be entitled to receive a payout for the Performance Award earned by the Participant over the Performance Period. The Administrator may reduce or waive any performance objectives or other vesting provisions for such Performance Award.</w:t>
      </w:r>
    </w:p>
    <w:p>
      <w:pPr>
        <w:spacing w:after="0" w:line="191" w:lineRule="exact"/>
        <w:rPr>
          <w:rFonts w:ascii="Arial" w:cs="Arial" w:eastAsia="Arial" w:hAnsi="Arial"/>
          <w:sz w:val="22"/>
          <w:szCs w:val="22"/>
          <w:color w:val="auto"/>
        </w:rPr>
      </w:pPr>
    </w:p>
    <w:p>
      <w:pPr>
        <w:ind w:left="1400" w:hanging="600"/>
        <w:spacing w:after="0"/>
        <w:tabs>
          <w:tab w:leader="none" w:pos="1400" w:val="left"/>
        </w:tabs>
        <w:numPr>
          <w:ilvl w:val="0"/>
          <w:numId w:val="32"/>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Leaves of Absence/ Reduced or Part-time Work Schedule/Transfer Between Locations/Change of Status</w:t>
      </w:r>
      <w:r>
        <w:rPr>
          <w:rFonts w:ascii="Arial" w:cs="Arial" w:eastAsia="Arial" w:hAnsi="Arial"/>
          <w:sz w:val="21"/>
          <w:szCs w:val="21"/>
          <w:color w:val="auto"/>
        </w:rPr>
        <w:t>.</w:t>
      </w:r>
    </w:p>
    <w:p>
      <w:pPr>
        <w:spacing w:after="0" w:line="244" w:lineRule="exact"/>
        <w:rPr>
          <w:rFonts w:ascii="Arial" w:cs="Arial" w:eastAsia="Arial" w:hAnsi="Arial"/>
          <w:sz w:val="21"/>
          <w:szCs w:val="21"/>
          <w:u w:val="single" w:color="auto"/>
          <w:color w:val="auto"/>
        </w:rPr>
      </w:pPr>
    </w:p>
    <w:p>
      <w:pPr>
        <w:jc w:val="both"/>
        <w:ind w:firstLine="1678"/>
        <w:spacing w:after="0" w:line="303" w:lineRule="auto"/>
        <w:tabs>
          <w:tab w:leader="none" w:pos="2793"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Leaves of Absence/ Reduced or Part-time Work Schedule/Transfer Between Locations</w:t>
      </w:r>
      <w:r>
        <w:rPr>
          <w:rFonts w:ascii="Arial" w:cs="Arial" w:eastAsia="Arial" w:hAnsi="Arial"/>
          <w:sz w:val="19"/>
          <w:szCs w:val="19"/>
          <w:color w:val="auto"/>
        </w:rPr>
        <w:t>. Unless the Administrator provides otherwise or as otherwise required by Applicable Laws, vesting of Awards granted hereunder will be adjusted or suspended during any unpaid leave of absence in accordance with the Company’s leave of absence policy in effect at the time of such leave. A Participant will not cease to be an Employee in the case of (i) any leave of absence approved by the Company or (ii) transfers between locations of the Company or within the Company Group. In addition, unless the Administrator provides otherwise or as otherwise required by Applicable Laws, if, after the date of grant of a Participant’s Award, the Participant commences working on a part-time or reduced work schedule basis, the vesting of such Award will be adjusted in accordance with the Company’s reduced work schedule/ part-time policy then in effect. Adjustments or suspensions of vesting pursuant to this Section shall be accomplished in a manner that is exempt from or complies with the requirements of Code Section 409A and the regulations and guidance thereunder.</w:t>
      </w:r>
    </w:p>
    <w:p>
      <w:pPr>
        <w:spacing w:after="0" w:line="157" w:lineRule="exact"/>
        <w:rPr>
          <w:rFonts w:ascii="Arial" w:cs="Arial" w:eastAsia="Arial" w:hAnsi="Arial"/>
          <w:sz w:val="19"/>
          <w:szCs w:val="19"/>
          <w:color w:val="auto"/>
        </w:rPr>
      </w:pPr>
    </w:p>
    <w:p>
      <w:pPr>
        <w:jc w:val="both"/>
        <w:ind w:firstLine="1678"/>
        <w:spacing w:after="0" w:line="266" w:lineRule="auto"/>
        <w:tabs>
          <w:tab w:leader="none" w:pos="2793"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Employment Status</w:t>
      </w:r>
      <w:r>
        <w:rPr>
          <w:rFonts w:ascii="Arial" w:cs="Arial" w:eastAsia="Arial" w:hAnsi="Arial"/>
          <w:sz w:val="22"/>
          <w:szCs w:val="22"/>
          <w:color w:val="auto"/>
        </w:rPr>
        <w:t>. A Participant will not cease to be a Service Provider in the case of (i) any leave of absence approved by the Company or (ii) transfers between locations of the Company (or member of the Company Group) or between the Company or any member of the Company Group.</w:t>
      </w:r>
    </w:p>
    <w:p>
      <w:pPr>
        <w:spacing w:after="0" w:line="184" w:lineRule="exact"/>
        <w:rPr>
          <w:rFonts w:ascii="Arial" w:cs="Arial" w:eastAsia="Arial" w:hAnsi="Arial"/>
          <w:sz w:val="22"/>
          <w:szCs w:val="22"/>
          <w:color w:val="auto"/>
        </w:rPr>
      </w:pPr>
    </w:p>
    <w:p>
      <w:pPr>
        <w:jc w:val="both"/>
        <w:ind w:firstLine="1678"/>
        <w:spacing w:after="0" w:line="261" w:lineRule="auto"/>
        <w:tabs>
          <w:tab w:leader="none" w:pos="2793"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Incentive Stock Options</w:t>
      </w:r>
      <w:r>
        <w:rPr>
          <w:rFonts w:ascii="Arial" w:cs="Arial" w:eastAsia="Arial" w:hAnsi="Arial"/>
          <w:sz w:val="22"/>
          <w:szCs w:val="22"/>
          <w:color w:val="auto"/>
        </w:rPr>
        <w:t>. With respect to Incentive Stock Options, no such leave may exceed 3 months, unless reemployment upon expiration of such leave is guaranteed by statute or contract. If reemployment upon expiration of a leave of absence approved by the Company is not so guaranteed, then 6 months following the first day of such leave any Incentive Stock Option held by a Participant will cease to be treated as an Incentive Stock Option and will be treated for tax purposes as a Nonstatutory Stock Option.</w:t>
      </w:r>
    </w:p>
    <w:p>
      <w:pPr>
        <w:spacing w:after="0" w:line="190" w:lineRule="exact"/>
        <w:rPr>
          <w:rFonts w:ascii="Arial" w:cs="Arial" w:eastAsia="Arial" w:hAnsi="Arial"/>
          <w:sz w:val="22"/>
          <w:szCs w:val="22"/>
          <w:color w:val="auto"/>
        </w:rPr>
      </w:pPr>
    </w:p>
    <w:p>
      <w:pPr>
        <w:jc w:val="both"/>
        <w:ind w:firstLine="800"/>
        <w:spacing w:after="0" w:line="276" w:lineRule="auto"/>
        <w:tabs>
          <w:tab w:leader="none" w:pos="1397" w:val="left"/>
        </w:tabs>
        <w:numPr>
          <w:ilvl w:val="0"/>
          <w:numId w:val="32"/>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Transferability of Awards</w:t>
      </w:r>
      <w:r>
        <w:rPr>
          <w:rFonts w:ascii="Arial" w:cs="Arial" w:eastAsia="Arial" w:hAnsi="Arial"/>
          <w:sz w:val="21"/>
          <w:szCs w:val="21"/>
          <w:color w:val="auto"/>
        </w:rPr>
        <w:t>. Unless determined otherwise by the Administrator, or otherwise required by Applicable Laws,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the Award will be limited by any additional terms and conditions imposed by the Administrator. Any unauthorized transfer of an Award will be void.</w:t>
      </w:r>
    </w:p>
    <w:p>
      <w:pPr>
        <w:spacing w:after="0" w:line="177" w:lineRule="exact"/>
        <w:rPr>
          <w:rFonts w:ascii="Arial" w:cs="Arial" w:eastAsia="Arial" w:hAnsi="Arial"/>
          <w:sz w:val="21"/>
          <w:szCs w:val="21"/>
          <w:u w:val="single" w:color="auto"/>
          <w:color w:val="auto"/>
        </w:rPr>
      </w:pPr>
    </w:p>
    <w:p>
      <w:pPr>
        <w:ind w:left="1400" w:hanging="600"/>
        <w:spacing w:after="0"/>
        <w:tabs>
          <w:tab w:leader="none" w:pos="1400" w:val="left"/>
        </w:tabs>
        <w:numPr>
          <w:ilvl w:val="0"/>
          <w:numId w:val="3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Adjustments; Dissolution or Liquidation</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firstLine="1678"/>
        <w:spacing w:after="0" w:line="257" w:lineRule="auto"/>
        <w:tabs>
          <w:tab w:leader="none" w:pos="2793"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If any extraordinary dividend or other extraordinary distribution (whether in cash, Shares, other securities, or other property), recapitalization, stock split, reverse stock split, reorganization, merger, consolidation, split-up, spin-off, combination, reclassification,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132" w:name="page133"/>
    <w:bookmarkEnd w:id="132"/>
    <w:p>
      <w:pPr>
        <w:jc w:val="both"/>
        <w:spacing w:after="0" w:line="305" w:lineRule="auto"/>
        <w:rPr>
          <w:sz w:val="20"/>
          <w:szCs w:val="20"/>
          <w:color w:val="auto"/>
        </w:rPr>
      </w:pPr>
      <w:r>
        <w:rPr>
          <w:rFonts w:ascii="Arial" w:cs="Arial" w:eastAsia="Arial" w:hAnsi="Arial"/>
          <w:sz w:val="19"/>
          <w:szCs w:val="19"/>
          <w:color w:val="auto"/>
        </w:rPr>
        <w:t>repurchase, or exchange of Shares or other securities of the Company, other change in the corporate structure of the Company affecting the Shares, or any similar equity restructuring transaction, as that term is used in Statement of Financial Accounting Standards Board Accounting Standards Codification Topic 718 (or any of its successors) affecting the Shares occurs (including a Change in Control), the Administrator, to prevent diminution or enlargement of the benefits or potential benefits intended to be provided under the Plan, will adjust the number and class of shares that may be delivered under the Plan and/or the number, class, and price of shares covered by each outstanding Award, and the numerical Share limits in Section 3. Notwithstanding the foregoing, the conversion of any convertible securities of the Company and ordinary course repurchases of Shares or other securities of the Company will not be treated as an event that will require adjustment.</w:t>
      </w:r>
    </w:p>
    <w:p>
      <w:pPr>
        <w:spacing w:after="0" w:line="155" w:lineRule="exact"/>
        <w:rPr>
          <w:sz w:val="20"/>
          <w:szCs w:val="20"/>
          <w:color w:val="auto"/>
        </w:rPr>
      </w:pPr>
    </w:p>
    <w:p>
      <w:pPr>
        <w:jc w:val="both"/>
        <w:ind w:firstLine="1678"/>
        <w:spacing w:after="0" w:line="262" w:lineRule="auto"/>
        <w:tabs>
          <w:tab w:leader="none" w:pos="2793"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Dissolution or Liquidation</w:t>
      </w:r>
      <w:r>
        <w:rPr>
          <w:rFonts w:ascii="Arial" w:cs="Arial" w:eastAsia="Arial" w:hAnsi="Arial"/>
          <w:sz w:val="22"/>
          <w:szCs w:val="22"/>
          <w:color w:val="auto"/>
        </w:rPr>
        <w:t>. In the event of the proposed dissolution or liquidation of the Company, the Administrator will notify each Participant, at such time prior to the effective date of such proposed transaction as the Administrator determines. To the extent it has not been previously exercised, an Award will terminate immediately prior to the consummation of such proposed action.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7" w:lineRule="exact"/>
        <w:rPr>
          <w:rFonts w:ascii="Arial" w:cs="Arial" w:eastAsia="Arial" w:hAnsi="Arial"/>
          <w:sz w:val="22"/>
          <w:szCs w:val="22"/>
          <w:color w:val="auto"/>
        </w:rPr>
      </w:pPr>
    </w:p>
    <w:p>
      <w:pPr>
        <w:ind w:left="1400" w:hanging="600"/>
        <w:spacing w:after="0"/>
        <w:tabs>
          <w:tab w:leader="none" w:pos="1400" w:val="left"/>
        </w:tabs>
        <w:numPr>
          <w:ilvl w:val="0"/>
          <w:numId w:val="3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Change in Control or Merger</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firstLine="1678"/>
        <w:spacing w:after="0" w:line="261" w:lineRule="auto"/>
        <w:tabs>
          <w:tab w:leader="none" w:pos="2793"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Administrator Discretion</w:t>
      </w:r>
      <w:r>
        <w:rPr>
          <w:rFonts w:ascii="Arial" w:cs="Arial" w:eastAsia="Arial" w:hAnsi="Arial"/>
          <w:sz w:val="22"/>
          <w:szCs w:val="22"/>
          <w:color w:val="auto"/>
        </w:rPr>
        <w:t>. If a Change in Control or a merger of the Company with or into another entity occurs (each, a “</w:t>
      </w:r>
      <w:r>
        <w:rPr>
          <w:rFonts w:ascii="Arial" w:cs="Arial" w:eastAsia="Arial" w:hAnsi="Arial"/>
          <w:sz w:val="22"/>
          <w:szCs w:val="22"/>
          <w:u w:val="single" w:color="auto"/>
          <w:color w:val="auto"/>
        </w:rPr>
        <w:t>Transaction</w:t>
      </w:r>
      <w:r>
        <w:rPr>
          <w:rFonts w:ascii="Arial" w:cs="Arial" w:eastAsia="Arial" w:hAnsi="Arial"/>
          <w:sz w:val="22"/>
          <w:szCs w:val="22"/>
          <w:color w:val="auto"/>
        </w:rPr>
        <w:t>”), each outstanding Award will be treated as the Administrator determines (subject to the provisions of this Section), without a Participant’s consent, including that such Award be continued by the successor corporation or a Parent or Subsidiary of the successor corporation (or an affiliate thereof) or that the vesting of any such Awards may accelerate automatically upon consummation of a Transaction.</w:t>
      </w:r>
    </w:p>
    <w:p>
      <w:pPr>
        <w:spacing w:after="0" w:line="190" w:lineRule="exact"/>
        <w:rPr>
          <w:rFonts w:ascii="Arial" w:cs="Arial" w:eastAsia="Arial" w:hAnsi="Arial"/>
          <w:sz w:val="22"/>
          <w:szCs w:val="22"/>
          <w:color w:val="auto"/>
        </w:rPr>
      </w:pPr>
    </w:p>
    <w:p>
      <w:pPr>
        <w:jc w:val="both"/>
        <w:ind w:firstLine="1678"/>
        <w:spacing w:after="0" w:line="262" w:lineRule="auto"/>
        <w:tabs>
          <w:tab w:leader="none" w:pos="2793"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Identical Treatment Not Required</w:t>
      </w:r>
      <w:r>
        <w:rPr>
          <w:rFonts w:ascii="Arial" w:cs="Arial" w:eastAsia="Arial" w:hAnsi="Arial"/>
          <w:sz w:val="22"/>
          <w:szCs w:val="22"/>
          <w:color w:val="auto"/>
        </w:rPr>
        <w:t>. The Administrator need not take the same action or actions with respect to all Awards or portions thereof or with respect to all Participants. The Administrator may take different actions with respect to the vested and unvested portions of an Award. The Administrator will not be required to treat all Awards similarly in the Transaction.</w:t>
      </w:r>
    </w:p>
    <w:p>
      <w:pPr>
        <w:spacing w:after="0" w:line="191" w:lineRule="exact"/>
        <w:rPr>
          <w:rFonts w:ascii="Arial" w:cs="Arial" w:eastAsia="Arial" w:hAnsi="Arial"/>
          <w:sz w:val="22"/>
          <w:szCs w:val="22"/>
          <w:color w:val="auto"/>
        </w:rPr>
      </w:pPr>
    </w:p>
    <w:p>
      <w:pPr>
        <w:ind w:left="2800" w:hanging="1122"/>
        <w:spacing w:after="0"/>
        <w:tabs>
          <w:tab w:leader="none" w:pos="2800"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Continuation</w:t>
      </w:r>
      <w:r>
        <w:rPr>
          <w:rFonts w:ascii="Arial" w:cs="Arial" w:eastAsia="Arial" w:hAnsi="Arial"/>
          <w:sz w:val="21"/>
          <w:szCs w:val="21"/>
          <w:color w:val="auto"/>
        </w:rPr>
        <w:t>. An Award will be considered continued if, following the Change in Control or</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2557780</wp:posOffset>
            </wp:positionH>
            <wp:positionV relativeFrom="paragraph">
              <wp:posOffset>-2317750</wp:posOffset>
            </wp:positionV>
            <wp:extent cx="342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jc w:val="both"/>
        <w:ind w:firstLine="2083"/>
        <w:spacing w:after="0" w:line="297" w:lineRule="auto"/>
        <w:rPr>
          <w:sz w:val="20"/>
          <w:szCs w:val="20"/>
          <w:color w:val="auto"/>
        </w:rPr>
      </w:pPr>
      <w:r>
        <w:rPr>
          <w:rFonts w:ascii="Arial" w:cs="Arial" w:eastAsia="Arial" w:hAnsi="Arial"/>
          <w:sz w:val="19"/>
          <w:szCs w:val="19"/>
          <w:color w:val="auto"/>
        </w:rPr>
        <w:t>(i) the Award confers the right to purchase or receive, for each Share subject to the Award immediately prior to the Transaction, the consideration (whether stock, cash, or other securities or property) received in the Transaction by holders of Shares for each Share held on the effective date of the Transaction (and if holders were offered a choice of consideration, the type of consideration received by the holders of a majority of the outstanding Shares) and the Award otherwise is continued in accordance with its terms (including vesting criteria), subject to Section 14(c)(iii) below and Section 13(a); provided that if the consideration received in the Transaction is not solely common stock of the successor corporation or its Parent, the Administrator may, with the consent of the successor corporation, provide for the consideration to be received upon exercising an Option or Stock Appreciation Right or upon the payout of a Restricted Stock Unit, or Performance Award, for each Share subject to such Award, to be solely common stock of the successor corporation or its Parent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133" w:name="page134"/>
    <w:bookmarkEnd w:id="133"/>
    <w:p>
      <w:pPr>
        <w:spacing w:after="0"/>
        <w:rPr>
          <w:sz w:val="20"/>
          <w:szCs w:val="20"/>
          <w:color w:val="auto"/>
        </w:rPr>
      </w:pPr>
      <w:r>
        <w:rPr>
          <w:rFonts w:ascii="Arial" w:cs="Arial" w:eastAsia="Arial" w:hAnsi="Arial"/>
          <w:sz w:val="21"/>
          <w:szCs w:val="21"/>
          <w:color w:val="auto"/>
        </w:rPr>
        <w:t>equal in fair market value to the per share consideration received by holders of Common Stock in the Transaction; or</w:t>
      </w:r>
    </w:p>
    <w:p>
      <w:pPr>
        <w:spacing w:after="0" w:line="245" w:lineRule="exact"/>
        <w:rPr>
          <w:sz w:val="20"/>
          <w:szCs w:val="20"/>
          <w:color w:val="auto"/>
        </w:rPr>
      </w:pPr>
    </w:p>
    <w:p>
      <w:pPr>
        <w:jc w:val="both"/>
        <w:ind w:firstLine="2035"/>
        <w:spacing w:after="0" w:line="273" w:lineRule="auto"/>
        <w:rPr>
          <w:sz w:val="20"/>
          <w:szCs w:val="20"/>
          <w:color w:val="auto"/>
        </w:rPr>
      </w:pPr>
      <w:r>
        <w:rPr>
          <w:rFonts w:ascii="Arial" w:cs="Arial" w:eastAsia="Arial" w:hAnsi="Arial"/>
          <w:sz w:val="21"/>
          <w:szCs w:val="21"/>
          <w:color w:val="auto"/>
        </w:rPr>
        <w:t>(ii) the Award is terminated in exchange for an amount of cash and/or property, if any, equal to the amount that would have been attained upon the exercise of such Award or realization of the Participant’s rights as of the date of the occurrence of the Transaction. Any such cash or property may be subjected to any escrow applicable to holders of Common Stock in the Change in Control. If as of the date of the occurrence of the Transaction the Administrator determines that no amount would have been attained upon the exercise of such Award or realization of the Participant’s rights, then such Award may be terminated by the Company without payment. The amount of cash or property can be subjected to vesting and paid to the Participant over the original vesting schedule of the Award.</w:t>
      </w:r>
    </w:p>
    <w:p>
      <w:pPr>
        <w:spacing w:after="0" w:line="183" w:lineRule="exact"/>
        <w:rPr>
          <w:sz w:val="20"/>
          <w:szCs w:val="20"/>
          <w:color w:val="auto"/>
        </w:rPr>
      </w:pPr>
    </w:p>
    <w:p>
      <w:pPr>
        <w:jc w:val="both"/>
        <w:ind w:firstLine="1987"/>
        <w:spacing w:after="0" w:line="259" w:lineRule="auto"/>
        <w:rPr>
          <w:sz w:val="20"/>
          <w:szCs w:val="20"/>
          <w:color w:val="auto"/>
        </w:rPr>
      </w:pPr>
      <w:r>
        <w:rPr>
          <w:rFonts w:ascii="Arial" w:cs="Arial" w:eastAsia="Arial" w:hAnsi="Arial"/>
          <w:sz w:val="22"/>
          <w:szCs w:val="22"/>
          <w:color w:val="auto"/>
        </w:rPr>
        <w:t>(iii) 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post-Transaction corporate structure will not invalidate an otherwise valid Award assumption.</w:t>
      </w:r>
    </w:p>
    <w:p>
      <w:pPr>
        <w:spacing w:after="0" w:line="195" w:lineRule="exact"/>
        <w:rPr>
          <w:sz w:val="20"/>
          <w:szCs w:val="20"/>
          <w:color w:val="auto"/>
        </w:rPr>
      </w:pPr>
    </w:p>
    <w:p>
      <w:pPr>
        <w:ind w:left="2800" w:hanging="1122"/>
        <w:spacing w:after="0"/>
        <w:tabs>
          <w:tab w:leader="none" w:pos="280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Modification</w:t>
      </w:r>
      <w:r>
        <w:rPr>
          <w:rFonts w:ascii="Arial" w:cs="Arial" w:eastAsia="Arial" w:hAnsi="Arial"/>
          <w:sz w:val="21"/>
          <w:szCs w:val="21"/>
          <w:color w:val="auto"/>
        </w:rPr>
        <w:t>. The Administrator will have authority to modify Awards in connection with a</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Change in Control or merger:</w:t>
      </w:r>
    </w:p>
    <w:p>
      <w:pPr>
        <w:sectPr>
          <w:pgSz w:w="11900" w:h="16838" w:orient="portrait"/>
          <w:cols w:equalWidth="0" w:num="1">
            <w:col w:w="11240"/>
          </w:cols>
          <w:pgMar w:left="320" w:top="617" w:right="339" w:bottom="1440" w:gutter="0" w:footer="0" w:header="0"/>
        </w:sectPr>
      </w:pPr>
    </w:p>
    <w:p>
      <w:pPr>
        <w:spacing w:after="0" w:line="229" w:lineRule="exact"/>
        <w:rPr>
          <w:sz w:val="20"/>
          <w:szCs w:val="20"/>
          <w:color w:val="auto"/>
        </w:rPr>
      </w:pPr>
    </w:p>
    <w:p>
      <w:pPr>
        <w:jc w:val="center"/>
        <w:ind w:left="9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in a manner that causes the Awards to lose their tax-preferred status,</w:t>
      </w:r>
    </w:p>
    <w:p>
      <w:pPr>
        <w:spacing w:after="0" w:line="234" w:lineRule="exact"/>
        <w:rPr>
          <w:sz w:val="20"/>
          <w:szCs w:val="20"/>
          <w:color w:val="auto"/>
        </w:rPr>
      </w:pPr>
    </w:p>
    <w:p>
      <w:pPr>
        <w:sectPr>
          <w:pgSz w:w="11900" w:h="16838" w:orient="portrait"/>
          <w:cols w:equalWidth="0" w:num="2">
            <w:col w:w="3480" w:space="720"/>
            <w:col w:w="7040"/>
          </w:cols>
          <w:pgMar w:left="320" w:top="617" w:right="339" w:bottom="1440" w:gutter="0" w:footer="0" w:header="0"/>
          <w:type w:val="continuous"/>
        </w:sectPr>
      </w:pPr>
    </w:p>
    <w:p>
      <w:pPr>
        <w:spacing w:after="0" w:line="33" w:lineRule="exact"/>
        <w:rPr>
          <w:sz w:val="20"/>
          <w:szCs w:val="20"/>
          <w:color w:val="auto"/>
        </w:rPr>
      </w:pPr>
    </w:p>
    <w:p>
      <w:pPr>
        <w:ind w:left="2040"/>
        <w:spacing w:after="0"/>
        <w:tabs>
          <w:tab w:leader="none" w:pos="418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to terminate any right a Participant has to exercise an Option prior to vesting in</w:t>
      </w:r>
    </w:p>
    <w:p>
      <w:pPr>
        <w:sectPr>
          <w:pgSz w:w="11900" w:h="16838" w:orient="portrait"/>
          <w:cols w:equalWidth="0" w:num="1">
            <w:col w:w="11240"/>
          </w:cols>
          <w:pgMar w:left="320" w:top="617" w:right="339" w:bottom="1440" w:gutter="0" w:footer="0" w:header="0"/>
          <w:type w:val="continuous"/>
        </w:sectPr>
      </w:pPr>
    </w:p>
    <w:p>
      <w:pPr>
        <w:spacing w:after="0" w:line="56"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the Shares subject to the Option (i.e., “early exercise”), so that following the closing of the Transaction the Option may only be exercised only to the extent it is vested;</w:t>
      </w:r>
    </w:p>
    <w:p>
      <w:pPr>
        <w:spacing w:after="0" w:line="178" w:lineRule="exact"/>
        <w:rPr>
          <w:sz w:val="20"/>
          <w:szCs w:val="20"/>
          <w:color w:val="auto"/>
        </w:rPr>
      </w:pPr>
    </w:p>
    <w:p>
      <w:pPr>
        <w:jc w:val="both"/>
        <w:ind w:firstLine="1987"/>
        <w:spacing w:after="0" w:line="262" w:lineRule="auto"/>
        <w:rPr>
          <w:sz w:val="20"/>
          <w:szCs w:val="20"/>
          <w:color w:val="auto"/>
        </w:rPr>
      </w:pPr>
      <w:r>
        <w:rPr>
          <w:rFonts w:ascii="Arial" w:cs="Arial" w:eastAsia="Arial" w:hAnsi="Arial"/>
          <w:sz w:val="22"/>
          <w:szCs w:val="22"/>
          <w:color w:val="auto"/>
        </w:rPr>
        <w:t>(iii) to reduce the Exercise Price subject to the Award in a manner that is disproportionate to the increase in the number of Shares subject to the Award, as long as the amount that would be received upon exercise of the Award immediately before and immediately following the closing of the Transaction is equivalent and the adjustment complies with U.S. Treasury Regulation Section 1.409A-1(b)(v)(D); and</w:t>
      </w:r>
    </w:p>
    <w:p>
      <w:pPr>
        <w:spacing w:after="0" w:line="191" w:lineRule="exact"/>
        <w:rPr>
          <w:sz w:val="20"/>
          <w:szCs w:val="20"/>
          <w:color w:val="auto"/>
        </w:rPr>
      </w:pPr>
    </w:p>
    <w:p>
      <w:pPr>
        <w:jc w:val="both"/>
        <w:ind w:firstLine="1997"/>
        <w:spacing w:after="0" w:line="266" w:lineRule="auto"/>
        <w:rPr>
          <w:sz w:val="20"/>
          <w:szCs w:val="20"/>
          <w:color w:val="auto"/>
        </w:rPr>
      </w:pPr>
      <w:r>
        <w:rPr>
          <w:rFonts w:ascii="Arial" w:cs="Arial" w:eastAsia="Arial" w:hAnsi="Arial"/>
          <w:sz w:val="22"/>
          <w:szCs w:val="22"/>
          <w:color w:val="auto"/>
        </w:rPr>
        <w:t>(iv) to suspend a Participant’s right to exercise an Option during a limited period of time preceding and or following the closing of the Transaction without Participant consent if such suspension is administratively necessary or advisable to permit the closing of the Transaction.</w:t>
      </w:r>
    </w:p>
    <w:p>
      <w:pPr>
        <w:spacing w:after="0" w:line="185" w:lineRule="exact"/>
        <w:rPr>
          <w:sz w:val="20"/>
          <w:szCs w:val="20"/>
          <w:color w:val="auto"/>
        </w:rPr>
      </w:pPr>
    </w:p>
    <w:p>
      <w:pPr>
        <w:jc w:val="both"/>
        <w:ind w:firstLine="1678"/>
        <w:spacing w:after="0" w:line="297" w:lineRule="auto"/>
        <w:tabs>
          <w:tab w:leader="none" w:pos="2793"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Non-Continuation</w:t>
      </w:r>
      <w:r>
        <w:rPr>
          <w:rFonts w:ascii="Arial" w:cs="Arial" w:eastAsia="Arial" w:hAnsi="Arial"/>
          <w:sz w:val="19"/>
          <w:szCs w:val="19"/>
          <w:color w:val="auto"/>
        </w:rPr>
        <w:t>. If the successor corporation does not continue an Award (or some portion such Award), the Participant will fully vest in (and have the right to exercise) 100% of the then-unvested Shares subject to his or her outstanding Options and Stock Appreciation Rights, all restrictions on 100% of the Participant’s outstanding Restricted Stock and Restricted Stock Units will lapse, and, regarding 100% of Participant’s outstanding Awards with performance-based vesting, all performance goals or other vesting criteria will be treated as achieved at 100% of target levels and all other terms and conditions met, in all cases, unless specifically provided otherwise under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type w:val="continuous"/>
        </w:sectPr>
      </w:pPr>
    </w:p>
    <w:bookmarkStart w:id="134" w:name="page135"/>
    <w:bookmarkEnd w:id="134"/>
    <w:p>
      <w:pPr>
        <w:jc w:val="both"/>
        <w:spacing w:after="0" w:line="304" w:lineRule="auto"/>
        <w:rPr>
          <w:sz w:val="20"/>
          <w:szCs w:val="20"/>
          <w:color w:val="auto"/>
        </w:rPr>
      </w:pPr>
      <w:r>
        <w:rPr>
          <w:rFonts w:ascii="Arial" w:cs="Arial" w:eastAsia="Arial" w:hAnsi="Arial"/>
          <w:sz w:val="19"/>
          <w:szCs w:val="19"/>
          <w:color w:val="auto"/>
        </w:rPr>
        <w:t>applicable Award Agreement or other written agreement authorized by the Administrator between the Participant and the Company or any of its Subsidiaries or Parents, as applicable. In no event will vesting of an Award accelerate as to more than 100% of the Award. Unless specifically provided otherwise under the applicable Award Agreement or other written agreement authorized by the Administrator between the Participant and the Company or any of its Subsidiaries or Parents, as applicable, if Options or Stock Appreciation Rights are not continued when a Change in Control or a merger of the Company with or into another corporation or other entity occurs, the Administrator will notify the Participant in writing or electronically that the Participant’s vested Options or Stock Appreciation Rights (after considering the foregoing vesting acceleration, if any) will be exercisable for a period of time determined by the Administrator in its sole discretion and all of the Participant’s Options or Stock Appreciation Rights will terminate upon the expiration of such period (whether vested or unvested).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00" w:hanging="600"/>
        <w:spacing w:after="0"/>
        <w:tabs>
          <w:tab w:leader="none" w:pos="1400" w:val="left"/>
        </w:tabs>
        <w:numPr>
          <w:ilvl w:val="0"/>
          <w:numId w:val="3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Outside Director Grants.</w:t>
      </w:r>
    </w:p>
    <w:p>
      <w:pPr>
        <w:spacing w:after="0" w:line="233" w:lineRule="exact"/>
        <w:rPr>
          <w:rFonts w:ascii="Arial" w:cs="Arial" w:eastAsia="Arial" w:hAnsi="Arial"/>
          <w:sz w:val="22"/>
          <w:szCs w:val="22"/>
          <w:u w:val="single" w:color="auto"/>
          <w:color w:val="auto"/>
        </w:rPr>
      </w:pPr>
    </w:p>
    <w:p>
      <w:pPr>
        <w:jc w:val="both"/>
        <w:ind w:firstLine="1678"/>
        <w:spacing w:after="0" w:line="305" w:lineRule="auto"/>
        <w:tabs>
          <w:tab w:leader="none" w:pos="2793" w:val="left"/>
        </w:tabs>
        <w:numPr>
          <w:ilvl w:val="1"/>
          <w:numId w:val="37"/>
        </w:numPr>
        <w:rPr>
          <w:rFonts w:ascii="Arial" w:cs="Arial" w:eastAsia="Arial" w:hAnsi="Arial"/>
          <w:sz w:val="19"/>
          <w:szCs w:val="19"/>
          <w:color w:val="auto"/>
        </w:rPr>
      </w:pPr>
      <w:r>
        <w:rPr>
          <w:rFonts w:ascii="Arial" w:cs="Arial" w:eastAsia="Arial" w:hAnsi="Arial"/>
          <w:sz w:val="19"/>
          <w:szCs w:val="19"/>
          <w:color w:val="auto"/>
        </w:rPr>
        <w:t>With respect to Awards granted to an Outside Director, in the event of a Change in Control, the Participant will fully vest in and have the right to exercise outstanding Options and/or Stock Appreciation Rights as to all of the Shares underlying such Award, including those Shares which otherwise would not be vested or exercisable, all restrictions on other outstanding Awards will lapse, and, with respect to Awards with performance-based vesting, all performance goals or other vesting criteria will be deemed achieved at 100% of target levels and all other terms and conditions met, unless specifically provided otherwise under the applicable Award Agreement, a Company policy related to Director compensation, or other written agreement authorized by the Administrator between the Participant and the Company or any of its Subsidiaries or Parents, as applicable, that specifically references this default rule.</w:t>
      </w:r>
    </w:p>
    <w:p>
      <w:pPr>
        <w:spacing w:after="0" w:line="154" w:lineRule="exact"/>
        <w:rPr>
          <w:rFonts w:ascii="Arial" w:cs="Arial" w:eastAsia="Arial" w:hAnsi="Arial"/>
          <w:sz w:val="19"/>
          <w:szCs w:val="19"/>
          <w:color w:val="auto"/>
        </w:rPr>
      </w:pPr>
    </w:p>
    <w:p>
      <w:pPr>
        <w:jc w:val="both"/>
        <w:ind w:firstLine="1678"/>
        <w:spacing w:after="0" w:line="274" w:lineRule="auto"/>
        <w:tabs>
          <w:tab w:leader="none" w:pos="2793" w:val="left"/>
        </w:tabs>
        <w:numPr>
          <w:ilvl w:val="1"/>
          <w:numId w:val="37"/>
        </w:numPr>
        <w:rPr>
          <w:rFonts w:ascii="Arial" w:cs="Arial" w:eastAsia="Arial" w:hAnsi="Arial"/>
          <w:sz w:val="21"/>
          <w:szCs w:val="21"/>
          <w:color w:val="auto"/>
        </w:rPr>
      </w:pPr>
      <w:r>
        <w:rPr>
          <w:rFonts w:ascii="Arial" w:cs="Arial" w:eastAsia="Arial" w:hAnsi="Arial"/>
          <w:sz w:val="21"/>
          <w:szCs w:val="21"/>
          <w:color w:val="auto"/>
        </w:rPr>
        <w:t>No Outside Director may be paid, issued or granted, in any Fiscal Year, cash retainer fees and equity awards (including any Awards issued under this Plan) with an aggregate value greater than $500,000, increased to $1,000,000 in connection with his or her initial service (with the value of each equity award based on its grant date fair value (determined in accordance with U.S. generally accepted accounting principles)). Any cash compensation paid or Awards granted to an individual for his or her services as an Employee, or for his or her services as a Consultant (other than as an Outside Director), will not count for purposes of the limitation under this Section 15(b).</w:t>
      </w:r>
    </w:p>
    <w:p>
      <w:pPr>
        <w:spacing w:after="0" w:line="181" w:lineRule="exact"/>
        <w:rPr>
          <w:rFonts w:ascii="Arial" w:cs="Arial" w:eastAsia="Arial" w:hAnsi="Arial"/>
          <w:sz w:val="21"/>
          <w:szCs w:val="21"/>
          <w:color w:val="auto"/>
        </w:rPr>
      </w:pPr>
    </w:p>
    <w:p>
      <w:pPr>
        <w:ind w:left="1400" w:hanging="600"/>
        <w:spacing w:after="0"/>
        <w:tabs>
          <w:tab w:leader="none" w:pos="1400" w:val="left"/>
        </w:tabs>
        <w:numPr>
          <w:ilvl w:val="0"/>
          <w:numId w:val="3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Tax Matters</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firstLine="1678"/>
        <w:spacing w:after="0" w:line="262" w:lineRule="auto"/>
        <w:tabs>
          <w:tab w:leader="none" w:pos="2793"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Withholding Requirements</w:t>
      </w:r>
      <w:r>
        <w:rPr>
          <w:rFonts w:ascii="Arial" w:cs="Arial" w:eastAsia="Arial" w:hAnsi="Arial"/>
          <w:sz w:val="22"/>
          <w:szCs w:val="22"/>
          <w:color w:val="auto"/>
        </w:rPr>
        <w:t>. Prior to the delivery of any Shares or cash under an Award (or exercise thereof) or such earlier time as any Tax Withholding are due, the Company may deduct or withhold, or require a Participant to remit to the Company, an amount sufficient to satisfy any Tax Withholding with respect to such Award or Shares subject to an Award (including upon exercise of an Award).</w:t>
      </w:r>
    </w:p>
    <w:p>
      <w:pPr>
        <w:spacing w:after="0" w:line="191" w:lineRule="exact"/>
        <w:rPr>
          <w:rFonts w:ascii="Arial" w:cs="Arial" w:eastAsia="Arial" w:hAnsi="Arial"/>
          <w:sz w:val="22"/>
          <w:szCs w:val="22"/>
          <w:color w:val="auto"/>
        </w:rPr>
      </w:pPr>
    </w:p>
    <w:p>
      <w:pPr>
        <w:jc w:val="both"/>
        <w:ind w:firstLine="1678"/>
        <w:spacing w:after="0" w:line="257" w:lineRule="auto"/>
        <w:tabs>
          <w:tab w:leader="none" w:pos="2793"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Withholding Arrangements</w:t>
      </w:r>
      <w:r>
        <w:rPr>
          <w:rFonts w:ascii="Arial" w:cs="Arial" w:eastAsia="Arial" w:hAnsi="Arial"/>
          <w:sz w:val="22"/>
          <w:szCs w:val="22"/>
          <w:color w:val="auto"/>
        </w:rPr>
        <w:t>. The Administrator, in its sole discretion and under such procedures as it may specify from time to time, may elect to satisfy such Tax Withholding, in whole or in part (including in combination) by (without limitation) (i) requiring the Participant to pay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35" w:name="page136"/>
    <w:bookmarkEnd w:id="135"/>
    <w:p>
      <w:pPr>
        <w:jc w:val="both"/>
        <w:spacing w:after="0" w:line="300" w:lineRule="auto"/>
        <w:rPr>
          <w:sz w:val="20"/>
          <w:szCs w:val="20"/>
          <w:color w:val="auto"/>
        </w:rPr>
      </w:pPr>
      <w:r>
        <w:rPr>
          <w:rFonts w:ascii="Arial" w:cs="Arial" w:eastAsia="Arial" w:hAnsi="Arial"/>
          <w:sz w:val="19"/>
          <w:szCs w:val="19"/>
          <w:color w:val="auto"/>
        </w:rPr>
        <w:t>cash, check or other cash equivalents, (ii) withholding otherwise deliverable cash (including cash from the sale of Shares issued to the Participant) or Shares having a fair market value equal to the amount required to be withheld or such greater amount (including up to a maximum statutory amount) as the Administrator may determine or permit if such amount does not result in unfavorable financial accounting treatment, as the Administrator determines in its sole discretion, (iii) forcing the sale of Shares issued pursuant to an Award (or exercise thereof) having a fair market value equal to the minimum statutory amount applicable in a Participant’s jurisdiction or any greater amount as the Administrator may determine or permit if such greater amount would not result in unfavorable financial accounting treatment, as the Administrator determines in its sole discretion, (iv) requiring the Participant to deliver to the Company already-owned Shares having a fair market value equal to the minimum statutory amount required to be withheld or any greater amount as the Administrator may determine or permit if such greater amount would not result in unfavorable financial accounting treatment, as the Administrator determines in its sole discretion, (v) requiring the Participant to engage in a cashless exercise transaction (whether through a broker or otherwise) implemented by the Company in connection with the Plan, (vi) having the Company or a Parent or Subsidiary withhold from wages or any other cash amount due or to become due to the Participant and payable by the Company or any Parent or Subsidiary, or (vii) such other consideration and method of payment for the meeting of Tax Withholding as the Administrator may determine to the extent permitted by Applicable Laws, provided that, in all instances, the satisfaction of the Tax Withholding will not result in any adverse accounting consequence to the Company, as the Administrator may determine in its sole discretion. The fair market value of the Shares to be withheld or delivered will be determined as of the date the amount of tax to be withheld is calculated or such other date as Administrator determines is applicable or appropriate with respect to the Tax Withholding calculation.</w:t>
      </w:r>
    </w:p>
    <w:p>
      <w:pPr>
        <w:spacing w:after="0" w:line="160" w:lineRule="exact"/>
        <w:rPr>
          <w:sz w:val="20"/>
          <w:szCs w:val="20"/>
          <w:color w:val="auto"/>
        </w:rPr>
      </w:pPr>
    </w:p>
    <w:p>
      <w:pPr>
        <w:jc w:val="both"/>
        <w:ind w:firstLine="1678"/>
        <w:spacing w:after="0" w:line="305" w:lineRule="auto"/>
        <w:tabs>
          <w:tab w:leader="none" w:pos="2793"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Compliance With Code Section 409A</w:t>
      </w:r>
      <w:r>
        <w:rPr>
          <w:rFonts w:ascii="Arial" w:cs="Arial" w:eastAsia="Arial" w:hAnsi="Arial"/>
          <w:sz w:val="19"/>
          <w:szCs w:val="19"/>
          <w:color w:val="auto"/>
        </w:rPr>
        <w:t>. Unless the Administrator determines that compliance with Code Section 409A is not necessary, it is intended that Awards will be designed and operated so that they are either exempt or excepted from the application of Code Section 409A or comply with any requirements necessary to avoid the imposition of additional tax under Code Section 409A(a)(1)(B) so that the grant, payment, settlement or deferral will not be subject to the additional tax or interest applicable under Code Section 409A and the Plan and each Award Agreement will be interpreted consistent with this intent. This Section 16(c) is not a guarantee to any Participant of the consequences of his or her Awards. In no event will the Company have any responsibility, liability or obligation to reimburse, indemnify or hold harmless Participant for any taxes that may be imposed or other costs that may be incurred, as a result of Section 409A.</w:t>
      </w:r>
    </w:p>
    <w:p>
      <w:pPr>
        <w:spacing w:after="0" w:line="154" w:lineRule="exact"/>
        <w:rPr>
          <w:rFonts w:ascii="Arial" w:cs="Arial" w:eastAsia="Arial" w:hAnsi="Arial"/>
          <w:sz w:val="19"/>
          <w:szCs w:val="19"/>
          <w:color w:val="auto"/>
        </w:rPr>
      </w:pPr>
    </w:p>
    <w:p>
      <w:pPr>
        <w:ind w:left="1400" w:hanging="600"/>
        <w:spacing w:after="0"/>
        <w:tabs>
          <w:tab w:leader="none" w:pos="1400" w:val="left"/>
        </w:tabs>
        <w:numPr>
          <w:ilvl w:val="0"/>
          <w:numId w:val="3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Other Terms</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firstLine="1678"/>
        <w:spacing w:after="0" w:line="262" w:lineRule="auto"/>
        <w:tabs>
          <w:tab w:leader="none" w:pos="2793"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No Effect on Employment or Service</w:t>
      </w:r>
      <w:r>
        <w:rPr>
          <w:rFonts w:ascii="Arial" w:cs="Arial" w:eastAsia="Arial" w:hAnsi="Arial"/>
          <w:sz w:val="22"/>
          <w:szCs w:val="22"/>
          <w:color w:val="auto"/>
        </w:rPr>
        <w:t>. Neither the Plan nor any Award will confer upon a Participant any right regarding continuing the Participant’s relationship as a Service Provider with the Company or member of the Company Group, nor will they interfere with the Participant’s right, or the Participant’s employer’s right, to terminate such relationship at any time free from any liability or claim under the Plan.</w:t>
      </w:r>
    </w:p>
    <w:p>
      <w:pPr>
        <w:spacing w:after="0" w:line="191" w:lineRule="exact"/>
        <w:rPr>
          <w:rFonts w:ascii="Arial" w:cs="Arial" w:eastAsia="Arial" w:hAnsi="Arial"/>
          <w:sz w:val="22"/>
          <w:szCs w:val="22"/>
          <w:color w:val="auto"/>
        </w:rPr>
      </w:pPr>
    </w:p>
    <w:p>
      <w:pPr>
        <w:ind w:firstLine="1678"/>
        <w:spacing w:after="0" w:line="258" w:lineRule="auto"/>
        <w:tabs>
          <w:tab w:leader="none" w:pos="2793"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Interpretation and Rules of Construction</w:t>
      </w:r>
      <w:r>
        <w:rPr>
          <w:rFonts w:ascii="Arial" w:cs="Arial" w:eastAsia="Arial" w:hAnsi="Arial"/>
          <w:sz w:val="22"/>
          <w:szCs w:val="22"/>
          <w:color w:val="auto"/>
        </w:rPr>
        <w:t>. The words “include,” “includes” and “including” when used herein shall be deemed in each case to be followed by the words “without limitation.”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36" w:name="page137"/>
    <w:bookmarkEnd w:id="136"/>
    <w:p>
      <w:pPr>
        <w:ind w:firstLine="1678"/>
        <w:spacing w:after="0" w:line="276" w:lineRule="auto"/>
        <w:tabs>
          <w:tab w:leader="none" w:pos="2793"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Plan Governs</w:t>
      </w:r>
      <w:r>
        <w:rPr>
          <w:rFonts w:ascii="Arial" w:cs="Arial" w:eastAsia="Arial" w:hAnsi="Arial"/>
          <w:sz w:val="22"/>
          <w:szCs w:val="22"/>
          <w:color w:val="auto"/>
        </w:rPr>
        <w:t>. In the event of a conflict between the terms and conditions of the Plan and the terms and conditions of any Grant Agreement, the terms and conditions of the Plan will prevail.</w:t>
      </w:r>
    </w:p>
    <w:p>
      <w:pPr>
        <w:spacing w:after="0" w:line="174" w:lineRule="exact"/>
        <w:rPr>
          <w:rFonts w:ascii="Arial" w:cs="Arial" w:eastAsia="Arial" w:hAnsi="Arial"/>
          <w:sz w:val="22"/>
          <w:szCs w:val="22"/>
          <w:color w:val="auto"/>
        </w:rPr>
      </w:pPr>
    </w:p>
    <w:p>
      <w:pPr>
        <w:ind w:left="2800" w:hanging="1122"/>
        <w:spacing w:after="0"/>
        <w:tabs>
          <w:tab w:leader="none" w:pos="28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Forfeiture Events</w:t>
      </w:r>
      <w:r>
        <w:rPr>
          <w:rFonts w:ascii="Arial" w:cs="Arial" w:eastAsia="Arial" w:hAnsi="Arial"/>
          <w:sz w:val="22"/>
          <w:szCs w:val="22"/>
          <w:color w:val="auto"/>
        </w:rPr>
        <w:t>.</w:t>
      </w:r>
    </w:p>
    <w:p>
      <w:pPr>
        <w:spacing w:after="0" w:line="233" w:lineRule="exact"/>
        <w:rPr>
          <w:sz w:val="20"/>
          <w:szCs w:val="20"/>
          <w:color w:val="auto"/>
        </w:rPr>
      </w:pPr>
    </w:p>
    <w:p>
      <w:pPr>
        <w:jc w:val="both"/>
        <w:ind w:firstLine="2083"/>
        <w:spacing w:after="0" w:line="304" w:lineRule="auto"/>
        <w:rPr>
          <w:sz w:val="20"/>
          <w:szCs w:val="20"/>
          <w:color w:val="auto"/>
        </w:rPr>
      </w:pPr>
      <w:r>
        <w:rPr>
          <w:rFonts w:ascii="Arial" w:cs="Arial" w:eastAsia="Arial" w:hAnsi="Arial"/>
          <w:sz w:val="19"/>
          <w:szCs w:val="19"/>
          <w:color w:val="auto"/>
        </w:rPr>
        <w:t>(i) All Awards granted under the Plan will be subject to recoupment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without limitation to any reacquisition right regarding previously acquired Shares or other cash or property. Unless this Section 17(d)(i)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member of the Company Group.</w:t>
      </w:r>
    </w:p>
    <w:p>
      <w:pPr>
        <w:spacing w:after="0" w:line="155" w:lineRule="exact"/>
        <w:rPr>
          <w:sz w:val="20"/>
          <w:szCs w:val="20"/>
          <w:color w:val="auto"/>
        </w:rPr>
      </w:pPr>
    </w:p>
    <w:p>
      <w:pPr>
        <w:jc w:val="both"/>
        <w:ind w:firstLine="2035"/>
        <w:spacing w:after="0" w:line="260" w:lineRule="auto"/>
        <w:rPr>
          <w:sz w:val="20"/>
          <w:szCs w:val="20"/>
          <w:color w:val="auto"/>
        </w:rPr>
      </w:pPr>
      <w:r>
        <w:rPr>
          <w:rFonts w:ascii="Arial" w:cs="Arial" w:eastAsia="Arial" w:hAnsi="Arial"/>
          <w:sz w:val="22"/>
          <w:szCs w:val="22"/>
          <w:color w:val="auto"/>
        </w:rPr>
        <w:t>(ii) 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that would constitute cause for termination of such Participant’s status as a Service Provider.</w:t>
      </w:r>
    </w:p>
    <w:p>
      <w:pPr>
        <w:spacing w:after="0" w:line="192" w:lineRule="exact"/>
        <w:rPr>
          <w:sz w:val="20"/>
          <w:szCs w:val="20"/>
          <w:color w:val="auto"/>
        </w:rPr>
      </w:pPr>
    </w:p>
    <w:p>
      <w:pPr>
        <w:jc w:val="both"/>
        <w:ind w:firstLine="800"/>
        <w:spacing w:after="0" w:line="311" w:lineRule="auto"/>
        <w:tabs>
          <w:tab w:leader="none" w:pos="1397" w:val="left"/>
        </w:tabs>
        <w:numPr>
          <w:ilvl w:val="0"/>
          <w:numId w:val="4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Term of Plan</w:t>
      </w:r>
      <w:r>
        <w:rPr>
          <w:rFonts w:ascii="Arial" w:cs="Arial" w:eastAsia="Arial" w:hAnsi="Arial"/>
          <w:sz w:val="19"/>
          <w:szCs w:val="19"/>
          <w:color w:val="auto"/>
        </w:rPr>
        <w:t>. Subject to Section 21, the Plan will become effective upon the later to occur of (a) its adoption by the Board, (b) approval by the Company’s stockholders, or (c) the business day immediately prior to the Registration Date. The Plan will continue in effect until terminated under Section 19, but (i) no Incentive Stock Options may be granted after 10 years from the earlier of the Board or stockholder approval of the Plan and (ii) Section 3(b) relating to automatic share reserve increase will operate only until the tenth anniversary of the earlier of the Board or stockholder approval of the Plan.</w:t>
      </w:r>
    </w:p>
    <w:p>
      <w:pPr>
        <w:spacing w:after="0" w:line="150" w:lineRule="exact"/>
        <w:rPr>
          <w:rFonts w:ascii="Arial" w:cs="Arial" w:eastAsia="Arial" w:hAnsi="Arial"/>
          <w:sz w:val="19"/>
          <w:szCs w:val="19"/>
          <w:u w:val="single" w:color="auto"/>
          <w:color w:val="auto"/>
        </w:rPr>
      </w:pPr>
    </w:p>
    <w:p>
      <w:pPr>
        <w:ind w:left="1400" w:hanging="600"/>
        <w:spacing w:after="0"/>
        <w:tabs>
          <w:tab w:leader="none" w:pos="1400" w:val="left"/>
        </w:tabs>
        <w:numPr>
          <w:ilvl w:val="0"/>
          <w:numId w:val="4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 and Termination of the Plan</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ind w:firstLine="1678"/>
        <w:spacing w:after="0" w:line="276" w:lineRule="auto"/>
        <w:tabs>
          <w:tab w:leader="none" w:pos="2793"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The Administrator, in its sole discretion, may amend, alter, suspend or terminate the Plan or any part thereof, at any time and for any reason.</w:t>
      </w:r>
    </w:p>
    <w:p>
      <w:pPr>
        <w:spacing w:after="0" w:line="174" w:lineRule="exact"/>
        <w:rPr>
          <w:rFonts w:ascii="Arial" w:cs="Arial" w:eastAsia="Arial" w:hAnsi="Arial"/>
          <w:sz w:val="22"/>
          <w:szCs w:val="22"/>
          <w:color w:val="auto"/>
        </w:rPr>
      </w:pPr>
    </w:p>
    <w:p>
      <w:pPr>
        <w:ind w:firstLine="1678"/>
        <w:spacing w:after="0" w:line="276" w:lineRule="auto"/>
        <w:tabs>
          <w:tab w:leader="none" w:pos="2793"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Stockholder Approval</w:t>
      </w:r>
      <w:r>
        <w:rPr>
          <w:rFonts w:ascii="Arial" w:cs="Arial" w:eastAsia="Arial" w:hAnsi="Arial"/>
          <w:sz w:val="22"/>
          <w:szCs w:val="22"/>
          <w:color w:val="auto"/>
        </w:rPr>
        <w:t>. The Company will obtain stockholder approval of any Plan amendment to the extent necessary or desirable to comply with Applicable Laws.</w:t>
      </w:r>
    </w:p>
    <w:p>
      <w:pPr>
        <w:spacing w:after="0" w:line="174" w:lineRule="exact"/>
        <w:rPr>
          <w:rFonts w:ascii="Arial" w:cs="Arial" w:eastAsia="Arial" w:hAnsi="Arial"/>
          <w:sz w:val="22"/>
          <w:szCs w:val="22"/>
          <w:color w:val="auto"/>
        </w:rPr>
      </w:pPr>
    </w:p>
    <w:p>
      <w:pPr>
        <w:jc w:val="both"/>
        <w:ind w:firstLine="1678"/>
        <w:spacing w:after="0" w:line="257" w:lineRule="auto"/>
        <w:tabs>
          <w:tab w:leader="none" w:pos="2793"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Consent of Participants Generally Required</w:t>
      </w:r>
      <w:r>
        <w:rPr>
          <w:rFonts w:ascii="Arial" w:cs="Arial" w:eastAsia="Arial" w:hAnsi="Arial"/>
          <w:sz w:val="22"/>
          <w:szCs w:val="22"/>
          <w:color w:val="auto"/>
        </w:rPr>
        <w:t>. Subject to Section 19(d) below, no amendment, alteration, suspension or termination of the Plan or an Award under it will materially impair the rights of any Participant without a signed, written agreement authorized by the Administrator between the Participant and the Company. Termination of the Plan will not affect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37" w:name="page138"/>
    <w:bookmarkEnd w:id="137"/>
    <w:p>
      <w:pPr>
        <w:spacing w:after="0"/>
        <w:rPr>
          <w:sz w:val="20"/>
          <w:szCs w:val="20"/>
          <w:color w:val="auto"/>
        </w:rPr>
      </w:pPr>
      <w:r>
        <w:rPr>
          <w:rFonts w:ascii="Arial" w:cs="Arial" w:eastAsia="Arial" w:hAnsi="Arial"/>
          <w:sz w:val="19"/>
          <w:szCs w:val="19"/>
          <w:color w:val="auto"/>
        </w:rPr>
        <w:t>Administrator’s ability to exercise the powers granted to it regarding Awards granted under the Plan prior to such termination.</w:t>
      </w:r>
    </w:p>
    <w:p>
      <w:pPr>
        <w:spacing w:after="0" w:line="268" w:lineRule="exact"/>
        <w:rPr>
          <w:sz w:val="20"/>
          <w:szCs w:val="20"/>
          <w:color w:val="auto"/>
        </w:rPr>
      </w:pPr>
    </w:p>
    <w:p>
      <w:pPr>
        <w:ind w:left="2800" w:hanging="1122"/>
        <w:spacing w:after="0"/>
        <w:tabs>
          <w:tab w:leader="none" w:pos="280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Exceptions to Consent Requirement</w:t>
      </w:r>
      <w:r>
        <w:rPr>
          <w:rFonts w:ascii="Arial" w:cs="Arial" w:eastAsia="Arial" w:hAnsi="Arial"/>
          <w:sz w:val="22"/>
          <w:szCs w:val="22"/>
          <w:color w:val="auto"/>
        </w:rPr>
        <w:t>.</w:t>
      </w:r>
    </w:p>
    <w:p>
      <w:pPr>
        <w:spacing w:after="0" w:line="233" w:lineRule="exact"/>
        <w:rPr>
          <w:sz w:val="20"/>
          <w:szCs w:val="20"/>
          <w:color w:val="auto"/>
        </w:rPr>
      </w:pPr>
    </w:p>
    <w:p>
      <w:pPr>
        <w:jc w:val="both"/>
        <w:ind w:firstLine="2083"/>
        <w:spacing w:after="0" w:line="284" w:lineRule="auto"/>
        <w:rPr>
          <w:sz w:val="20"/>
          <w:szCs w:val="20"/>
          <w:color w:val="auto"/>
        </w:rPr>
      </w:pPr>
      <w:r>
        <w:rPr>
          <w:rFonts w:ascii="Arial" w:cs="Arial" w:eastAsia="Arial" w:hAnsi="Arial"/>
          <w:sz w:val="21"/>
          <w:szCs w:val="21"/>
          <w:color w:val="auto"/>
        </w:rPr>
        <w:t>(i) A Participant’s rights will not be deemed to have been materially impaired by any amendment, alteration, suspension or termination if the Administrator, in its sole discretion, determines that the amendment, alteration, suspension or termination taken as a whole, does not materially impair the Participant’s rights; and</w:t>
      </w:r>
    </w:p>
    <w:p>
      <w:pPr>
        <w:spacing w:after="0" w:line="169" w:lineRule="exact"/>
        <w:rPr>
          <w:sz w:val="20"/>
          <w:szCs w:val="20"/>
          <w:color w:val="auto"/>
        </w:rPr>
      </w:pPr>
    </w:p>
    <w:p>
      <w:pPr>
        <w:jc w:val="both"/>
        <w:ind w:firstLine="2035"/>
        <w:spacing w:after="0" w:line="266" w:lineRule="auto"/>
        <w:rPr>
          <w:sz w:val="20"/>
          <w:szCs w:val="20"/>
          <w:color w:val="auto"/>
        </w:rPr>
      </w:pPr>
      <w:r>
        <w:rPr>
          <w:rFonts w:ascii="Arial" w:cs="Arial" w:eastAsia="Arial" w:hAnsi="Arial"/>
          <w:sz w:val="22"/>
          <w:szCs w:val="22"/>
          <w:color w:val="auto"/>
        </w:rPr>
        <w:t>(ii) Subject to any limitations of Applicable Laws, the Administrator may amend the terms of any one or more Awards without the affected Participant’s consent even if it does materially impair the Participant’s right if such amendment is done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60" w:type="dxa"/>
            <w:vAlign w:val="bottom"/>
          </w:tcPr>
          <w:p>
            <w:pPr>
              <w:jc w:val="center"/>
              <w:ind w:left="1352"/>
              <w:spacing w:after="0"/>
              <w:rPr>
                <w:sz w:val="20"/>
                <w:szCs w:val="20"/>
                <w:color w:val="auto"/>
              </w:rPr>
            </w:pPr>
            <w:r>
              <w:rPr>
                <w:rFonts w:ascii="Arial" w:cs="Arial" w:eastAsia="Arial" w:hAnsi="Arial"/>
                <w:sz w:val="22"/>
                <w:szCs w:val="22"/>
                <w:color w:val="auto"/>
              </w:rPr>
              <w:t>(i)</w:t>
            </w:r>
          </w:p>
        </w:tc>
        <w:tc>
          <w:tcPr>
            <w:tcW w:w="6720" w:type="dxa"/>
            <w:vAlign w:val="bottom"/>
          </w:tcPr>
          <w:p>
            <w:pPr>
              <w:ind w:left="1140"/>
              <w:spacing w:after="0"/>
              <w:rPr>
                <w:sz w:val="20"/>
                <w:szCs w:val="20"/>
                <w:color w:val="auto"/>
              </w:rPr>
            </w:pPr>
            <w:r>
              <w:rPr>
                <w:rFonts w:ascii="Arial" w:cs="Arial" w:eastAsia="Arial" w:hAnsi="Arial"/>
                <w:sz w:val="22"/>
                <w:szCs w:val="22"/>
                <w:color w:val="auto"/>
              </w:rPr>
              <w:t>in a manner specified by the Plan,</w:t>
            </w:r>
          </w:p>
        </w:tc>
      </w:tr>
      <w:tr>
        <w:trPr>
          <w:trHeight w:val="482"/>
        </w:trPr>
        <w:tc>
          <w:tcPr>
            <w:tcW w:w="4460" w:type="dxa"/>
            <w:vAlign w:val="bottom"/>
          </w:tcPr>
          <w:p>
            <w:pPr>
              <w:jc w:val="center"/>
              <w:ind w:left="1312"/>
              <w:spacing w:after="0"/>
              <w:rPr>
                <w:sz w:val="20"/>
                <w:szCs w:val="20"/>
                <w:color w:val="auto"/>
              </w:rPr>
            </w:pPr>
            <w:r>
              <w:rPr>
                <w:rFonts w:ascii="Arial" w:cs="Arial" w:eastAsia="Arial" w:hAnsi="Arial"/>
                <w:sz w:val="22"/>
                <w:szCs w:val="22"/>
                <w:color w:val="auto"/>
              </w:rPr>
              <w:t>(ii)</w:t>
            </w:r>
          </w:p>
        </w:tc>
        <w:tc>
          <w:tcPr>
            <w:tcW w:w="6720" w:type="dxa"/>
            <w:vAlign w:val="bottom"/>
          </w:tcPr>
          <w:p>
            <w:pPr>
              <w:ind w:left="1140"/>
              <w:spacing w:after="0"/>
              <w:rPr>
                <w:sz w:val="20"/>
                <w:szCs w:val="20"/>
                <w:color w:val="auto"/>
              </w:rPr>
            </w:pPr>
            <w:r>
              <w:rPr>
                <w:rFonts w:ascii="Arial" w:cs="Arial" w:eastAsia="Arial" w:hAnsi="Arial"/>
                <w:sz w:val="22"/>
                <w:szCs w:val="22"/>
                <w:color w:val="auto"/>
                <w:w w:val="95"/>
              </w:rPr>
              <w:t>to maintain the qualified status of the Award as an Incentive</w:t>
            </w:r>
          </w:p>
        </w:tc>
      </w:tr>
      <w:tr>
        <w:trPr>
          <w:trHeight w:val="274"/>
        </w:trPr>
        <w:tc>
          <w:tcPr>
            <w:tcW w:w="4460" w:type="dxa"/>
            <w:vAlign w:val="bottom"/>
          </w:tcPr>
          <w:p>
            <w:pPr>
              <w:spacing w:after="0"/>
              <w:rPr>
                <w:sz w:val="20"/>
                <w:szCs w:val="20"/>
                <w:color w:val="auto"/>
              </w:rPr>
            </w:pPr>
            <w:r>
              <w:rPr>
                <w:rFonts w:ascii="Arial" w:cs="Arial" w:eastAsia="Arial" w:hAnsi="Arial"/>
                <w:sz w:val="22"/>
                <w:szCs w:val="22"/>
                <w:color w:val="auto"/>
              </w:rPr>
              <w:t>Stock Option under Code Section 422,</w:t>
            </w:r>
          </w:p>
        </w:tc>
        <w:tc>
          <w:tcPr>
            <w:tcW w:w="6720" w:type="dxa"/>
            <w:vAlign w:val="bottom"/>
          </w:tcPr>
          <w:p>
            <w:pPr>
              <w:spacing w:after="0"/>
              <w:rPr>
                <w:sz w:val="23"/>
                <w:szCs w:val="23"/>
                <w:color w:val="auto"/>
              </w:rPr>
            </w:pPr>
          </w:p>
        </w:tc>
      </w:tr>
      <w:tr>
        <w:trPr>
          <w:trHeight w:val="486"/>
        </w:trPr>
        <w:tc>
          <w:tcPr>
            <w:tcW w:w="4460" w:type="dxa"/>
            <w:vAlign w:val="bottom"/>
          </w:tcPr>
          <w:p>
            <w:pPr>
              <w:ind w:left="2760"/>
              <w:spacing w:after="0"/>
              <w:rPr>
                <w:sz w:val="20"/>
                <w:szCs w:val="20"/>
                <w:color w:val="auto"/>
              </w:rPr>
            </w:pPr>
            <w:r>
              <w:rPr>
                <w:rFonts w:ascii="Arial" w:cs="Arial" w:eastAsia="Arial" w:hAnsi="Arial"/>
                <w:sz w:val="22"/>
                <w:szCs w:val="22"/>
                <w:color w:val="auto"/>
              </w:rPr>
              <w:t>(iii)</w:t>
            </w:r>
          </w:p>
        </w:tc>
        <w:tc>
          <w:tcPr>
            <w:tcW w:w="6720" w:type="dxa"/>
            <w:vAlign w:val="bottom"/>
          </w:tcPr>
          <w:p>
            <w:pPr>
              <w:ind w:left="1140"/>
              <w:spacing w:after="0"/>
              <w:rPr>
                <w:sz w:val="20"/>
                <w:szCs w:val="20"/>
                <w:color w:val="auto"/>
              </w:rPr>
            </w:pPr>
            <w:r>
              <w:rPr>
                <w:rFonts w:ascii="Arial" w:cs="Arial" w:eastAsia="Arial" w:hAnsi="Arial"/>
                <w:sz w:val="22"/>
                <w:szCs w:val="22"/>
                <w:color w:val="auto"/>
                <w:w w:val="88"/>
              </w:rPr>
              <w:t>to change the terms of an Incentive Stock Option, if such change</w:t>
            </w:r>
          </w:p>
        </w:tc>
      </w:tr>
    </w:tbl>
    <w:p>
      <w:pPr>
        <w:ind w:right="220"/>
        <w:spacing w:after="0" w:line="272" w:lineRule="auto"/>
        <w:rPr>
          <w:sz w:val="20"/>
          <w:szCs w:val="20"/>
          <w:color w:val="auto"/>
        </w:rPr>
      </w:pPr>
      <w:r>
        <w:rPr>
          <w:rFonts w:ascii="Arial" w:cs="Arial" w:eastAsia="Arial" w:hAnsi="Arial"/>
          <w:sz w:val="22"/>
          <w:szCs w:val="22"/>
          <w:color w:val="auto"/>
        </w:rPr>
        <w:t>results in impairment of the Award only because it impairs the qualified status of the Award as an Incentive Stock Option under Code Section 422,</w:t>
      </w:r>
    </w:p>
    <w:p>
      <w:pPr>
        <w:spacing w:after="0" w:line="178" w:lineRule="exact"/>
        <w:rPr>
          <w:sz w:val="20"/>
          <w:szCs w:val="20"/>
          <w:color w:val="auto"/>
        </w:rPr>
      </w:pPr>
    </w:p>
    <w:p>
      <w:pPr>
        <w:jc w:val="both"/>
        <w:ind w:right="120" w:firstLine="2766"/>
        <w:spacing w:after="0" w:line="266" w:lineRule="auto"/>
        <w:rPr>
          <w:sz w:val="20"/>
          <w:szCs w:val="20"/>
          <w:color w:val="auto"/>
        </w:rPr>
      </w:pPr>
      <w:r>
        <w:rPr>
          <w:rFonts w:ascii="Arial" w:cs="Arial" w:eastAsia="Arial" w:hAnsi="Arial"/>
          <w:sz w:val="22"/>
          <w:szCs w:val="22"/>
          <w:color w:val="auto"/>
        </w:rPr>
        <w:t>(iv) to clarify the manner of exemption from Code Section 409A or compliance with any requirements necessary to avoid the imposition of additional tax or interest under Code Section 409A(a)(1) (B), or</w:t>
      </w:r>
    </w:p>
    <w:p>
      <w:pPr>
        <w:spacing w:after="0" w:line="185" w:lineRule="exact"/>
        <w:rPr>
          <w:sz w:val="20"/>
          <w:szCs w:val="20"/>
          <w:color w:val="auto"/>
        </w:rPr>
      </w:pPr>
    </w:p>
    <w:p>
      <w:pPr>
        <w:ind w:left="2820"/>
        <w:spacing w:after="0"/>
        <w:tabs>
          <w:tab w:leader="none" w:pos="5580" w:val="left"/>
        </w:tabs>
        <w:rPr>
          <w:sz w:val="20"/>
          <w:szCs w:val="20"/>
          <w:color w:val="auto"/>
        </w:rPr>
      </w:pPr>
      <w:r>
        <w:rPr>
          <w:rFonts w:ascii="Arial" w:cs="Arial" w:eastAsia="Arial" w:hAnsi="Arial"/>
          <w:sz w:val="22"/>
          <w:szCs w:val="22"/>
          <w:color w:val="auto"/>
        </w:rPr>
        <w:t>(v)</w:t>
      </w:r>
      <w:r>
        <w:rPr>
          <w:sz w:val="20"/>
          <w:szCs w:val="20"/>
          <w:color w:val="auto"/>
        </w:rPr>
        <w:tab/>
      </w:r>
      <w:r>
        <w:rPr>
          <w:rFonts w:ascii="Arial" w:cs="Arial" w:eastAsia="Arial" w:hAnsi="Arial"/>
          <w:sz w:val="22"/>
          <w:szCs w:val="22"/>
          <w:color w:val="auto"/>
        </w:rPr>
        <w:t>to comply with other Applicable Laws.</w:t>
      </w:r>
    </w:p>
    <w:p>
      <w:pPr>
        <w:spacing w:after="0" w:line="233" w:lineRule="exact"/>
        <w:rPr>
          <w:sz w:val="20"/>
          <w:szCs w:val="20"/>
          <w:color w:val="auto"/>
        </w:rPr>
      </w:pPr>
    </w:p>
    <w:p>
      <w:pPr>
        <w:ind w:left="1400" w:hanging="600"/>
        <w:spacing w:after="0"/>
        <w:tabs>
          <w:tab w:leader="none" w:pos="1400" w:val="left"/>
        </w:tabs>
        <w:numPr>
          <w:ilvl w:val="0"/>
          <w:numId w:val="4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Conditions Upon Issuance of Shares</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firstLine="1678"/>
        <w:spacing w:after="0" w:line="296" w:lineRule="auto"/>
        <w:tabs>
          <w:tab w:leader="none" w:pos="2793"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Legal Compliance</w:t>
      </w:r>
      <w:r>
        <w:rPr>
          <w:rFonts w:ascii="Arial" w:cs="Arial" w:eastAsia="Arial" w:hAnsi="Arial"/>
          <w:sz w:val="19"/>
          <w:szCs w:val="19"/>
          <w:color w:val="auto"/>
        </w:rPr>
        <w:t>. The Company will make good faith efforts to comply with all Applicable Laws related to the issuance of Shares. Shares will not be issued pursuant to an Award, including without limitation upon exercise or vesting thereof, as applicable, unless the issuance and delivery of such Shares and exercise or vesting of the Award, as applicable, will comply with Applicable Laws. If required by the Administrator, issuance will be further subject to the approval of counsel for the Company with respect to such compliance. If the Company determines it to be impossible or impractical to obtain authority from any regulatory body having jurisdiction or to complete or comply with the requirements of any Applicable Laws, registration or other qualification of the Shares under any state, federal or foreign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regarding the failure to issue or sell such Shares as to which such authority, registration, qualification or rule compliance was not obtained and the Administrator reserves the authority, without the consent of a Participant, to terminate or cancel Awards with or without consideration in such a situation.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38" w:name="page139"/>
    <w:bookmarkEnd w:id="138"/>
    <w:p>
      <w:pPr>
        <w:jc w:val="both"/>
        <w:ind w:left="-20" w:firstLine="1678"/>
        <w:spacing w:after="0" w:line="262" w:lineRule="auto"/>
        <w:tabs>
          <w:tab w:leader="none" w:pos="2773"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Investment Representations</w:t>
      </w:r>
      <w:r>
        <w:rPr>
          <w:rFonts w:ascii="Arial" w:cs="Arial" w:eastAsia="Arial" w:hAnsi="Arial"/>
          <w:sz w:val="22"/>
          <w:szCs w:val="22"/>
          <w:color w:val="auto"/>
        </w:rPr>
        <w:t>. As a condition to the exercise or vesting of an Award, the Company may require the person exercising such Award to represent and warrant during any such exercise or vesting that the Shares are being purchased only for investment and with no present intention to sell or distribute such Shares if, in the opinion of counsel for the Company, such a representation is required.</w:t>
      </w:r>
    </w:p>
    <w:p>
      <w:pPr>
        <w:spacing w:after="0" w:line="191" w:lineRule="exact"/>
        <w:rPr>
          <w:rFonts w:ascii="Arial" w:cs="Arial" w:eastAsia="Arial" w:hAnsi="Arial"/>
          <w:sz w:val="22"/>
          <w:szCs w:val="22"/>
          <w:color w:val="auto"/>
        </w:rPr>
      </w:pPr>
    </w:p>
    <w:p>
      <w:pPr>
        <w:jc w:val="both"/>
        <w:ind w:left="-20" w:firstLine="1678"/>
        <w:spacing w:after="0" w:line="308" w:lineRule="auto"/>
        <w:tabs>
          <w:tab w:leader="none" w:pos="2773"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Failure to Accept Award</w:t>
      </w:r>
      <w:r>
        <w:rPr>
          <w:rFonts w:ascii="Arial" w:cs="Arial" w:eastAsia="Arial" w:hAnsi="Arial"/>
          <w:sz w:val="19"/>
          <w:szCs w:val="19"/>
          <w:color w:val="auto"/>
        </w:rPr>
        <w:t>. If a Participant has not accepted an Award to the extent such acceptance has been requested or required by the Company or has not taken all administrative and other steps (e.g., setting up an account with a broker designated by the Company) necessary for the Company to issue Shares upon the vesting, exercise, or settlement of the Award prior to the date that a portion of the Award is scheduled to vest, then the portion of the Award scheduled to vest on such date will be cancelled on such date and the Shares subject to the Award covered by such portion immediately will revert to the Plan for no additional consideration unless otherwise provided by the Administrator.</w:t>
      </w:r>
    </w:p>
    <w:p>
      <w:pPr>
        <w:spacing w:after="0" w:line="154" w:lineRule="exact"/>
        <w:rPr>
          <w:sz w:val="20"/>
          <w:szCs w:val="20"/>
          <w:color w:val="auto"/>
        </w:rPr>
      </w:pPr>
    </w:p>
    <w:p>
      <w:pPr>
        <w:jc w:val="both"/>
        <w:ind w:left="-20" w:firstLine="800"/>
        <w:spacing w:after="0" w:line="257" w:lineRule="auto"/>
        <w:tabs>
          <w:tab w:leader="none" w:pos="1377" w:val="left"/>
        </w:tabs>
        <w:numPr>
          <w:ilvl w:val="0"/>
          <w:numId w:val="4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Stockholder Approval</w:t>
      </w:r>
      <w:r>
        <w:rPr>
          <w:rFonts w:ascii="Arial" w:cs="Arial" w:eastAsia="Arial" w:hAnsi="Arial"/>
          <w:sz w:val="22"/>
          <w:szCs w:val="22"/>
          <w:color w:val="auto"/>
        </w:rPr>
        <w:t>. The Plan will be subject to approval by the stockholders of the Company within 12 months after the date the Plan is adopted by the Board. Such stockholder approval will be obtained in the manner and to the degree required under Applicable Laws.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617"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10.3</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RxSIGHT, INC.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EMPLOYEE STOCK PURCHASE PLAN</w:t>
      </w:r>
    </w:p>
    <w:p>
      <w:pPr>
        <w:spacing w:after="0" w:line="195" w:lineRule="exact"/>
        <w:rPr>
          <w:sz w:val="20"/>
          <w:szCs w:val="20"/>
          <w:color w:val="auto"/>
        </w:rPr>
      </w:pPr>
    </w:p>
    <w:p>
      <w:pPr>
        <w:jc w:val="both"/>
        <w:ind w:left="760" w:firstLine="688"/>
        <w:spacing w:after="0" w:line="300" w:lineRule="auto"/>
        <w:tabs>
          <w:tab w:leader="none" w:pos="1983" w:val="left"/>
        </w:tabs>
        <w:numPr>
          <w:ilvl w:val="1"/>
          <w:numId w:val="4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Purpose</w:t>
      </w:r>
      <w:r>
        <w:rPr>
          <w:rFonts w:ascii="Arial" w:cs="Arial" w:eastAsia="Arial" w:hAnsi="Arial"/>
          <w:sz w:val="19"/>
          <w:szCs w:val="19"/>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Code Section 423 (the “</w:t>
      </w:r>
      <w:r>
        <w:rPr>
          <w:rFonts w:ascii="Arial" w:cs="Arial" w:eastAsia="Arial" w:hAnsi="Arial"/>
          <w:sz w:val="19"/>
          <w:szCs w:val="19"/>
          <w:u w:val="single" w:color="auto"/>
          <w:color w:val="auto"/>
        </w:rPr>
        <w:t>423</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Component</w:t>
      </w:r>
      <w:r>
        <w:rPr>
          <w:rFonts w:ascii="Arial" w:cs="Arial" w:eastAsia="Arial" w:hAnsi="Arial"/>
          <w:sz w:val="19"/>
          <w:szCs w:val="19"/>
          <w:color w:val="auto"/>
        </w:rPr>
        <w:t>”) and a component that is not intended to qualify as an “employee stock purchase plan” under Code Section 423 (the “</w:t>
      </w:r>
      <w:r>
        <w:rPr>
          <w:rFonts w:ascii="Arial" w:cs="Arial" w:eastAsia="Arial" w:hAnsi="Arial"/>
          <w:sz w:val="19"/>
          <w:szCs w:val="19"/>
          <w:u w:val="single" w:color="auto"/>
          <w:color w:val="auto"/>
        </w:rPr>
        <w:t>Non-423 Component</w:t>
      </w:r>
      <w:r>
        <w:rPr>
          <w:rFonts w:ascii="Arial" w:cs="Arial" w:eastAsia="Arial" w:hAnsi="Arial"/>
          <w:sz w:val="19"/>
          <w:szCs w:val="19"/>
          <w:color w:val="auto"/>
        </w:rPr>
        <w:t>”). The provisions of the 423 Component, accordingly, will be construed so as to extend and limit Plan participation in a uniform and nondiscriminatory basis consistent with the requirements of Code Section 423. An option to purchase shares of Common Stock under the Non-423 Component will be granted pursuant to rules, procedures, or sub-plans adopted by the Administrator designed to achieve tax, securities laws, or other objectives for Eligible Employees and the Company. Except as otherwise provided herein, the Non-423 Component will operate and be administered in the same manner as the 423 Component.</w:t>
      </w:r>
    </w:p>
    <w:p>
      <w:pPr>
        <w:spacing w:after="0" w:line="117" w:lineRule="exact"/>
        <w:rPr>
          <w:rFonts w:ascii="Arial" w:cs="Arial" w:eastAsia="Arial" w:hAnsi="Arial"/>
          <w:sz w:val="19"/>
          <w:szCs w:val="19"/>
          <w:u w:val="single" w:color="auto"/>
          <w:color w:val="auto"/>
        </w:rPr>
      </w:pPr>
    </w:p>
    <w:p>
      <w:pPr>
        <w:ind w:left="1400" w:hanging="600"/>
        <w:spacing w:after="0"/>
        <w:tabs>
          <w:tab w:leader="none" w:pos="1400" w:val="left"/>
        </w:tabs>
        <w:numPr>
          <w:ilvl w:val="0"/>
          <w:numId w:val="47"/>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175" w:lineRule="exact"/>
        <w:rPr>
          <w:rFonts w:ascii="Arial" w:cs="Arial" w:eastAsia="Arial" w:hAnsi="Arial"/>
          <w:sz w:val="20"/>
          <w:szCs w:val="20"/>
          <w:u w:val="single" w:color="auto"/>
          <w:color w:val="auto"/>
        </w:rPr>
      </w:pPr>
    </w:p>
    <w:p>
      <w:pPr>
        <w:ind w:right="20" w:firstLine="1678"/>
        <w:spacing w:after="0" w:line="303" w:lineRule="auto"/>
        <w:tabs>
          <w:tab w:leader="none" w:pos="2793" w:val="left"/>
        </w:tabs>
        <w:numPr>
          <w:ilvl w:val="2"/>
          <w:numId w:val="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Administrator</w:t>
      </w:r>
      <w:r>
        <w:rPr>
          <w:rFonts w:ascii="Arial" w:cs="Arial" w:eastAsia="Arial" w:hAnsi="Arial"/>
          <w:sz w:val="20"/>
          <w:szCs w:val="20"/>
          <w:color w:val="auto"/>
        </w:rPr>
        <w:t>” means the Board or any Committee designated by the Board or such individuals to which authority has been delegated to administer the Plan pursuant to Section 14.</w:t>
      </w:r>
    </w:p>
    <w:p>
      <w:pPr>
        <w:spacing w:after="0" w:line="107" w:lineRule="exact"/>
        <w:rPr>
          <w:rFonts w:ascii="Arial" w:cs="Arial" w:eastAsia="Arial" w:hAnsi="Arial"/>
          <w:sz w:val="20"/>
          <w:szCs w:val="20"/>
          <w:color w:val="auto"/>
        </w:rPr>
      </w:pPr>
    </w:p>
    <w:p>
      <w:pPr>
        <w:ind w:left="2800" w:hanging="1122"/>
        <w:spacing w:after="0"/>
        <w:tabs>
          <w:tab w:leader="none" w:pos="2800" w:val="left"/>
        </w:tabs>
        <w:numPr>
          <w:ilvl w:val="2"/>
          <w:numId w:val="4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any entity, other than a Subsidiary, in which the Company has an equity or other</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ownership interest.</w:t>
      </w:r>
    </w:p>
    <w:p>
      <w:pPr>
        <w:spacing w:after="0" w:line="188" w:lineRule="exact"/>
        <w:rPr>
          <w:rFonts w:ascii="Arial" w:cs="Arial" w:eastAsia="Arial" w:hAnsi="Arial"/>
          <w:sz w:val="19"/>
          <w:szCs w:val="19"/>
          <w:color w:val="auto"/>
        </w:rPr>
      </w:pPr>
    </w:p>
    <w:p>
      <w:pPr>
        <w:ind w:firstLine="1678"/>
        <w:spacing w:after="0" w:line="331" w:lineRule="auto"/>
        <w:tabs>
          <w:tab w:leader="none" w:pos="2793" w:val="left"/>
        </w:tabs>
        <w:numPr>
          <w:ilvl w:val="2"/>
          <w:numId w:val="4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w:t>
      </w:r>
      <w:r>
        <w:rPr>
          <w:rFonts w:ascii="Arial" w:cs="Arial" w:eastAsia="Arial" w:hAnsi="Arial"/>
          <w:sz w:val="19"/>
          <w:szCs w:val="19"/>
          <w:color w:val="auto"/>
        </w:rPr>
        <w:t>” means the brokerage firm, bank or other financial institution, entity or person(s), if any, engaged, retained, appointed or authorized to act as the agent of the Company or an Eligible Employee with regard to the Plan.</w:t>
      </w:r>
    </w:p>
    <w:p>
      <w:pPr>
        <w:spacing w:after="0" w:line="72" w:lineRule="exact"/>
        <w:rPr>
          <w:rFonts w:ascii="Arial" w:cs="Arial" w:eastAsia="Arial" w:hAnsi="Arial"/>
          <w:sz w:val="19"/>
          <w:szCs w:val="19"/>
          <w:color w:val="auto"/>
        </w:rPr>
      </w:pPr>
    </w:p>
    <w:p>
      <w:pPr>
        <w:jc w:val="both"/>
        <w:ind w:firstLine="1678"/>
        <w:spacing w:after="0" w:line="329" w:lineRule="auto"/>
        <w:tabs>
          <w:tab w:leader="none" w:pos="2793" w:val="left"/>
        </w:tabs>
        <w:numPr>
          <w:ilvl w:val="2"/>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options are, or will be, granted under the Plan.</w:t>
      </w:r>
    </w:p>
    <w:p>
      <w:pPr>
        <w:spacing w:after="0" w:line="93" w:lineRule="exact"/>
        <w:rPr>
          <w:rFonts w:ascii="Arial" w:cs="Arial" w:eastAsia="Arial" w:hAnsi="Arial"/>
          <w:sz w:val="18"/>
          <w:szCs w:val="18"/>
          <w:color w:val="auto"/>
        </w:rPr>
      </w:pPr>
    </w:p>
    <w:p>
      <w:pPr>
        <w:ind w:left="2800" w:hanging="1122"/>
        <w:spacing w:after="0"/>
        <w:tabs>
          <w:tab w:leader="none" w:pos="2800" w:val="left"/>
        </w:tabs>
        <w:numPr>
          <w:ilvl w:val="2"/>
          <w:numId w:val="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Directors of the Company.</w:t>
      </w:r>
    </w:p>
    <w:p>
      <w:pPr>
        <w:spacing w:after="0" w:line="188" w:lineRule="exact"/>
        <w:rPr>
          <w:rFonts w:ascii="Arial" w:cs="Arial" w:eastAsia="Arial" w:hAnsi="Arial"/>
          <w:sz w:val="20"/>
          <w:szCs w:val="20"/>
          <w:color w:val="auto"/>
        </w:rPr>
      </w:pPr>
    </w:p>
    <w:p>
      <w:pPr>
        <w:ind w:firstLine="1678"/>
        <w:spacing w:after="0" w:line="303" w:lineRule="auto"/>
        <w:tabs>
          <w:tab w:leader="none" w:pos="2793" w:val="left"/>
        </w:tabs>
        <w:numPr>
          <w:ilvl w:val="2"/>
          <w:numId w:val="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the occurrence of any of the following events, unless specifically provided otherwise by the Administrator with respect to a particular Offering:</w:t>
      </w:r>
    </w:p>
    <w:p>
      <w:pPr>
        <w:spacing w:after="0" w:line="94" w:lineRule="exact"/>
        <w:rPr>
          <w:sz w:val="20"/>
          <w:szCs w:val="20"/>
          <w:color w:val="auto"/>
        </w:rPr>
      </w:pPr>
    </w:p>
    <w:p>
      <w:pPr>
        <w:jc w:val="both"/>
        <w:ind w:firstLine="2477"/>
        <w:spacing w:after="0" w:line="303" w:lineRule="auto"/>
        <w:rPr>
          <w:sz w:val="20"/>
          <w:szCs w:val="20"/>
          <w:color w:val="auto"/>
        </w:rPr>
      </w:pPr>
      <w:r>
        <w:rPr>
          <w:rFonts w:ascii="Arial" w:cs="Arial" w:eastAsia="Arial" w:hAnsi="Arial"/>
          <w:sz w:val="19"/>
          <w:szCs w:val="19"/>
          <w:color w:val="auto"/>
        </w:rPr>
        <w:t>(i) A change in the ownership of the Company which occurs on the date that any one person, or more than one person acting as a group (“</w:t>
      </w:r>
      <w:r>
        <w:rPr>
          <w:rFonts w:ascii="Arial" w:cs="Arial" w:eastAsia="Arial" w:hAnsi="Arial"/>
          <w:sz w:val="19"/>
          <w:szCs w:val="19"/>
          <w:u w:val="single" w:color="auto"/>
          <w:color w:val="auto"/>
        </w:rPr>
        <w:t>Person</w:t>
      </w:r>
      <w:r>
        <w:rPr>
          <w:rFonts w:ascii="Arial" w:cs="Arial" w:eastAsia="Arial" w:hAnsi="Arial"/>
          <w:sz w:val="19"/>
          <w:szCs w:val="19"/>
          <w:color w:val="auto"/>
        </w:rPr>
        <w:t>”), acquires ownership of the stock of the Company that, with the stock held by such Person, constitutes more than 50% of the total voting power of the stock of the Company; provided, that for this subsection, the acquisition of additional stock by any one Person, who prior to such acquisition is considered to own more than 50% of the total voting power of the stock of the Company will not be considered a Change in Control and provided, further, that any change in the ownership of the stock of the Company as a result of a private financing of the Company that is approved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0" w:name="page141"/>
    <w:bookmarkEnd w:id="140"/>
    <w:p>
      <w:pPr>
        <w:jc w:val="both"/>
        <w:spacing w:after="0" w:line="321" w:lineRule="auto"/>
        <w:rPr>
          <w:sz w:val="20"/>
          <w:szCs w:val="20"/>
          <w:color w:val="auto"/>
        </w:rPr>
      </w:pPr>
      <w:r>
        <w:rPr>
          <w:rFonts w:ascii="Arial" w:cs="Arial" w:eastAsia="Arial" w:hAnsi="Arial"/>
          <w:sz w:val="18"/>
          <w:szCs w:val="18"/>
          <w:color w:val="auto"/>
        </w:rPr>
        <w:t>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50% or more of the total voting power of the stock of the Company or of the ultimate parent entity of the Company, such event shall not be considered a Change in Control under this Section 2(f)(i).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01" w:lineRule="exact"/>
        <w:rPr>
          <w:sz w:val="20"/>
          <w:szCs w:val="20"/>
          <w:color w:val="auto"/>
        </w:rPr>
      </w:pPr>
    </w:p>
    <w:p>
      <w:pPr>
        <w:jc w:val="both"/>
        <w:ind w:firstLine="2435"/>
        <w:spacing w:after="0" w:line="287" w:lineRule="auto"/>
        <w:rPr>
          <w:sz w:val="20"/>
          <w:szCs w:val="20"/>
          <w:color w:val="auto"/>
        </w:rPr>
      </w:pPr>
      <w:r>
        <w:rPr>
          <w:rFonts w:ascii="Arial" w:cs="Arial" w:eastAsia="Arial" w:hAnsi="Arial"/>
          <w:sz w:val="20"/>
          <w:szCs w:val="20"/>
          <w:color w:val="auto"/>
        </w:rPr>
        <w:t>(ii) A change in the effective control of the Company which occurs on the date a majority of members of the Board is replaced during any 12-month period by Directors whose appointment or election is not endorsed by a majority of the members of the Board prior to the appointment or election. For purposes of this Section 2(f)(ii), if any Person is considered to be in effective control of the Company, the acquisition of additional control of the Company by the same Person will not be considered a Change in Control; or</w:t>
      </w:r>
    </w:p>
    <w:p>
      <w:pPr>
        <w:spacing w:after="0" w:line="110" w:lineRule="exact"/>
        <w:rPr>
          <w:sz w:val="20"/>
          <w:szCs w:val="20"/>
          <w:color w:val="auto"/>
        </w:rPr>
      </w:pPr>
    </w:p>
    <w:p>
      <w:pPr>
        <w:jc w:val="both"/>
        <w:ind w:firstLine="2393"/>
        <w:spacing w:after="0" w:line="305" w:lineRule="auto"/>
        <w:rPr>
          <w:sz w:val="20"/>
          <w:szCs w:val="20"/>
          <w:color w:val="auto"/>
        </w:rPr>
      </w:pPr>
      <w:r>
        <w:rPr>
          <w:rFonts w:ascii="Arial" w:cs="Arial" w:eastAsia="Arial" w:hAnsi="Arial"/>
          <w:sz w:val="19"/>
          <w:szCs w:val="19"/>
          <w:color w:val="auto"/>
        </w:rPr>
        <w:t>(iii) 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that for this Section 2(f)(iii), the following will not constitute a change in the ownership of a substantial portion of the Company’s assets: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60" w:type="dxa"/>
            <w:vAlign w:val="bottom"/>
          </w:tcPr>
          <w:p>
            <w:pPr>
              <w:jc w:val="right"/>
              <w:ind w:right="741"/>
              <w:spacing w:after="0"/>
              <w:rPr>
                <w:sz w:val="20"/>
                <w:szCs w:val="20"/>
                <w:color w:val="auto"/>
              </w:rPr>
            </w:pPr>
            <w:r>
              <w:rPr>
                <w:rFonts w:ascii="Arial" w:cs="Arial" w:eastAsia="Arial" w:hAnsi="Arial"/>
                <w:sz w:val="20"/>
                <w:szCs w:val="20"/>
                <w:color w:val="auto"/>
              </w:rPr>
              <w:t>(1)</w:t>
            </w:r>
          </w:p>
        </w:tc>
        <w:tc>
          <w:tcPr>
            <w:tcW w:w="6480" w:type="dxa"/>
            <w:vAlign w:val="bottom"/>
          </w:tcPr>
          <w:p>
            <w:pPr>
              <w:ind w:left="840"/>
              <w:spacing w:after="0"/>
              <w:rPr>
                <w:sz w:val="20"/>
                <w:szCs w:val="20"/>
                <w:color w:val="auto"/>
              </w:rPr>
            </w:pPr>
            <w:r>
              <w:rPr>
                <w:rFonts w:ascii="Arial" w:cs="Arial" w:eastAsia="Arial" w:hAnsi="Arial"/>
                <w:sz w:val="20"/>
                <w:szCs w:val="20"/>
                <w:color w:val="auto"/>
                <w:w w:val="99"/>
              </w:rPr>
              <w:t>a transfer to an entity controlled by the Company’s stockholders</w:t>
            </w:r>
          </w:p>
        </w:tc>
      </w:tr>
      <w:tr>
        <w:trPr>
          <w:trHeight w:val="270"/>
        </w:trPr>
        <w:tc>
          <w:tcPr>
            <w:tcW w:w="4760" w:type="dxa"/>
            <w:vAlign w:val="bottom"/>
          </w:tcPr>
          <w:p>
            <w:pPr>
              <w:jc w:val="right"/>
              <w:ind w:right="2061"/>
              <w:spacing w:after="0"/>
              <w:rPr>
                <w:sz w:val="20"/>
                <w:szCs w:val="20"/>
                <w:color w:val="auto"/>
              </w:rPr>
            </w:pPr>
            <w:r>
              <w:rPr>
                <w:rFonts w:ascii="Arial" w:cs="Arial" w:eastAsia="Arial" w:hAnsi="Arial"/>
                <w:sz w:val="20"/>
                <w:szCs w:val="20"/>
                <w:color w:val="auto"/>
                <w:w w:val="89"/>
              </w:rPr>
              <w:t>immediately after the transfer, or</w:t>
            </w:r>
          </w:p>
        </w:tc>
        <w:tc>
          <w:tcPr>
            <w:tcW w:w="6480" w:type="dxa"/>
            <w:vAlign w:val="bottom"/>
          </w:tcPr>
          <w:p>
            <w:pPr>
              <w:spacing w:after="0"/>
              <w:rPr>
                <w:sz w:val="23"/>
                <w:szCs w:val="23"/>
                <w:color w:val="auto"/>
              </w:rPr>
            </w:pPr>
          </w:p>
        </w:tc>
      </w:tr>
      <w:tr>
        <w:trPr>
          <w:trHeight w:val="419"/>
        </w:trPr>
        <w:tc>
          <w:tcPr>
            <w:tcW w:w="4760" w:type="dxa"/>
            <w:vAlign w:val="bottom"/>
          </w:tcPr>
          <w:p>
            <w:pPr>
              <w:jc w:val="right"/>
              <w:ind w:right="741"/>
              <w:spacing w:after="0"/>
              <w:rPr>
                <w:sz w:val="20"/>
                <w:szCs w:val="20"/>
                <w:color w:val="auto"/>
              </w:rPr>
            </w:pPr>
            <w:r>
              <w:rPr>
                <w:rFonts w:ascii="Arial" w:cs="Arial" w:eastAsia="Arial" w:hAnsi="Arial"/>
                <w:sz w:val="20"/>
                <w:szCs w:val="20"/>
                <w:color w:val="auto"/>
              </w:rPr>
              <w:t>(2)</w:t>
            </w:r>
          </w:p>
        </w:tc>
        <w:tc>
          <w:tcPr>
            <w:tcW w:w="6480" w:type="dxa"/>
            <w:vAlign w:val="bottom"/>
          </w:tcPr>
          <w:p>
            <w:pPr>
              <w:ind w:left="840"/>
              <w:spacing w:after="0"/>
              <w:rPr>
                <w:sz w:val="20"/>
                <w:szCs w:val="20"/>
                <w:color w:val="auto"/>
              </w:rPr>
            </w:pPr>
            <w:r>
              <w:rPr>
                <w:rFonts w:ascii="Arial" w:cs="Arial" w:eastAsia="Arial" w:hAnsi="Arial"/>
                <w:sz w:val="20"/>
                <w:szCs w:val="20"/>
                <w:color w:val="auto"/>
              </w:rPr>
              <w:t>a transfer of assets by the Company to:</w:t>
            </w:r>
          </w:p>
        </w:tc>
      </w:tr>
    </w:tbl>
    <w:p>
      <w:pPr>
        <w:spacing w:after="0" w:line="15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 a stockholder of the Company (immediately before the asset transfer) in exchange for or</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the Company’s stock,</w:t>
      </w:r>
    </w:p>
    <w:p>
      <w:pPr>
        <w:spacing w:after="0" w:line="18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(B)  an entity, 50% or more of the total value or voting power of which is owned, directly or</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indirectly, by the Company,</w:t>
      </w:r>
    </w:p>
    <w:p>
      <w:pPr>
        <w:spacing w:after="0" w:line="18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  a Person, that owns, directly or indirectly, 50% or more of the total value or voting power</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of all the outstanding stock of the Company, or</w:t>
      </w:r>
    </w:p>
    <w:p>
      <w:pPr>
        <w:spacing w:after="0" w:line="175" w:lineRule="exact"/>
        <w:rPr>
          <w:sz w:val="20"/>
          <w:szCs w:val="20"/>
          <w:color w:val="auto"/>
        </w:rPr>
      </w:pPr>
    </w:p>
    <w:p>
      <w:pPr>
        <w:ind w:right="240" w:firstLine="3752"/>
        <w:spacing w:after="0" w:line="303" w:lineRule="auto"/>
        <w:tabs>
          <w:tab w:leader="none" w:pos="41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an entity, at least 50% of the total value or voting power of which is owned, directly or indirectly, by a Person described in Section 2(f)(iii)(2)(A) to Section 2(f)(iii)(2)(C).</w:t>
      </w:r>
    </w:p>
    <w:p>
      <w:pPr>
        <w:spacing w:after="0" w:line="108"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20"/>
          <w:szCs w:val="20"/>
          <w:color w:val="auto"/>
        </w:rPr>
        <w:t>For this definition, gross fair market value means the value of the assets of the Company, or the value of the assets being disposed of, determined without regard to any liabilities associated with such assets. For this definition, persons will be acting as a group if they are owners of a corporation that enters into a merger, consolidation, purchase or acquisition of stock, or similar business transaction with the Company. For the avoidance of doubt, wholly-owned subsidiaries of the Company shall not be considered “Persons” for purposes of this Section 2(f).</w:t>
      </w:r>
    </w:p>
    <w:p>
      <w:pPr>
        <w:spacing w:after="0" w:line="123" w:lineRule="exact"/>
        <w:rPr>
          <w:sz w:val="20"/>
          <w:szCs w:val="20"/>
          <w:color w:val="auto"/>
        </w:rPr>
      </w:pPr>
    </w:p>
    <w:p>
      <w:pPr>
        <w:ind w:left="2400"/>
        <w:spacing w:after="0"/>
        <w:tabs>
          <w:tab w:leader="none" w:pos="488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20"/>
          <w:szCs w:val="20"/>
          <w:color w:val="auto"/>
        </w:rPr>
        <w:t>A transaction will not be a Change in Control: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50"/>
        </w:trPr>
        <w:tc>
          <w:tcPr>
            <w:tcW w:w="4760" w:type="dxa"/>
            <w:vAlign w:val="bottom"/>
          </w:tcPr>
          <w:p>
            <w:pPr>
              <w:jc w:val="right"/>
              <w:ind w:right="741"/>
              <w:spacing w:after="0"/>
              <w:rPr>
                <w:sz w:val="20"/>
                <w:szCs w:val="20"/>
                <w:color w:val="auto"/>
              </w:rPr>
            </w:pPr>
            <w:r>
              <w:rPr>
                <w:rFonts w:ascii="Arial" w:cs="Arial" w:eastAsia="Arial" w:hAnsi="Arial"/>
                <w:sz w:val="20"/>
                <w:szCs w:val="20"/>
                <w:color w:val="auto"/>
              </w:rPr>
              <w:t>(1)</w:t>
            </w:r>
          </w:p>
        </w:tc>
        <w:tc>
          <w:tcPr>
            <w:tcW w:w="6480" w:type="dxa"/>
            <w:vAlign w:val="bottom"/>
          </w:tcPr>
          <w:p>
            <w:pPr>
              <w:ind w:left="840"/>
              <w:spacing w:after="0"/>
              <w:rPr>
                <w:sz w:val="20"/>
                <w:szCs w:val="20"/>
                <w:color w:val="auto"/>
              </w:rPr>
            </w:pPr>
            <w:r>
              <w:rPr>
                <w:rFonts w:ascii="Arial" w:cs="Arial" w:eastAsia="Arial" w:hAnsi="Arial"/>
                <w:sz w:val="20"/>
                <w:szCs w:val="20"/>
                <w:color w:val="auto"/>
                <w:w w:val="90"/>
              </w:rPr>
              <w:t>unless the transaction qualifies as a change in control event within the</w:t>
            </w:r>
          </w:p>
        </w:tc>
      </w:tr>
      <w:tr>
        <w:trPr>
          <w:trHeight w:val="270"/>
        </w:trPr>
        <w:tc>
          <w:tcPr>
            <w:tcW w:w="4760" w:type="dxa"/>
            <w:vAlign w:val="bottom"/>
          </w:tcPr>
          <w:p>
            <w:pPr>
              <w:jc w:val="right"/>
              <w:ind w:right="1881"/>
              <w:spacing w:after="0"/>
              <w:rPr>
                <w:sz w:val="20"/>
                <w:szCs w:val="20"/>
                <w:color w:val="auto"/>
              </w:rPr>
            </w:pPr>
            <w:r>
              <w:rPr>
                <w:rFonts w:ascii="Arial" w:cs="Arial" w:eastAsia="Arial" w:hAnsi="Arial"/>
                <w:sz w:val="20"/>
                <w:szCs w:val="20"/>
                <w:color w:val="auto"/>
                <w:w w:val="90"/>
              </w:rPr>
              <w:t>meaning of Code Section 409A; or</w:t>
            </w:r>
          </w:p>
        </w:tc>
        <w:tc>
          <w:tcPr>
            <w:tcW w:w="6480" w:type="dxa"/>
            <w:vAlign w:val="bottom"/>
          </w:tcPr>
          <w:p>
            <w:pPr>
              <w:spacing w:after="0"/>
              <w:rPr>
                <w:sz w:val="23"/>
                <w:szCs w:val="23"/>
                <w:color w:val="auto"/>
              </w:rPr>
            </w:pPr>
          </w:p>
        </w:tc>
      </w:tr>
      <w:tr>
        <w:trPr>
          <w:trHeight w:val="418"/>
        </w:trPr>
        <w:tc>
          <w:tcPr>
            <w:tcW w:w="4760" w:type="dxa"/>
            <w:vAlign w:val="bottom"/>
          </w:tcPr>
          <w:p>
            <w:pPr>
              <w:jc w:val="right"/>
              <w:ind w:right="741"/>
              <w:spacing w:after="0"/>
              <w:rPr>
                <w:sz w:val="20"/>
                <w:szCs w:val="20"/>
                <w:color w:val="auto"/>
              </w:rPr>
            </w:pPr>
            <w:r>
              <w:rPr>
                <w:rFonts w:ascii="Arial" w:cs="Arial" w:eastAsia="Arial" w:hAnsi="Arial"/>
                <w:sz w:val="20"/>
                <w:szCs w:val="20"/>
                <w:color w:val="auto"/>
              </w:rPr>
              <w:t>(2)</w:t>
            </w:r>
          </w:p>
        </w:tc>
        <w:tc>
          <w:tcPr>
            <w:tcW w:w="6480" w:type="dxa"/>
            <w:vAlign w:val="bottom"/>
          </w:tcPr>
          <w:p>
            <w:pPr>
              <w:ind w:left="840"/>
              <w:spacing w:after="0"/>
              <w:rPr>
                <w:sz w:val="20"/>
                <w:szCs w:val="20"/>
                <w:color w:val="auto"/>
              </w:rPr>
            </w:pPr>
            <w:r>
              <w:rPr>
                <w:rFonts w:ascii="Arial" w:cs="Arial" w:eastAsia="Arial" w:hAnsi="Arial"/>
                <w:sz w:val="20"/>
                <w:szCs w:val="20"/>
                <w:color w:val="auto"/>
              </w:rPr>
              <w:t>if its primary purpose is to (A)  change  the  jurisdiction  of  the</w:t>
            </w:r>
          </w:p>
        </w:tc>
      </w:tr>
    </w:tbl>
    <w:p>
      <w:pPr>
        <w:spacing w:after="0" w:line="2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Company’s incorporation, or (B) create a holding company owned in substantially the same proportions by the persons who held the Company’s securities immediately before such transaction.</w:t>
      </w:r>
    </w:p>
    <w:p>
      <w:pPr>
        <w:spacing w:after="0" w:line="94" w:lineRule="exact"/>
        <w:rPr>
          <w:sz w:val="20"/>
          <w:szCs w:val="20"/>
          <w:color w:val="auto"/>
        </w:rPr>
      </w:pPr>
    </w:p>
    <w:p>
      <w:pPr>
        <w:jc w:val="both"/>
        <w:ind w:firstLine="1678"/>
        <w:spacing w:after="0" w:line="288" w:lineRule="auto"/>
        <w:tabs>
          <w:tab w:leader="none" w:pos="2843" w:val="left"/>
        </w:tabs>
        <w:numPr>
          <w:ilvl w:val="0"/>
          <w:numId w:val="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24" w:lineRule="exact"/>
        <w:rPr>
          <w:rFonts w:ascii="Arial" w:cs="Arial" w:eastAsia="Arial" w:hAnsi="Arial"/>
          <w:sz w:val="20"/>
          <w:szCs w:val="20"/>
          <w:color w:val="auto"/>
        </w:rPr>
      </w:pPr>
    </w:p>
    <w:p>
      <w:pPr>
        <w:ind w:left="2800" w:hanging="1122"/>
        <w:spacing w:after="0"/>
        <w:tabs>
          <w:tab w:leader="none" w:pos="28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means a committee of the Board appointed in accordance with Section 14 hereof.</w:t>
      </w:r>
    </w:p>
    <w:p>
      <w:pPr>
        <w:spacing w:after="0" w:line="188" w:lineRule="exact"/>
        <w:rPr>
          <w:rFonts w:ascii="Arial" w:cs="Arial" w:eastAsia="Arial" w:hAnsi="Arial"/>
          <w:sz w:val="20"/>
          <w:szCs w:val="20"/>
          <w:color w:val="auto"/>
        </w:rPr>
      </w:pPr>
    </w:p>
    <w:p>
      <w:pPr>
        <w:ind w:left="2800" w:hanging="1122"/>
        <w:spacing w:after="0"/>
        <w:tabs>
          <w:tab w:leader="none" w:pos="28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w:t>
      </w:r>
      <w:r>
        <w:rPr>
          <w:rFonts w:ascii="Arial" w:cs="Arial" w:eastAsia="Arial" w:hAnsi="Arial"/>
          <w:sz w:val="20"/>
          <w:szCs w:val="20"/>
          <w:color w:val="auto"/>
        </w:rPr>
        <w:t>” means the common stock of the Company.</w:t>
      </w:r>
    </w:p>
    <w:p>
      <w:pPr>
        <w:spacing w:after="0" w:line="175" w:lineRule="exact"/>
        <w:rPr>
          <w:rFonts w:ascii="Arial" w:cs="Arial" w:eastAsia="Arial" w:hAnsi="Arial"/>
          <w:sz w:val="20"/>
          <w:szCs w:val="20"/>
          <w:color w:val="auto"/>
        </w:rPr>
      </w:pPr>
    </w:p>
    <w:p>
      <w:pPr>
        <w:ind w:left="2800" w:hanging="1122"/>
        <w:spacing w:after="0"/>
        <w:tabs>
          <w:tab w:leader="none" w:pos="28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means RxSight, Inc., a Delaware corporation, or any of its successors.</w:t>
      </w:r>
    </w:p>
    <w:p>
      <w:pPr>
        <w:spacing w:after="0" w:line="188" w:lineRule="exact"/>
        <w:rPr>
          <w:rFonts w:ascii="Arial" w:cs="Arial" w:eastAsia="Arial" w:hAnsi="Arial"/>
          <w:sz w:val="20"/>
          <w:szCs w:val="20"/>
          <w:color w:val="auto"/>
        </w:rPr>
      </w:pPr>
    </w:p>
    <w:p>
      <w:pPr>
        <w:jc w:val="both"/>
        <w:ind w:firstLine="1678"/>
        <w:spacing w:after="0" w:line="303" w:lineRule="auto"/>
        <w:tabs>
          <w:tab w:leader="none" w:pos="2793" w:val="left"/>
        </w:tabs>
        <w:numPr>
          <w:ilvl w:val="0"/>
          <w:numId w:val="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Compensation</w:t>
      </w:r>
      <w:r>
        <w:rPr>
          <w:rFonts w:ascii="Arial" w:cs="Arial" w:eastAsia="Arial" w:hAnsi="Arial"/>
          <w:sz w:val="19"/>
          <w:szCs w:val="19"/>
          <w:color w:val="auto"/>
        </w:rPr>
        <w:t>” includes an Eligible Employee’s base straight time gross earnings but excludes payments for commissions, incentive compensation, bonuses, payments for overtime and shift premium, equity compensation income and other similar compensation. For the avoidance of doubt, “Compensation” excludes any payments that an Eligible Employee receives from external sources, including government agencies or insurance carriers, such as disability insurance payments or paid family leave payments, during any leave of absence taken by an Eligible Employee. The Administrator, in its discretion, may, on a uniform and nondiscriminatory basis, establish a different definition of Compensation for a subsequent Offering Period.</w:t>
      </w:r>
    </w:p>
    <w:p>
      <w:pPr>
        <w:spacing w:after="0" w:line="113" w:lineRule="exact"/>
        <w:rPr>
          <w:rFonts w:ascii="Arial" w:cs="Arial" w:eastAsia="Arial" w:hAnsi="Arial"/>
          <w:sz w:val="19"/>
          <w:szCs w:val="19"/>
          <w:color w:val="auto"/>
        </w:rPr>
      </w:pPr>
    </w:p>
    <w:p>
      <w:pPr>
        <w:ind w:right="20" w:firstLine="1678"/>
        <w:spacing w:after="0" w:line="303" w:lineRule="auto"/>
        <w:tabs>
          <w:tab w:leader="none" w:pos="2793" w:val="left"/>
        </w:tabs>
        <w:numPr>
          <w:ilvl w:val="0"/>
          <w:numId w:val="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Contributions</w:t>
      </w:r>
      <w:r>
        <w:rPr>
          <w:rFonts w:ascii="Arial" w:cs="Arial" w:eastAsia="Arial" w:hAnsi="Arial"/>
          <w:sz w:val="20"/>
          <w:szCs w:val="20"/>
          <w:color w:val="auto"/>
        </w:rPr>
        <w:t>” means the payroll deductions and other additional payments that the Company may permit to be made by a Participant to fund the exercise of options granted pursuant to the Plan.</w:t>
      </w:r>
    </w:p>
    <w:p>
      <w:pPr>
        <w:spacing w:after="0" w:line="94" w:lineRule="exact"/>
        <w:rPr>
          <w:rFonts w:ascii="Arial" w:cs="Arial" w:eastAsia="Arial" w:hAnsi="Arial"/>
          <w:sz w:val="20"/>
          <w:szCs w:val="20"/>
          <w:color w:val="auto"/>
        </w:rPr>
      </w:pPr>
    </w:p>
    <w:p>
      <w:pPr>
        <w:jc w:val="both"/>
        <w:ind w:firstLine="1678"/>
        <w:spacing w:after="0" w:line="265" w:lineRule="exact"/>
        <w:tabs>
          <w:tab w:leader="none" w:pos="2793" w:val="left"/>
        </w:tabs>
        <w:numPr>
          <w:ilvl w:val="0"/>
          <w:numId w:val="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Company</w:t>
      </w:r>
      <w:r>
        <w:rPr>
          <w:rFonts w:ascii="Arial" w:cs="Arial" w:eastAsia="Arial" w:hAnsi="Arial"/>
          <w:sz w:val="19"/>
          <w:szCs w:val="19"/>
          <w:color w:val="auto"/>
        </w:rPr>
        <w:t>” means any Subsidiary or Affiliate of the Company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w:t>
      </w:r>
      <w:r>
        <w:rPr>
          <w:rFonts w:ascii="MS PGothic" w:cs="MS PGothic" w:eastAsia="MS PGothic" w:hAnsi="MS PGothic"/>
          <w:sz w:val="19"/>
          <w:szCs w:val="19"/>
          <w:color w:val="auto"/>
        </w:rPr>
        <w:t>‑</w:t>
      </w:r>
      <w:r>
        <w:rPr>
          <w:rFonts w:ascii="Arial" w:cs="Arial" w:eastAsia="Arial" w:hAnsi="Arial"/>
          <w:sz w:val="19"/>
          <w:szCs w:val="19"/>
          <w:color w:val="auto"/>
        </w:rPr>
        <w:t>423 Component.</w:t>
      </w:r>
    </w:p>
    <w:p>
      <w:pPr>
        <w:spacing w:after="0" w:line="168" w:lineRule="exact"/>
        <w:rPr>
          <w:rFonts w:ascii="Arial" w:cs="Arial" w:eastAsia="Arial" w:hAnsi="Arial"/>
          <w:sz w:val="19"/>
          <w:szCs w:val="19"/>
          <w:color w:val="auto"/>
        </w:rPr>
      </w:pPr>
    </w:p>
    <w:p>
      <w:pPr>
        <w:ind w:left="2800" w:hanging="1122"/>
        <w:spacing w:after="0"/>
        <w:tabs>
          <w:tab w:leader="none" w:pos="28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Director</w:t>
      </w:r>
      <w:r>
        <w:rPr>
          <w:rFonts w:ascii="Arial" w:cs="Arial" w:eastAsia="Arial" w:hAnsi="Arial"/>
          <w:sz w:val="20"/>
          <w:szCs w:val="20"/>
          <w:color w:val="auto"/>
        </w:rPr>
        <w:t>” means a member of the Board.</w:t>
      </w:r>
    </w:p>
    <w:p>
      <w:pPr>
        <w:spacing w:after="0" w:line="188" w:lineRule="exact"/>
        <w:rPr>
          <w:rFonts w:ascii="Arial" w:cs="Arial" w:eastAsia="Arial" w:hAnsi="Arial"/>
          <w:sz w:val="20"/>
          <w:szCs w:val="20"/>
          <w:color w:val="auto"/>
        </w:rPr>
      </w:pPr>
    </w:p>
    <w:p>
      <w:pPr>
        <w:jc w:val="both"/>
        <w:ind w:firstLine="1678"/>
        <w:spacing w:after="0" w:line="285" w:lineRule="auto"/>
        <w:tabs>
          <w:tab w:leader="none" w:pos="2793" w:val="left"/>
        </w:tabs>
        <w:numPr>
          <w:ilvl w:val="0"/>
          <w:numId w:val="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Employee</w:t>
      </w:r>
      <w:r>
        <w:rPr>
          <w:rFonts w:ascii="Arial" w:cs="Arial" w:eastAsia="Arial" w:hAnsi="Arial"/>
          <w:sz w:val="20"/>
          <w:szCs w:val="20"/>
          <w:color w:val="auto"/>
        </w:rPr>
        <w:t>” means any individual who is a common law employee providing services to the Company or a Designated Company and is customarily employed for at least 20 hours per week and more than 5 months in any calendar year by the Employer, or any lesser number of hours per week and/or number of months in any calendar year established by the Administrator (if required under applicable local law) for purposes of any separate Offering or the Non-423 Component. For purposes of the Plan, the employment relationship will be treated as continuing intact while the individual is on sick leave or other leave of absence that the Employer approves or is legally protected under Applicable Laws. Where the period of leave exceeds 3 months and the individual’s right to reemployment is not guaranteed either by statute or by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142" w:name="page143"/>
    <w:bookmarkEnd w:id="142"/>
    <w:p>
      <w:pPr>
        <w:jc w:val="both"/>
        <w:spacing w:after="0" w:line="269" w:lineRule="exact"/>
        <w:rPr>
          <w:sz w:val="20"/>
          <w:szCs w:val="20"/>
          <w:color w:val="auto"/>
        </w:rPr>
      </w:pPr>
      <w:r>
        <w:rPr>
          <w:rFonts w:ascii="Arial" w:cs="Arial" w:eastAsia="Arial" w:hAnsi="Arial"/>
          <w:sz w:val="18"/>
          <w:szCs w:val="18"/>
          <w:color w:val="auto"/>
        </w:rPr>
        <w:t>contract, the employment relationship will be deemed to have terminated 3 months and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Treasury Regulation Section 1.423</w:t>
      </w:r>
      <w:r>
        <w:rPr>
          <w:rFonts w:ascii="MS PGothic" w:cs="MS PGothic" w:eastAsia="MS PGothic" w:hAnsi="MS PGothic"/>
          <w:sz w:val="18"/>
          <w:szCs w:val="18"/>
          <w:color w:val="auto"/>
        </w:rPr>
        <w:t>‑</w:t>
      </w:r>
      <w:r>
        <w:rPr>
          <w:rFonts w:ascii="Arial" w:cs="Arial" w:eastAsia="Arial" w:hAnsi="Arial"/>
          <w:sz w:val="18"/>
          <w:szCs w:val="18"/>
          <w:color w:val="auto"/>
        </w:rPr>
        <w:t>2) that the definition of Eligible Employee will or will not include an individual if he or she: (i) has not completed at least 2 years of service since his or her last hire date (or such lesser period of time as may be determined by the Administrator in its discretion), (ii) customarily works not more than 20 hours per week (or such lesser period of time as may be determined by the Administrator in its discretion), (iii) customarily works not more than 5 months per calendar year (or such lesser period of time as may be determined by the Administrator in its discretion), (iv) is a highly compensated employee within the meaning of Code Section 414(q), or (v)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Eligible Employees are participating in that Offering under the 423 Component. Each exclusion will be applied with respect to an Offering under the 423 Component in a manner complying with U.S. Treasury Regulation Section 1.423</w:t>
      </w:r>
      <w:r>
        <w:rPr>
          <w:rFonts w:ascii="MS PGothic" w:cs="MS PGothic" w:eastAsia="MS PGothic" w:hAnsi="MS PGothic"/>
          <w:sz w:val="18"/>
          <w:szCs w:val="18"/>
          <w:color w:val="auto"/>
        </w:rPr>
        <w:t>‑</w:t>
      </w:r>
      <w:r>
        <w:rPr>
          <w:rFonts w:ascii="Arial" w:cs="Arial" w:eastAsia="Arial" w:hAnsi="Arial"/>
          <w:sz w:val="18"/>
          <w:szCs w:val="18"/>
          <w:color w:val="auto"/>
        </w:rPr>
        <w:t>2(e)(2)(ii). Such exclusions may be applied with respect to an Offering under the Non- 423 Component without regard to the limitations of Treasury Regulation Section 1.423</w:t>
      </w:r>
      <w:r>
        <w:rPr>
          <w:rFonts w:ascii="MS PGothic" w:cs="MS PGothic" w:eastAsia="MS PGothic" w:hAnsi="MS PGothic"/>
          <w:sz w:val="18"/>
          <w:szCs w:val="18"/>
          <w:color w:val="auto"/>
        </w:rPr>
        <w:t>‑</w:t>
      </w:r>
      <w:r>
        <w:rPr>
          <w:rFonts w:ascii="Arial" w:cs="Arial" w:eastAsia="Arial" w:hAnsi="Arial"/>
          <w:sz w:val="18"/>
          <w:szCs w:val="18"/>
          <w:color w:val="auto"/>
        </w:rPr>
        <w:t>2.</w:t>
      </w:r>
    </w:p>
    <w:p>
      <w:pPr>
        <w:spacing w:after="0" w:line="173" w:lineRule="exact"/>
        <w:rPr>
          <w:sz w:val="20"/>
          <w:szCs w:val="20"/>
          <w:color w:val="auto"/>
        </w:rPr>
      </w:pPr>
    </w:p>
    <w:p>
      <w:pPr>
        <w:ind w:left="2800" w:hanging="1122"/>
        <w:spacing w:after="0"/>
        <w:tabs>
          <w:tab w:leader="none" w:pos="28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Employer</w:t>
      </w:r>
      <w:r>
        <w:rPr>
          <w:rFonts w:ascii="Arial" w:cs="Arial" w:eastAsia="Arial" w:hAnsi="Arial"/>
          <w:sz w:val="20"/>
          <w:szCs w:val="20"/>
          <w:color w:val="auto"/>
        </w:rPr>
        <w:t>” means the employer of the applicable Eligible Employee(s).</w:t>
      </w:r>
    </w:p>
    <w:p>
      <w:pPr>
        <w:spacing w:after="0" w:line="175" w:lineRule="exact"/>
        <w:rPr>
          <w:rFonts w:ascii="Arial" w:cs="Arial" w:eastAsia="Arial" w:hAnsi="Arial"/>
          <w:sz w:val="20"/>
          <w:szCs w:val="20"/>
          <w:color w:val="auto"/>
        </w:rPr>
      </w:pPr>
    </w:p>
    <w:p>
      <w:pPr>
        <w:ind w:left="2800" w:hanging="1122"/>
        <w:spacing w:after="0"/>
        <w:tabs>
          <w:tab w:leader="none" w:pos="28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Enrollment Date</w:t>
      </w:r>
      <w:r>
        <w:rPr>
          <w:rFonts w:ascii="Arial" w:cs="Arial" w:eastAsia="Arial" w:hAnsi="Arial"/>
          <w:sz w:val="20"/>
          <w:szCs w:val="20"/>
          <w:color w:val="auto"/>
        </w:rPr>
        <w:t>” means the first Trading Day of an Offering Period.</w:t>
      </w:r>
    </w:p>
    <w:p>
      <w:pPr>
        <w:spacing w:after="0" w:line="188" w:lineRule="exact"/>
        <w:rPr>
          <w:rFonts w:ascii="Arial" w:cs="Arial" w:eastAsia="Arial" w:hAnsi="Arial"/>
          <w:sz w:val="20"/>
          <w:szCs w:val="20"/>
          <w:color w:val="auto"/>
        </w:rPr>
      </w:pPr>
    </w:p>
    <w:p>
      <w:pPr>
        <w:ind w:firstLine="1678"/>
        <w:spacing w:after="0" w:line="303" w:lineRule="auto"/>
        <w:tabs>
          <w:tab w:leader="none" w:pos="2793" w:val="left"/>
        </w:tabs>
        <w:numPr>
          <w:ilvl w:val="0"/>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U.S. Securities Exchange Act of 1934, as amended, including the rules and regulations promulgated thereunder.</w:t>
      </w:r>
    </w:p>
    <w:p>
      <w:pPr>
        <w:spacing w:after="0" w:line="107" w:lineRule="exact"/>
        <w:rPr>
          <w:rFonts w:ascii="Arial" w:cs="Arial" w:eastAsia="Arial" w:hAnsi="Arial"/>
          <w:sz w:val="20"/>
          <w:szCs w:val="20"/>
          <w:color w:val="auto"/>
        </w:rPr>
      </w:pPr>
    </w:p>
    <w:p>
      <w:pPr>
        <w:jc w:val="both"/>
        <w:ind w:firstLine="1678"/>
        <w:spacing w:after="0" w:line="308" w:lineRule="auto"/>
        <w:tabs>
          <w:tab w:leader="none" w:pos="2793" w:val="left"/>
        </w:tabs>
        <w:numPr>
          <w:ilvl w:val="0"/>
          <w:numId w:val="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Exercise Date</w:t>
      </w:r>
      <w:r>
        <w:rPr>
          <w:rFonts w:ascii="Arial" w:cs="Arial" w:eastAsia="Arial" w:hAnsi="Arial"/>
          <w:sz w:val="19"/>
          <w:szCs w:val="19"/>
          <w:color w:val="auto"/>
        </w:rPr>
        <w:t>” means the last Trading Day of the Purchase Period. Notwithstanding the foregoing, in the event that an Offering Period is terminated prior to its expiration pursuant to Section 20, the Administrator, in its sole discretion, may determine that any Purchase Period also terminating under such Offering Period will terminate without options being exercised on the Exercise Date that otherwise would have occurred on the last Trading Day of such Purchase Period.</w:t>
      </w:r>
    </w:p>
    <w:p>
      <w:pPr>
        <w:spacing w:after="0" w:line="93" w:lineRule="exact"/>
        <w:rPr>
          <w:rFonts w:ascii="Arial" w:cs="Arial" w:eastAsia="Arial" w:hAnsi="Arial"/>
          <w:sz w:val="19"/>
          <w:szCs w:val="19"/>
          <w:color w:val="auto"/>
        </w:rPr>
      </w:pPr>
    </w:p>
    <w:p>
      <w:pPr>
        <w:ind w:left="2800" w:hanging="1122"/>
        <w:spacing w:after="0"/>
        <w:tabs>
          <w:tab w:leader="none" w:pos="28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Market Value</w:t>
      </w:r>
      <w:r>
        <w:rPr>
          <w:rFonts w:ascii="Arial" w:cs="Arial" w:eastAsia="Arial" w:hAnsi="Arial"/>
          <w:sz w:val="20"/>
          <w:szCs w:val="20"/>
          <w:color w:val="auto"/>
        </w:rPr>
        <w:t>” means, as of any date, the value of a share, determined as follows:</w:t>
      </w:r>
    </w:p>
    <w:p>
      <w:pPr>
        <w:spacing w:after="0" w:line="189" w:lineRule="exact"/>
        <w:rPr>
          <w:sz w:val="20"/>
          <w:szCs w:val="20"/>
          <w:color w:val="auto"/>
        </w:rPr>
      </w:pPr>
    </w:p>
    <w:p>
      <w:pPr>
        <w:jc w:val="both"/>
        <w:ind w:firstLine="2097"/>
        <w:spacing w:after="0" w:line="285" w:lineRule="auto"/>
        <w:rPr>
          <w:sz w:val="20"/>
          <w:szCs w:val="20"/>
          <w:color w:val="auto"/>
        </w:rPr>
      </w:pPr>
      <w:r>
        <w:rPr>
          <w:rFonts w:ascii="Arial" w:cs="Arial" w:eastAsia="Arial" w:hAnsi="Arial"/>
          <w:sz w:val="20"/>
          <w:szCs w:val="20"/>
          <w:color w:val="auto"/>
        </w:rPr>
        <w:t>(i) If the Common Stock is listed on any established stock exchange or a national market system, including without limitation the New York Stock Exchange, the NASDAQ Global Select Market, the NASDAQ Global Market or the NASDAQ Capital Market of The NASDAQ Stock Market, the Fair Market Value will be the closing sales price for a share (or the closing bid, if no sales were reported) as quoted on such exchange or system on the day of determination, as reported by such source as the Administrator determines to be reliable. If the determination date for the Fair Market Value occurs on a non-Trading Day (i.e., a weekend or holiday), the Fair Market Value will be such price on the immediately preceding Trading Day, unless otherwise determined by the Administrator;</w:t>
      </w:r>
    </w:p>
    <w:p>
      <w:pPr>
        <w:spacing w:after="0" w:line="127" w:lineRule="exact"/>
        <w:rPr>
          <w:sz w:val="20"/>
          <w:szCs w:val="20"/>
          <w:color w:val="auto"/>
        </w:rPr>
      </w:pPr>
    </w:p>
    <w:p>
      <w:pPr>
        <w:jc w:val="both"/>
        <w:ind w:firstLine="2053"/>
        <w:spacing w:after="0" w:line="292" w:lineRule="auto"/>
        <w:rPr>
          <w:sz w:val="20"/>
          <w:szCs w:val="20"/>
          <w:color w:val="auto"/>
        </w:rPr>
      </w:pPr>
      <w:r>
        <w:rPr>
          <w:rFonts w:ascii="Arial" w:cs="Arial" w:eastAsia="Arial" w:hAnsi="Arial"/>
          <w:sz w:val="20"/>
          <w:szCs w:val="20"/>
          <w:color w:val="auto"/>
        </w:rPr>
        <w:t>(ii) 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143" w:name="page144"/>
    <w:bookmarkEnd w:id="143"/>
    <w:p>
      <w:pPr>
        <w:spacing w:after="0" w:line="303" w:lineRule="auto"/>
        <w:rPr>
          <w:sz w:val="20"/>
          <w:szCs w:val="20"/>
          <w:color w:val="auto"/>
        </w:rPr>
      </w:pPr>
      <w:r>
        <w:rPr>
          <w:rFonts w:ascii="Arial" w:cs="Arial" w:eastAsia="Arial" w:hAnsi="Arial"/>
          <w:sz w:val="20"/>
          <w:szCs w:val="20"/>
          <w:color w:val="auto"/>
        </w:rPr>
        <w:t>were reported on that date on the last Trading Day such bids and asks were reported), as reported by such source as the Administrator determines to be reliable;</w:t>
      </w:r>
    </w:p>
    <w:p>
      <w:pPr>
        <w:sectPr>
          <w:pgSz w:w="11900" w:h="16838" w:orient="portrait"/>
          <w:cols w:equalWidth="0" w:num="1">
            <w:col w:w="11240"/>
          </w:cols>
          <w:pgMar w:left="320" w:top="150" w:right="339" w:bottom="1440" w:gutter="0" w:footer="0" w:header="0"/>
        </w:sectPr>
      </w:pPr>
    </w:p>
    <w:p>
      <w:pPr>
        <w:spacing w:after="0" w:line="108"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(iii)</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determined in good faith by the Administrator.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Absent an established market for the Common Stock, the Fair Market Value will be</w:t>
      </w:r>
    </w:p>
    <w:p>
      <w:pPr>
        <w:spacing w:after="0" w:line="456" w:lineRule="exact"/>
        <w:rPr>
          <w:sz w:val="20"/>
          <w:szCs w:val="20"/>
          <w:color w:val="auto"/>
        </w:rPr>
      </w:pPr>
    </w:p>
    <w:p>
      <w:pPr>
        <w:sectPr>
          <w:pgSz w:w="11900" w:h="16838" w:orient="portrait"/>
          <w:cols w:equalWidth="0" w:num="2">
            <w:col w:w="3700" w:space="500"/>
            <w:col w:w="7040"/>
          </w:cols>
          <w:pgMar w:left="320" w:top="150" w:right="339" w:bottom="1440" w:gutter="0" w:footer="0" w:header="0"/>
          <w:type w:val="continuous"/>
        </w:sectPr>
      </w:pPr>
    </w:p>
    <w:p>
      <w:pPr>
        <w:jc w:val="both"/>
        <w:ind w:firstLine="749"/>
        <w:spacing w:after="0" w:line="287" w:lineRule="auto"/>
        <w:rPr>
          <w:sz w:val="20"/>
          <w:szCs w:val="20"/>
          <w:color w:val="auto"/>
        </w:rPr>
      </w:pPr>
      <w:r>
        <w:rPr>
          <w:rFonts w:ascii="Arial" w:cs="Arial" w:eastAsia="Arial" w:hAnsi="Arial"/>
          <w:sz w:val="20"/>
          <w:szCs w:val="20"/>
          <w:color w:val="auto"/>
        </w:rPr>
        <w:t>Notwithstanding the foregoing, if the determination date for the Fair Market Value occurs on a weekend, holiday or other day other than a Trading Day, the Fair Market Value will be the price as determined under subsection (s)(i) or (s)(ii) above on the immediately preceding Trading Day, unless otherwise determined by the Administrator. Note that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23" w:lineRule="exact"/>
        <w:rPr>
          <w:sz w:val="20"/>
          <w:szCs w:val="20"/>
          <w:color w:val="auto"/>
        </w:rPr>
      </w:pPr>
    </w:p>
    <w:p>
      <w:pPr>
        <w:ind w:left="2800" w:hanging="1122"/>
        <w:spacing w:after="0"/>
        <w:tabs>
          <w:tab w:leader="none" w:pos="28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Year</w:t>
      </w:r>
      <w:r>
        <w:rPr>
          <w:rFonts w:ascii="Arial" w:cs="Arial" w:eastAsia="Arial" w:hAnsi="Arial"/>
          <w:sz w:val="20"/>
          <w:szCs w:val="20"/>
          <w:color w:val="auto"/>
        </w:rPr>
        <w:t>” means a fiscal year of the Company.</w:t>
      </w:r>
    </w:p>
    <w:p>
      <w:pPr>
        <w:spacing w:after="0" w:line="188" w:lineRule="exact"/>
        <w:rPr>
          <w:rFonts w:ascii="Arial" w:cs="Arial" w:eastAsia="Arial" w:hAnsi="Arial"/>
          <w:sz w:val="20"/>
          <w:szCs w:val="20"/>
          <w:color w:val="auto"/>
        </w:rPr>
      </w:pPr>
    </w:p>
    <w:p>
      <w:pPr>
        <w:ind w:left="2800" w:hanging="1122"/>
        <w:spacing w:after="0"/>
        <w:tabs>
          <w:tab w:leader="none" w:pos="2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Exercise Date</w:t>
      </w:r>
      <w:r>
        <w:rPr>
          <w:rFonts w:ascii="Arial" w:cs="Arial" w:eastAsia="Arial" w:hAnsi="Arial"/>
          <w:sz w:val="18"/>
          <w:szCs w:val="18"/>
          <w:color w:val="auto"/>
        </w:rPr>
        <w:t>” means a new Exercise Date if the Administrator shortens any Offering Period then</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in progress.</w:t>
      </w:r>
    </w:p>
    <w:p>
      <w:pPr>
        <w:spacing w:after="0" w:line="175" w:lineRule="exact"/>
        <w:rPr>
          <w:sz w:val="20"/>
          <w:szCs w:val="20"/>
          <w:color w:val="auto"/>
        </w:rPr>
      </w:pPr>
    </w:p>
    <w:p>
      <w:pPr>
        <w:jc w:val="both"/>
        <w:ind w:firstLine="1678"/>
        <w:spacing w:after="0" w:line="267" w:lineRule="exact"/>
        <w:tabs>
          <w:tab w:leader="none" w:pos="2793"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 under the Plan of an option that may be exercised during an Offering Period as further described in Section 4.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 Section 1.423</w:t>
      </w:r>
      <w:r>
        <w:rPr>
          <w:rFonts w:ascii="MS PGothic" w:cs="MS PGothic" w:eastAsia="MS PGothic" w:hAnsi="MS PGothic"/>
          <w:sz w:val="18"/>
          <w:szCs w:val="18"/>
          <w:color w:val="auto"/>
        </w:rPr>
        <w:t>‑</w:t>
      </w:r>
      <w:r>
        <w:rPr>
          <w:rFonts w:ascii="Arial" w:cs="Arial" w:eastAsia="Arial" w:hAnsi="Arial"/>
          <w:sz w:val="18"/>
          <w:szCs w:val="18"/>
          <w:color w:val="auto"/>
        </w:rPr>
        <w:t>2(a)(1), the terms of each Offering need not be identical provided that the terms of the Plan and an Offering together satisfy U.S. Treasury Regulation Section 1.423</w:t>
      </w:r>
      <w:r>
        <w:rPr>
          <w:rFonts w:ascii="MS PGothic" w:cs="MS PGothic" w:eastAsia="MS PGothic" w:hAnsi="MS PGothic"/>
          <w:sz w:val="18"/>
          <w:szCs w:val="18"/>
          <w:color w:val="auto"/>
        </w:rPr>
        <w:t>‑</w:t>
      </w:r>
      <w:r>
        <w:rPr>
          <w:rFonts w:ascii="Arial" w:cs="Arial" w:eastAsia="Arial" w:hAnsi="Arial"/>
          <w:sz w:val="18"/>
          <w:szCs w:val="18"/>
          <w:color w:val="auto"/>
        </w:rPr>
        <w:t>2(a)(2) and (a)(3).</w:t>
      </w:r>
    </w:p>
    <w:p>
      <w:pPr>
        <w:spacing w:after="0" w:line="169" w:lineRule="exact"/>
        <w:rPr>
          <w:rFonts w:ascii="Arial" w:cs="Arial" w:eastAsia="Arial" w:hAnsi="Arial"/>
          <w:sz w:val="18"/>
          <w:szCs w:val="18"/>
          <w:color w:val="auto"/>
        </w:rPr>
      </w:pPr>
    </w:p>
    <w:p>
      <w:pPr>
        <w:jc w:val="both"/>
        <w:ind w:firstLine="1678"/>
        <w:spacing w:after="0" w:line="323" w:lineRule="auto"/>
        <w:tabs>
          <w:tab w:leader="none" w:pos="2793"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Periods</w:t>
      </w:r>
      <w:r>
        <w:rPr>
          <w:rFonts w:ascii="Arial" w:cs="Arial" w:eastAsia="Arial" w:hAnsi="Arial"/>
          <w:sz w:val="18"/>
          <w:szCs w:val="18"/>
          <w:color w:val="auto"/>
        </w:rPr>
        <w:t>” means the periods of approximately six (6) months during which an option granted pursuant to the Plan may be exercised, commencing on the first Trading Day on or after May 1 and November 1 of each year and terminating on the last Trading Day on or before October 31, and April 30, approximately six (6) months later; provided, however, that the first Offering Period under the Plan will commence with the first Trading Day on or after November 1, 2021 and will end on the last Trading Day on or before April 29, 2022, and provided, further, that the second Offering Period under the Plan will commence on the first Trading Day on or after May 2, 2022. The duration and timing of Offering Periods may be changed pursuant to Sections 4, 20 and 30.</w:t>
      </w:r>
    </w:p>
    <w:p>
      <w:pPr>
        <w:spacing w:after="0" w:line="97" w:lineRule="exact"/>
        <w:rPr>
          <w:rFonts w:ascii="Arial" w:cs="Arial" w:eastAsia="Arial" w:hAnsi="Arial"/>
          <w:sz w:val="18"/>
          <w:szCs w:val="18"/>
          <w:color w:val="auto"/>
        </w:rPr>
      </w:pPr>
    </w:p>
    <w:p>
      <w:pPr>
        <w:ind w:left="2800" w:hanging="1122"/>
        <w:spacing w:after="0"/>
        <w:tabs>
          <w:tab w:leader="none" w:pos="2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Code Section</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424(e).</w:t>
      </w:r>
    </w:p>
    <w:p>
      <w:pPr>
        <w:spacing w:after="0" w:line="175" w:lineRule="exact"/>
        <w:rPr>
          <w:rFonts w:ascii="Arial" w:cs="Arial" w:eastAsia="Arial" w:hAnsi="Arial"/>
          <w:sz w:val="18"/>
          <w:szCs w:val="18"/>
          <w:color w:val="auto"/>
        </w:rPr>
      </w:pPr>
    </w:p>
    <w:p>
      <w:pPr>
        <w:ind w:left="2800" w:hanging="1122"/>
        <w:spacing w:after="0"/>
        <w:tabs>
          <w:tab w:leader="none" w:pos="28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means an Eligible Employee that participates in the Plan.</w:t>
      </w:r>
    </w:p>
    <w:p>
      <w:pPr>
        <w:spacing w:after="0" w:line="189" w:lineRule="exact"/>
        <w:rPr>
          <w:sz w:val="20"/>
          <w:szCs w:val="20"/>
          <w:color w:val="auto"/>
        </w:rPr>
      </w:pPr>
    </w:p>
    <w:p>
      <w:pPr>
        <w:ind w:left="2800" w:hanging="1122"/>
        <w:spacing w:after="0"/>
        <w:tabs>
          <w:tab w:leader="none" w:pos="28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this RxSight, Inc. 2021 Employee Stock Purchase Plan.</w:t>
      </w:r>
    </w:p>
    <w:p>
      <w:pPr>
        <w:spacing w:after="0" w:line="188" w:lineRule="exact"/>
        <w:rPr>
          <w:rFonts w:ascii="Arial" w:cs="Arial" w:eastAsia="Arial" w:hAnsi="Arial"/>
          <w:sz w:val="20"/>
          <w:szCs w:val="20"/>
          <w:color w:val="auto"/>
        </w:rPr>
      </w:pPr>
    </w:p>
    <w:p>
      <w:pPr>
        <w:jc w:val="both"/>
        <w:ind w:firstLine="1678"/>
        <w:spacing w:after="0" w:line="305" w:lineRule="auto"/>
        <w:tabs>
          <w:tab w:leader="none" w:pos="2856" w:val="left"/>
        </w:tabs>
        <w:numPr>
          <w:ilvl w:val="0"/>
          <w:numId w:val="5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Period</w:t>
      </w:r>
      <w:r>
        <w:rPr>
          <w:rFonts w:ascii="Arial" w:cs="Arial" w:eastAsia="Arial" w:hAnsi="Arial"/>
          <w:sz w:val="19"/>
          <w:szCs w:val="19"/>
          <w:color w:val="auto"/>
        </w:rPr>
        <w:t>” means the period, as determined by the Administrator in its discretion on a uniform and nondiscriminatory basis, during an Offering Period that commences on the Offering Period’s Enrollment Date and ends on the next Exercise Date, except that if the Administrator determines that more than one Purchase Period should occur within an Offering Period, subsequent Purchase Periods within such Offering Period commence after one Exercise Date and end with the next Exercise Date at such time or times as the Administrator determines prior to the commencement of the Offering Period.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type w:val="continuous"/>
        </w:sectPr>
      </w:pPr>
    </w:p>
    <w:bookmarkStart w:id="144" w:name="page145"/>
    <w:bookmarkEnd w:id="144"/>
    <w:p>
      <w:pPr>
        <w:jc w:val="both"/>
        <w:ind w:firstLine="1678"/>
        <w:spacing w:after="0" w:line="288" w:lineRule="auto"/>
        <w:tabs>
          <w:tab w:leader="none" w:pos="2793" w:val="left"/>
        </w:tabs>
        <w:numPr>
          <w:ilvl w:val="1"/>
          <w:numId w:val="5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Price</w:t>
      </w:r>
      <w:r>
        <w:rPr>
          <w:rFonts w:ascii="Arial" w:cs="Arial" w:eastAsia="Arial" w:hAnsi="Arial"/>
          <w:sz w:val="20"/>
          <w:szCs w:val="20"/>
          <w:color w:val="auto"/>
        </w:rPr>
        <w:t>” means an amount equal to 85% of the Fair Market Value on the Enrollment Date or on the Exercise Date, whichever is lower; provided however, that the Purchase Price may be determined for subsequent Offering Periods by the Administrator subject to compliance with Code Section 423 (or any successor rule or provision or any other Applicable Law, regulation or stock exchange rule) or pursuant to Section 20.</w:t>
      </w:r>
    </w:p>
    <w:p>
      <w:pPr>
        <w:spacing w:after="0" w:line="124" w:lineRule="exact"/>
        <w:rPr>
          <w:rFonts w:ascii="Arial" w:cs="Arial" w:eastAsia="Arial" w:hAnsi="Arial"/>
          <w:sz w:val="20"/>
          <w:szCs w:val="20"/>
          <w:color w:val="auto"/>
        </w:rPr>
      </w:pPr>
    </w:p>
    <w:p>
      <w:pPr>
        <w:jc w:val="both"/>
        <w:ind w:firstLine="1678"/>
        <w:spacing w:after="0" w:line="292" w:lineRule="auto"/>
        <w:tabs>
          <w:tab w:leader="none" w:pos="2793" w:val="left"/>
        </w:tabs>
        <w:numPr>
          <w:ilvl w:val="1"/>
          <w:numId w:val="5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Registration Date</w:t>
      </w:r>
      <w:r>
        <w:rPr>
          <w:rFonts w:ascii="Arial" w:cs="Arial" w:eastAsia="Arial" w:hAnsi="Arial"/>
          <w:sz w:val="20"/>
          <w:szCs w:val="20"/>
          <w:color w:val="auto"/>
        </w:rPr>
        <w:t>” means the effective date of the first registration statement that is filed by the Company and declared effective pursuant to Section 12(b) of the Exchange Act, with respect to any class of the Company’s securities (the “</w:t>
      </w:r>
      <w:r>
        <w:rPr>
          <w:rFonts w:ascii="Arial" w:cs="Arial" w:eastAsia="Arial" w:hAnsi="Arial"/>
          <w:sz w:val="20"/>
          <w:szCs w:val="20"/>
          <w:u w:val="single" w:color="auto"/>
          <w:color w:val="auto"/>
        </w:rPr>
        <w:t>Registration Statement</w:t>
      </w:r>
      <w:r>
        <w:rPr>
          <w:rFonts w:ascii="Arial" w:cs="Arial" w:eastAsia="Arial" w:hAnsi="Arial"/>
          <w:sz w:val="20"/>
          <w:szCs w:val="20"/>
          <w:color w:val="auto"/>
        </w:rPr>
        <w:t>”).</w:t>
      </w:r>
    </w:p>
    <w:p>
      <w:pPr>
        <w:spacing w:after="0" w:line="105" w:lineRule="exact"/>
        <w:rPr>
          <w:rFonts w:ascii="Arial" w:cs="Arial" w:eastAsia="Arial" w:hAnsi="Arial"/>
          <w:sz w:val="20"/>
          <w:szCs w:val="20"/>
          <w:color w:val="auto"/>
        </w:rPr>
      </w:pPr>
    </w:p>
    <w:p>
      <w:pPr>
        <w:ind w:firstLine="1678"/>
        <w:spacing w:after="0" w:line="331" w:lineRule="auto"/>
        <w:tabs>
          <w:tab w:leader="none" w:pos="2856" w:val="left"/>
        </w:tabs>
        <w:numPr>
          <w:ilvl w:val="1"/>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409A</w:t>
      </w:r>
      <w:r>
        <w:rPr>
          <w:rFonts w:ascii="Arial" w:cs="Arial" w:eastAsia="Arial" w:hAnsi="Arial"/>
          <w:sz w:val="19"/>
          <w:szCs w:val="19"/>
          <w:color w:val="auto"/>
        </w:rPr>
        <w:t>” or “</w:t>
      </w:r>
      <w:r>
        <w:rPr>
          <w:rFonts w:ascii="Arial" w:cs="Arial" w:eastAsia="Arial" w:hAnsi="Arial"/>
          <w:sz w:val="19"/>
          <w:szCs w:val="19"/>
          <w:u w:val="single" w:color="auto"/>
          <w:color w:val="auto"/>
        </w:rPr>
        <w:t>Code Section 409A</w:t>
      </w:r>
      <w:r>
        <w:rPr>
          <w:rFonts w:ascii="Arial" w:cs="Arial" w:eastAsia="Arial" w:hAnsi="Arial"/>
          <w:sz w:val="19"/>
          <w:szCs w:val="19"/>
          <w:color w:val="auto"/>
        </w:rPr>
        <w:t>” means Code Section 409A and the applicable U.S. Treasury Regulations, and any applicable state law equivalent, as each may be promulgated, amended or modified from time to time.</w:t>
      </w:r>
    </w:p>
    <w:p>
      <w:pPr>
        <w:spacing w:after="0" w:line="85" w:lineRule="exact"/>
        <w:rPr>
          <w:rFonts w:ascii="Arial" w:cs="Arial" w:eastAsia="Arial" w:hAnsi="Arial"/>
          <w:sz w:val="19"/>
          <w:szCs w:val="19"/>
          <w:color w:val="auto"/>
        </w:rPr>
      </w:pPr>
    </w:p>
    <w:p>
      <w:pPr>
        <w:ind w:left="2800" w:hanging="1122"/>
        <w:spacing w:after="0"/>
        <w:tabs>
          <w:tab w:leader="none" w:pos="2800" w:val="left"/>
        </w:tabs>
        <w:numPr>
          <w:ilvl w:val="1"/>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 “subsidiary corporation,” whether now or hereafter existing, as defined in Code</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Section 424(f).</w:t>
      </w:r>
    </w:p>
    <w:p>
      <w:pPr>
        <w:spacing w:after="0" w:line="188" w:lineRule="exact"/>
        <w:rPr>
          <w:rFonts w:ascii="Arial" w:cs="Arial" w:eastAsia="Arial" w:hAnsi="Arial"/>
          <w:sz w:val="19"/>
          <w:szCs w:val="19"/>
          <w:color w:val="auto"/>
        </w:rPr>
      </w:pPr>
    </w:p>
    <w:p>
      <w:pPr>
        <w:jc w:val="both"/>
        <w:ind w:firstLine="1678"/>
        <w:spacing w:after="0" w:line="319" w:lineRule="auto"/>
        <w:tabs>
          <w:tab w:leader="none" w:pos="2793"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Withholdings</w:t>
      </w:r>
      <w:r>
        <w:rPr>
          <w:rFonts w:ascii="Arial" w:cs="Arial" w:eastAsia="Arial" w:hAnsi="Arial"/>
          <w:sz w:val="18"/>
          <w:szCs w:val="18"/>
          <w:color w:val="auto"/>
        </w:rPr>
        <w:t>” means the Company’s or Employer’s tax, social insurance and social security liability or premium obligations in connection with the options granted under the Plan, including, without limitation, (i) all federal, state, and local income, employment and any other taxes (including the Participant’s U.S. Federal Insurance Contributions Act (FICA) obligation) that are required to be withheld by the Company or the Employer, (ii) the Participant’s and, to the extent required by the Company or the Employer, the fringe benefit tax liability of the Company, if any, associated with the grant of an option or purchase of shares of Common Stock under the Plan or sale of shares of Common Stock issued under the Plan, and (iii) any other taxes or social insurance or social security liabilities or premium the responsibility for which the Participant has, or has agreed to bear, with respect to such option, the shares of Common Stock subject to, or other amounts or property payable under, an option, or otherwise associated with or related to participation in the Plan and with respect to which the Company or the Employer has either agreed to withhold or has an obligation to withhold.</w:t>
      </w:r>
    </w:p>
    <w:p>
      <w:pPr>
        <w:spacing w:after="0" w:line="88" w:lineRule="exact"/>
        <w:rPr>
          <w:rFonts w:ascii="Arial" w:cs="Arial" w:eastAsia="Arial" w:hAnsi="Arial"/>
          <w:sz w:val="18"/>
          <w:szCs w:val="18"/>
          <w:color w:val="auto"/>
        </w:rPr>
      </w:pPr>
    </w:p>
    <w:p>
      <w:pPr>
        <w:ind w:firstLine="1678"/>
        <w:spacing w:after="0" w:line="303" w:lineRule="auto"/>
        <w:tabs>
          <w:tab w:leader="none" w:pos="2793" w:val="left"/>
        </w:tabs>
        <w:numPr>
          <w:ilvl w:val="1"/>
          <w:numId w:val="5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Trading Day</w:t>
      </w:r>
      <w:r>
        <w:rPr>
          <w:rFonts w:ascii="Arial" w:cs="Arial" w:eastAsia="Arial" w:hAnsi="Arial"/>
          <w:sz w:val="20"/>
          <w:szCs w:val="20"/>
          <w:color w:val="auto"/>
        </w:rPr>
        <w:t>” means a day on which the primary established stock exchange or national market system upon which the Common Stock is listed is open for trading.</w:t>
      </w:r>
    </w:p>
    <w:p>
      <w:pPr>
        <w:spacing w:after="0" w:line="107" w:lineRule="exact"/>
        <w:rPr>
          <w:rFonts w:ascii="Arial" w:cs="Arial" w:eastAsia="Arial" w:hAnsi="Arial"/>
          <w:sz w:val="20"/>
          <w:szCs w:val="20"/>
          <w:color w:val="auto"/>
        </w:rPr>
      </w:pPr>
    </w:p>
    <w:p>
      <w:pPr>
        <w:jc w:val="both"/>
        <w:ind w:firstLine="1678"/>
        <w:spacing w:after="0" w:line="288" w:lineRule="auto"/>
        <w:tabs>
          <w:tab w:leader="none" w:pos="2793" w:val="left"/>
        </w:tabs>
        <w:numPr>
          <w:ilvl w:val="1"/>
          <w:numId w:val="5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Treasury Regulations</w:t>
      </w:r>
      <w:r>
        <w:rPr>
          <w:rFonts w:ascii="Arial" w:cs="Arial" w:eastAsia="Arial" w:hAnsi="Arial"/>
          <w:sz w:val="20"/>
          <w:szCs w:val="20"/>
          <w:color w:val="auto"/>
        </w:rPr>
        <w:t>” means the Treasury Regulations of the Code. Reference to a specific Treasury Regulation will include such Treasury Regulation, the section of the Code under which such regulation was promulgated, any valid regulation or other official applicable guidance promulgated under such section, and any comparable provision of any future legislation or regulation amending, supplementing, or superseding such section or regulation.</w:t>
      </w:r>
    </w:p>
    <w:p>
      <w:pPr>
        <w:spacing w:after="0" w:line="124" w:lineRule="exact"/>
        <w:rPr>
          <w:rFonts w:ascii="Arial" w:cs="Arial" w:eastAsia="Arial" w:hAnsi="Arial"/>
          <w:sz w:val="20"/>
          <w:szCs w:val="20"/>
          <w:color w:val="auto"/>
        </w:rPr>
      </w:pPr>
    </w:p>
    <w:p>
      <w:pPr>
        <w:ind w:left="1400" w:hanging="600"/>
        <w:spacing w:after="0"/>
        <w:tabs>
          <w:tab w:leader="none" w:pos="1400" w:val="left"/>
        </w:tabs>
        <w:numPr>
          <w:ilvl w:val="0"/>
          <w:numId w:val="5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Eligibility</w:t>
      </w:r>
      <w:r>
        <w:rPr>
          <w:rFonts w:ascii="Arial" w:cs="Arial" w:eastAsia="Arial" w:hAnsi="Arial"/>
          <w:sz w:val="20"/>
          <w:szCs w:val="20"/>
          <w:color w:val="auto"/>
        </w:rPr>
        <w:t>.</w:t>
      </w:r>
    </w:p>
    <w:p>
      <w:pPr>
        <w:spacing w:after="0" w:line="175" w:lineRule="exact"/>
        <w:rPr>
          <w:rFonts w:ascii="Arial" w:cs="Arial" w:eastAsia="Arial" w:hAnsi="Arial"/>
          <w:sz w:val="20"/>
          <w:szCs w:val="20"/>
          <w:u w:val="single" w:color="auto"/>
          <w:color w:val="auto"/>
        </w:rPr>
      </w:pPr>
    </w:p>
    <w:p>
      <w:pPr>
        <w:ind w:firstLine="1678"/>
        <w:spacing w:after="0" w:line="303" w:lineRule="auto"/>
        <w:tabs>
          <w:tab w:leader="none" w:pos="2793" w:val="left"/>
        </w:tabs>
        <w:numPr>
          <w:ilvl w:val="1"/>
          <w:numId w:val="5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Offering Periods</w:t>
      </w:r>
      <w:r>
        <w:rPr>
          <w:rFonts w:ascii="Arial" w:cs="Arial" w:eastAsia="Arial" w:hAnsi="Arial"/>
          <w:sz w:val="20"/>
          <w:szCs w:val="20"/>
          <w:color w:val="auto"/>
        </w:rPr>
        <w:t>. Any Eligible Employee on a given Enrollment Date will be eligible to participate in the Plan, subject to the requirements of Section 5.</w:t>
      </w:r>
    </w:p>
    <w:p>
      <w:pPr>
        <w:spacing w:after="0" w:line="107" w:lineRule="exact"/>
        <w:rPr>
          <w:rFonts w:ascii="Arial" w:cs="Arial" w:eastAsia="Arial" w:hAnsi="Arial"/>
          <w:sz w:val="20"/>
          <w:szCs w:val="20"/>
          <w:u w:val="single" w:color="auto"/>
          <w:color w:val="auto"/>
        </w:rPr>
      </w:pPr>
    </w:p>
    <w:p>
      <w:pPr>
        <w:jc w:val="both"/>
        <w:ind w:firstLine="1678"/>
        <w:spacing w:after="0" w:line="288" w:lineRule="auto"/>
        <w:tabs>
          <w:tab w:leader="none" w:pos="2793" w:val="left"/>
        </w:tabs>
        <w:numPr>
          <w:ilvl w:val="1"/>
          <w:numId w:val="5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Non-U.S. Employees</w:t>
      </w:r>
      <w:r>
        <w:rPr>
          <w:rFonts w:ascii="Arial" w:cs="Arial" w:eastAsia="Arial" w:hAnsi="Arial"/>
          <w:sz w:val="20"/>
          <w:szCs w:val="20"/>
          <w:color w:val="auto"/>
        </w:rPr>
        <w:t>. Eligible Employees who are citizens or residents of a non-U.S.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145" w:name="page146"/>
    <w:bookmarkEnd w:id="145"/>
    <w:p>
      <w:pPr>
        <w:jc w:val="both"/>
        <w:spacing w:after="0" w:line="292" w:lineRule="auto"/>
        <w:rPr>
          <w:sz w:val="20"/>
          <w:szCs w:val="20"/>
          <w:color w:val="auto"/>
        </w:rPr>
      </w:pPr>
      <w:r>
        <w:rPr>
          <w:rFonts w:ascii="Arial" w:cs="Arial" w:eastAsia="Arial" w:hAnsi="Arial"/>
          <w:sz w:val="20"/>
          <w:szCs w:val="20"/>
          <w:color w:val="auto"/>
        </w:rPr>
        <w:t>jurisdiction or if complying with the laws of the applicable jurisdiction would cause the Plan or an Offering to violate Code Section 423. In the case of the Non-423 Component, Eligible Employees may be excluded from participation in the Plan or an Offering if the Administrator determines that participation of such Eligible Employees is not advisable or practicable.</w:t>
      </w:r>
    </w:p>
    <w:p>
      <w:pPr>
        <w:spacing w:after="0" w:line="119" w:lineRule="exact"/>
        <w:rPr>
          <w:sz w:val="20"/>
          <w:szCs w:val="20"/>
          <w:color w:val="auto"/>
        </w:rPr>
      </w:pPr>
    </w:p>
    <w:p>
      <w:pPr>
        <w:jc w:val="both"/>
        <w:ind w:firstLine="1678"/>
        <w:spacing w:after="0" w:line="300" w:lineRule="auto"/>
        <w:tabs>
          <w:tab w:leader="none" w:pos="2793" w:val="left"/>
        </w:tabs>
        <w:numPr>
          <w:ilvl w:val="2"/>
          <w:numId w:val="5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Limitations</w:t>
      </w:r>
      <w:r>
        <w:rPr>
          <w:rFonts w:ascii="Arial" w:cs="Arial" w:eastAsia="Arial" w:hAnsi="Arial"/>
          <w:sz w:val="19"/>
          <w:szCs w:val="19"/>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5% or more of the total combined voting power or value of all classes of the capital stock of the Company or of any Parent or Subsidiary of the Company, or (ii) to the extent that his or her rights to purchase stock under all employee stock purchase plans (as defined in Code Section 423) of the Company or any Parent or Subsidiary of the Company accrues at a rate, which exceeds $25,000 worth of stock (determined at the Fair Market Value of the stock at the time such option is granted) for each calendar year in which such option is outstanding at any time, as determined in accordance with Code Section 423 and the regulations thereunder.</w:t>
      </w:r>
    </w:p>
    <w:p>
      <w:pPr>
        <w:spacing w:after="0" w:line="107" w:lineRule="exact"/>
        <w:rPr>
          <w:rFonts w:ascii="Arial" w:cs="Arial" w:eastAsia="Arial" w:hAnsi="Arial"/>
          <w:sz w:val="19"/>
          <w:szCs w:val="19"/>
          <w:u w:val="single" w:color="auto"/>
          <w:color w:val="auto"/>
        </w:rPr>
      </w:pPr>
    </w:p>
    <w:p>
      <w:pPr>
        <w:jc w:val="both"/>
        <w:ind w:left="760" w:firstLine="688"/>
        <w:spacing w:after="0" w:line="320" w:lineRule="auto"/>
        <w:tabs>
          <w:tab w:leader="none" w:pos="1983" w:val="left"/>
        </w:tabs>
        <w:numPr>
          <w:ilvl w:val="1"/>
          <w:numId w:val="5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Offering Periods</w:t>
      </w:r>
      <w:r>
        <w:rPr>
          <w:rFonts w:ascii="Arial" w:cs="Arial" w:eastAsia="Arial" w:hAnsi="Arial"/>
          <w:sz w:val="18"/>
          <w:szCs w:val="18"/>
          <w:color w:val="auto"/>
        </w:rPr>
        <w:t>. The Plan will be implemented by consecutive Offering Periods with a new Offering Period commencing on the first Trading Day on or after May 1 and November 1 each year, or on such other dates as the Administrator will determine; provided, however, that the first Offering Period under the Plan will commence with the first Trading Day on or after November 1, 2021 and end on the last Trading Day on or before April 29, 2022, and provided, further, that the second Offering Period under the Plan will commence on the first Trading Day on or after May 2, 2022. The Administrator will have the power to change the duration of Offering Periods, at any time, in is sole discretion,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 (27) months.</w:t>
      </w:r>
    </w:p>
    <w:p>
      <w:pPr>
        <w:spacing w:after="0" w:line="100" w:lineRule="exact"/>
        <w:rPr>
          <w:rFonts w:ascii="Arial" w:cs="Arial" w:eastAsia="Arial" w:hAnsi="Arial"/>
          <w:sz w:val="18"/>
          <w:szCs w:val="18"/>
          <w:u w:val="single" w:color="auto"/>
          <w:color w:val="auto"/>
        </w:rPr>
      </w:pPr>
    </w:p>
    <w:p>
      <w:pPr>
        <w:jc w:val="both"/>
        <w:ind w:firstLine="800"/>
        <w:spacing w:after="0" w:line="288" w:lineRule="auto"/>
        <w:tabs>
          <w:tab w:leader="none" w:pos="1397" w:val="left"/>
        </w:tabs>
        <w:numPr>
          <w:ilvl w:val="0"/>
          <w:numId w:val="58"/>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Participation</w:t>
      </w:r>
      <w:r>
        <w:rPr>
          <w:rFonts w:ascii="Arial" w:cs="Arial" w:eastAsia="Arial" w:hAnsi="Arial"/>
          <w:sz w:val="20"/>
          <w:szCs w:val="20"/>
          <w:color w:val="auto"/>
        </w:rPr>
        <w:t>. An Eligible Employee may participate in the Plan by (i) submitting to the Company’s stock administration office (or its designee) a properly completed subscription agreement authorizing Contributions in the form provided by the Administrator for such purpose or (ii) following an electronic or other enrollment procedure determined by the Administrator, in either case on or before a date determined by the Administrator prior to an applicable Enrollment Date.</w:t>
      </w:r>
    </w:p>
    <w:p>
      <w:pPr>
        <w:spacing w:after="0" w:line="124" w:lineRule="exact"/>
        <w:rPr>
          <w:rFonts w:ascii="Arial" w:cs="Arial" w:eastAsia="Arial" w:hAnsi="Arial"/>
          <w:sz w:val="20"/>
          <w:szCs w:val="20"/>
          <w:u w:val="single" w:color="auto"/>
          <w:color w:val="auto"/>
        </w:rPr>
      </w:pPr>
    </w:p>
    <w:p>
      <w:pPr>
        <w:ind w:left="1400" w:hanging="600"/>
        <w:spacing w:after="0"/>
        <w:tabs>
          <w:tab w:leader="none" w:pos="1400" w:val="left"/>
        </w:tabs>
        <w:numPr>
          <w:ilvl w:val="0"/>
          <w:numId w:val="58"/>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Contributions</w:t>
      </w:r>
      <w:r>
        <w:rPr>
          <w:rFonts w:ascii="Arial" w:cs="Arial" w:eastAsia="Arial" w:hAnsi="Arial"/>
          <w:sz w:val="20"/>
          <w:szCs w:val="20"/>
          <w:color w:val="auto"/>
        </w:rPr>
        <w:t>.</w:t>
      </w:r>
    </w:p>
    <w:p>
      <w:pPr>
        <w:spacing w:after="0" w:line="175" w:lineRule="exact"/>
        <w:rPr>
          <w:rFonts w:ascii="Arial" w:cs="Arial" w:eastAsia="Arial" w:hAnsi="Arial"/>
          <w:sz w:val="20"/>
          <w:szCs w:val="20"/>
          <w:u w:val="single" w:color="auto"/>
          <w:color w:val="auto"/>
        </w:rPr>
      </w:pPr>
    </w:p>
    <w:p>
      <w:pPr>
        <w:jc w:val="both"/>
        <w:ind w:firstLine="1678"/>
        <w:spacing w:after="0" w:line="284" w:lineRule="auto"/>
        <w:tabs>
          <w:tab w:leader="none" w:pos="2793" w:val="left"/>
        </w:tabs>
        <w:numPr>
          <w:ilvl w:val="2"/>
          <w:numId w:val="58"/>
        </w:numPr>
        <w:rPr>
          <w:rFonts w:ascii="Arial" w:cs="Arial" w:eastAsia="Arial" w:hAnsi="Arial"/>
          <w:sz w:val="20"/>
          <w:szCs w:val="20"/>
          <w:color w:val="auto"/>
        </w:rPr>
      </w:pPr>
      <w:r>
        <w:rPr>
          <w:rFonts w:ascii="Arial" w:cs="Arial" w:eastAsia="Arial" w:hAnsi="Arial"/>
          <w:sz w:val="20"/>
          <w:szCs w:val="20"/>
          <w:color w:val="auto"/>
        </w:rPr>
        <w:t>At the time a Participant enrolls in the Plan pursuant to Section 5, he or she will elect to have Contributions (in the form of payroll deductions or otherwise, to the extent permitted by the Administrator) made on each pay day during the Offering Period in an amount that the Administrator may establish from time to time, in its discretion and on a uniform and nondiscriminatory basis, for all options to be granted on any Enrollment Date (for illustrative purposes, should a pay day occur on an Exercise Date, a Participant will have any Contributions made on such day applied to his or her account under the then-current Purchase Period or Offering Period with respect to which that Exercise Date relates).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-1946910</wp:posOffset>
            </wp:positionV>
            <wp:extent cx="3111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5">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Periods unless terminated as provided in Section 10 hereof (or Participant’s participation is terminated as provided in Section 11 hereof).</w:t>
      </w:r>
    </w:p>
    <w:p>
      <w:pPr>
        <w:spacing w:after="0" w:line="212" w:lineRule="exact"/>
        <w:rPr>
          <w:sz w:val="20"/>
          <w:szCs w:val="20"/>
          <w:color w:val="auto"/>
        </w:rPr>
      </w:pPr>
    </w:p>
    <w:p>
      <w:pPr>
        <w:jc w:val="both"/>
        <w:ind w:firstLine="1678"/>
        <w:spacing w:after="0" w:line="288" w:lineRule="auto"/>
        <w:tabs>
          <w:tab w:leader="none" w:pos="2793" w:val="left"/>
        </w:tabs>
        <w:numPr>
          <w:ilvl w:val="0"/>
          <w:numId w:val="59"/>
        </w:numPr>
        <w:rPr>
          <w:rFonts w:ascii="Arial" w:cs="Arial" w:eastAsia="Arial" w:hAnsi="Arial"/>
          <w:sz w:val="20"/>
          <w:szCs w:val="20"/>
          <w:color w:val="auto"/>
        </w:rPr>
      </w:pPr>
      <w:r>
        <w:rPr>
          <w:rFonts w:ascii="Arial" w:cs="Arial" w:eastAsia="Arial" w:hAnsi="Arial"/>
          <w:sz w:val="20"/>
          <w:szCs w:val="20"/>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10 hereof (or Participant’s participation is terminated as provided in Section 11 hereof).</w:t>
      </w:r>
    </w:p>
    <w:p>
      <w:pPr>
        <w:spacing w:after="0" w:line="111" w:lineRule="exact"/>
        <w:rPr>
          <w:rFonts w:ascii="Arial" w:cs="Arial" w:eastAsia="Arial" w:hAnsi="Arial"/>
          <w:sz w:val="20"/>
          <w:szCs w:val="20"/>
          <w:color w:val="auto"/>
        </w:rPr>
      </w:pPr>
    </w:p>
    <w:p>
      <w:pPr>
        <w:jc w:val="both"/>
        <w:ind w:firstLine="1678"/>
        <w:spacing w:after="0" w:line="292" w:lineRule="auto"/>
        <w:tabs>
          <w:tab w:leader="none" w:pos="2793" w:val="left"/>
        </w:tabs>
        <w:numPr>
          <w:ilvl w:val="0"/>
          <w:numId w:val="59"/>
        </w:numPr>
        <w:rPr>
          <w:rFonts w:ascii="Arial" w:cs="Arial" w:eastAsia="Arial" w:hAnsi="Arial"/>
          <w:sz w:val="20"/>
          <w:szCs w:val="20"/>
          <w:color w:val="auto"/>
        </w:rPr>
      </w:pPr>
      <w:r>
        <w:rPr>
          <w:rFonts w:ascii="Arial" w:cs="Arial" w:eastAsia="Arial" w:hAnsi="Arial"/>
          <w:sz w:val="20"/>
          <w:szCs w:val="20"/>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19" w:lineRule="exact"/>
        <w:rPr>
          <w:rFonts w:ascii="Arial" w:cs="Arial" w:eastAsia="Arial" w:hAnsi="Arial"/>
          <w:sz w:val="20"/>
          <w:szCs w:val="20"/>
          <w:color w:val="auto"/>
        </w:rPr>
      </w:pPr>
    </w:p>
    <w:p>
      <w:pPr>
        <w:jc w:val="both"/>
        <w:ind w:firstLine="1678"/>
        <w:spacing w:after="0" w:line="292" w:lineRule="auto"/>
        <w:tabs>
          <w:tab w:leader="none" w:pos="2793" w:val="left"/>
        </w:tabs>
        <w:numPr>
          <w:ilvl w:val="0"/>
          <w:numId w:val="59"/>
        </w:numPr>
        <w:rPr>
          <w:rFonts w:ascii="Arial" w:cs="Arial" w:eastAsia="Arial" w:hAnsi="Arial"/>
          <w:sz w:val="20"/>
          <w:szCs w:val="20"/>
          <w:color w:val="auto"/>
        </w:rPr>
      </w:pPr>
      <w:r>
        <w:rPr>
          <w:rFonts w:ascii="Arial" w:cs="Arial" w:eastAsia="Arial" w:hAnsi="Arial"/>
          <w:sz w:val="20"/>
          <w:szCs w:val="20"/>
          <w:color w:val="auto"/>
        </w:rPr>
        <w:t>A Participant may discontinue his or her participation in the Plan as provided under Section 10. Except as may be permitted by the Administrator, as determined in its sole discretion prior to the start of the applicable Offering Period, a Participant may not change the rate of his or her Contributions during an Offering Period.</w:t>
      </w:r>
    </w:p>
    <w:p>
      <w:pPr>
        <w:spacing w:after="0" w:line="119" w:lineRule="exact"/>
        <w:rPr>
          <w:rFonts w:ascii="Arial" w:cs="Arial" w:eastAsia="Arial" w:hAnsi="Arial"/>
          <w:sz w:val="20"/>
          <w:szCs w:val="20"/>
          <w:color w:val="auto"/>
        </w:rPr>
      </w:pPr>
    </w:p>
    <w:p>
      <w:pPr>
        <w:jc w:val="both"/>
        <w:ind w:firstLine="1678"/>
        <w:spacing w:after="0" w:line="286" w:lineRule="auto"/>
        <w:tabs>
          <w:tab w:leader="none" w:pos="2793" w:val="left"/>
        </w:tabs>
        <w:numPr>
          <w:ilvl w:val="0"/>
          <w:numId w:val="59"/>
        </w:numPr>
        <w:rPr>
          <w:rFonts w:ascii="Arial" w:cs="Arial" w:eastAsia="Arial" w:hAnsi="Arial"/>
          <w:sz w:val="20"/>
          <w:szCs w:val="20"/>
          <w:color w:val="auto"/>
        </w:rPr>
      </w:pPr>
      <w:r>
        <w:rPr>
          <w:rFonts w:ascii="Arial" w:cs="Arial" w:eastAsia="Arial" w:hAnsi="Arial"/>
          <w:sz w:val="20"/>
          <w:szCs w:val="20"/>
          <w:color w:val="auto"/>
        </w:rPr>
        <w:t>Notwithstanding the foregoing, to the extent necessary to comply with Code Section 423(b)(8) and Section 3(c), a Participant’s Contributions may be decreased to 0% within a reasonable time prior to the Exercise Date of the applicable Purchase Period as may be established by the Administrator. Subject to Code Section 423(b)(8) and Section 3(c) hereof, Contributions will recommence at the rate originally elected by the Participant effective as of the beginning of the first Purchase Period scheduled to end in the following calendar year, unless terminated by the Participant as provided in Section 10 (or Participant’s participation is terminated as provided in Section 11).</w:t>
      </w:r>
    </w:p>
    <w:p>
      <w:pPr>
        <w:spacing w:after="0" w:line="110" w:lineRule="exact"/>
        <w:rPr>
          <w:rFonts w:ascii="Arial" w:cs="Arial" w:eastAsia="Arial" w:hAnsi="Arial"/>
          <w:sz w:val="20"/>
          <w:szCs w:val="20"/>
          <w:color w:val="auto"/>
        </w:rPr>
      </w:pPr>
    </w:p>
    <w:p>
      <w:pPr>
        <w:jc w:val="both"/>
        <w:ind w:firstLine="1678"/>
        <w:spacing w:after="0" w:line="308" w:lineRule="auto"/>
        <w:tabs>
          <w:tab w:leader="none" w:pos="2793" w:val="left"/>
        </w:tabs>
        <w:numPr>
          <w:ilvl w:val="0"/>
          <w:numId w:val="59"/>
        </w:numPr>
        <w:rPr>
          <w:rFonts w:ascii="Arial" w:cs="Arial" w:eastAsia="Arial" w:hAnsi="Arial"/>
          <w:sz w:val="19"/>
          <w:szCs w:val="19"/>
          <w:color w:val="auto"/>
        </w:rPr>
      </w:pPr>
      <w:r>
        <w:rPr>
          <w:rFonts w:ascii="Arial" w:cs="Arial" w:eastAsia="Arial" w:hAnsi="Arial"/>
          <w:sz w:val="19"/>
          <w:szCs w:val="19"/>
          <w:color w:val="auto"/>
        </w:rPr>
        <w:t>Notwithstanding any provisions to the contrary in the Plan, the Administrator may allow Participants to participate in the Plan via cash contributions instead of payroll deductions if (i) payroll deductions are not permitted or advisable under applicable local law, (ii) the Administrator determines that cash contributions are permissible under Code Section 423 for Participants participating in the 423 Component; and/or (iii) the Participants are participating in the Non-423 Component.</w:t>
      </w:r>
    </w:p>
    <w:p>
      <w:pPr>
        <w:spacing w:after="0" w:line="106" w:lineRule="exact"/>
        <w:rPr>
          <w:rFonts w:ascii="Arial" w:cs="Arial" w:eastAsia="Arial" w:hAnsi="Arial"/>
          <w:sz w:val="19"/>
          <w:szCs w:val="19"/>
          <w:color w:val="auto"/>
        </w:rPr>
      </w:pPr>
    </w:p>
    <w:p>
      <w:pPr>
        <w:jc w:val="both"/>
        <w:ind w:firstLine="1678"/>
        <w:spacing w:after="0" w:line="267" w:lineRule="exact"/>
        <w:tabs>
          <w:tab w:leader="none" w:pos="2793" w:val="left"/>
        </w:tabs>
        <w:numPr>
          <w:ilvl w:val="0"/>
          <w:numId w:val="59"/>
        </w:numPr>
        <w:rPr>
          <w:rFonts w:ascii="Arial" w:cs="Arial" w:eastAsia="Arial" w:hAnsi="Arial"/>
          <w:sz w:val="19"/>
          <w:szCs w:val="19"/>
          <w:color w:val="auto"/>
        </w:rPr>
      </w:pPr>
      <w:r>
        <w:rPr>
          <w:rFonts w:ascii="Arial" w:cs="Arial" w:eastAsia="Arial" w:hAnsi="Arial"/>
          <w:sz w:val="19"/>
          <w:szCs w:val="19"/>
          <w:color w:val="auto"/>
        </w:rPr>
        <w:t>At the time the option is exercised, in whole or in part, or at the time some or all of the Common Stock issued under the Plan is disposed of (or at any other time that a taxable event related to the Plan occurs), the Participant must make adequate provision for Tax Withholdings. At any time, the Company or the Employer may, but will not be obligated to, withhold from the Participant’s compensation the amount necessary for the Company or the Employer to satisfy applicable Tax Withholdings,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 Section 1.423</w:t>
      </w:r>
      <w:r>
        <w:rPr>
          <w:rFonts w:ascii="MS PGothic" w:cs="MS PGothic" w:eastAsia="MS PGothic" w:hAnsi="MS PGothic"/>
          <w:sz w:val="19"/>
          <w:szCs w:val="19"/>
          <w:color w:val="auto"/>
        </w:rPr>
        <w:t>‑</w:t>
      </w:r>
      <w:r>
        <w:rPr>
          <w:rFonts w:ascii="Arial" w:cs="Arial" w:eastAsia="Arial" w:hAnsi="Arial"/>
          <w:sz w:val="19"/>
          <w:szCs w:val="19"/>
          <w:color w:val="auto"/>
        </w:rPr>
        <w:t>2(f).</w:t>
      </w:r>
    </w:p>
    <w:p>
      <w:pPr>
        <w:spacing w:after="0" w:line="175" w:lineRule="exact"/>
        <w:rPr>
          <w:sz w:val="20"/>
          <w:szCs w:val="20"/>
          <w:color w:val="auto"/>
        </w:rPr>
      </w:pPr>
    </w:p>
    <w:p>
      <w:pPr>
        <w:jc w:val="both"/>
        <w:ind w:right="20" w:firstLine="800"/>
        <w:spacing w:after="0" w:line="288" w:lineRule="auto"/>
        <w:tabs>
          <w:tab w:leader="none" w:pos="1397" w:val="left"/>
        </w:tabs>
        <w:numPr>
          <w:ilvl w:val="0"/>
          <w:numId w:val="60"/>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Grant of Option</w:t>
      </w:r>
      <w:r>
        <w:rPr>
          <w:rFonts w:ascii="Arial" w:cs="Arial" w:eastAsia="Arial" w:hAnsi="Arial"/>
          <w:sz w:val="20"/>
          <w:szCs w:val="20"/>
          <w:color w:val="auto"/>
        </w:rPr>
        <w:t>.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147" w:name="page148"/>
    <w:bookmarkEnd w:id="147"/>
    <w:p>
      <w:pPr>
        <w:jc w:val="both"/>
        <w:spacing w:after="0" w:line="284" w:lineRule="auto"/>
        <w:rPr>
          <w:sz w:val="20"/>
          <w:szCs w:val="20"/>
          <w:color w:val="auto"/>
        </w:rPr>
      </w:pPr>
      <w:r>
        <w:rPr>
          <w:rFonts w:ascii="Arial" w:cs="Arial" w:eastAsia="Arial" w:hAnsi="Arial"/>
          <w:sz w:val="20"/>
          <w:szCs w:val="20"/>
          <w:color w:val="auto"/>
        </w:rPr>
        <w:t>Eligible Employee’s account as of the Exercise Date by the applicable Purchase Price; provided that in no event will an Eligible Employee be permitted to purchase during each Purchase Period more than 3,000 shares of Common Stock (subject to any adjustment pursuant to Section 19), and provided further that such purchase will be subject to the limitations set forth in Sections 3(c) and the subscription agreement. The Eligible Employee may accept the grant of such option, with respect to any Offering Period under the Plan,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and/or Offering Period, as applicable. Exercise of the option will occur as provided in Section 8, unless the Participant has withdrawn pursuant to Section 10 (or Participant’s participation is terminated as provided in Section 11). The option will expire on the last day of the Offering Period.</w:t>
      </w:r>
    </w:p>
    <w:p>
      <w:pPr>
        <w:spacing w:after="0" w:line="129" w:lineRule="exact"/>
        <w:rPr>
          <w:sz w:val="20"/>
          <w:szCs w:val="20"/>
          <w:color w:val="auto"/>
        </w:rPr>
      </w:pPr>
    </w:p>
    <w:p>
      <w:pPr>
        <w:ind w:left="1980" w:hanging="532"/>
        <w:spacing w:after="0"/>
        <w:tabs>
          <w:tab w:leader="none" w:pos="1980" w:val="left"/>
        </w:tabs>
        <w:numPr>
          <w:ilvl w:val="1"/>
          <w:numId w:val="61"/>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w:t>
      </w:r>
    </w:p>
    <w:p>
      <w:pPr>
        <w:spacing w:after="0" w:line="175" w:lineRule="exact"/>
        <w:rPr>
          <w:rFonts w:ascii="Arial" w:cs="Arial" w:eastAsia="Arial" w:hAnsi="Arial"/>
          <w:sz w:val="20"/>
          <w:szCs w:val="20"/>
          <w:u w:val="single" w:color="auto"/>
          <w:color w:val="auto"/>
        </w:rPr>
      </w:pPr>
    </w:p>
    <w:p>
      <w:pPr>
        <w:jc w:val="both"/>
        <w:ind w:firstLine="1678"/>
        <w:spacing w:after="0" w:line="300" w:lineRule="auto"/>
        <w:tabs>
          <w:tab w:leader="none" w:pos="2793" w:val="left"/>
        </w:tabs>
        <w:numPr>
          <w:ilvl w:val="2"/>
          <w:numId w:val="61"/>
        </w:numPr>
        <w:rPr>
          <w:rFonts w:ascii="Arial" w:cs="Arial" w:eastAsia="Arial" w:hAnsi="Arial"/>
          <w:sz w:val="19"/>
          <w:szCs w:val="19"/>
          <w:color w:val="auto"/>
        </w:rPr>
      </w:pPr>
      <w:r>
        <w:rPr>
          <w:rFonts w:ascii="Arial" w:cs="Arial" w:eastAsia="Arial" w:hAnsi="Arial"/>
          <w:sz w:val="19"/>
          <w:szCs w:val="19"/>
          <w:color w:val="auto"/>
        </w:rPr>
        <w:t>Unless a Participant withdraws from the Plan as provided in Section 9 (or Participant’s participation is terminated as provided in Section 11), his or her option for the purchase of shares of Common Stock will be exercised automatically on each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 9 (or the earlier termination of Participant’s participation as provided in Section 11).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120" w:lineRule="exact"/>
        <w:rPr>
          <w:rFonts w:ascii="Arial" w:cs="Arial" w:eastAsia="Arial" w:hAnsi="Arial"/>
          <w:sz w:val="19"/>
          <w:szCs w:val="19"/>
          <w:color w:val="auto"/>
        </w:rPr>
      </w:pPr>
    </w:p>
    <w:p>
      <w:pPr>
        <w:jc w:val="both"/>
        <w:ind w:firstLine="1678"/>
        <w:spacing w:after="0" w:line="317" w:lineRule="auto"/>
        <w:tabs>
          <w:tab w:leader="none" w:pos="2793" w:val="left"/>
        </w:tabs>
        <w:numPr>
          <w:ilvl w:val="2"/>
          <w:numId w:val="61"/>
        </w:numPr>
        <w:rPr>
          <w:rFonts w:ascii="Arial" w:cs="Arial" w:eastAsia="Arial" w:hAnsi="Arial"/>
          <w:sz w:val="18"/>
          <w:szCs w:val="18"/>
          <w:color w:val="auto"/>
        </w:rPr>
      </w:pPr>
      <w:r>
        <w:rPr>
          <w:rFonts w:ascii="Arial" w:cs="Arial" w:eastAsia="Arial" w:hAnsi="Arial"/>
          <w:sz w:val="18"/>
          <w:szCs w:val="18"/>
          <w:color w:val="auto"/>
        </w:rPr>
        <w:t>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20.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04" w:lineRule="exact"/>
        <w:rPr>
          <w:rFonts w:ascii="Arial" w:cs="Arial" w:eastAsia="Arial" w:hAnsi="Arial"/>
          <w:sz w:val="18"/>
          <w:szCs w:val="18"/>
          <w:color w:val="auto"/>
        </w:rPr>
      </w:pPr>
    </w:p>
    <w:p>
      <w:pPr>
        <w:jc w:val="both"/>
        <w:ind w:firstLine="800"/>
        <w:spacing w:after="0" w:line="292" w:lineRule="auto"/>
        <w:tabs>
          <w:tab w:leader="none" w:pos="1397" w:val="left"/>
        </w:tabs>
        <w:numPr>
          <w:ilvl w:val="0"/>
          <w:numId w:val="62"/>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Delivery</w:t>
      </w:r>
      <w:r>
        <w:rPr>
          <w:rFonts w:ascii="Arial" w:cs="Arial" w:eastAsia="Arial" w:hAnsi="Arial"/>
          <w:sz w:val="20"/>
          <w:szCs w:val="20"/>
          <w:color w:val="auto"/>
        </w:rPr>
        <w:t>. As soon as reasonably practicable after each Exercise Date on which a purchase of shares of Common Stock occurs, the Company will arrange the delivery to each Participant of the shares of Common Stock purchased upon exercise of his or her option in a form determined by the Administrator (in its sole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148" w:name="page149"/>
    <w:bookmarkEnd w:id="148"/>
    <w:p>
      <w:pPr>
        <w:jc w:val="both"/>
        <w:spacing w:after="0" w:line="285" w:lineRule="auto"/>
        <w:rPr>
          <w:sz w:val="20"/>
          <w:szCs w:val="20"/>
          <w:color w:val="auto"/>
        </w:rPr>
      </w:pPr>
      <w:r>
        <w:rPr>
          <w:rFonts w:ascii="Arial" w:cs="Arial" w:eastAsia="Arial" w:hAnsi="Arial"/>
          <w:sz w:val="20"/>
          <w:szCs w:val="20"/>
          <w:color w:val="auto"/>
        </w:rPr>
        <w:t>discretion) and pursuant to rules established by the Administrator. The Company may permit or require that shares of Common Stock be deposited directly with a broker designated by the Company or to a trustee or designated Agent of the Company, and the Company may utilize electronic or automated methods of share transfer. The Company may require that shares of Common Stock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127" w:lineRule="exact"/>
        <w:rPr>
          <w:sz w:val="20"/>
          <w:szCs w:val="20"/>
          <w:color w:val="auto"/>
        </w:rPr>
      </w:pPr>
    </w:p>
    <w:p>
      <w:pPr>
        <w:ind w:left="1400" w:hanging="600"/>
        <w:spacing w:after="0"/>
        <w:tabs>
          <w:tab w:leader="none" w:pos="1400" w:val="left"/>
        </w:tabs>
        <w:numPr>
          <w:ilvl w:val="0"/>
          <w:numId w:val="6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Withdrawal</w:t>
      </w:r>
      <w:r>
        <w:rPr>
          <w:rFonts w:ascii="Arial" w:cs="Arial" w:eastAsia="Arial" w:hAnsi="Arial"/>
          <w:sz w:val="20"/>
          <w:szCs w:val="20"/>
          <w:color w:val="auto"/>
        </w:rPr>
        <w:t>.</w:t>
      </w:r>
    </w:p>
    <w:p>
      <w:pPr>
        <w:spacing w:after="0" w:line="175" w:lineRule="exact"/>
        <w:rPr>
          <w:rFonts w:ascii="Arial" w:cs="Arial" w:eastAsia="Arial" w:hAnsi="Arial"/>
          <w:sz w:val="20"/>
          <w:szCs w:val="20"/>
          <w:u w:val="single" w:color="auto"/>
          <w:color w:val="auto"/>
        </w:rPr>
      </w:pPr>
    </w:p>
    <w:p>
      <w:pPr>
        <w:jc w:val="both"/>
        <w:ind w:firstLine="1678"/>
        <w:spacing w:after="0" w:line="300" w:lineRule="auto"/>
        <w:tabs>
          <w:tab w:leader="none" w:pos="2793" w:val="left"/>
        </w:tabs>
        <w:numPr>
          <w:ilvl w:val="1"/>
          <w:numId w:val="63"/>
        </w:numPr>
        <w:rPr>
          <w:rFonts w:ascii="Arial" w:cs="Arial" w:eastAsia="Arial" w:hAnsi="Arial"/>
          <w:sz w:val="19"/>
          <w:szCs w:val="19"/>
          <w:color w:val="auto"/>
        </w:rPr>
      </w:pPr>
      <w:r>
        <w:rPr>
          <w:rFonts w:ascii="Arial" w:cs="Arial" w:eastAsia="Arial" w:hAnsi="Arial"/>
          <w:sz w:val="19"/>
          <w:szCs w:val="19"/>
          <w:color w:val="auto"/>
        </w:rPr>
        <w:t xml:space="preserve">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or (ii) following an electronic or other withdrawal procedure determined by the Administrator. The Administrator may set forth a reasonable deadline for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of Common Stock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117" w:lineRule="exact"/>
        <w:rPr>
          <w:rFonts w:ascii="Arial" w:cs="Arial" w:eastAsia="Arial" w:hAnsi="Arial"/>
          <w:sz w:val="19"/>
          <w:szCs w:val="19"/>
          <w:color w:val="auto"/>
        </w:rPr>
      </w:pPr>
    </w:p>
    <w:p>
      <w:pPr>
        <w:jc w:val="both"/>
        <w:ind w:firstLine="1678"/>
        <w:spacing w:after="0" w:line="292" w:lineRule="auto"/>
        <w:tabs>
          <w:tab w:leader="none" w:pos="2793" w:val="left"/>
        </w:tabs>
        <w:numPr>
          <w:ilvl w:val="1"/>
          <w:numId w:val="63"/>
        </w:numPr>
        <w:rPr>
          <w:rFonts w:ascii="Arial" w:cs="Arial" w:eastAsia="Arial" w:hAnsi="Arial"/>
          <w:sz w:val="20"/>
          <w:szCs w:val="20"/>
          <w:color w:val="auto"/>
        </w:rPr>
      </w:pPr>
      <w:r>
        <w:rPr>
          <w:rFonts w:ascii="Arial" w:cs="Arial" w:eastAsia="Arial" w:hAnsi="Arial"/>
          <w:sz w:val="20"/>
          <w:szCs w:val="20"/>
          <w:color w:val="auto"/>
        </w:rPr>
        <w:t>A Participant’s withdrawal from an Offering Period will not have any effect on his or her eligibility to participate in any similar plan that may hereafter be adopted by the Company or in succeeding Offering Periods that commence after the termination of the Offering Period from which the Participant withdraws.</w:t>
      </w:r>
    </w:p>
    <w:p>
      <w:pPr>
        <w:spacing w:after="0" w:line="119" w:lineRule="exact"/>
        <w:rPr>
          <w:rFonts w:ascii="Arial" w:cs="Arial" w:eastAsia="Arial" w:hAnsi="Arial"/>
          <w:sz w:val="20"/>
          <w:szCs w:val="20"/>
          <w:color w:val="auto"/>
        </w:rPr>
      </w:pPr>
    </w:p>
    <w:p>
      <w:pPr>
        <w:jc w:val="both"/>
        <w:ind w:firstLine="800"/>
        <w:spacing w:after="0" w:line="318" w:lineRule="auto"/>
        <w:tabs>
          <w:tab w:leader="none" w:pos="1397" w:val="left"/>
        </w:tabs>
        <w:numPr>
          <w:ilvl w:val="0"/>
          <w:numId w:val="6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Non-423 Component, the exercise of the option will be qualified under the 423 Component only to the extent it complies with Code Section 423; further, no Participant shall be deemed to switch from an Offering under the Non-423 Component to an Offering under the 423 Component or vice versa unless (and then only to the extent) such switch would not cause the 423 Component or any option thereunder to fail to comply with Code Section 423.</w:t>
      </w:r>
    </w:p>
    <w:p>
      <w:pPr>
        <w:spacing w:after="0" w:line="88" w:lineRule="exact"/>
        <w:rPr>
          <w:rFonts w:ascii="Arial" w:cs="Arial" w:eastAsia="Arial" w:hAnsi="Arial"/>
          <w:sz w:val="18"/>
          <w:szCs w:val="18"/>
          <w:u w:val="single" w:color="auto"/>
          <w:color w:val="auto"/>
        </w:rPr>
      </w:pPr>
    </w:p>
    <w:p>
      <w:pPr>
        <w:ind w:firstLine="800"/>
        <w:spacing w:after="0" w:line="303" w:lineRule="auto"/>
        <w:tabs>
          <w:tab w:leader="none" w:pos="1397" w:val="left"/>
        </w:tabs>
        <w:numPr>
          <w:ilvl w:val="0"/>
          <w:numId w:val="6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No Interest</w:t>
      </w:r>
      <w:r>
        <w:rPr>
          <w:rFonts w:ascii="Arial" w:cs="Arial" w:eastAsia="Arial" w:hAnsi="Arial"/>
          <w:sz w:val="20"/>
          <w:szCs w:val="20"/>
          <w:color w:val="auto"/>
        </w:rPr>
        <w:t>. No interest will accrue on the Contributions of a participant in the Plan, except as may be required by Applicable Law, as determined by the Company, and if so required by the laws of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149" w:name="page150"/>
    <w:bookmarkEnd w:id="149"/>
    <w:p>
      <w:pPr>
        <w:spacing w:after="0" w:line="260" w:lineRule="exact"/>
        <w:rPr>
          <w:sz w:val="20"/>
          <w:szCs w:val="20"/>
          <w:color w:val="auto"/>
        </w:rPr>
      </w:pPr>
      <w:r>
        <w:rPr>
          <w:rFonts w:ascii="Arial" w:cs="Arial" w:eastAsia="Arial" w:hAnsi="Arial"/>
          <w:sz w:val="20"/>
          <w:szCs w:val="20"/>
          <w:color w:val="auto"/>
        </w:rPr>
        <w:t>particular jurisdiction, will, with respect to Offerings under the 423 Component, apply to all Participants in the relevant Offering, except to the extent otherwise permitted by U.S. Treasury Regulation Section 1.423</w:t>
      </w:r>
      <w:r>
        <w:rPr>
          <w:rFonts w:ascii="MS PGothic" w:cs="MS PGothic" w:eastAsia="MS PGothic" w:hAnsi="MS PGothic"/>
          <w:sz w:val="20"/>
          <w:szCs w:val="20"/>
          <w:color w:val="auto"/>
        </w:rPr>
        <w:t>‑</w:t>
      </w:r>
      <w:r>
        <w:rPr>
          <w:rFonts w:ascii="Arial" w:cs="Arial" w:eastAsia="Arial" w:hAnsi="Arial"/>
          <w:sz w:val="20"/>
          <w:szCs w:val="20"/>
          <w:color w:val="auto"/>
        </w:rPr>
        <w:t>2(f).</w:t>
      </w:r>
    </w:p>
    <w:p>
      <w:pPr>
        <w:spacing w:after="0" w:line="169" w:lineRule="exact"/>
        <w:rPr>
          <w:sz w:val="20"/>
          <w:szCs w:val="20"/>
          <w:color w:val="auto"/>
        </w:rPr>
      </w:pPr>
    </w:p>
    <w:p>
      <w:pPr>
        <w:ind w:left="1400" w:hanging="600"/>
        <w:spacing w:after="0"/>
        <w:tabs>
          <w:tab w:leader="none" w:pos="1400" w:val="left"/>
        </w:tabs>
        <w:numPr>
          <w:ilvl w:val="0"/>
          <w:numId w:val="64"/>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Stock</w:t>
      </w:r>
      <w:r>
        <w:rPr>
          <w:rFonts w:ascii="Arial" w:cs="Arial" w:eastAsia="Arial" w:hAnsi="Arial"/>
          <w:sz w:val="20"/>
          <w:szCs w:val="20"/>
          <w:color w:val="auto"/>
        </w:rPr>
        <w:t>.</w:t>
      </w:r>
    </w:p>
    <w:p>
      <w:pPr>
        <w:spacing w:after="0" w:line="175" w:lineRule="exact"/>
        <w:rPr>
          <w:rFonts w:ascii="Arial" w:cs="Arial" w:eastAsia="Arial" w:hAnsi="Arial"/>
          <w:sz w:val="20"/>
          <w:szCs w:val="20"/>
          <w:u w:val="single" w:color="auto"/>
          <w:color w:val="auto"/>
        </w:rPr>
      </w:pPr>
    </w:p>
    <w:p>
      <w:pPr>
        <w:jc w:val="both"/>
        <w:ind w:firstLine="1678"/>
        <w:spacing w:after="0" w:line="325" w:lineRule="auto"/>
        <w:tabs>
          <w:tab w:leader="none" w:pos="2793" w:val="left"/>
        </w:tabs>
        <w:numPr>
          <w:ilvl w:val="1"/>
          <w:numId w:val="64"/>
        </w:numPr>
        <w:rPr>
          <w:rFonts w:ascii="Arial" w:cs="Arial" w:eastAsia="Arial" w:hAnsi="Arial"/>
          <w:sz w:val="18"/>
          <w:szCs w:val="18"/>
          <w:color w:val="auto"/>
        </w:rPr>
      </w:pPr>
      <w:r>
        <w:rPr>
          <w:rFonts w:ascii="Arial" w:cs="Arial" w:eastAsia="Arial" w:hAnsi="Arial"/>
          <w:sz w:val="18"/>
          <w:szCs w:val="18"/>
          <w:color w:val="auto"/>
        </w:rPr>
        <w:t>Subject to adjustment upon changes in capitalization of the Company as provided in Section 19 hereof, the maximum number of shares of Common Stock that will be made available for sale under the Plan will be 484,027 shares of Common Stock. The number of shares of Common Stock available for issuance under the Plan will be increased on the first day of each Fiscal Year beginning with the 2022 Fiscal Year equal to the least of (i) 1,452,081 shares of Common Stock, (ii) 1% of the outstanding shares of Common Stock on the last day of the immediately preceding Fiscal Year, or (iii) an amount determined by the Administrator.</w:t>
      </w:r>
    </w:p>
    <w:p>
      <w:pPr>
        <w:spacing w:after="0" w:line="97" w:lineRule="exact"/>
        <w:rPr>
          <w:rFonts w:ascii="Arial" w:cs="Arial" w:eastAsia="Arial" w:hAnsi="Arial"/>
          <w:sz w:val="18"/>
          <w:szCs w:val="18"/>
          <w:color w:val="auto"/>
        </w:rPr>
      </w:pPr>
    </w:p>
    <w:p>
      <w:pPr>
        <w:jc w:val="both"/>
        <w:ind w:firstLine="1678"/>
        <w:spacing w:after="0" w:line="338" w:lineRule="auto"/>
        <w:tabs>
          <w:tab w:leader="none" w:pos="2793" w:val="left"/>
        </w:tabs>
        <w:numPr>
          <w:ilvl w:val="1"/>
          <w:numId w:val="64"/>
        </w:numPr>
        <w:rPr>
          <w:rFonts w:ascii="Arial" w:cs="Arial" w:eastAsia="Arial" w:hAnsi="Arial"/>
          <w:sz w:val="18"/>
          <w:szCs w:val="18"/>
          <w:color w:val="auto"/>
        </w:rPr>
      </w:pPr>
      <w:r>
        <w:rPr>
          <w:rFonts w:ascii="Arial" w:cs="Arial" w:eastAsia="Arial" w:hAnsi="Arial"/>
          <w:sz w:val="18"/>
          <w:szCs w:val="18"/>
          <w:color w:val="auto"/>
        </w:rPr>
        <w:t>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w:t>
      </w:r>
    </w:p>
    <w:p>
      <w:pPr>
        <w:spacing w:after="0" w:line="83" w:lineRule="exact"/>
        <w:rPr>
          <w:rFonts w:ascii="Arial" w:cs="Arial" w:eastAsia="Arial" w:hAnsi="Arial"/>
          <w:sz w:val="18"/>
          <w:szCs w:val="18"/>
          <w:color w:val="auto"/>
        </w:rPr>
      </w:pPr>
    </w:p>
    <w:p>
      <w:pPr>
        <w:ind w:firstLine="1678"/>
        <w:spacing w:after="0" w:line="303" w:lineRule="auto"/>
        <w:tabs>
          <w:tab w:leader="none" w:pos="2793" w:val="left"/>
        </w:tabs>
        <w:numPr>
          <w:ilvl w:val="1"/>
          <w:numId w:val="64"/>
        </w:numPr>
        <w:rPr>
          <w:rFonts w:ascii="Arial" w:cs="Arial" w:eastAsia="Arial" w:hAnsi="Arial"/>
          <w:sz w:val="20"/>
          <w:szCs w:val="20"/>
          <w:color w:val="auto"/>
        </w:rPr>
      </w:pPr>
      <w:r>
        <w:rPr>
          <w:rFonts w:ascii="Arial" w:cs="Arial" w:eastAsia="Arial" w:hAnsi="Arial"/>
          <w:sz w:val="20"/>
          <w:szCs w:val="20"/>
          <w:color w:val="auto"/>
        </w:rPr>
        <w:t>Shares of Common Stock to be delivered to a Participant under the Plan will be registered in the name of the Participant or, if so required under Applicable Laws, in the name of the Participant and his or her spouse.</w:t>
      </w:r>
    </w:p>
    <w:p>
      <w:pPr>
        <w:spacing w:after="0" w:line="94" w:lineRule="exact"/>
        <w:rPr>
          <w:rFonts w:ascii="Arial" w:cs="Arial" w:eastAsia="Arial" w:hAnsi="Arial"/>
          <w:sz w:val="20"/>
          <w:szCs w:val="20"/>
          <w:color w:val="auto"/>
        </w:rPr>
      </w:pPr>
    </w:p>
    <w:p>
      <w:pPr>
        <w:jc w:val="both"/>
        <w:ind w:firstLine="800"/>
        <w:spacing w:after="0" w:line="269" w:lineRule="exact"/>
        <w:tabs>
          <w:tab w:leader="none" w:pos="1397" w:val="left"/>
        </w:tabs>
        <w:numPr>
          <w:ilvl w:val="0"/>
          <w:numId w:val="6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delegate tasks under the Plan that are primarily administrative and ministerial to the services of an Agent and/or employee of the Company to assist in the administration of the Plan, to designate separate Offerings under the Plan, to designate Subsidiaries and Affiliates of the Company as participating in the 423 Component or Non-423 Component, to determine eligibility, to adjudicate all disputed claims filed under the Plan and to establish such procedures that it deems necessary or advisable for the administration of the Plan (including, without limitation, to adopt such procedures, sub-plans, and appendices to the enrollment agreement as are necessary or appropriate to permit the participation in the Plan by employees who are foreign nationals or employed outside the U.S., the terms of which sub-plans and appendices may take precedence over other provisions of this Plan, with the exception of Section 13(a) hereof, but unless otherwise superseded by the terms of such sub-plan or appendix, the provisions of this Plan will govern the operation of such sub-plan or appendix). Unless otherwise determined by the Administrator, the Eligible Employees eligible to participate in each sub-plan will participate in a separate Offering under the 423 Component, or if the terms would not qualify under the 423 Component, in the Non-423 Component, in either case unless such designation would cause the 423 Component to violate the requirements of Code Section 423.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w:t>
      </w:r>
      <w:r>
        <w:rPr>
          <w:rFonts w:ascii="MS PGothic" w:cs="MS PGothic" w:eastAsia="MS PGothic" w:hAnsi="MS PGothic"/>
          <w:sz w:val="18"/>
          <w:szCs w:val="18"/>
          <w:color w:val="auto"/>
        </w:rPr>
        <w:t>‑</w:t>
      </w:r>
      <w:r>
        <w:rPr>
          <w:rFonts w:ascii="Arial" w:cs="Arial" w:eastAsia="Arial" w:hAnsi="Arial"/>
          <w:sz w:val="18"/>
          <w:szCs w:val="18"/>
          <w:color w:val="auto"/>
        </w:rPr>
        <w:t>2(f), the terms of an option granted under the Plan or an Offering to citizens or residents of a non-U.S. jurisdiction will be less favorable than the terms of options granted under the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150" w:name="page151"/>
    <w:bookmarkEnd w:id="150"/>
    <w:p>
      <w:pPr>
        <w:spacing w:after="0" w:line="303" w:lineRule="auto"/>
        <w:rPr>
          <w:sz w:val="20"/>
          <w:szCs w:val="20"/>
          <w:color w:val="auto"/>
        </w:rPr>
      </w:pPr>
      <w:r>
        <w:rPr>
          <w:rFonts w:ascii="Arial" w:cs="Arial" w:eastAsia="Arial" w:hAnsi="Arial"/>
          <w:sz w:val="20"/>
          <w:szCs w:val="20"/>
          <w:color w:val="auto"/>
        </w:rPr>
        <w:t>or the same Offering to employees resident solely in the U.S. Every finding, decision, and determination made by the Administrator will, to the full extent permitted by law, be final and binding upon all parties.</w:t>
      </w:r>
    </w:p>
    <w:p>
      <w:pPr>
        <w:spacing w:after="0" w:line="108" w:lineRule="exact"/>
        <w:rPr>
          <w:sz w:val="20"/>
          <w:szCs w:val="20"/>
          <w:color w:val="auto"/>
        </w:rPr>
      </w:pPr>
    </w:p>
    <w:p>
      <w:pPr>
        <w:ind w:left="1400" w:hanging="600"/>
        <w:spacing w:after="0"/>
        <w:tabs>
          <w:tab w:leader="none" w:pos="1400" w:val="left"/>
        </w:tabs>
        <w:numPr>
          <w:ilvl w:val="0"/>
          <w:numId w:val="6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Designation of Beneficiary</w:t>
      </w:r>
      <w:r>
        <w:rPr>
          <w:rFonts w:ascii="Arial" w:cs="Arial" w:eastAsia="Arial" w:hAnsi="Arial"/>
          <w:sz w:val="20"/>
          <w:szCs w:val="20"/>
          <w:color w:val="auto"/>
        </w:rPr>
        <w:t>.</w:t>
      </w:r>
    </w:p>
    <w:p>
      <w:pPr>
        <w:spacing w:after="0" w:line="175" w:lineRule="exact"/>
        <w:rPr>
          <w:rFonts w:ascii="Arial" w:cs="Arial" w:eastAsia="Arial" w:hAnsi="Arial"/>
          <w:sz w:val="20"/>
          <w:szCs w:val="20"/>
          <w:u w:val="single" w:color="auto"/>
          <w:color w:val="auto"/>
        </w:rPr>
      </w:pPr>
    </w:p>
    <w:p>
      <w:pPr>
        <w:jc w:val="both"/>
        <w:ind w:firstLine="1678"/>
        <w:spacing w:after="0" w:line="303" w:lineRule="auto"/>
        <w:tabs>
          <w:tab w:leader="none" w:pos="2793" w:val="left"/>
        </w:tabs>
        <w:numPr>
          <w:ilvl w:val="1"/>
          <w:numId w:val="65"/>
        </w:numPr>
        <w:rPr>
          <w:rFonts w:ascii="Arial" w:cs="Arial" w:eastAsia="Arial" w:hAnsi="Arial"/>
          <w:sz w:val="19"/>
          <w:szCs w:val="19"/>
          <w:color w:val="auto"/>
        </w:rPr>
      </w:pPr>
      <w:r>
        <w:rPr>
          <w:rFonts w:ascii="Arial" w:cs="Arial" w:eastAsia="Arial" w:hAnsi="Arial"/>
          <w:sz w:val="19"/>
          <w:szCs w:val="19"/>
          <w:color w:val="auto"/>
        </w:rPr>
        <w:t>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113" w:lineRule="exact"/>
        <w:rPr>
          <w:rFonts w:ascii="Arial" w:cs="Arial" w:eastAsia="Arial" w:hAnsi="Arial"/>
          <w:sz w:val="19"/>
          <w:szCs w:val="19"/>
          <w:color w:val="auto"/>
        </w:rPr>
      </w:pPr>
    </w:p>
    <w:p>
      <w:pPr>
        <w:jc w:val="both"/>
        <w:ind w:firstLine="1678"/>
        <w:spacing w:after="0" w:line="323" w:lineRule="auto"/>
        <w:tabs>
          <w:tab w:leader="none" w:pos="2793" w:val="left"/>
        </w:tabs>
        <w:numPr>
          <w:ilvl w:val="1"/>
          <w:numId w:val="65"/>
        </w:numPr>
        <w:rPr>
          <w:rFonts w:ascii="Arial" w:cs="Arial" w:eastAsia="Arial" w:hAnsi="Arial"/>
          <w:sz w:val="18"/>
          <w:szCs w:val="18"/>
          <w:color w:val="auto"/>
        </w:rPr>
      </w:pPr>
      <w:r>
        <w:rPr>
          <w:rFonts w:ascii="Arial" w:cs="Arial" w:eastAsia="Arial" w:hAnsi="Arial"/>
          <w:sz w:val="18"/>
          <w:szCs w:val="18"/>
          <w:color w:val="auto"/>
        </w:rPr>
        <w:t>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97" w:lineRule="exact"/>
        <w:rPr>
          <w:rFonts w:ascii="Arial" w:cs="Arial" w:eastAsia="Arial" w:hAnsi="Arial"/>
          <w:sz w:val="18"/>
          <w:szCs w:val="18"/>
          <w:color w:val="auto"/>
        </w:rPr>
      </w:pPr>
    </w:p>
    <w:p>
      <w:pPr>
        <w:jc w:val="both"/>
        <w:ind w:firstLine="1678"/>
        <w:spacing w:after="0" w:line="264" w:lineRule="exact"/>
        <w:tabs>
          <w:tab w:leader="none" w:pos="2793" w:val="left"/>
        </w:tabs>
        <w:numPr>
          <w:ilvl w:val="1"/>
          <w:numId w:val="65"/>
        </w:numPr>
        <w:rPr>
          <w:rFonts w:ascii="Arial" w:cs="Arial" w:eastAsia="Arial" w:hAnsi="Arial"/>
          <w:sz w:val="19"/>
          <w:szCs w:val="19"/>
          <w:color w:val="auto"/>
        </w:rPr>
      </w:pPr>
      <w:r>
        <w:rPr>
          <w:rFonts w:ascii="Arial" w:cs="Arial" w:eastAsia="Arial" w:hAnsi="Arial"/>
          <w:sz w:val="19"/>
          <w:szCs w:val="19"/>
          <w:color w:val="auto"/>
        </w:rPr>
        <w:t>All beneficiary designations will be in such form and manner as the Administrator may designate from time to time. Notwithstanding Sections 15(a) and (b) above, the Company and/or the Administrator may decide not to permit such designations by Participants in non-U.S. jurisdictions to the extent permitted by U.S. Treasury Regulation Section 1.423</w:t>
      </w:r>
      <w:r>
        <w:rPr>
          <w:rFonts w:ascii="MS PGothic" w:cs="MS PGothic" w:eastAsia="MS PGothic" w:hAnsi="MS PGothic"/>
          <w:sz w:val="19"/>
          <w:szCs w:val="19"/>
          <w:color w:val="auto"/>
        </w:rPr>
        <w:t>‑</w:t>
      </w:r>
      <w:r>
        <w:rPr>
          <w:rFonts w:ascii="Arial" w:cs="Arial" w:eastAsia="Arial" w:hAnsi="Arial"/>
          <w:sz w:val="19"/>
          <w:szCs w:val="19"/>
          <w:color w:val="auto"/>
        </w:rPr>
        <w:t>2(f).</w:t>
      </w:r>
    </w:p>
    <w:p>
      <w:pPr>
        <w:spacing w:after="0" w:line="155" w:lineRule="exact"/>
        <w:rPr>
          <w:rFonts w:ascii="Arial" w:cs="Arial" w:eastAsia="Arial" w:hAnsi="Arial"/>
          <w:sz w:val="19"/>
          <w:szCs w:val="19"/>
          <w:color w:val="auto"/>
        </w:rPr>
      </w:pPr>
    </w:p>
    <w:p>
      <w:pPr>
        <w:jc w:val="both"/>
        <w:ind w:firstLine="800"/>
        <w:spacing w:after="0" w:line="287" w:lineRule="auto"/>
        <w:tabs>
          <w:tab w:leader="none" w:pos="1397" w:val="left"/>
        </w:tabs>
        <w:numPr>
          <w:ilvl w:val="0"/>
          <w:numId w:val="6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123" w:lineRule="exact"/>
        <w:rPr>
          <w:rFonts w:ascii="Arial" w:cs="Arial" w:eastAsia="Arial" w:hAnsi="Arial"/>
          <w:sz w:val="20"/>
          <w:szCs w:val="20"/>
          <w:u w:val="single" w:color="auto"/>
          <w:color w:val="auto"/>
        </w:rPr>
      </w:pPr>
    </w:p>
    <w:p>
      <w:pPr>
        <w:jc w:val="both"/>
        <w:ind w:firstLine="800"/>
        <w:spacing w:after="0" w:line="287" w:lineRule="auto"/>
        <w:tabs>
          <w:tab w:leader="none" w:pos="1397" w:val="left"/>
        </w:tabs>
        <w:numPr>
          <w:ilvl w:val="0"/>
          <w:numId w:val="6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Use of Funds</w:t>
      </w:r>
      <w:r>
        <w:rPr>
          <w:rFonts w:ascii="Arial" w:cs="Arial" w:eastAsia="Arial" w:hAnsi="Arial"/>
          <w:sz w:val="20"/>
          <w:szCs w:val="20"/>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Until shares of Common Stock are issued, Participants will have only the rights of an unsecured creditor with respect to such shares.</w:t>
      </w:r>
    </w:p>
    <w:p>
      <w:pPr>
        <w:spacing w:after="0" w:line="123" w:lineRule="exact"/>
        <w:rPr>
          <w:rFonts w:ascii="Arial" w:cs="Arial" w:eastAsia="Arial" w:hAnsi="Arial"/>
          <w:sz w:val="20"/>
          <w:szCs w:val="20"/>
          <w:u w:val="single" w:color="auto"/>
          <w:color w:val="auto"/>
        </w:rPr>
      </w:pPr>
    </w:p>
    <w:p>
      <w:pPr>
        <w:jc w:val="both"/>
        <w:ind w:firstLine="800"/>
        <w:spacing w:after="0" w:line="292" w:lineRule="auto"/>
        <w:tabs>
          <w:tab w:leader="none" w:pos="1397" w:val="left"/>
        </w:tabs>
        <w:numPr>
          <w:ilvl w:val="0"/>
          <w:numId w:val="6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Reports</w:t>
      </w:r>
      <w:r>
        <w:rPr>
          <w:rFonts w:ascii="Arial" w:cs="Arial" w:eastAsia="Arial" w:hAnsi="Arial"/>
          <w:sz w:val="20"/>
          <w:szCs w:val="20"/>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05" w:lineRule="exact"/>
        <w:rPr>
          <w:rFonts w:ascii="Arial" w:cs="Arial" w:eastAsia="Arial" w:hAnsi="Arial"/>
          <w:sz w:val="20"/>
          <w:szCs w:val="20"/>
          <w:u w:val="single" w:color="auto"/>
          <w:color w:val="auto"/>
        </w:rPr>
      </w:pPr>
    </w:p>
    <w:p>
      <w:pPr>
        <w:ind w:left="1400" w:hanging="600"/>
        <w:spacing w:after="0"/>
        <w:tabs>
          <w:tab w:leader="none" w:pos="1400" w:val="left"/>
        </w:tabs>
        <w:numPr>
          <w:ilvl w:val="0"/>
          <w:numId w:val="6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Adjustments, Dissolution, Liquidation, Merger, or Change in Control</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2284095</wp:posOffset>
            </wp:positionH>
            <wp:positionV relativeFrom="paragraph">
              <wp:posOffset>-5664200</wp:posOffset>
            </wp:positionV>
            <wp:extent cx="209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1">
                      <a:extLst>
                        <a:ext uri="{28A0092B-C50C-407E-A947-70E740481C1C}"/>
                      </a:extLst>
                    </a:blip>
                    <a:srcRect/>
                    <a:stretch>
                      <a:fillRect/>
                    </a:stretch>
                  </pic:blipFill>
                  <pic:spPr bwMode="auto">
                    <a:xfrm>
                      <a:off x="0" y="0"/>
                      <a:ext cx="2095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151" w:name="page152"/>
    <w:bookmarkEnd w:id="151"/>
    <w:p>
      <w:pPr>
        <w:jc w:val="both"/>
        <w:ind w:firstLine="1678"/>
        <w:spacing w:after="0" w:line="300" w:lineRule="auto"/>
        <w:tabs>
          <w:tab w:leader="none" w:pos="2793" w:val="left"/>
        </w:tabs>
        <w:numPr>
          <w:ilvl w:val="1"/>
          <w:numId w:val="6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If any extraordinary dividend or other extraordinary distribution (whether in cash, shares, other securities, or other property), recapitalization, stock split, reverse stock split, reorganization, merger, consolidation, split-up, spin-off, combination, reclassification, repurchase, or exchange of shares or other securities of the Company, other change in the corporate structure of the Company affecting the shares of Common Stock, or any similar equity restructuring transaction, as that term is used in Statement of Financial Accounting Standards Board Accounting Standards Codification Topic 718 (or any of its successors) affecting the shares of Common Stock occurs (including a Change in Control), the Administrator, to prevent diminution or enlargement of the benefits or potential benefits intended to be provided under the Plan, will adjust the number and class of shares of Common Stock that may be delivered under the Plan, the Purchase Price per share, the class and the number of shares of Common Stock covered by each option under the Plan that has not yet been exercised, and the numerical limits of Sections 7 and 13.</w:t>
      </w:r>
    </w:p>
    <w:p>
      <w:pPr>
        <w:spacing w:after="0" w:line="120" w:lineRule="exact"/>
        <w:rPr>
          <w:rFonts w:ascii="Arial" w:cs="Arial" w:eastAsia="Arial" w:hAnsi="Arial"/>
          <w:sz w:val="19"/>
          <w:szCs w:val="19"/>
          <w:u w:val="single" w:color="auto"/>
          <w:color w:val="auto"/>
        </w:rPr>
      </w:pPr>
    </w:p>
    <w:p>
      <w:pPr>
        <w:jc w:val="both"/>
        <w:ind w:firstLine="1678"/>
        <w:spacing w:after="0" w:line="301" w:lineRule="auto"/>
        <w:tabs>
          <w:tab w:leader="none" w:pos="2793" w:val="left"/>
        </w:tabs>
        <w:numPr>
          <w:ilvl w:val="1"/>
          <w:numId w:val="6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Dissolution or Liquidation</w:t>
      </w:r>
      <w:r>
        <w:rPr>
          <w:rFonts w:ascii="Arial" w:cs="Arial" w:eastAsia="Arial" w:hAnsi="Arial"/>
          <w:sz w:val="19"/>
          <w:szCs w:val="19"/>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 (or, prior to such New Exercise Date, Participant’s participation has terminated as provided in Section 11 hereof).</w:t>
      </w:r>
    </w:p>
    <w:p>
      <w:pPr>
        <w:spacing w:after="0" w:line="102" w:lineRule="exact"/>
        <w:rPr>
          <w:rFonts w:ascii="Arial" w:cs="Arial" w:eastAsia="Arial" w:hAnsi="Arial"/>
          <w:sz w:val="19"/>
          <w:szCs w:val="19"/>
          <w:u w:val="single" w:color="auto"/>
          <w:color w:val="auto"/>
        </w:rPr>
      </w:pPr>
    </w:p>
    <w:p>
      <w:pPr>
        <w:jc w:val="both"/>
        <w:ind w:firstLine="1678"/>
        <w:spacing w:after="0" w:line="300" w:lineRule="auto"/>
        <w:tabs>
          <w:tab w:leader="none" w:pos="2793" w:val="left"/>
        </w:tabs>
        <w:numPr>
          <w:ilvl w:val="1"/>
          <w:numId w:val="6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Merger or Change in Control</w:t>
      </w:r>
      <w:r>
        <w:rPr>
          <w:rFonts w:ascii="Arial" w:cs="Arial" w:eastAsia="Arial" w:hAnsi="Arial"/>
          <w:sz w:val="19"/>
          <w:szCs w:val="19"/>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 (or, prior to such New Exercise Date, Participant’s participation has terminated as provided in Section 11 hereof).</w:t>
      </w:r>
    </w:p>
    <w:p>
      <w:pPr>
        <w:spacing w:after="0" w:line="120" w:lineRule="exact"/>
        <w:rPr>
          <w:rFonts w:ascii="Arial" w:cs="Arial" w:eastAsia="Arial" w:hAnsi="Arial"/>
          <w:sz w:val="19"/>
          <w:szCs w:val="19"/>
          <w:u w:val="single" w:color="auto"/>
          <w:color w:val="auto"/>
        </w:rPr>
      </w:pPr>
    </w:p>
    <w:p>
      <w:pPr>
        <w:ind w:left="1400" w:hanging="600"/>
        <w:spacing w:after="0"/>
        <w:tabs>
          <w:tab w:leader="none" w:pos="1400" w:val="left"/>
        </w:tabs>
        <w:numPr>
          <w:ilvl w:val="0"/>
          <w:numId w:val="67"/>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Amendment or Termination</w:t>
      </w:r>
      <w:r>
        <w:rPr>
          <w:rFonts w:ascii="Arial" w:cs="Arial" w:eastAsia="Arial" w:hAnsi="Arial"/>
          <w:sz w:val="20"/>
          <w:szCs w:val="20"/>
          <w:color w:val="auto"/>
        </w:rPr>
        <w:t>.</w:t>
      </w:r>
    </w:p>
    <w:p>
      <w:pPr>
        <w:spacing w:after="0" w:line="188" w:lineRule="exact"/>
        <w:rPr>
          <w:rFonts w:ascii="Arial" w:cs="Arial" w:eastAsia="Arial" w:hAnsi="Arial"/>
          <w:sz w:val="20"/>
          <w:szCs w:val="20"/>
          <w:u w:val="single" w:color="auto"/>
          <w:color w:val="auto"/>
        </w:rPr>
      </w:pPr>
    </w:p>
    <w:p>
      <w:pPr>
        <w:jc w:val="both"/>
        <w:ind w:firstLine="1678"/>
        <w:spacing w:after="0" w:line="285" w:lineRule="auto"/>
        <w:tabs>
          <w:tab w:leader="none" w:pos="2793"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If the Offering Periods are terminated prior to expiration, all amounts then credited to Participants’ accounts that have not been used to purchase shares of Common Stock will be returned to the Participants (without interest thereon,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152" w:name="page153"/>
    <w:bookmarkEnd w:id="152"/>
    <w:p>
      <w:pPr>
        <w:spacing w:after="0"/>
        <w:rPr>
          <w:sz w:val="20"/>
          <w:szCs w:val="20"/>
          <w:color w:val="auto"/>
        </w:rPr>
      </w:pPr>
      <w:r>
        <w:rPr>
          <w:rFonts w:ascii="Arial" w:cs="Arial" w:eastAsia="Arial" w:hAnsi="Arial"/>
          <w:sz w:val="19"/>
          <w:szCs w:val="19"/>
          <w:color w:val="auto"/>
        </w:rPr>
        <w:t>except as otherwise required under Applicable Laws, as further set forth in Section 12 hereof) as soon as administratively practicable.</w:t>
      </w:r>
    </w:p>
    <w:p>
      <w:pPr>
        <w:spacing w:after="0" w:line="200" w:lineRule="exact"/>
        <w:rPr>
          <w:sz w:val="20"/>
          <w:szCs w:val="20"/>
          <w:color w:val="auto"/>
        </w:rPr>
      </w:pPr>
    </w:p>
    <w:p>
      <w:pPr>
        <w:jc w:val="both"/>
        <w:ind w:firstLine="1678"/>
        <w:spacing w:after="0" w:line="284" w:lineRule="auto"/>
        <w:tabs>
          <w:tab w:leader="none" w:pos="2793" w:val="left"/>
        </w:tabs>
        <w:numPr>
          <w:ilvl w:val="0"/>
          <w:numId w:val="68"/>
        </w:numPr>
        <w:rPr>
          <w:rFonts w:ascii="Arial" w:cs="Arial" w:eastAsia="Arial" w:hAnsi="Arial"/>
          <w:sz w:val="20"/>
          <w:szCs w:val="20"/>
          <w:color w:val="auto"/>
        </w:rPr>
      </w:pPr>
      <w:r>
        <w:rPr>
          <w:rFonts w:ascii="Arial" w:cs="Arial" w:eastAsia="Arial" w:hAnsi="Arial"/>
          <w:sz w:val="20"/>
          <w:szCs w:val="20"/>
          <w:color w:val="auto"/>
        </w:rPr>
        <w:t>Without stockholder consent and without limiting Section 20(a), the Administrator will be entitled to change the Offering Periods and/or Purchase Periods, designate separate Offerings, limit the frequency and/or number of changes in the amount withheld during an Offering Period, establish the exchange ratio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17" w:lineRule="exact"/>
        <w:rPr>
          <w:rFonts w:ascii="Arial" w:cs="Arial" w:eastAsia="Arial" w:hAnsi="Arial"/>
          <w:sz w:val="20"/>
          <w:szCs w:val="20"/>
          <w:color w:val="auto"/>
        </w:rPr>
      </w:pPr>
    </w:p>
    <w:p>
      <w:pPr>
        <w:jc w:val="both"/>
        <w:ind w:firstLine="1678"/>
        <w:spacing w:after="0" w:line="314" w:lineRule="auto"/>
        <w:tabs>
          <w:tab w:leader="none" w:pos="2793" w:val="left"/>
        </w:tabs>
        <w:numPr>
          <w:ilvl w:val="0"/>
          <w:numId w:val="68"/>
        </w:numPr>
        <w:rPr>
          <w:rFonts w:ascii="Arial" w:cs="Arial" w:eastAsia="Arial" w:hAnsi="Arial"/>
          <w:sz w:val="19"/>
          <w:szCs w:val="19"/>
          <w:color w:val="auto"/>
        </w:rPr>
      </w:pPr>
      <w:r>
        <w:rPr>
          <w:rFonts w:ascii="Arial" w:cs="Arial" w:eastAsia="Arial" w:hAnsi="Arial"/>
          <w:sz w:val="19"/>
          <w:szCs w:val="19"/>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01" w:lineRule="exact"/>
        <w:rPr>
          <w:sz w:val="20"/>
          <w:szCs w:val="20"/>
          <w:color w:val="auto"/>
        </w:rPr>
      </w:pPr>
    </w:p>
    <w:p>
      <w:pPr>
        <w:jc w:val="both"/>
        <w:ind w:firstLine="2477"/>
        <w:spacing w:after="0" w:line="292" w:lineRule="auto"/>
        <w:rPr>
          <w:sz w:val="20"/>
          <w:szCs w:val="20"/>
          <w:color w:val="auto"/>
        </w:rPr>
      </w:pPr>
      <w:r>
        <w:rPr>
          <w:rFonts w:ascii="Arial" w:cs="Arial" w:eastAsia="Arial" w:hAnsi="Arial"/>
          <w:sz w:val="20"/>
          <w:szCs w:val="20"/>
          <w:color w:val="auto"/>
        </w:rPr>
        <w:t>(i) 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19" w:lineRule="exact"/>
        <w:rPr>
          <w:sz w:val="20"/>
          <w:szCs w:val="20"/>
          <w:color w:val="auto"/>
        </w:rPr>
      </w:pPr>
    </w:p>
    <w:p>
      <w:pPr>
        <w:ind w:firstLine="2435"/>
        <w:spacing w:after="0" w:line="303" w:lineRule="auto"/>
        <w:rPr>
          <w:sz w:val="20"/>
          <w:szCs w:val="20"/>
          <w:color w:val="auto"/>
        </w:rPr>
      </w:pPr>
      <w:r>
        <w:rPr>
          <w:rFonts w:ascii="Arial" w:cs="Arial" w:eastAsia="Arial" w:hAnsi="Arial"/>
          <w:sz w:val="20"/>
          <w:szCs w:val="20"/>
          <w:color w:val="auto"/>
        </w:rPr>
        <w:t>(ii) altering the Purchase Price for any Offering Period or Purchase Period including an Offering Period or Purchase Period underway at the time of the change in Purchase Price;</w:t>
      </w:r>
    </w:p>
    <w:p>
      <w:pPr>
        <w:spacing w:after="0" w:line="94" w:lineRule="exact"/>
        <w:rPr>
          <w:sz w:val="20"/>
          <w:szCs w:val="20"/>
          <w:color w:val="auto"/>
        </w:rPr>
      </w:pPr>
    </w:p>
    <w:p>
      <w:pPr>
        <w:ind w:firstLine="2393"/>
        <w:spacing w:after="0" w:line="307" w:lineRule="auto"/>
        <w:rPr>
          <w:sz w:val="20"/>
          <w:szCs w:val="20"/>
          <w:color w:val="auto"/>
        </w:rPr>
      </w:pPr>
      <w:r>
        <w:rPr>
          <w:rFonts w:ascii="Arial" w:cs="Arial" w:eastAsia="Arial" w:hAnsi="Arial"/>
          <w:sz w:val="20"/>
          <w:szCs w:val="20"/>
          <w:color w:val="auto"/>
        </w:rPr>
        <w:t xml:space="preserve">(iii) changing any Offering Period or Purchase Period by setting a New Exercise Date, including an Offering Period or Purchase Period underway at the time of the </w:t>
      </w:r>
      <w:r>
        <w:rPr>
          <w:rFonts w:ascii="Arial" w:cs="Arial" w:eastAsia="Arial" w:hAnsi="Arial"/>
          <w:sz w:val="21"/>
          <w:szCs w:val="21"/>
          <w:color w:val="auto"/>
        </w:rPr>
        <w:t>Administrator</w:t>
      </w:r>
      <w:r>
        <w:rPr>
          <w:rFonts w:ascii="Arial" w:cs="Arial" w:eastAsia="Arial" w:hAnsi="Arial"/>
          <w:sz w:val="20"/>
          <w:szCs w:val="20"/>
          <w:color w:val="auto"/>
        </w:rPr>
        <w:t xml:space="preserve"> action;</w:t>
      </w:r>
    </w:p>
    <w:p>
      <w:pPr>
        <w:sectPr>
          <w:pgSz w:w="11900" w:h="16838" w:orient="portrait"/>
          <w:cols w:equalWidth="0" w:num="1">
            <w:col w:w="11240"/>
          </w:cols>
          <w:pgMar w:left="320" w:top="150" w:right="339" w:bottom="1440" w:gutter="0" w:footer="0" w:header="0"/>
        </w:sectPr>
      </w:pPr>
    </w:p>
    <w:p>
      <w:pPr>
        <w:spacing w:after="0" w:line="112"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(iv)</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set aside as Contributions; and</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reducing the maximum percentage of Compensation a Participant may elect to</w:t>
      </w:r>
    </w:p>
    <w:p>
      <w:pPr>
        <w:spacing w:after="0" w:line="481" w:lineRule="exact"/>
        <w:rPr>
          <w:sz w:val="20"/>
          <w:szCs w:val="20"/>
          <w:color w:val="auto"/>
        </w:rPr>
      </w:pPr>
    </w:p>
    <w:p>
      <w:pPr>
        <w:sectPr>
          <w:pgSz w:w="11900" w:h="16838" w:orient="portrait"/>
          <w:cols w:equalWidth="0" w:num="2">
            <w:col w:w="4180" w:space="720"/>
            <w:col w:w="6340"/>
          </w:cols>
          <w:pgMar w:left="320" w:top="150" w:right="339" w:bottom="1440" w:gutter="0" w:footer="0" w:header="0"/>
          <w:type w:val="continuous"/>
        </w:sectPr>
      </w:pPr>
    </w:p>
    <w:p>
      <w:pPr>
        <w:ind w:left="2460"/>
        <w:spacing w:after="0"/>
        <w:rPr>
          <w:sz w:val="20"/>
          <w:szCs w:val="20"/>
          <w:color w:val="auto"/>
        </w:rPr>
      </w:pPr>
      <w:r>
        <w:rPr>
          <w:rFonts w:ascii="Arial" w:cs="Arial" w:eastAsia="Arial" w:hAnsi="Arial"/>
          <w:sz w:val="20"/>
          <w:szCs w:val="20"/>
          <w:color w:val="auto"/>
        </w:rPr>
        <w:t>(v)</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purchase during any Offering Period or Purchase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reducing the maximum number of shares of Common Stock a Participant may</w:t>
      </w:r>
    </w:p>
    <w:p>
      <w:pPr>
        <w:spacing w:after="0" w:line="447" w:lineRule="exact"/>
        <w:rPr>
          <w:sz w:val="20"/>
          <w:szCs w:val="20"/>
          <w:color w:val="auto"/>
        </w:rPr>
      </w:pPr>
    </w:p>
    <w:p>
      <w:pPr>
        <w:sectPr>
          <w:pgSz w:w="11900" w:h="16838" w:orient="portrait"/>
          <w:cols w:equalWidth="0" w:num="2">
            <w:col w:w="4500" w:space="400"/>
            <w:col w:w="6340"/>
          </w:cols>
          <w:pgMar w:left="320" w:top="150"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Such modifications or amendments will not require stockholder approval or the consent of any Participants.</w:t>
      </w:r>
    </w:p>
    <w:p>
      <w:pPr>
        <w:spacing w:after="0" w:line="189" w:lineRule="exact"/>
        <w:rPr>
          <w:sz w:val="20"/>
          <w:szCs w:val="20"/>
          <w:color w:val="auto"/>
        </w:rPr>
      </w:pPr>
    </w:p>
    <w:p>
      <w:pPr>
        <w:jc w:val="both"/>
        <w:ind w:firstLine="800"/>
        <w:spacing w:after="0" w:line="292" w:lineRule="auto"/>
        <w:tabs>
          <w:tab w:leader="none" w:pos="1397" w:val="left"/>
        </w:tabs>
        <w:numPr>
          <w:ilvl w:val="0"/>
          <w:numId w:val="69"/>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19" w:lineRule="exact"/>
        <w:rPr>
          <w:rFonts w:ascii="Arial" w:cs="Arial" w:eastAsia="Arial" w:hAnsi="Arial"/>
          <w:sz w:val="20"/>
          <w:szCs w:val="20"/>
          <w:u w:val="single" w:color="auto"/>
          <w:color w:val="auto"/>
        </w:rPr>
      </w:pPr>
    </w:p>
    <w:p>
      <w:pPr>
        <w:jc w:val="both"/>
        <w:ind w:firstLine="800"/>
        <w:spacing w:after="0" w:line="287" w:lineRule="auto"/>
        <w:tabs>
          <w:tab w:leader="none" w:pos="1397" w:val="left"/>
        </w:tabs>
        <w:numPr>
          <w:ilvl w:val="0"/>
          <w:numId w:val="69"/>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Conditions Upon Issuance of Shares</w:t>
      </w:r>
      <w:r>
        <w:rPr>
          <w:rFonts w:ascii="Arial" w:cs="Arial" w:eastAsia="Arial" w:hAnsi="Arial"/>
          <w:sz w:val="20"/>
          <w:szCs w:val="20"/>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type w:val="continuous"/>
        </w:sectPr>
      </w:pPr>
    </w:p>
    <w:bookmarkStart w:id="153" w:name="page154"/>
    <w:bookmarkEnd w:id="153"/>
    <w:p>
      <w:pPr>
        <w:jc w:val="both"/>
        <w:ind w:firstLine="1497"/>
        <w:spacing w:after="0" w:line="288" w:lineRule="auto"/>
        <w:rPr>
          <w:sz w:val="20"/>
          <w:szCs w:val="20"/>
          <w:color w:val="auto"/>
        </w:rPr>
      </w:pPr>
      <w:r>
        <w:rPr>
          <w:rFonts w:ascii="Arial" w:cs="Arial" w:eastAsia="Arial" w:hAnsi="Arial"/>
          <w:sz w:val="20"/>
          <w:szCs w:val="20"/>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25" w:lineRule="exact"/>
        <w:rPr>
          <w:sz w:val="20"/>
          <w:szCs w:val="20"/>
          <w:color w:val="auto"/>
        </w:rPr>
      </w:pPr>
    </w:p>
    <w:p>
      <w:pPr>
        <w:jc w:val="both"/>
        <w:ind w:firstLine="800"/>
        <w:spacing w:after="0" w:line="317" w:lineRule="auto"/>
        <w:tabs>
          <w:tab w:leader="none" w:pos="1397" w:val="left"/>
        </w:tabs>
        <w:numPr>
          <w:ilvl w:val="1"/>
          <w:numId w:val="7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xml:space="preserve"> The Plan is intended to be exempt from the application of Section 409A, and, to the extent not 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Subsidiaries or Affiliates shall have no obligation or liability to reimburse, indemnify, or hold harmless a Participant or any other party for any taxes or costs that may be imposed on or incurred by a Participant or any other person as a result of Section 409A, including but not limited to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or exempt from Section 409A.</w:t>
      </w:r>
    </w:p>
    <w:p>
      <w:pPr>
        <w:spacing w:after="0" w:line="90" w:lineRule="exact"/>
        <w:rPr>
          <w:rFonts w:ascii="Arial" w:cs="Arial" w:eastAsia="Arial" w:hAnsi="Arial"/>
          <w:sz w:val="18"/>
          <w:szCs w:val="18"/>
          <w:u w:val="single" w:color="auto"/>
          <w:color w:val="auto"/>
        </w:rPr>
      </w:pPr>
    </w:p>
    <w:p>
      <w:pPr>
        <w:jc w:val="both"/>
        <w:ind w:firstLine="800"/>
        <w:spacing w:after="0" w:line="292" w:lineRule="auto"/>
        <w:tabs>
          <w:tab w:leader="none" w:pos="1397" w:val="left"/>
        </w:tabs>
        <w:numPr>
          <w:ilvl w:val="1"/>
          <w:numId w:val="70"/>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Term of Plan</w:t>
      </w:r>
      <w:r>
        <w:rPr>
          <w:rFonts w:ascii="Arial" w:cs="Arial" w:eastAsia="Arial" w:hAnsi="Arial"/>
          <w:sz w:val="20"/>
          <w:szCs w:val="20"/>
          <w:color w:val="auto"/>
        </w:rPr>
        <w:t>. The Plan will become effective upon the later to occur of (i) its adoption by the Board or (ii) the business day immediately prior to the Registration Date. It will continue in effect for a term of 20 years from the Effective Date, unless sooner terminated under Section 20.</w:t>
      </w:r>
    </w:p>
    <w:p>
      <w:pPr>
        <w:spacing w:after="0" w:line="119" w:lineRule="exact"/>
        <w:rPr>
          <w:rFonts w:ascii="Arial" w:cs="Arial" w:eastAsia="Arial" w:hAnsi="Arial"/>
          <w:sz w:val="20"/>
          <w:szCs w:val="20"/>
          <w:u w:val="single" w:color="auto"/>
          <w:color w:val="auto"/>
        </w:rPr>
      </w:pPr>
    </w:p>
    <w:p>
      <w:pPr>
        <w:jc w:val="both"/>
        <w:ind w:firstLine="800"/>
        <w:spacing w:after="0" w:line="292" w:lineRule="auto"/>
        <w:tabs>
          <w:tab w:leader="none" w:pos="1397" w:val="left"/>
        </w:tabs>
        <w:numPr>
          <w:ilvl w:val="1"/>
          <w:numId w:val="70"/>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Stockholder Approval</w:t>
      </w:r>
      <w:r>
        <w:rPr>
          <w:rFonts w:ascii="Arial" w:cs="Arial" w:eastAsia="Arial" w:hAnsi="Arial"/>
          <w:sz w:val="20"/>
          <w:szCs w:val="20"/>
          <w:color w:val="auto"/>
        </w:rPr>
        <w:t>. The Plan will be subject to approval by the stockholders of the Company within 12 months after the date the Plan is adopted by the Board. Such stockholder approval will be obtained in the manner and to the degree required under Applicable Laws.</w:t>
      </w:r>
    </w:p>
    <w:p>
      <w:pPr>
        <w:spacing w:after="0" w:line="119" w:lineRule="exact"/>
        <w:rPr>
          <w:rFonts w:ascii="Arial" w:cs="Arial" w:eastAsia="Arial" w:hAnsi="Arial"/>
          <w:sz w:val="20"/>
          <w:szCs w:val="20"/>
          <w:u w:val="single" w:color="auto"/>
          <w:color w:val="auto"/>
        </w:rPr>
      </w:pPr>
    </w:p>
    <w:p>
      <w:pPr>
        <w:ind w:firstLine="800"/>
        <w:spacing w:after="0" w:line="303" w:lineRule="auto"/>
        <w:tabs>
          <w:tab w:leader="none" w:pos="1397" w:val="left"/>
        </w:tabs>
        <w:numPr>
          <w:ilvl w:val="1"/>
          <w:numId w:val="70"/>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The Plan will be governed by, and construed in accordance with, the laws of the State of Delaware (except its choice-of-law provisions).</w:t>
      </w:r>
    </w:p>
    <w:p>
      <w:pPr>
        <w:spacing w:after="0" w:line="94" w:lineRule="exact"/>
        <w:rPr>
          <w:rFonts w:ascii="Arial" w:cs="Arial" w:eastAsia="Arial" w:hAnsi="Arial"/>
          <w:sz w:val="20"/>
          <w:szCs w:val="20"/>
          <w:u w:val="single" w:color="auto"/>
          <w:color w:val="auto"/>
        </w:rPr>
      </w:pPr>
    </w:p>
    <w:p>
      <w:pPr>
        <w:jc w:val="both"/>
        <w:ind w:firstLine="800"/>
        <w:spacing w:after="0" w:line="338" w:lineRule="auto"/>
        <w:tabs>
          <w:tab w:leader="none" w:pos="1397" w:val="left"/>
        </w:tabs>
        <w:numPr>
          <w:ilvl w:val="1"/>
          <w:numId w:val="7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 Right to Employment</w:t>
      </w:r>
      <w:r>
        <w:rPr>
          <w:rFonts w:ascii="Arial" w:cs="Arial" w:eastAsia="Arial" w:hAnsi="Arial"/>
          <w:sz w:val="18"/>
          <w:szCs w:val="18"/>
          <w:color w:val="auto"/>
        </w:rPr>
        <w:t>. Participation in the Plan by a Participant will not be construed as giving a Participant the right to be retained as an employee of the Company or a Subsidiary or Affiliate of the Company, as applicable. Further, the Company or a Subsidiary or Affiliate of the Company may dismiss a Participant from employment at any time, free from any liability or any claim under the Plan.</w:t>
      </w:r>
    </w:p>
    <w:p>
      <w:pPr>
        <w:spacing w:after="0" w:line="83" w:lineRule="exact"/>
        <w:rPr>
          <w:rFonts w:ascii="Arial" w:cs="Arial" w:eastAsia="Arial" w:hAnsi="Arial"/>
          <w:sz w:val="18"/>
          <w:szCs w:val="18"/>
          <w:u w:val="single" w:color="auto"/>
          <w:color w:val="auto"/>
        </w:rPr>
      </w:pPr>
    </w:p>
    <w:p>
      <w:pPr>
        <w:jc w:val="both"/>
        <w:ind w:firstLine="800"/>
        <w:spacing w:after="0" w:line="288" w:lineRule="auto"/>
        <w:tabs>
          <w:tab w:leader="none" w:pos="1397" w:val="left"/>
        </w:tabs>
        <w:numPr>
          <w:ilvl w:val="1"/>
          <w:numId w:val="70"/>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24" w:lineRule="exact"/>
        <w:rPr>
          <w:rFonts w:ascii="Arial" w:cs="Arial" w:eastAsia="Arial" w:hAnsi="Arial"/>
          <w:sz w:val="20"/>
          <w:szCs w:val="20"/>
          <w:u w:val="single" w:color="auto"/>
          <w:color w:val="auto"/>
        </w:rPr>
      </w:pPr>
    </w:p>
    <w:p>
      <w:pPr>
        <w:ind w:firstLine="8"/>
        <w:spacing w:after="0" w:line="303" w:lineRule="auto"/>
        <w:tabs>
          <w:tab w:leader="none" w:pos="409"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Compliance with Applicable Laws</w:t>
      </w:r>
      <w:r>
        <w:rPr>
          <w:rFonts w:ascii="Arial" w:cs="Arial" w:eastAsia="Arial" w:hAnsi="Arial"/>
          <w:sz w:val="20"/>
          <w:szCs w:val="20"/>
          <w:color w:val="auto"/>
        </w:rPr>
        <w:t>. The terms of this Plan are intended to comply with all Applicable Laws and will be construed accordingly.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37" w:right="1440"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Ron Kurtz, M.D., certify that:</w:t>
      </w:r>
    </w:p>
    <w:p>
      <w:pPr>
        <w:spacing w:after="0" w:line="252" w:lineRule="exact"/>
        <w:rPr>
          <w:sz w:val="20"/>
          <w:szCs w:val="20"/>
          <w:color w:val="auto"/>
        </w:rPr>
      </w:pPr>
    </w:p>
    <w:p>
      <w:pPr>
        <w:ind w:left="500" w:hanging="479"/>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RxSight, Inc.;</w:t>
      </w:r>
    </w:p>
    <w:p>
      <w:pPr>
        <w:spacing w:after="0" w:line="265" w:lineRule="exact"/>
        <w:rPr>
          <w:rFonts w:ascii="Arial" w:cs="Arial" w:eastAsia="Arial" w:hAnsi="Arial"/>
          <w:sz w:val="18"/>
          <w:szCs w:val="18"/>
          <w:color w:val="auto"/>
        </w:rPr>
      </w:pPr>
    </w:p>
    <w:p>
      <w:pPr>
        <w:jc w:val="both"/>
        <w:ind w:left="500" w:right="280" w:hanging="479"/>
        <w:spacing w:after="0" w:line="279"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left="500" w:right="240" w:hanging="479"/>
        <w:spacing w:after="0" w:line="324" w:lineRule="auto"/>
        <w:tabs>
          <w:tab w:leader="none" w:pos="5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500" w:right="480" w:hanging="479"/>
        <w:spacing w:after="0" w:line="293"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1080" w:right="160" w:hanging="586"/>
        <w:spacing w:after="0" w:line="279" w:lineRule="auto"/>
        <w:tabs>
          <w:tab w:leader="none" w:pos="10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209" w:lineRule="exact"/>
        <w:rPr>
          <w:rFonts w:ascii="Arial" w:cs="Arial" w:eastAsia="Arial" w:hAnsi="Arial"/>
          <w:sz w:val="18"/>
          <w:szCs w:val="18"/>
          <w:color w:val="auto"/>
        </w:rPr>
      </w:pPr>
    </w:p>
    <w:p>
      <w:pPr>
        <w:ind w:left="1080" w:hanging="586"/>
        <w:spacing w:after="0"/>
        <w:tabs>
          <w:tab w:leader="none" w:pos="10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(Paragraph omitted pursuant to Exchange Act Rules 13a-14(a) and 15d-15(a));</w:t>
      </w:r>
    </w:p>
    <w:p>
      <w:pPr>
        <w:spacing w:after="0" w:line="265" w:lineRule="exact"/>
        <w:rPr>
          <w:rFonts w:ascii="Arial" w:cs="Arial" w:eastAsia="Arial" w:hAnsi="Arial"/>
          <w:sz w:val="18"/>
          <w:szCs w:val="18"/>
          <w:color w:val="auto"/>
        </w:rPr>
      </w:pPr>
    </w:p>
    <w:p>
      <w:pPr>
        <w:jc w:val="both"/>
        <w:ind w:left="1080" w:right="440" w:hanging="586"/>
        <w:spacing w:after="0" w:line="359" w:lineRule="auto"/>
        <w:tabs>
          <w:tab w:leader="none" w:pos="108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1080" w:right="140" w:hanging="586"/>
        <w:spacing w:after="0" w:line="279" w:lineRule="auto"/>
        <w:tabs>
          <w:tab w:leader="none" w:pos="10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500" w:right="160" w:hanging="479"/>
        <w:spacing w:after="0" w:line="324" w:lineRule="auto"/>
        <w:tabs>
          <w:tab w:leader="none" w:pos="5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1080" w:right="680" w:hanging="586"/>
        <w:spacing w:after="0" w:line="359" w:lineRule="auto"/>
        <w:tabs>
          <w:tab w:leader="none" w:pos="1080"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1080" w:right="380" w:hanging="586"/>
        <w:spacing w:after="0" w:line="293" w:lineRule="auto"/>
        <w:tabs>
          <w:tab w:leader="none" w:pos="10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10, 2021</w:t>
      </w:r>
    </w:p>
    <w:p>
      <w:pPr>
        <w:spacing w:after="0" w:line="36" w:lineRule="exact"/>
        <w:rPr>
          <w:sz w:val="20"/>
          <w:szCs w:val="20"/>
          <w:color w:val="auto"/>
        </w:rPr>
      </w:pPr>
    </w:p>
    <w:p>
      <w:pPr>
        <w:ind w:left="574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7">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Ron Kurtz, M.D.</w:t>
      </w:r>
    </w:p>
    <w:p>
      <w:pPr>
        <w:spacing w:after="0" w:line="36"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Chief Executive Officer</w:t>
      </w:r>
    </w:p>
    <w:p>
      <w:pPr>
        <w:spacing w:after="0" w:line="36"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Shelley Thunen, certify that:</w:t>
      </w:r>
    </w:p>
    <w:p>
      <w:pPr>
        <w:spacing w:after="0" w:line="252" w:lineRule="exact"/>
        <w:rPr>
          <w:sz w:val="20"/>
          <w:szCs w:val="20"/>
          <w:color w:val="auto"/>
        </w:rPr>
      </w:pPr>
    </w:p>
    <w:p>
      <w:pPr>
        <w:ind w:left="500" w:hanging="479"/>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RxSight, Inc.;</w:t>
      </w:r>
    </w:p>
    <w:p>
      <w:pPr>
        <w:spacing w:after="0" w:line="265" w:lineRule="exact"/>
        <w:rPr>
          <w:rFonts w:ascii="Arial" w:cs="Arial" w:eastAsia="Arial" w:hAnsi="Arial"/>
          <w:sz w:val="18"/>
          <w:szCs w:val="18"/>
          <w:color w:val="auto"/>
        </w:rPr>
      </w:pPr>
    </w:p>
    <w:p>
      <w:pPr>
        <w:jc w:val="both"/>
        <w:ind w:left="500" w:right="280" w:hanging="479"/>
        <w:spacing w:after="0" w:line="279"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left="500" w:right="240" w:hanging="479"/>
        <w:spacing w:after="0" w:line="324" w:lineRule="auto"/>
        <w:tabs>
          <w:tab w:leader="none" w:pos="5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500" w:right="480" w:hanging="479"/>
        <w:spacing w:after="0" w:line="293"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1080" w:right="160" w:hanging="586"/>
        <w:spacing w:after="0" w:line="279" w:lineRule="auto"/>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209" w:lineRule="exact"/>
        <w:rPr>
          <w:rFonts w:ascii="Arial" w:cs="Arial" w:eastAsia="Arial" w:hAnsi="Arial"/>
          <w:sz w:val="18"/>
          <w:szCs w:val="18"/>
          <w:color w:val="auto"/>
        </w:rPr>
      </w:pPr>
    </w:p>
    <w:p>
      <w:pPr>
        <w:ind w:left="1080" w:hanging="586"/>
        <w:spacing w:after="0"/>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(Paragraph omitted pursuant to Exchange Act Rules 13a-14(a) and 15d-15(a));</w:t>
      </w:r>
    </w:p>
    <w:p>
      <w:pPr>
        <w:spacing w:after="0" w:line="265" w:lineRule="exact"/>
        <w:rPr>
          <w:rFonts w:ascii="Arial" w:cs="Arial" w:eastAsia="Arial" w:hAnsi="Arial"/>
          <w:sz w:val="18"/>
          <w:szCs w:val="18"/>
          <w:color w:val="auto"/>
        </w:rPr>
      </w:pPr>
    </w:p>
    <w:p>
      <w:pPr>
        <w:jc w:val="both"/>
        <w:ind w:left="1080" w:right="440" w:hanging="586"/>
        <w:spacing w:after="0" w:line="359" w:lineRule="auto"/>
        <w:tabs>
          <w:tab w:leader="none" w:pos="108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1080" w:right="140" w:hanging="586"/>
        <w:spacing w:after="0" w:line="279" w:lineRule="auto"/>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500" w:right="160" w:hanging="479"/>
        <w:spacing w:after="0" w:line="324" w:lineRule="auto"/>
        <w:tabs>
          <w:tab w:leader="none" w:pos="5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1080" w:right="680" w:hanging="586"/>
        <w:spacing w:after="0" w:line="359" w:lineRule="auto"/>
        <w:tabs>
          <w:tab w:leader="none" w:pos="108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1080" w:right="380" w:hanging="586"/>
        <w:spacing w:after="0" w:line="293" w:lineRule="auto"/>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10, 2021</w:t>
      </w:r>
    </w:p>
    <w:p>
      <w:pPr>
        <w:spacing w:after="0" w:line="36" w:lineRule="exact"/>
        <w:rPr>
          <w:sz w:val="20"/>
          <w:szCs w:val="20"/>
          <w:color w:val="auto"/>
        </w:rPr>
      </w:pPr>
    </w:p>
    <w:p>
      <w:pPr>
        <w:ind w:left="5740"/>
        <w:spacing w:after="0"/>
        <w:tabs>
          <w:tab w:leader="none" w:pos="7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Shelley Thunen</w:t>
      </w:r>
    </w:p>
    <w:p>
      <w:pPr>
        <w:spacing w:after="0" w:line="36"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Chief Financial Officer</w:t>
      </w:r>
    </w:p>
    <w:p>
      <w:pPr>
        <w:spacing w:after="0" w:line="36"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1"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In connection with the Quarterly Report of RxSight, Inc. (the “Company”) on Form 10-Q for the quarterly period ended September 30, 2021, as filed with the Securities and Exchange Commission (the “Report”), I, Ron Kurtz, M.D., Chief Executive Officer of the Company, certify, pursuant to 18 U.S.C. §1350, as adopted pursuant to §906 of the Sarbanes-Oxley Act of 2002, that, to my knowledge:</w:t>
      </w:r>
    </w:p>
    <w:p>
      <w:pPr>
        <w:spacing w:after="0" w:line="200" w:lineRule="exact"/>
        <w:rPr>
          <w:sz w:val="20"/>
          <w:szCs w:val="20"/>
          <w:color w:val="auto"/>
        </w:rPr>
      </w:pPr>
    </w:p>
    <w:p>
      <w:pPr>
        <w:spacing w:after="0" w:line="226" w:lineRule="exact"/>
        <w:rPr>
          <w:sz w:val="20"/>
          <w:szCs w:val="20"/>
          <w:color w:val="auto"/>
        </w:rPr>
      </w:pPr>
    </w:p>
    <w:p>
      <w:pPr>
        <w:ind w:left="1080" w:hanging="586"/>
        <w:spacing w:after="0"/>
        <w:tabs>
          <w:tab w:leader="none" w:pos="10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040" w:right="540" w:hanging="560"/>
        <w:spacing w:after="0" w:line="293" w:lineRule="auto"/>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5680" w:val="left"/>
          <w:tab w:leader="none" w:pos="790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Ron Kurtz, M.D.</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1" w:lineRule="exact"/>
        <w:rPr>
          <w:sz w:val="20"/>
          <w:szCs w:val="20"/>
          <w:color w:val="auto"/>
        </w:rPr>
      </w:pPr>
    </w:p>
    <w:p>
      <w:pPr>
        <w:jc w:val="both"/>
        <w:ind w:right="100"/>
        <w:spacing w:after="0" w:line="279" w:lineRule="auto"/>
        <w:rPr>
          <w:sz w:val="20"/>
          <w:szCs w:val="20"/>
          <w:color w:val="auto"/>
        </w:rPr>
      </w:pPr>
      <w:r>
        <w:rPr>
          <w:rFonts w:ascii="Arial" w:cs="Arial" w:eastAsia="Arial" w:hAnsi="Arial"/>
          <w:sz w:val="18"/>
          <w:szCs w:val="18"/>
          <w:color w:val="auto"/>
        </w:rPr>
        <w:t>In connection with the Quarterly Report of RxSight, Inc. (the “Company”) on Form 10-Q for the quarterly period ended September 30, 2021, as filed with the Securities and Exchange Commission (the “Report”), I, Shelley Thunen, Chief Financial Officer of the Company, certify, pursuant to 18 U.S.C. §1350, as adopted pursuant to §906 of the Sarbanes-Oxley Act of 2002, that, to my knowledge:</w:t>
      </w:r>
    </w:p>
    <w:p>
      <w:pPr>
        <w:spacing w:after="0" w:line="196" w:lineRule="exact"/>
        <w:rPr>
          <w:sz w:val="20"/>
          <w:szCs w:val="20"/>
          <w:color w:val="auto"/>
        </w:rPr>
      </w:pPr>
    </w:p>
    <w:p>
      <w:pPr>
        <w:ind w:left="1080" w:hanging="586"/>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080" w:right="500" w:hanging="586"/>
        <w:spacing w:after="0" w:line="29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ind w:left="20"/>
        <w:spacing w:after="0"/>
        <w:tabs>
          <w:tab w:leader="none" w:pos="5680" w:val="left"/>
          <w:tab w:leader="none" w:pos="794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Shelley Thunen</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9" w:name="page160"/>
    <w:bookmarkEnd w:id="1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decimal"/>
      <w:start w:val="1"/>
    </w:lvl>
  </w:abstractNum>
  <w:abstractNum w:abstractNumId="3">
    <w:nsid w:val="2D517796"/>
    <w:multiLevelType w:val="hybridMultilevel"/>
    <w:lvl w:ilvl="0">
      <w:lvlJc w:val="left"/>
      <w:lvlText w:val="(%1)"/>
      <w:numFmt w:val="decimal"/>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decimal"/>
      <w:start w:val="2"/>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a"/>
      <w:numFmt w:val="bullet"/>
      <w:start w:val="1"/>
    </w:lvl>
  </w:abstractNum>
  <w:abstractNum w:abstractNumId="8">
    <w:nsid w:val="6A2342EC"/>
    <w:multiLevelType w:val="hybridMultilevel"/>
    <w:lvl w:ilvl="0">
      <w:lvlJc w:val="left"/>
      <w:lvlText w:val="%1."/>
      <w:numFmt w:val="decimal"/>
      <w:start w:val="1"/>
    </w:lvl>
    <w:lvl w:ilvl="1">
      <w:lvlJc w:val="left"/>
      <w:lvlText w:val="(%2)"/>
      <w:numFmt w:val="lowerLetter"/>
      <w:start w:val="1"/>
    </w:lvl>
  </w:abstractNum>
  <w:abstractNum w:abstractNumId="9">
    <w:nsid w:val="2A487CB0"/>
    <w:multiLevelType w:val="hybridMultilevel"/>
    <w:lvl w:ilvl="0">
      <w:lvlJc w:val="left"/>
      <w:lvlText w:val="(%1)"/>
      <w:numFmt w:val="lowerLetter"/>
      <w:start w:val="2"/>
    </w:lvl>
  </w:abstractNum>
  <w:abstractNum w:abstractNumId="10">
    <w:nsid w:val="1D4ED43B"/>
    <w:multiLevelType w:val="hybridMultilevel"/>
    <w:lvl w:ilvl="0">
      <w:lvlJc w:val="left"/>
      <w:lvlText w:val="(%1)"/>
      <w:numFmt w:val="lowerLetter"/>
      <w:start w:val="10"/>
    </w:lvl>
  </w:abstractNum>
  <w:abstractNum w:abstractNumId="11">
    <w:nsid w:val="725A06FB"/>
    <w:multiLevelType w:val="hybridMultilevel"/>
    <w:lvl w:ilvl="0">
      <w:lvlJc w:val="left"/>
      <w:lvlText w:val="(%1)"/>
      <w:numFmt w:val="lowerLetter"/>
      <w:start w:val="16"/>
    </w:lvl>
  </w:abstractNum>
  <w:abstractNum w:abstractNumId="12">
    <w:nsid w:val="2CD89A32"/>
    <w:multiLevelType w:val="hybridMultilevel"/>
    <w:lvl w:ilvl="0">
      <w:lvlJc w:val="left"/>
      <w:lvlText w:val="(%1)"/>
      <w:numFmt w:val="lowerLetter"/>
      <w:start w:val="27"/>
    </w:lvl>
  </w:abstractNum>
  <w:abstractNum w:abstractNumId="13">
    <w:nsid w:val="57E4CCAF"/>
    <w:multiLevelType w:val="hybridMultilevel"/>
    <w:lvl w:ilvl="0">
      <w:lvlJc w:val="left"/>
      <w:lvlText w:val="(%1)"/>
      <w:numFmt w:val="lowerLetter"/>
      <w:start w:val="28"/>
    </w:lvl>
  </w:abstractNum>
  <w:abstractNum w:abstractNumId="14">
    <w:nsid w:val="7A6D8D3C"/>
    <w:multiLevelType w:val="hybridMultilevel"/>
    <w:lvl w:ilvl="0">
      <w:lvlJc w:val="left"/>
      <w:lvlText w:val="%1."/>
      <w:numFmt w:val="decimal"/>
      <w:start w:val="3"/>
    </w:lvl>
    <w:lvl w:ilvl="1">
      <w:lvlJc w:val="left"/>
      <w:lvlText w:val="(%2)"/>
      <w:numFmt w:val="lowerLetter"/>
      <w:start w:val="1"/>
    </w:lvl>
  </w:abstractNum>
  <w:abstractNum w:abstractNumId="15">
    <w:nsid w:val="4B588F54"/>
    <w:multiLevelType w:val="hybridMultilevel"/>
    <w:lvl w:ilvl="0">
      <w:lvlJc w:val="left"/>
      <w:lvlText w:val="(%1)"/>
      <w:numFmt w:val="lowerLetter"/>
      <w:start w:val="2"/>
    </w:lvl>
  </w:abstractNum>
  <w:abstractNum w:abstractNumId="16">
    <w:nsid w:val="542289EC"/>
    <w:multiLevelType w:val="hybridMultilevel"/>
    <w:lvl w:ilvl="0">
      <w:lvlJc w:val="left"/>
      <w:lvlText w:val="%1"/>
      <w:numFmt w:val="decimal"/>
      <w:start w:val="1"/>
    </w:lvl>
    <w:lvl w:ilvl="1">
      <w:lvlJc w:val="left"/>
      <w:lvlText w:val="(%2)"/>
      <w:numFmt w:val="lowerLetter"/>
      <w:start w:val="4"/>
    </w:lvl>
  </w:abstractNum>
  <w:abstractNum w:abstractNumId="17">
    <w:nsid w:val="6DE91B18"/>
    <w:multiLevelType w:val="hybridMultilevel"/>
    <w:lvl w:ilvl="0">
      <w:lvlJc w:val="left"/>
      <w:lvlText w:val="%1."/>
      <w:numFmt w:val="decimal"/>
      <w:start w:val="4"/>
    </w:lvl>
    <w:lvl w:ilvl="1">
      <w:lvlJc w:val="left"/>
      <w:lvlText w:val="(%2)"/>
      <w:numFmt w:val="lowerLetter"/>
      <w:start w:val="1"/>
    </w:lvl>
  </w:abstractNum>
  <w:abstractNum w:abstractNumId="18">
    <w:nsid w:val="38437FDB"/>
    <w:multiLevelType w:val="hybridMultilevel"/>
    <w:lvl w:ilvl="0">
      <w:lvlJc w:val="left"/>
      <w:lvlText w:val="(%1)"/>
      <w:numFmt w:val="lowerLetter"/>
      <w:start w:val="2"/>
    </w:lvl>
  </w:abstractNum>
  <w:abstractNum w:abstractNumId="19">
    <w:nsid w:val="7644A45C"/>
    <w:multiLevelType w:val="hybridMultilevel"/>
    <w:lvl w:ilvl="0">
      <w:lvlJc w:val="left"/>
      <w:lvlText w:val="%1"/>
      <w:numFmt w:val="decimal"/>
      <w:start w:val="1"/>
    </w:lvl>
    <w:lvl w:ilvl="1">
      <w:lvlJc w:val="left"/>
      <w:lvlText w:val="(%2)"/>
      <w:numFmt w:val="lowerLetter"/>
      <w:start w:val="3"/>
    </w:lvl>
  </w:abstractNum>
  <w:abstractNum w:abstractNumId="20">
    <w:nsid w:val="32FFF902"/>
    <w:multiLevelType w:val="hybridMultilevel"/>
    <w:lvl w:ilvl="0">
      <w:lvlJc w:val="left"/>
      <w:lvlText w:val="%1."/>
      <w:numFmt w:val="decimal"/>
      <w:start w:val="5"/>
    </w:lvl>
    <w:lvl w:ilvl="1">
      <w:lvlJc w:val="left"/>
      <w:lvlText w:val="(%2)"/>
      <w:numFmt w:val="lowerLetter"/>
      <w:start w:val="1"/>
    </w:lvl>
  </w:abstractNum>
  <w:abstractNum w:abstractNumId="21">
    <w:nsid w:val="684A481A"/>
    <w:multiLevelType w:val="hybridMultilevel"/>
    <w:lvl w:ilvl="0">
      <w:lvlJc w:val="left"/>
      <w:lvlText w:val="(%1)"/>
      <w:numFmt w:val="lowerLetter"/>
      <w:start w:val="3"/>
    </w:lvl>
  </w:abstractNum>
  <w:abstractNum w:abstractNumId="22">
    <w:nsid w:val="579478FE"/>
    <w:multiLevelType w:val="hybridMultilevel"/>
    <w:lvl w:ilvl="0">
      <w:lvlJc w:val="left"/>
      <w:lvlText w:val="(%1)"/>
      <w:numFmt w:val="lowerLetter"/>
      <w:start w:val="4"/>
    </w:lvl>
  </w:abstractNum>
  <w:abstractNum w:abstractNumId="23">
    <w:nsid w:val="749ABB43"/>
    <w:multiLevelType w:val="hybridMultilevel"/>
    <w:lvl w:ilvl="0">
      <w:lvlJc w:val="left"/>
      <w:lvlText w:val="(%1)"/>
      <w:numFmt w:val="lowerLetter"/>
      <w:start w:val="6"/>
    </w:lvl>
  </w:abstractNum>
  <w:abstractNum w:abstractNumId="24">
    <w:nsid w:val="3DC240FB"/>
    <w:multiLevelType w:val="hybridMultilevel"/>
    <w:lvl w:ilvl="0">
      <w:lvlJc w:val="left"/>
      <w:lvlText w:val="(%1)"/>
      <w:numFmt w:val="lowerLetter"/>
      <w:start w:val="7"/>
    </w:lvl>
  </w:abstractNum>
  <w:abstractNum w:abstractNumId="25">
    <w:nsid w:val="1BA026FA"/>
    <w:multiLevelType w:val="hybridMultilevel"/>
    <w:lvl w:ilvl="0">
      <w:lvlJc w:val="left"/>
      <w:lvlText w:val="%1."/>
      <w:numFmt w:val="decimal"/>
      <w:start w:val="7"/>
    </w:lvl>
    <w:lvl w:ilvl="1">
      <w:lvlJc w:val="left"/>
      <w:lvlText w:val="(%2)"/>
      <w:numFmt w:val="lowerLetter"/>
      <w:start w:val="1"/>
    </w:lvl>
  </w:abstractNum>
  <w:abstractNum w:abstractNumId="26">
    <w:nsid w:val="79A1DEAA"/>
    <w:multiLevelType w:val="hybridMultilevel"/>
    <w:lvl w:ilvl="0">
      <w:lvlJc w:val="left"/>
      <w:lvlText w:val="(%1)"/>
      <w:numFmt w:val="lowerLetter"/>
      <w:start w:val="4"/>
    </w:lvl>
  </w:abstractNum>
  <w:abstractNum w:abstractNumId="27">
    <w:nsid w:val="75C6C33A"/>
    <w:multiLevelType w:val="hybridMultilevel"/>
    <w:lvl w:ilvl="0">
      <w:lvlJc w:val="left"/>
      <w:lvlText w:val="%1"/>
      <w:numFmt w:val="decimal"/>
      <w:start w:val="1"/>
    </w:lvl>
    <w:lvl w:ilvl="1">
      <w:lvlJc w:val="left"/>
      <w:lvlText w:val="(%2)"/>
      <w:numFmt w:val="lowerLetter"/>
      <w:start w:val="6"/>
    </w:lvl>
  </w:abstractNum>
  <w:abstractNum w:abstractNumId="28">
    <w:nsid w:val="12E685FB"/>
    <w:multiLevelType w:val="hybridMultilevel"/>
    <w:lvl w:ilvl="0">
      <w:lvlJc w:val="left"/>
      <w:lvlText w:val="%1."/>
      <w:numFmt w:val="decimal"/>
      <w:start w:val="8"/>
    </w:lvl>
    <w:lvl w:ilvl="1">
      <w:lvlJc w:val="left"/>
      <w:lvlText w:val="(%2)"/>
      <w:numFmt w:val="lowerLetter"/>
      <w:start w:val="1"/>
    </w:lvl>
  </w:abstractNum>
  <w:abstractNum w:abstractNumId="29">
    <w:nsid w:val="70C6A529"/>
    <w:multiLevelType w:val="hybridMultilevel"/>
    <w:lvl w:ilvl="0">
      <w:lvlJc w:val="left"/>
      <w:lvlText w:val="%1."/>
      <w:numFmt w:val="decimal"/>
      <w:start w:val="9"/>
    </w:lvl>
    <w:lvl w:ilvl="1">
      <w:lvlJc w:val="left"/>
      <w:lvlText w:val="(%2)"/>
      <w:numFmt w:val="lowerLetter"/>
      <w:start w:val="1"/>
    </w:lvl>
  </w:abstractNum>
  <w:abstractNum w:abstractNumId="30">
    <w:nsid w:val="520EEDD1"/>
    <w:multiLevelType w:val="hybridMultilevel"/>
    <w:lvl w:ilvl="0">
      <w:lvlJc w:val="left"/>
      <w:lvlText w:val="%1"/>
      <w:numFmt w:val="decimal"/>
      <w:start w:val="1"/>
    </w:lvl>
    <w:lvl w:ilvl="1">
      <w:lvlJc w:val="left"/>
      <w:lvlText w:val="(%2)"/>
      <w:numFmt w:val="lowerLetter"/>
      <w:start w:val="4"/>
    </w:lvl>
  </w:abstractNum>
  <w:abstractNum w:abstractNumId="31">
    <w:nsid w:val="374A3FE6"/>
    <w:multiLevelType w:val="hybridMultilevel"/>
    <w:lvl w:ilvl="0">
      <w:lvlJc w:val="left"/>
      <w:lvlText w:val="%1."/>
      <w:numFmt w:val="decimal"/>
      <w:start w:val="11"/>
    </w:lvl>
    <w:lvl w:ilvl="1">
      <w:lvlJc w:val="left"/>
      <w:lvlText w:val="(%2)"/>
      <w:numFmt w:val="lowerLetter"/>
      <w:start w:val="1"/>
    </w:lvl>
  </w:abstractNum>
  <w:abstractNum w:abstractNumId="32">
    <w:nsid w:val="4F4EF005"/>
    <w:multiLevelType w:val="hybridMultilevel"/>
    <w:lvl w:ilvl="0">
      <w:lvlJc w:val="left"/>
      <w:lvlText w:val="%1"/>
      <w:numFmt w:val="decimal"/>
      <w:start w:val="1"/>
    </w:lvl>
    <w:lvl w:ilvl="1">
      <w:lvlJc w:val="left"/>
      <w:lvlText w:val="(%2)"/>
      <w:numFmt w:val="lowerLetter"/>
      <w:start w:val="2"/>
    </w:lvl>
  </w:abstractNum>
  <w:abstractNum w:abstractNumId="33">
    <w:nsid w:val="23F9C13C"/>
    <w:multiLevelType w:val="hybridMultilevel"/>
    <w:lvl w:ilvl="0">
      <w:lvlJc w:val="left"/>
      <w:lvlText w:val="%1."/>
      <w:numFmt w:val="decimal"/>
      <w:start w:val="14"/>
    </w:lvl>
    <w:lvl w:ilvl="1">
      <w:lvlJc w:val="left"/>
      <w:lvlText w:val="(%2)"/>
      <w:numFmt w:val="lowerLetter"/>
      <w:start w:val="1"/>
    </w:lvl>
  </w:abstractNum>
  <w:abstractNum w:abstractNumId="34">
    <w:nsid w:val="649BB77C"/>
    <w:multiLevelType w:val="hybridMultilevel"/>
    <w:lvl w:ilvl="0">
      <w:lvlJc w:val="left"/>
      <w:lvlText w:val="(%1)"/>
      <w:numFmt w:val="lowerLetter"/>
      <w:start w:val="4"/>
    </w:lvl>
  </w:abstractNum>
  <w:abstractNum w:abstractNumId="35">
    <w:nsid w:val="275AC794"/>
    <w:multiLevelType w:val="hybridMultilevel"/>
    <w:lvl w:ilvl="0">
      <w:lvlJc w:val="left"/>
      <w:lvlText w:val="(%1)"/>
      <w:numFmt w:val="lowerLetter"/>
      <w:start w:val="5"/>
    </w:lvl>
  </w:abstractNum>
  <w:abstractNum w:abstractNumId="36">
    <w:nsid w:val="39386575"/>
    <w:multiLevelType w:val="hybridMultilevel"/>
    <w:lvl w:ilvl="0">
      <w:lvlJc w:val="left"/>
      <w:lvlText w:val="%1."/>
      <w:numFmt w:val="decimal"/>
      <w:start w:val="15"/>
    </w:lvl>
    <w:lvl w:ilvl="1">
      <w:lvlJc w:val="left"/>
      <w:lvlText w:val="(%2)"/>
      <w:numFmt w:val="lowerLetter"/>
      <w:start w:val="1"/>
    </w:lvl>
  </w:abstractNum>
  <w:abstractNum w:abstractNumId="37">
    <w:nsid w:val="1CF10FD8"/>
    <w:multiLevelType w:val="hybridMultilevel"/>
    <w:lvl w:ilvl="0">
      <w:lvlJc w:val="left"/>
      <w:lvlText w:val="%1"/>
      <w:numFmt w:val="decimal"/>
      <w:start w:val="1"/>
    </w:lvl>
    <w:lvl w:ilvl="1">
      <w:lvlJc w:val="left"/>
      <w:lvlText w:val="(%2)"/>
      <w:numFmt w:val="lowerLetter"/>
      <w:start w:val="3"/>
    </w:lvl>
  </w:abstractNum>
  <w:abstractNum w:abstractNumId="38">
    <w:nsid w:val="180115BE"/>
    <w:multiLevelType w:val="hybridMultilevel"/>
    <w:lvl w:ilvl="0">
      <w:lvlJc w:val="left"/>
      <w:lvlText w:val="%1."/>
      <w:numFmt w:val="decimal"/>
      <w:start w:val="17"/>
    </w:lvl>
    <w:lvl w:ilvl="1">
      <w:lvlJc w:val="left"/>
      <w:lvlText w:val="(%2)"/>
      <w:numFmt w:val="lowerLetter"/>
      <w:start w:val="1"/>
    </w:lvl>
  </w:abstractNum>
  <w:abstractNum w:abstractNumId="39">
    <w:nsid w:val="235BA861"/>
    <w:multiLevelType w:val="hybridMultilevel"/>
    <w:lvl w:ilvl="0">
      <w:lvlJc w:val="left"/>
      <w:lvlText w:val="(%1)"/>
      <w:numFmt w:val="lowerLetter"/>
      <w:start w:val="3"/>
    </w:lvl>
  </w:abstractNum>
  <w:abstractNum w:abstractNumId="40">
    <w:nsid w:val="47398C89"/>
    <w:multiLevelType w:val="hybridMultilevel"/>
    <w:lvl w:ilvl="0">
      <w:lvlJc w:val="left"/>
      <w:lvlText w:val="%1."/>
      <w:numFmt w:val="decimal"/>
      <w:start w:val="18"/>
    </w:lvl>
    <w:lvl w:ilvl="1">
      <w:lvlJc w:val="left"/>
      <w:lvlText w:val="(%2)"/>
      <w:numFmt w:val="lowerLetter"/>
      <w:start w:val="1"/>
    </w:lvl>
  </w:abstractNum>
  <w:abstractNum w:abstractNumId="41">
    <w:nsid w:val="354FE9F9"/>
    <w:multiLevelType w:val="hybridMultilevel"/>
    <w:lvl w:ilvl="0">
      <w:lvlJc w:val="left"/>
      <w:lvlText w:val="(%1)"/>
      <w:numFmt w:val="lowerLetter"/>
      <w:start w:val="4"/>
    </w:lvl>
  </w:abstractNum>
  <w:abstractNum w:abstractNumId="42">
    <w:nsid w:val="15B5AF5C"/>
    <w:multiLevelType w:val="hybridMultilevel"/>
    <w:lvl w:ilvl="0">
      <w:lvlJc w:val="left"/>
      <w:lvlText w:val="%1."/>
      <w:numFmt w:val="decimal"/>
      <w:start w:val="20"/>
    </w:lvl>
    <w:lvl w:ilvl="1">
      <w:lvlJc w:val="left"/>
      <w:lvlText w:val="(%2)"/>
      <w:numFmt w:val="lowerLetter"/>
      <w:start w:val="1"/>
    </w:lvl>
  </w:abstractNum>
  <w:abstractNum w:abstractNumId="43">
    <w:nsid w:val="741226BB"/>
    <w:multiLevelType w:val="hybridMultilevel"/>
    <w:lvl w:ilvl="0">
      <w:lvlJc w:val="left"/>
      <w:lvlText w:val="(%1)"/>
      <w:numFmt w:val="lowerLetter"/>
      <w:start w:val="2"/>
    </w:lvl>
  </w:abstractNum>
  <w:abstractNum w:abstractNumId="44">
    <w:nsid w:val="D34B6A8"/>
    <w:multiLevelType w:val="hybridMultilevel"/>
    <w:lvl w:ilvl="0">
      <w:lvlJc w:val="left"/>
      <w:lvlText w:val="%1."/>
      <w:numFmt w:val="decimal"/>
      <w:start w:val="21"/>
    </w:lvl>
  </w:abstractNum>
  <w:abstractNum w:abstractNumId="45">
    <w:nsid w:val="10233C9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6">
    <w:nsid w:val="3F6AB60F"/>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47">
    <w:nsid w:val="61574095"/>
    <w:multiLevelType w:val="hybridMultilevel"/>
    <w:lvl w:ilvl="0">
      <w:lvlJc w:val="left"/>
      <w:lvlText w:val="(%1)"/>
      <w:numFmt w:val="upperLetter"/>
      <w:start w:val="4"/>
    </w:lvl>
  </w:abstractNum>
  <w:abstractNum w:abstractNumId="48">
    <w:nsid w:val="7E0C57B1"/>
    <w:multiLevelType w:val="hybridMultilevel"/>
    <w:lvl w:ilvl="0">
      <w:lvlJc w:val="left"/>
      <w:lvlText w:val="(%1)"/>
      <w:numFmt w:val="lowerLetter"/>
      <w:start w:val="7"/>
    </w:lvl>
  </w:abstractNum>
  <w:abstractNum w:abstractNumId="49">
    <w:nsid w:val="77AE35EB"/>
    <w:multiLevelType w:val="hybridMultilevel"/>
    <w:lvl w:ilvl="0">
      <w:lvlJc w:val="left"/>
      <w:lvlText w:val="(%1)"/>
      <w:numFmt w:val="lowerLetter"/>
      <w:start w:val="16"/>
    </w:lvl>
  </w:abstractNum>
  <w:abstractNum w:abstractNumId="50">
    <w:nsid w:val="579BE4F1"/>
    <w:multiLevelType w:val="hybridMultilevel"/>
    <w:lvl w:ilvl="0">
      <w:lvlJc w:val="left"/>
      <w:lvlText w:val="(%1)"/>
      <w:numFmt w:val="lowerLetter"/>
      <w:start w:val="21"/>
    </w:lvl>
  </w:abstractNum>
  <w:abstractNum w:abstractNumId="51">
    <w:nsid w:val="310C50B3"/>
    <w:multiLevelType w:val="hybridMultilevel"/>
    <w:lvl w:ilvl="0">
      <w:lvlJc w:val="left"/>
      <w:lvlText w:val="(%1)"/>
      <w:numFmt w:val="lowerLetter"/>
      <w:start w:val="23"/>
    </w:lvl>
  </w:abstractNum>
  <w:abstractNum w:abstractNumId="52">
    <w:nsid w:val="5FF87E05"/>
    <w:multiLevelType w:val="hybridMultilevel"/>
    <w:lvl w:ilvl="0">
      <w:lvlJc w:val="left"/>
      <w:lvlText w:val="(%1)"/>
      <w:numFmt w:val="lowerLetter"/>
      <w:start w:val="27"/>
    </w:lvl>
  </w:abstractNum>
  <w:abstractNum w:abstractNumId="53">
    <w:nsid w:val="2F305DEF"/>
    <w:multiLevelType w:val="hybridMultilevel"/>
    <w:lvl w:ilvl="0">
      <w:lvlJc w:val="left"/>
      <w:lvlText w:val="%1"/>
      <w:numFmt w:val="decimal"/>
      <w:start w:val="1"/>
    </w:lvl>
    <w:lvl w:ilvl="1">
      <w:lvlJc w:val="left"/>
      <w:lvlText w:val="(%2)"/>
      <w:numFmt w:val="lowerLetter"/>
      <w:start w:val="29"/>
    </w:lvl>
  </w:abstractNum>
  <w:abstractNum w:abstractNumId="54">
    <w:nsid w:val="25A70BF7"/>
    <w:multiLevelType w:val="hybridMultilevel"/>
    <w:lvl w:ilvl="0">
      <w:lvlJc w:val="left"/>
      <w:lvlText w:val="%1."/>
      <w:numFmt w:val="decimal"/>
      <w:start w:val="3"/>
    </w:lvl>
    <w:lvl w:ilvl="1">
      <w:lvlJc w:val="left"/>
      <w:lvlText w:val="(%2)"/>
      <w:numFmt w:val="lowerLetter"/>
      <w:start w:val="1"/>
    </w:lvl>
  </w:abstractNum>
  <w:abstractNum w:abstractNumId="55">
    <w:nsid w:val="1DBABF00"/>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56">
    <w:nsid w:val="4AD084E9"/>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7">
    <w:nsid w:val="1F48EAA1"/>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58">
    <w:nsid w:val="1381823A"/>
    <w:multiLevelType w:val="hybridMultilevel"/>
    <w:lvl w:ilvl="0">
      <w:lvlJc w:val="left"/>
      <w:lvlText w:val="(%1)"/>
      <w:numFmt w:val="lowerLetter"/>
      <w:start w:val="2"/>
    </w:lvl>
  </w:abstractNum>
  <w:abstractNum w:abstractNumId="59">
    <w:nsid w:val="5DB70AE5"/>
    <w:multiLevelType w:val="hybridMultilevel"/>
    <w:lvl w:ilvl="0">
      <w:lvlJc w:val="left"/>
      <w:lvlText w:val="%1."/>
      <w:numFmt w:val="decimal"/>
      <w:start w:val="7"/>
    </w:lvl>
  </w:abstractNum>
  <w:abstractNum w:abstractNumId="60">
    <w:nsid w:val="100F8FCA"/>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61">
    <w:nsid w:val="6590700B"/>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abstractNum>
  <w:abstractNum w:abstractNumId="62">
    <w:nsid w:val="15014ACB"/>
    <w:multiLevelType w:val="hybridMultilevel"/>
    <w:lvl w:ilvl="0">
      <w:lvlJc w:val="left"/>
      <w:lvlText w:val="%1."/>
      <w:numFmt w:val="decimal"/>
      <w:start w:val="10"/>
    </w:lvl>
    <w:lvl w:ilvl="1">
      <w:lvlJc w:val="left"/>
      <w:lvlText w:val="(%2)"/>
      <w:numFmt w:val="lowerLetter"/>
      <w:start w:val="1"/>
    </w:lvl>
  </w:abstractNum>
  <w:abstractNum w:abstractNumId="63">
    <w:nsid w:val="5F5E7FD0"/>
    <w:multiLevelType w:val="hybridMultilevel"/>
    <w:lvl w:ilvl="0">
      <w:lvlJc w:val="left"/>
      <w:lvlText w:val="%1."/>
      <w:numFmt w:val="decimal"/>
      <w:start w:val="13"/>
    </w:lvl>
    <w:lvl w:ilvl="1">
      <w:lvlJc w:val="left"/>
      <w:lvlText w:val="(%2)"/>
      <w:numFmt w:val="lowerLetter"/>
      <w:start w:val="1"/>
    </w:lvl>
  </w:abstractNum>
  <w:abstractNum w:abstractNumId="64">
    <w:nsid w:val="98A3148"/>
    <w:multiLevelType w:val="hybridMultilevel"/>
    <w:lvl w:ilvl="0">
      <w:lvlJc w:val="left"/>
      <w:lvlText w:val="%1."/>
      <w:numFmt w:val="decimal"/>
      <w:start w:val="15"/>
    </w:lvl>
    <w:lvl w:ilvl="1">
      <w:lvlJc w:val="left"/>
      <w:lvlText w:val="(%2)"/>
      <w:numFmt w:val="lowerLetter"/>
      <w:start w:val="1"/>
    </w:lvl>
  </w:abstractNum>
  <w:abstractNum w:abstractNumId="65">
    <w:nsid w:val="799D0247"/>
    <w:multiLevelType w:val="hybridMultilevel"/>
    <w:lvl w:ilvl="0">
      <w:lvlJc w:val="left"/>
      <w:lvlText w:val="%1"/>
      <w:numFmt w:val="decimal"/>
      <w:start w:val="1"/>
    </w:lvl>
    <w:lvl w:ilvl="1">
      <w:lvlJc w:val="left"/>
      <w:lvlText w:val="(%2)"/>
      <w:numFmt w:val="lowerLetter"/>
      <w:start w:val="1"/>
    </w:lvl>
  </w:abstractNum>
  <w:abstractNum w:abstractNumId="66">
    <w:nsid w:val="6B94764"/>
    <w:multiLevelType w:val="hybridMultilevel"/>
    <w:lvl w:ilvl="0">
      <w:lvlJc w:val="left"/>
      <w:lvlText w:val="%1."/>
      <w:numFmt w:val="decimal"/>
      <w:start w:val="20"/>
    </w:lvl>
    <w:lvl w:ilvl="1">
      <w:lvlJc w:val="left"/>
      <w:lvlText w:val="(%2)"/>
      <w:numFmt w:val="lowerLetter"/>
      <w:start w:val="1"/>
    </w:lvl>
  </w:abstractNum>
  <w:abstractNum w:abstractNumId="67">
    <w:nsid w:val="42C296BD"/>
    <w:multiLevelType w:val="hybridMultilevel"/>
    <w:lvl w:ilvl="0">
      <w:lvlJc w:val="left"/>
      <w:lvlText w:val="(%1)"/>
      <w:numFmt w:val="lowerLetter"/>
      <w:start w:val="2"/>
    </w:lvl>
  </w:abstractNum>
  <w:abstractNum w:abstractNumId="68">
    <w:nsid w:val="168E121F"/>
    <w:multiLevelType w:val="hybridMultilevel"/>
    <w:lvl w:ilvl="0">
      <w:lvlJc w:val="left"/>
      <w:lvlText w:val="%1."/>
      <w:numFmt w:val="decimal"/>
      <w:start w:val="21"/>
    </w:lvl>
  </w:abstractNum>
  <w:abstractNum w:abstractNumId="69">
    <w:nsid w:val="1EBA5D23"/>
    <w:multiLevelType w:val="hybridMultilevel"/>
    <w:lvl w:ilvl="0">
      <w:lvlJc w:val="left"/>
      <w:lvlText w:val="%1"/>
      <w:numFmt w:val="decimal"/>
      <w:start w:val="1"/>
    </w:lvl>
    <w:lvl w:ilvl="1">
      <w:lvlJc w:val="left"/>
      <w:lvlText w:val="%2."/>
      <w:numFmt w:val="decimal"/>
      <w:start w:val="23"/>
    </w:lvl>
  </w:abstractNum>
  <w:abstractNum w:abstractNumId="70">
    <w:nsid w:val="661E3F1E"/>
    <w:multiLevelType w:val="hybridMultilevel"/>
    <w:lvl w:ilvl="0">
      <w:lvlJc w:val="left"/>
      <w:lvlText w:val="%1."/>
      <w:numFmt w:val="decimal"/>
      <w:start w:val="29"/>
    </w:lvl>
    <w:lvl w:ilvl="1">
      <w:lvlJc w:val="left"/>
      <w:lvlText w:val="%2"/>
      <w:numFmt w:val="decimal"/>
      <w:start w:val="1"/>
    </w:lvl>
  </w:abstractNum>
  <w:abstractNum w:abstractNumId="71">
    <w:nsid w:val="5DC79EA8"/>
    <w:multiLevelType w:val="hybridMultilevel"/>
    <w:lvl w:ilvl="0">
      <w:lvlJc w:val="left"/>
      <w:lvlText w:val="%1."/>
      <w:numFmt w:val="decimal"/>
      <w:start w:val="1"/>
    </w:lvl>
    <w:lvl w:ilvl="1">
      <w:lvlJc w:val="left"/>
      <w:lvlText w:val="%2)"/>
      <w:numFmt w:val="lowerLetter"/>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decimal"/>
      <w:start w:val="1"/>
    </w:lvl>
  </w:abstractNum>
  <w:abstractNum w:abstractNumId="74">
    <w:nsid w:val="51D9C564"/>
    <w:multiLevelType w:val="hybridMultilevel"/>
    <w:lvl w:ilvl="0">
      <w:lvlJc w:val="left"/>
      <w:lvlText w:val="%1."/>
      <w:numFmt w:val="decimal"/>
      <w:start w:val="2"/>
    </w:lvl>
    <w:lvl w:ilvl="1">
      <w:lvlJc w:val="left"/>
      <w:lvlText w:val="%2"/>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58" Type="http://schemas.openxmlformats.org/officeDocument/2006/relationships/image" Target="media/image441.png"/><Relationship Id="rId459" Type="http://schemas.openxmlformats.org/officeDocument/2006/relationships/image" Target="media/image442.png"/><Relationship Id="rId463" Type="http://schemas.openxmlformats.org/officeDocument/2006/relationships/image" Target="media/image443.png"/><Relationship Id="rId464" Type="http://schemas.openxmlformats.org/officeDocument/2006/relationships/image" Target="media/image444.png"/><Relationship Id="rId465" Type="http://schemas.openxmlformats.org/officeDocument/2006/relationships/image" Target="media/image445.png"/><Relationship Id="rId466" Type="http://schemas.openxmlformats.org/officeDocument/2006/relationships/image" Target="media/image446.png"/><Relationship Id="rId467" Type="http://schemas.openxmlformats.org/officeDocument/2006/relationships/image" Target="media/image447.png"/><Relationship Id="rId468" Type="http://schemas.openxmlformats.org/officeDocument/2006/relationships/image" Target="media/image448.png"/><Relationship Id="rId469" Type="http://schemas.openxmlformats.org/officeDocument/2006/relationships/image" Target="media/image449.png"/><Relationship Id="rId470" Type="http://schemas.openxmlformats.org/officeDocument/2006/relationships/image" Target="media/image450.png"/><Relationship Id="rId471" Type="http://schemas.openxmlformats.org/officeDocument/2006/relationships/image" Target="media/image451.png"/><Relationship Id="rId472" Type="http://schemas.openxmlformats.org/officeDocument/2006/relationships/image" Target="media/image452.png"/><Relationship Id="rId473" Type="http://schemas.openxmlformats.org/officeDocument/2006/relationships/image" Target="media/image453.png"/><Relationship Id="rId474" Type="http://schemas.openxmlformats.org/officeDocument/2006/relationships/image" Target="media/image454.png"/><Relationship Id="rId475" Type="http://schemas.openxmlformats.org/officeDocument/2006/relationships/image" Target="media/image455.png"/><Relationship Id="rId476" Type="http://schemas.openxmlformats.org/officeDocument/2006/relationships/image" Target="media/image456.png"/><Relationship Id="rId477" Type="http://schemas.openxmlformats.org/officeDocument/2006/relationships/image" Target="media/image457.png"/><Relationship Id="rId478" Type="http://schemas.openxmlformats.org/officeDocument/2006/relationships/image" Target="media/image458.png"/><Relationship Id="rId479" Type="http://schemas.openxmlformats.org/officeDocument/2006/relationships/image" Target="media/image459.png"/><Relationship Id="rId480" Type="http://schemas.openxmlformats.org/officeDocument/2006/relationships/image" Target="media/image460.png"/><Relationship Id="rId481" Type="http://schemas.openxmlformats.org/officeDocument/2006/relationships/image" Target="media/image461.png"/><Relationship Id="rId482" Type="http://schemas.openxmlformats.org/officeDocument/2006/relationships/image" Target="media/image462.png"/><Relationship Id="rId483" Type="http://schemas.openxmlformats.org/officeDocument/2006/relationships/image" Target="media/image463.png"/><Relationship Id="rId484" Type="http://schemas.openxmlformats.org/officeDocument/2006/relationships/image" Target="media/image464.png"/><Relationship Id="rId485" Type="http://schemas.openxmlformats.org/officeDocument/2006/relationships/image" Target="media/image465.png"/><Relationship Id="rId486" Type="http://schemas.openxmlformats.org/officeDocument/2006/relationships/image" Target="media/image466.png"/><Relationship Id="rId487" Type="http://schemas.openxmlformats.org/officeDocument/2006/relationships/image" Target="media/image467.png"/><Relationship Id="rId488" Type="http://schemas.openxmlformats.org/officeDocument/2006/relationships/image" Target="media/image468.png"/><Relationship Id="rId489" Type="http://schemas.openxmlformats.org/officeDocument/2006/relationships/image" Target="media/image469.png"/><Relationship Id="rId490" Type="http://schemas.openxmlformats.org/officeDocument/2006/relationships/image" Target="media/image470.png"/><Relationship Id="rId491" Type="http://schemas.openxmlformats.org/officeDocument/2006/relationships/image" Target="media/image471.png"/><Relationship Id="rId492" Type="http://schemas.openxmlformats.org/officeDocument/2006/relationships/image" Target="media/image472.png"/><Relationship Id="rId493" Type="http://schemas.openxmlformats.org/officeDocument/2006/relationships/image" Target="media/image473.png"/><Relationship Id="rId494" Type="http://schemas.openxmlformats.org/officeDocument/2006/relationships/image" Target="media/image474.png"/><Relationship Id="rId495" Type="http://schemas.openxmlformats.org/officeDocument/2006/relationships/image" Target="media/image475.png"/><Relationship Id="rId496" Type="http://schemas.openxmlformats.org/officeDocument/2006/relationships/image" Target="media/image476.png"/><Relationship Id="rId497" Type="http://schemas.openxmlformats.org/officeDocument/2006/relationships/image" Target="media/image477.png"/><Relationship Id="rId498" Type="http://schemas.openxmlformats.org/officeDocument/2006/relationships/image" Target="media/image478.png"/><Relationship Id="rId499" Type="http://schemas.openxmlformats.org/officeDocument/2006/relationships/image" Target="media/image479.png"/><Relationship Id="rId500" Type="http://schemas.openxmlformats.org/officeDocument/2006/relationships/image" Target="media/image480.png"/><Relationship Id="rId501" Type="http://schemas.openxmlformats.org/officeDocument/2006/relationships/image" Target="media/image481.png"/><Relationship Id="rId502" Type="http://schemas.openxmlformats.org/officeDocument/2006/relationships/image" Target="media/image482.png"/><Relationship Id="rId503" Type="http://schemas.openxmlformats.org/officeDocument/2006/relationships/image" Target="media/image483.png"/><Relationship Id="rId504" Type="http://schemas.openxmlformats.org/officeDocument/2006/relationships/image" Target="media/image484.png"/><Relationship Id="rId505" Type="http://schemas.openxmlformats.org/officeDocument/2006/relationships/image" Target="media/image485.png"/><Relationship Id="rId506" Type="http://schemas.openxmlformats.org/officeDocument/2006/relationships/image" Target="media/image486.png"/><Relationship Id="rId507" Type="http://schemas.openxmlformats.org/officeDocument/2006/relationships/image" Target="media/image487.png"/><Relationship Id="rId508" Type="http://schemas.openxmlformats.org/officeDocument/2006/relationships/image" Target="media/image488.png"/><Relationship Id="rId509" Type="http://schemas.openxmlformats.org/officeDocument/2006/relationships/image" Target="media/image489.png"/><Relationship Id="rId510" Type="http://schemas.openxmlformats.org/officeDocument/2006/relationships/image" Target="media/image490.png"/><Relationship Id="rId511" Type="http://schemas.openxmlformats.org/officeDocument/2006/relationships/image" Target="media/image491.png"/><Relationship Id="rId512" Type="http://schemas.openxmlformats.org/officeDocument/2006/relationships/image" Target="media/image492.png"/><Relationship Id="rId513" Type="http://schemas.openxmlformats.org/officeDocument/2006/relationships/image" Target="media/image493.png"/><Relationship Id="rId514" Type="http://schemas.openxmlformats.org/officeDocument/2006/relationships/image" Target="media/image494.png"/><Relationship Id="rId515" Type="http://schemas.openxmlformats.org/officeDocument/2006/relationships/image" Target="media/image495.png"/><Relationship Id="rId516" Type="http://schemas.openxmlformats.org/officeDocument/2006/relationships/image" Target="media/image496.png"/><Relationship Id="rId517" Type="http://schemas.openxmlformats.org/officeDocument/2006/relationships/image" Target="media/image497.png"/><Relationship Id="rId518" Type="http://schemas.openxmlformats.org/officeDocument/2006/relationships/image" Target="media/image498.png"/><Relationship Id="rId519" Type="http://schemas.openxmlformats.org/officeDocument/2006/relationships/image" Target="media/image499.png"/><Relationship Id="rId520" Type="http://schemas.openxmlformats.org/officeDocument/2006/relationships/image" Target="media/image500.png"/><Relationship Id="rId521" Type="http://schemas.openxmlformats.org/officeDocument/2006/relationships/image" Target="media/image501.png"/><Relationship Id="rId522" Type="http://schemas.openxmlformats.org/officeDocument/2006/relationships/image" Target="media/image502.png"/><Relationship Id="rId523" Type="http://schemas.openxmlformats.org/officeDocument/2006/relationships/image" Target="media/image503.png"/><Relationship Id="rId524" Type="http://schemas.openxmlformats.org/officeDocument/2006/relationships/image" Target="media/image504.png"/><Relationship Id="rId525" Type="http://schemas.openxmlformats.org/officeDocument/2006/relationships/image" Target="media/image505.png"/><Relationship Id="rId526" Type="http://schemas.openxmlformats.org/officeDocument/2006/relationships/image" Target="media/image506.png"/><Relationship Id="rId527" Type="http://schemas.openxmlformats.org/officeDocument/2006/relationships/image" Target="media/image507.png"/><Relationship Id="rId528" Type="http://schemas.openxmlformats.org/officeDocument/2006/relationships/image" Target="media/image508.png"/><Relationship Id="rId529" Type="http://schemas.openxmlformats.org/officeDocument/2006/relationships/image" Target="media/image509.png"/><Relationship Id="rId530" Type="http://schemas.openxmlformats.org/officeDocument/2006/relationships/image" Target="media/image510.png"/><Relationship Id="rId531" Type="http://schemas.openxmlformats.org/officeDocument/2006/relationships/image" Target="media/image511.png"/><Relationship Id="rId532" Type="http://schemas.openxmlformats.org/officeDocument/2006/relationships/image" Target="media/image512.png"/><Relationship Id="rId533" Type="http://schemas.openxmlformats.org/officeDocument/2006/relationships/image" Target="media/image513.png"/><Relationship Id="rId534" Type="http://schemas.openxmlformats.org/officeDocument/2006/relationships/image" Target="media/image514.png"/><Relationship Id="rId448" Type="http://schemas.openxmlformats.org/officeDocument/2006/relationships/hyperlink" Target="https://www.sec.gov/Archives/edgar/data/0001111485/000119312521211793/d237930dex33.htm" TargetMode="External"/><Relationship Id="rId449" Type="http://schemas.openxmlformats.org/officeDocument/2006/relationships/hyperlink" Target="https://www.sec.gov/Archives/edgar/data/0001111485/000119312521223690/d237930dex42.htm" TargetMode="External"/><Relationship Id="rId450" Type="http://schemas.openxmlformats.org/officeDocument/2006/relationships/hyperlink" Target="https://www.sec.gov/Archives/edgar/data/0001111485/000119312521211793/d237930dex101.htm" TargetMode="External"/><Relationship Id="rId451" Type="http://schemas.openxmlformats.org/officeDocument/2006/relationships/hyperlink" Target="https://www.sec.gov/Archives/edgar/data/0001111485/000119312521223690/d237930dex106.htm" TargetMode="External"/><Relationship Id="rId452" Type="http://schemas.openxmlformats.org/officeDocument/2006/relationships/hyperlink" Target="https://www.sec.gov/Archives/edgar/data/0001111485/000119312521211793/d237930dex1014.htm" TargetMode="External"/><Relationship Id="rId453" Type="http://schemas.openxmlformats.org/officeDocument/2006/relationships/hyperlink" Target="https://www.sec.gov/Archives/edgar/data/0001111485/000119312521211793/d237930dex1015.htm" TargetMode="External"/><Relationship Id="rId454" Type="http://schemas.openxmlformats.org/officeDocument/2006/relationships/hyperlink" Target="https://www.sec.gov/Archives/edgar/data/0001111485/000119312521211793/d237930dex1016.htm" TargetMode="External"/><Relationship Id="rId455" Type="http://schemas.openxmlformats.org/officeDocument/2006/relationships/hyperlink" Target="https://www.sec.gov/Archives/edgar/data/0001111485/000119312521211793/d237930dex1017.htm" TargetMode="External"/><Relationship Id="rId456" Type="http://schemas.openxmlformats.org/officeDocument/2006/relationships/hyperlink" Target="https://www.sec.gov/Archives/edgar/data/0001111485/000119312521211793/d237930dex1018.htm" TargetMode="External"/><Relationship Id="rId457" Type="http://schemas.openxmlformats.org/officeDocument/2006/relationships/hyperlink" Target="https://www.sec.gov/Archives/edgar/data/0001111485/000119312521211793/d237930dex1019.htm" TargetMode="External"/><Relationship Id="rId460" Type="http://schemas.openxmlformats.org/officeDocument/2006/relationships/hyperlink" Target="https://www.sec.gov/Archives/edgar/data/0001111485/000119312521211793/d237930dex1020.htm" TargetMode="External"/><Relationship Id="rId461" Type="http://schemas.openxmlformats.org/officeDocument/2006/relationships/hyperlink" Target="https://www.sec.gov/Archives/edgar/data/0001111485/000119312521211793/d237930dex1021.htm" TargetMode="External"/><Relationship Id="rId462" Type="http://schemas.openxmlformats.org/officeDocument/2006/relationships/hyperlink" Target="https://www.sec.gov/Archives/edgar/data/0001111485/000119312521223690/d237930dex1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2021-11-10T16:15:54Z</dcterms:created>
  <dcterms:modified xsi:type="dcterms:W3CDTF">2021-11-10T16:15:54Z</dcterms:modified>
</cp:coreProperties>
</file>