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1315085</wp:posOffset>
            </wp:positionH>
            <wp:positionV relativeFrom="page">
              <wp:posOffset>581025</wp:posOffset>
            </wp:positionV>
            <wp:extent cx="49193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page">
              <wp:posOffset>1315085</wp:posOffset>
            </wp:positionH>
            <wp:positionV relativeFrom="page">
              <wp:posOffset>594360</wp:posOffset>
            </wp:positionV>
            <wp:extent cx="49193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9345" cy="698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75565</wp:posOffset>
            </wp:positionV>
            <wp:extent cx="9836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86995</wp:posOffset>
            </wp:positionV>
            <wp:extent cx="9836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9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7" w:lineRule="exact"/>
        <w:rPr>
          <w:sz w:val="24"/>
          <w:szCs w:val="24"/>
          <w:color w:val="auto"/>
        </w:rPr>
      </w:pPr>
    </w:p>
    <w:p>
      <w:pPr>
        <w:ind w:left="960" w:hanging="319"/>
        <w:spacing w:after="0"/>
        <w:tabs>
          <w:tab w:leader="none" w:pos="960" w:val="left"/>
        </w:tabs>
        <w:numPr>
          <w:ilvl w:val="0"/>
          <w:numId w:val="1"/>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5" w:lineRule="exact"/>
        <w:rPr>
          <w:sz w:val="24"/>
          <w:szCs w:val="24"/>
          <w:color w:val="auto"/>
        </w:rPr>
      </w:pPr>
    </w:p>
    <w:p>
      <w:pPr>
        <w:ind w:left="960" w:hanging="319"/>
        <w:spacing w:after="0"/>
        <w:tabs>
          <w:tab w:leader="none" w:pos="960" w:val="left"/>
        </w:tabs>
        <w:numPr>
          <w:ilvl w:val="0"/>
          <w:numId w:val="2"/>
        </w:numPr>
        <w:rPr>
          <w:rFonts w:ascii="MS PGothic" w:cs="MS PGothic" w:eastAsia="MS PGothic" w:hAnsi="MS PGothic"/>
          <w:sz w:val="11"/>
          <w:szCs w:val="11"/>
          <w:color w:val="auto"/>
          <w:highlight w:val="black"/>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113" w:lineRule="exact"/>
        <w:rPr>
          <w:sz w:val="24"/>
          <w:szCs w:val="24"/>
          <w:color w:val="auto"/>
        </w:rPr>
      </w:pPr>
    </w:p>
    <w:p>
      <w:pPr>
        <w:ind w:left="3420"/>
        <w:spacing w:after="0"/>
        <w:tabs>
          <w:tab w:leader="none" w:pos="5420" w:val="left"/>
        </w:tabs>
        <w:rPr>
          <w:sz w:val="20"/>
          <w:szCs w:val="20"/>
          <w:color w:val="auto"/>
        </w:rPr>
      </w:pPr>
      <w:r>
        <w:rPr>
          <w:rFonts w:ascii="Times New Roman" w:cs="Times New Roman" w:eastAsia="Times New Roman" w:hAnsi="Times New Roman"/>
          <w:sz w:val="14"/>
          <w:szCs w:val="14"/>
          <w:b w:val="1"/>
          <w:bCs w:val="1"/>
          <w:color w:val="auto"/>
        </w:rPr>
        <w:t>For the transition period from</w:t>
        <w:tab/>
        <w:t>to</w:t>
      </w:r>
    </w:p>
    <w:p>
      <w:pPr>
        <w:spacing w:after="0" w:line="97"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Commission File Number: 001-40690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85725</wp:posOffset>
            </wp:positionV>
            <wp:extent cx="9836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RxSIGHT,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81280</wp:posOffset>
            </wp:positionV>
            <wp:extent cx="9836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207" w:lineRule="exact"/>
        <w:rPr>
          <w:sz w:val="24"/>
          <w:szCs w:val="24"/>
          <w:color w:val="auto"/>
        </w:rPr>
      </w:pPr>
    </w:p>
    <w:tbl>
      <w:tblPr>
        <w:tblLayout w:type="fixed"/>
        <w:tblInd w:w="1620" w:type="dxa"/>
        <w:tblCellMar>
          <w:top w:w="0" w:type="dxa"/>
          <w:left w:w="0" w:type="dxa"/>
          <w:bottom w:w="0" w:type="dxa"/>
          <w:right w:w="0" w:type="dxa"/>
        </w:tblCellMar>
      </w:tblPr>
      <w:tr>
        <w:trPr>
          <w:trHeight w:val="140"/>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120" w:type="dxa"/>
            <w:vAlign w:val="bottom"/>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94-3268801</w:t>
            </w:r>
          </w:p>
        </w:tc>
      </w:tr>
      <w:tr>
        <w:trPr>
          <w:trHeight w:val="127"/>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120" w:type="dxa"/>
            <w:vAlign w:val="bottom"/>
          </w:tcPr>
          <w:p>
            <w:pPr>
              <w:jc w:val="center"/>
              <w:ind w:left="1183"/>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2"/>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120" w:type="dxa"/>
            <w:vAlign w:val="bottom"/>
          </w:tcPr>
          <w:p>
            <w:pPr>
              <w:jc w:val="center"/>
              <w:ind w:left="1183"/>
              <w:spacing w:after="0"/>
              <w:rPr>
                <w:sz w:val="20"/>
                <w:szCs w:val="20"/>
                <w:color w:val="auto"/>
              </w:rPr>
            </w:pPr>
            <w:r>
              <w:rPr>
                <w:rFonts w:ascii="Times New Roman" w:cs="Times New Roman" w:eastAsia="Times New Roman" w:hAnsi="Times New Roman"/>
                <w:sz w:val="11"/>
                <w:szCs w:val="11"/>
                <w:b w:val="1"/>
                <w:bCs w:val="1"/>
                <w:color w:val="auto"/>
              </w:rPr>
              <w:t>Identification No.)</w:t>
            </w:r>
          </w:p>
        </w:tc>
      </w:tr>
      <w:tr>
        <w:trPr>
          <w:trHeight w:val="205"/>
        </w:trPr>
        <w:tc>
          <w:tcPr>
            <w:tcW w:w="3140" w:type="dxa"/>
            <w:vAlign w:val="bottom"/>
          </w:tcPr>
          <w:p>
            <w:pPr>
              <w:jc w:val="center"/>
              <w:ind w:right="1203"/>
              <w:spacing w:after="0"/>
              <w:rPr>
                <w:sz w:val="20"/>
                <w:szCs w:val="20"/>
                <w:color w:val="auto"/>
              </w:rPr>
            </w:pPr>
            <w:r>
              <w:rPr>
                <w:rFonts w:ascii="Times New Roman" w:cs="Times New Roman" w:eastAsia="Times New Roman" w:hAnsi="Times New Roman"/>
                <w:sz w:val="11"/>
                <w:szCs w:val="11"/>
                <w:b w:val="1"/>
                <w:bCs w:val="1"/>
                <w:color w:val="auto"/>
              </w:rPr>
              <w:t>100 Columbia</w:t>
            </w:r>
          </w:p>
        </w:tc>
        <w:tc>
          <w:tcPr>
            <w:tcW w:w="2120" w:type="dxa"/>
            <w:vAlign w:val="bottom"/>
          </w:tcPr>
          <w:p>
            <w:pPr>
              <w:spacing w:after="0"/>
              <w:rPr>
                <w:sz w:val="17"/>
                <w:szCs w:val="17"/>
                <w:color w:val="auto"/>
              </w:rPr>
            </w:pPr>
          </w:p>
        </w:tc>
      </w:tr>
      <w:tr>
        <w:trPr>
          <w:trHeight w:val="140"/>
        </w:trPr>
        <w:tc>
          <w:tcPr>
            <w:tcW w:w="3140" w:type="dxa"/>
            <w:vAlign w:val="bottom"/>
          </w:tcPr>
          <w:p>
            <w:pPr>
              <w:jc w:val="center"/>
              <w:ind w:right="1203"/>
              <w:spacing w:after="0"/>
              <w:rPr>
                <w:sz w:val="20"/>
                <w:szCs w:val="20"/>
                <w:color w:val="auto"/>
              </w:rPr>
            </w:pPr>
            <w:r>
              <w:rPr>
                <w:rFonts w:ascii="Times New Roman" w:cs="Times New Roman" w:eastAsia="Times New Roman" w:hAnsi="Times New Roman"/>
                <w:sz w:val="11"/>
                <w:szCs w:val="11"/>
                <w:b w:val="1"/>
                <w:bCs w:val="1"/>
                <w:color w:val="auto"/>
              </w:rPr>
              <w:t>Aliso Viejo, CA</w:t>
            </w:r>
          </w:p>
        </w:tc>
        <w:tc>
          <w:tcPr>
            <w:tcW w:w="2120" w:type="dxa"/>
            <w:vAlign w:val="bottom"/>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92656</w:t>
            </w:r>
          </w:p>
        </w:tc>
      </w:tr>
      <w:tr>
        <w:trPr>
          <w:trHeight w:val="150"/>
        </w:trPr>
        <w:tc>
          <w:tcPr>
            <w:tcW w:w="3140" w:type="dxa"/>
            <w:vAlign w:val="bottom"/>
          </w:tcPr>
          <w:p>
            <w:pPr>
              <w:jc w:val="center"/>
              <w:ind w:right="1183"/>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tc>
        <w:tc>
          <w:tcPr>
            <w:tcW w:w="2120" w:type="dxa"/>
            <w:vAlign w:val="bottom"/>
          </w:tcPr>
          <w:p>
            <w:pPr>
              <w:jc w:val="center"/>
              <w:ind w:left="1183"/>
              <w:spacing w:after="0"/>
              <w:rPr>
                <w:sz w:val="20"/>
                <w:szCs w:val="20"/>
                <w:color w:val="auto"/>
              </w:rPr>
            </w:pPr>
            <w:r>
              <w:rPr>
                <w:rFonts w:ascii="Times New Roman" w:cs="Times New Roman" w:eastAsia="Times New Roman" w:hAnsi="Times New Roman"/>
                <w:sz w:val="11"/>
                <w:szCs w:val="11"/>
                <w:b w:val="1"/>
                <w:bCs w:val="1"/>
                <w:color w:val="auto"/>
              </w:rPr>
              <w:t>(Zip Code)</w:t>
            </w:r>
          </w:p>
        </w:tc>
      </w:tr>
    </w:tbl>
    <w:p>
      <w:pPr>
        <w:spacing w:after="0" w:line="68"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(949) 521-7830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85725</wp:posOffset>
            </wp:positionV>
            <wp:extent cx="9836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6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03"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80" w:type="dxa"/>
            <w:vAlign w:val="bottom"/>
          </w:tcPr>
          <w:p>
            <w:pPr>
              <w:spacing w:after="0"/>
              <w:rPr>
                <w:sz w:val="10"/>
                <w:szCs w:val="10"/>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48"/>
        </w:trPr>
        <w:tc>
          <w:tcPr>
            <w:tcW w:w="31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2"/>
                <w:szCs w:val="12"/>
                <w:color w:val="auto"/>
              </w:rPr>
            </w:pPr>
          </w:p>
        </w:tc>
        <w:tc>
          <w:tcPr>
            <w:tcW w:w="31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Common Stock, par value $0.001 per share</w:t>
            </w:r>
          </w:p>
        </w:tc>
        <w:tc>
          <w:tcPr>
            <w:tcW w:w="8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RXST</w:t>
            </w:r>
          </w:p>
        </w:tc>
        <w:tc>
          <w:tcPr>
            <w:tcW w:w="80" w:type="dxa"/>
            <w:vAlign w:val="bottom"/>
          </w:tcPr>
          <w:p>
            <w:pPr>
              <w:spacing w:after="0"/>
              <w:rPr>
                <w:sz w:val="12"/>
                <w:szCs w:val="12"/>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640" w:right="719" w:firstLine="351"/>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2" w:lineRule="exact"/>
        <w:rPr>
          <w:sz w:val="24"/>
          <w:szCs w:val="24"/>
          <w:color w:val="auto"/>
        </w:rPr>
      </w:pPr>
    </w:p>
    <w:p>
      <w:pPr>
        <w:ind w:left="640" w:right="759" w:firstLine="351"/>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2" w:lineRule="exact"/>
        <w:rPr>
          <w:sz w:val="24"/>
          <w:szCs w:val="24"/>
          <w:color w:val="auto"/>
        </w:rPr>
      </w:pPr>
    </w:p>
    <w:p>
      <w:pPr>
        <w:ind w:left="640" w:right="939" w:firstLine="351"/>
        <w:spacing w:after="0" w:line="27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4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7"/>
        </w:trPr>
        <w:tc>
          <w:tcPr>
            <w:tcW w:w="13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460" w:type="dxa"/>
            <w:vAlign w:val="bottom"/>
          </w:tcPr>
          <w:p>
            <w:pPr>
              <w:ind w:left="20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37"/>
        </w:trPr>
        <w:tc>
          <w:tcPr>
            <w:tcW w:w="13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82" w:lineRule="exact"/>
        <w:rPr>
          <w:sz w:val="24"/>
          <w:szCs w:val="24"/>
          <w:color w:val="auto"/>
        </w:rPr>
      </w:pPr>
    </w:p>
    <w:p>
      <w:pPr>
        <w:ind w:left="640" w:right="819" w:firstLine="351"/>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3" w:lineRule="exact"/>
        <w:rPr>
          <w:sz w:val="24"/>
          <w:szCs w:val="24"/>
          <w:color w:val="auto"/>
        </w:rPr>
      </w:pPr>
    </w:p>
    <w:p>
      <w:pPr>
        <w:ind w:left="980" w:right="1179"/>
        <w:spacing w:after="0" w:line="22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July 31, 2024, the registrant had 39,682,804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78740</wp:posOffset>
            </wp:positionV>
            <wp:extent cx="49193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92710</wp:posOffset>
            </wp:positionV>
            <wp:extent cx="49193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688340</wp:posOffset>
            </wp:positionV>
            <wp:extent cx="494474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94" w:right="1440" w:bottom="1440" w:gutter="0" w:footer="0" w:header="0"/>
        </w:sectPr>
      </w:pPr>
    </w:p>
    <w:bookmarkStart w:id="1" w:name="page2"/>
    <w:bookmarkEnd w:id="1"/>
    <w:tbl>
      <w:tblPr>
        <w:tblLayout w:type="fixed"/>
        <w:tblInd w:w="64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8"/>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FINANCIAL INFORMATION</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4"/>
          </w:tcPr>
          <w:p>
            <w:pPr>
              <w:spacing w:after="0" w:line="155"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and Comprehensive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Condensed Consolidated Statements of Equity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940" w:type="dxa"/>
            <w:vAlign w:val="bottom"/>
            <w:tcBorders>
              <w:left w:val="single" w:sz="8" w:color="0000FF"/>
            </w:tcBorders>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80" w:type="dxa"/>
            <w:vAlign w:val="bottom"/>
            <w:gridSpan w:val="2"/>
            <w:vMerge w:val="continue"/>
          </w:tcPr>
          <w:p>
            <w:pPr>
              <w:spacing w:after="0"/>
              <w:rPr>
                <w:sz w:val="16"/>
                <w:szCs w:val="16"/>
                <w:color w:val="auto"/>
              </w:rPr>
            </w:pP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OTHER INFORMATION</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4"/>
          </w:tcPr>
          <w:p>
            <w:pPr>
              <w:spacing w:after="0" w:line="155" w:lineRule="exact"/>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2"/>
            <w:shd w:val="clear" w:color="auto" w:fill="0000FF"/>
          </w:tcPr>
          <w:p>
            <w:pPr>
              <w:spacing w:after="0" w:line="20" w:lineRule="exact"/>
              <w:rPr>
                <w:sz w:val="1"/>
                <w:szCs w:val="1"/>
                <w:color w:val="auto"/>
              </w:rPr>
            </w:pPr>
          </w:p>
        </w:tc>
        <w:tc>
          <w:tcPr>
            <w:tcW w:w="4560" w:type="dxa"/>
            <w:vAlign w:val="bottom"/>
            <w:gridSpan w:val="9"/>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36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090"/>
        </w:trPr>
        <w:tc>
          <w:tcPr>
            <w:tcW w:w="60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1140" w:right="1279" w:firstLine="258"/>
        <w:spacing w:after="0" w:line="264" w:lineRule="auto"/>
        <w:rPr>
          <w:sz w:val="20"/>
          <w:szCs w:val="20"/>
          <w:color w:val="auto"/>
        </w:rPr>
      </w:pPr>
      <w:r>
        <w:rPr>
          <w:rFonts w:ascii="Times New Roman" w:cs="Times New Roman" w:eastAsia="Times New Roman" w:hAnsi="Times New Roman"/>
          <w:sz w:val="14"/>
          <w:szCs w:val="14"/>
          <w:color w:val="auto"/>
        </w:rPr>
        <w:t>The following discussion and analysis should be read together with our condensed consolidated financial statements and the condensed notes to those statements included elsewhere in this report. This report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In this report, “we,” “us” and “our” refer to RxSight, Inc., a Delaware corporation, and its consolidated subsidiaries.</w:t>
      </w:r>
    </w:p>
    <w:p>
      <w:pPr>
        <w:spacing w:after="0" w:line="15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concerning the following:</w:t>
      </w:r>
    </w:p>
    <w:p>
      <w:pPr>
        <w:spacing w:after="0" w:line="97" w:lineRule="exact"/>
        <w:rPr>
          <w:sz w:val="20"/>
          <w:szCs w:val="20"/>
          <w:color w:val="auto"/>
        </w:rPr>
      </w:pPr>
    </w:p>
    <w:p>
      <w:pPr>
        <w:ind w:left="1840" w:right="1299" w:hanging="342"/>
        <w:spacing w:after="0" w:line="262" w:lineRule="auto"/>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capital resources to fund our future operating expenses and capital expenditure requirements, including our expectation that we do not anticipate the need to raise additional capital or incur additional debt in order to reach profit from operations, as disclosed in the Company’s future Annual Reports on Form 10-K or Quarterly Reports on Form 10-Q as filed with the Securities and Exchange Commission (“SEC”), provided that we may opportunistically seek to raise capital under advantageous circumstances from time to time in order to support the expansion of our sales and operations in the U.S. and internationally and to pursue other business opportunities;</w:t>
      </w:r>
    </w:p>
    <w:p>
      <w:pPr>
        <w:spacing w:after="0" w:line="60"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acceptance and use of our products by doctors;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our business into new geographic markets;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growth of our business and our organization;</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intentions regarding investment in our business as we pursue growth;</w:t>
      </w:r>
    </w:p>
    <w:p>
      <w:pPr>
        <w:spacing w:after="0" w:line="97" w:lineRule="exact"/>
        <w:rPr>
          <w:rFonts w:ascii="Times New Roman" w:cs="Times New Roman" w:eastAsia="Times New Roman" w:hAnsi="Times New Roman"/>
          <w:sz w:val="14"/>
          <w:szCs w:val="14"/>
          <w:color w:val="auto"/>
        </w:rPr>
      </w:pPr>
    </w:p>
    <w:p>
      <w:pPr>
        <w:ind w:left="1840" w:right="1639" w:hanging="342"/>
        <w:spacing w:after="0" w:line="293" w:lineRule="auto"/>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expected timelines related to our products, or developing new products, to address additional indications or otherwise;</w:t>
      </w:r>
    </w:p>
    <w:p>
      <w:pPr>
        <w:spacing w:after="0" w:line="37" w:lineRule="exact"/>
        <w:rPr>
          <w:rFonts w:ascii="Times New Roman" w:cs="Times New Roman" w:eastAsia="Times New Roman" w:hAnsi="Times New Roman"/>
          <w:sz w:val="14"/>
          <w:szCs w:val="14"/>
          <w:color w:val="auto"/>
        </w:rPr>
      </w:pPr>
    </w:p>
    <w:p>
      <w:pPr>
        <w:ind w:left="1840" w:right="1259" w:hanging="342"/>
        <w:spacing w:after="0" w:line="293" w:lineRule="auto"/>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and expand regulatory clearances for our products and any new products we create;</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uses of our existing resources;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government and third-party payer coverage and reimbursement;</w:t>
      </w:r>
    </w:p>
    <w:p>
      <w:pPr>
        <w:spacing w:after="0" w:line="97" w:lineRule="exact"/>
        <w:rPr>
          <w:rFonts w:ascii="Times New Roman" w:cs="Times New Roman" w:eastAsia="Times New Roman" w:hAnsi="Times New Roman"/>
          <w:sz w:val="14"/>
          <w:szCs w:val="14"/>
          <w:color w:val="auto"/>
        </w:rPr>
      </w:pPr>
    </w:p>
    <w:p>
      <w:pPr>
        <w:ind w:left="1840" w:right="1559" w:hanging="342"/>
        <w:spacing w:after="0" w:line="293" w:lineRule="auto"/>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and retain key personnel, including the continued development of a sales and marketing infrastructure;</w:t>
      </w:r>
    </w:p>
    <w:p>
      <w:pPr>
        <w:spacing w:after="0" w:line="37" w:lineRule="exact"/>
        <w:rPr>
          <w:rFonts w:ascii="Times New Roman" w:cs="Times New Roman" w:eastAsia="Times New Roman" w:hAnsi="Times New Roman"/>
          <w:sz w:val="14"/>
          <w:szCs w:val="14"/>
          <w:color w:val="auto"/>
        </w:rPr>
      </w:pPr>
    </w:p>
    <w:p>
      <w:pPr>
        <w:ind w:left="1840" w:right="1359" w:hanging="342"/>
        <w:spacing w:after="0" w:line="293" w:lineRule="auto"/>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 adequate supply of materials and components for our products from our third-party suppliers, including single and sole source suppliers;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sufficient quantities of our products with appropriate quality;</w:t>
      </w:r>
    </w:p>
    <w:p>
      <w:pPr>
        <w:spacing w:after="0" w:line="97" w:lineRule="exact"/>
        <w:rPr>
          <w:rFonts w:ascii="Times New Roman" w:cs="Times New Roman" w:eastAsia="Times New Roman" w:hAnsi="Times New Roman"/>
          <w:sz w:val="14"/>
          <w:szCs w:val="14"/>
          <w:color w:val="auto"/>
        </w:rPr>
      </w:pPr>
    </w:p>
    <w:p>
      <w:pPr>
        <w:ind w:left="1840" w:right="1299" w:hanging="342"/>
        <w:spacing w:after="0" w:line="293" w:lineRule="auto"/>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and enforce intellectual property protection for our products and protect our intellectual property rights;</w:t>
      </w:r>
    </w:p>
    <w:p>
      <w:pPr>
        <w:spacing w:after="0" w:line="37" w:lineRule="exact"/>
        <w:rPr>
          <w:rFonts w:ascii="Times New Roman" w:cs="Times New Roman" w:eastAsia="Times New Roman" w:hAnsi="Times New Roman"/>
          <w:sz w:val="14"/>
          <w:szCs w:val="14"/>
          <w:color w:val="auto"/>
        </w:rPr>
      </w:pPr>
    </w:p>
    <w:p>
      <w:pPr>
        <w:ind w:left="1840" w:right="1159" w:hanging="342"/>
        <w:spacing w:after="0" w:line="293" w:lineRule="auto"/>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to conduct further clinical trials and any expectations related to the timing or outcomes of such trials;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applicable SEC rules and Nasdaq continued listing requirements;</w:t>
      </w:r>
    </w:p>
    <w:p>
      <w:pPr>
        <w:spacing w:after="0" w:line="97" w:lineRule="exact"/>
        <w:rPr>
          <w:rFonts w:ascii="Times New Roman" w:cs="Times New Roman" w:eastAsia="Times New Roman" w:hAnsi="Times New Roman"/>
          <w:sz w:val="14"/>
          <w:szCs w:val="14"/>
          <w:color w:val="auto"/>
        </w:rPr>
      </w:pPr>
    </w:p>
    <w:p>
      <w:pPr>
        <w:ind w:left="1840" w:right="1199" w:hanging="342"/>
        <w:spacing w:after="0" w:line="293" w:lineRule="auto"/>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existing and future government laws, rules and regulations both in the United States and internationally;</w:t>
      </w:r>
    </w:p>
    <w:p>
      <w:pPr>
        <w:spacing w:after="0" w:line="37" w:lineRule="exact"/>
        <w:rPr>
          <w:rFonts w:ascii="Times New Roman" w:cs="Times New Roman" w:eastAsia="Times New Roman" w:hAnsi="Times New Roman"/>
          <w:sz w:val="14"/>
          <w:szCs w:val="14"/>
          <w:color w:val="auto"/>
        </w:rPr>
      </w:pPr>
    </w:p>
    <w:p>
      <w:pPr>
        <w:ind w:left="1840" w:right="1339" w:hanging="342"/>
        <w:spacing w:after="0" w:line="293" w:lineRule="auto"/>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allocation of resources toward expenses associated with being a public company;</w:t>
      </w:r>
    </w:p>
    <w:p>
      <w:pPr>
        <w:spacing w:after="0" w:line="37" w:lineRule="exact"/>
        <w:rPr>
          <w:rFonts w:ascii="Times New Roman" w:cs="Times New Roman" w:eastAsia="Times New Roman" w:hAnsi="Times New Roman"/>
          <w:sz w:val="14"/>
          <w:szCs w:val="14"/>
          <w:color w:val="auto"/>
        </w:rPr>
      </w:pPr>
    </w:p>
    <w:p>
      <w:pPr>
        <w:ind w:left="1840" w:right="1239" w:hanging="342"/>
        <w:spacing w:after="0" w:line="293" w:lineRule="auto"/>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our expenses, ongoing losses, future revenue, capital requirements and our need for, or ability to obtain, additional financing;</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volatility of the trading price of our common stock;</w:t>
      </w:r>
    </w:p>
    <w:p>
      <w:pPr>
        <w:spacing w:after="0" w:line="3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3" w:name="page4"/>
    <w:bookmarkEnd w:id="3"/>
    <w:p>
      <w:pPr>
        <w:ind w:left="1840" w:hanging="342"/>
        <w:spacing w:after="0"/>
        <w:tabs>
          <w:tab w:leader="none" w:pos="18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develop new and planned products and/or acquire new products;</w:t>
      </w:r>
    </w:p>
    <w:p>
      <w:pPr>
        <w:spacing w:after="0" w:line="97" w:lineRule="exact"/>
        <w:rPr>
          <w:rFonts w:ascii="Times New Roman" w:cs="Times New Roman" w:eastAsia="Times New Roman" w:hAnsi="Times New Roman"/>
          <w:sz w:val="14"/>
          <w:szCs w:val="14"/>
          <w:color w:val="auto"/>
        </w:rPr>
      </w:pPr>
    </w:p>
    <w:p>
      <w:pPr>
        <w:ind w:left="1840" w:right="1359" w:hanging="342"/>
        <w:spacing w:after="0" w:line="293" w:lineRule="auto"/>
        <w:tabs>
          <w:tab w:leader="none" w:pos="18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 and projections relating to our competitors or our industry, including anticipated growth rates for the conventional and premium intraocular lens (“IOL”) markets;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local, regional, national or political conditions and events; and</w:t>
      </w:r>
    </w:p>
    <w:p>
      <w:pPr>
        <w:spacing w:after="0" w:line="97" w:lineRule="exact"/>
        <w:rPr>
          <w:rFonts w:ascii="Times New Roman" w:cs="Times New Roman" w:eastAsia="Times New Roman" w:hAnsi="Times New Roman"/>
          <w:sz w:val="14"/>
          <w:szCs w:val="14"/>
          <w:color w:val="auto"/>
        </w:rPr>
      </w:pPr>
    </w:p>
    <w:p>
      <w:pPr>
        <w:ind w:left="1840" w:right="1239" w:hanging="342"/>
        <w:spacing w:after="0" w:line="293" w:lineRule="auto"/>
        <w:tabs>
          <w:tab w:leader="none" w:pos="18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worldwide political and economic conditions and unknown future events on our business, financial condition and results of operations.</w:t>
      </w:r>
    </w:p>
    <w:p>
      <w:pPr>
        <w:spacing w:after="0" w:line="70" w:lineRule="exact"/>
        <w:rPr>
          <w:sz w:val="20"/>
          <w:szCs w:val="20"/>
          <w:color w:val="auto"/>
        </w:rPr>
      </w:pPr>
    </w:p>
    <w:p>
      <w:pPr>
        <w:ind w:left="1140" w:right="1199" w:firstLine="258"/>
        <w:spacing w:after="0" w:line="268" w:lineRule="auto"/>
        <w:rPr>
          <w:sz w:val="20"/>
          <w:szCs w:val="20"/>
          <w:color w:val="auto"/>
        </w:rPr>
      </w:pPr>
      <w:r>
        <w:rPr>
          <w:rFonts w:ascii="Times New Roman" w:cs="Times New Roman" w:eastAsia="Times New Roman" w:hAnsi="Times New Roman"/>
          <w:sz w:val="14"/>
          <w:szCs w:val="14"/>
          <w:color w:val="auto"/>
        </w:rPr>
        <w:t>Forward-looking statements include statements that are not historical facts and can be identified by terminology such as “may,” “will,” “should,” “could,” “would,” “expects,” “plans,” “intends,” “anticipates,” “believes,” “estimates,” “predicts,” “projects,” “potential,” or “continue,” or the negative of such terms and other same terminology.</w:t>
      </w:r>
    </w:p>
    <w:p>
      <w:pPr>
        <w:spacing w:after="0" w:line="77" w:lineRule="exact"/>
        <w:rPr>
          <w:sz w:val="20"/>
          <w:szCs w:val="20"/>
          <w:color w:val="auto"/>
        </w:rPr>
      </w:pPr>
    </w:p>
    <w:p>
      <w:pPr>
        <w:ind w:left="1140" w:right="1259" w:firstLine="258"/>
        <w:spacing w:after="0" w:line="260" w:lineRule="auto"/>
        <w:rPr>
          <w:sz w:val="20"/>
          <w:szCs w:val="20"/>
          <w:color w:val="auto"/>
        </w:rPr>
      </w:pPr>
      <w:r>
        <w:rPr>
          <w:rFonts w:ascii="Times New Roman" w:cs="Times New Roman" w:eastAsia="Times New Roman" w:hAnsi="Times New Roman"/>
          <w:sz w:val="14"/>
          <w:szCs w:val="14"/>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elsewhere in this report.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96" w:lineRule="exact"/>
        <w:rPr>
          <w:sz w:val="20"/>
          <w:szCs w:val="20"/>
          <w:color w:val="auto"/>
        </w:rPr>
      </w:pPr>
    </w:p>
    <w:p>
      <w:pPr>
        <w:ind w:left="1140" w:right="1259" w:firstLine="258"/>
        <w:spacing w:after="0" w:line="268" w:lineRule="auto"/>
        <w:rPr>
          <w:sz w:val="20"/>
          <w:szCs w:val="20"/>
          <w:color w:val="auto"/>
        </w:rPr>
      </w:pPr>
      <w:r>
        <w:rPr>
          <w:rFonts w:ascii="Times New Roman" w:cs="Times New Roman" w:eastAsia="Times New Roman" w:hAnsi="Times New Roman"/>
          <w:sz w:val="14"/>
          <w:szCs w:val="14"/>
          <w:color w:val="auto"/>
        </w:rPr>
        <w:t>The forward-looking statements made in this report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8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INDUSTRY, BUSINESS AND MARKET DATA</w:t>
      </w:r>
    </w:p>
    <w:p>
      <w:pPr>
        <w:spacing w:after="0" w:line="121" w:lineRule="exact"/>
        <w:rPr>
          <w:sz w:val="20"/>
          <w:szCs w:val="20"/>
          <w:color w:val="auto"/>
        </w:rPr>
      </w:pPr>
    </w:p>
    <w:p>
      <w:pPr>
        <w:ind w:left="1140" w:right="1159" w:firstLine="258"/>
        <w:spacing w:after="0" w:line="262" w:lineRule="auto"/>
        <w:rPr>
          <w:sz w:val="20"/>
          <w:szCs w:val="20"/>
          <w:color w:val="auto"/>
        </w:rPr>
      </w:pPr>
      <w:r>
        <w:rPr>
          <w:rFonts w:ascii="Times New Roman" w:cs="Times New Roman" w:eastAsia="Times New Roman" w:hAnsi="Times New Roman"/>
          <w:sz w:val="14"/>
          <w:szCs w:val="14"/>
          <w:color w:val="auto"/>
        </w:rPr>
        <w:t>This report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9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TRADEMARKS, SERVICE MARKS AND TRADE NAMES</w:t>
      </w:r>
    </w:p>
    <w:p>
      <w:pPr>
        <w:spacing w:after="0" w:line="132" w:lineRule="exact"/>
        <w:rPr>
          <w:sz w:val="20"/>
          <w:szCs w:val="20"/>
          <w:color w:val="auto"/>
        </w:rPr>
      </w:pPr>
    </w:p>
    <w:p>
      <w:pPr>
        <w:ind w:left="1140" w:right="1339" w:firstLine="258"/>
        <w:spacing w:after="0" w:line="264" w:lineRule="auto"/>
        <w:rPr>
          <w:sz w:val="20"/>
          <w:szCs w:val="20"/>
          <w:color w:val="auto"/>
        </w:rPr>
      </w:pPr>
      <w:r>
        <w:rPr>
          <w:rFonts w:ascii="Times New Roman" w:cs="Times New Roman" w:eastAsia="Times New Roman" w:hAnsi="Times New Roman"/>
          <w:sz w:val="14"/>
          <w:szCs w:val="14"/>
          <w:color w:val="auto"/>
        </w:rPr>
        <w:t>This report contains references to trademarks and service marks belonging to other entities. Solely for convenience, trademarks and trade names referred to in this report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4" w:name="page5"/>
    <w:bookmarkEnd w:id="4"/>
    <w:p>
      <w:pPr>
        <w:ind w:left="1140"/>
        <w:spacing w:after="0"/>
        <w:rPr>
          <w:sz w:val="20"/>
          <w:szCs w:val="20"/>
          <w:color w:val="auto"/>
        </w:rPr>
      </w:pPr>
      <w:r>
        <w:rPr>
          <w:rFonts w:ascii="Times New Roman" w:cs="Times New Roman" w:eastAsia="Times New Roman" w:hAnsi="Times New Roman"/>
          <w:sz w:val="16"/>
          <w:szCs w:val="16"/>
          <w:b w:val="1"/>
          <w:bCs w:val="1"/>
          <w:color w:val="auto"/>
        </w:rPr>
        <w:t>Item 1: Financial Statements (Unaudited)</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6985</wp:posOffset>
            </wp:positionV>
            <wp:extent cx="426339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1140" w:type="dxa"/>
        <w:tblCellMar>
          <w:top w:w="0" w:type="dxa"/>
          <w:left w:w="0" w:type="dxa"/>
          <w:bottom w:w="0" w:type="dxa"/>
          <w:right w:w="0" w:type="dxa"/>
        </w:tblCellMar>
      </w:tblPr>
      <w:tr>
        <w:trPr>
          <w:trHeight w:val="140"/>
        </w:trPr>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23"/>
              <w:spacing w:after="0"/>
              <w:rPr>
                <w:sz w:val="20"/>
                <w:szCs w:val="20"/>
                <w:color w:val="auto"/>
              </w:rPr>
            </w:pPr>
            <w:r>
              <w:rPr>
                <w:rFonts w:ascii="Times New Roman" w:cs="Times New Roman" w:eastAsia="Times New Roman" w:hAnsi="Times New Roman"/>
                <w:sz w:val="11"/>
                <w:szCs w:val="11"/>
                <w:color w:val="auto"/>
              </w:rPr>
              <w:t>(Unaudited)</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24,445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9,692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Short-term investments</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208,839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117,490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Accounts receivable</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25,723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20,281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Inventories, net</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19,443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Prepaid and other current assets</w:t>
            </w: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2,773</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3,523</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Total current assets</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281,223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12,444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10,841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leases right-of-use assets</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Restricted cash</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305,499</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182,550</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4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Accounts payable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5,095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3,863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15,239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Lease liabilities</w:t>
            </w:r>
          </w:p>
        </w:tc>
        <w:tc>
          <w:tcPr>
            <w:tcW w:w="100" w:type="dxa"/>
            <w:vAlign w:val="bottom"/>
            <w:tcBorders>
              <w:bottom w:val="single" w:sz="8" w:color="auto"/>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736</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1,801</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1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19,618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20,903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Long-term lease liabilities</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10,674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1,211</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30,292</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22,188</w:t>
            </w:r>
          </w:p>
        </w:tc>
        <w:tc>
          <w:tcPr>
            <w:tcW w:w="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Stockholders' equity:</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720" w:type="dxa"/>
            <w:vAlign w:val="bottom"/>
          </w:tcPr>
          <w:p>
            <w:pPr>
              <w:ind w:left="160"/>
              <w:spacing w:after="0" w:line="112" w:lineRule="exact"/>
              <w:rPr>
                <w:sz w:val="20"/>
                <w:szCs w:val="20"/>
                <w:color w:val="auto"/>
              </w:rPr>
            </w:pPr>
            <w:r>
              <w:rPr>
                <w:rFonts w:ascii="Times New Roman" w:cs="Times New Roman" w:eastAsia="Times New Roman" w:hAnsi="Times New Roman"/>
                <w:sz w:val="11"/>
                <w:szCs w:val="11"/>
                <w:color w:val="auto"/>
              </w:rPr>
              <w:t>Common stock, $0.001 par value, 900,000,000 shares authorized,</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720" w:type="dxa"/>
            <w:vAlign w:val="bottom"/>
          </w:tcPr>
          <w:p>
            <w:pPr>
              <w:ind w:left="220"/>
              <w:spacing w:after="0" w:line="119" w:lineRule="exact"/>
              <w:rPr>
                <w:sz w:val="20"/>
                <w:szCs w:val="20"/>
                <w:color w:val="auto"/>
              </w:rPr>
            </w:pPr>
            <w:r>
              <w:rPr>
                <w:rFonts w:ascii="Times New Roman" w:cs="Times New Roman" w:eastAsia="Times New Roman" w:hAnsi="Times New Roman"/>
                <w:sz w:val="11"/>
                <w:szCs w:val="11"/>
                <w:color w:val="auto"/>
              </w:rPr>
              <w:t>39,617,334 shares issued and outstanding as of June 30, 2024 and</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7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36,139,513 shares issued and outstanding as of December 31, 2023</w:t>
            </w: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720" w:type="dxa"/>
            <w:vAlign w:val="bottom"/>
            <w:shd w:val="clear" w:color="auto" w:fill="CFF0FC"/>
          </w:tcPr>
          <w:p>
            <w:pPr>
              <w:ind w:left="160"/>
              <w:spacing w:after="0" w:line="112" w:lineRule="exact"/>
              <w:rPr>
                <w:sz w:val="20"/>
                <w:szCs w:val="20"/>
                <w:color w:val="auto"/>
              </w:rPr>
            </w:pPr>
            <w:r>
              <w:rPr>
                <w:rFonts w:ascii="Times New Roman" w:cs="Times New Roman" w:eastAsia="Times New Roman" w:hAnsi="Times New Roman"/>
                <w:sz w:val="11"/>
                <w:szCs w:val="11"/>
                <w:color w:val="auto"/>
              </w:rPr>
              <w:t>Preferred stock, $0.001 par value, 100,000,000 shares authorized,</w:t>
            </w:r>
          </w:p>
        </w:tc>
        <w:tc>
          <w:tcPr>
            <w:tcW w:w="100" w:type="dxa"/>
            <w:vAlign w:val="bottom"/>
            <w:shd w:val="clear" w:color="auto" w:fill="CFF0FC"/>
          </w:tcPr>
          <w:p>
            <w:pPr>
              <w:spacing w:after="0"/>
              <w:rPr>
                <w:sz w:val="9"/>
                <w:szCs w:val="9"/>
                <w:color w:val="auto"/>
              </w:rPr>
            </w:pPr>
          </w:p>
        </w:tc>
        <w:tc>
          <w:tcPr>
            <w:tcW w:w="8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6"/>
        </w:trPr>
        <w:tc>
          <w:tcPr>
            <w:tcW w:w="47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no shares issued and outstanding</w:t>
            </w:r>
          </w:p>
        </w:tc>
        <w:tc>
          <w:tcPr>
            <w:tcW w:w="100" w:type="dxa"/>
            <w:vAlign w:val="bottom"/>
            <w:shd w:val="clear" w:color="auto" w:fill="CFF0FC"/>
          </w:tcPr>
          <w:p>
            <w:pPr>
              <w:spacing w:after="0"/>
              <w:rPr>
                <w:sz w:val="12"/>
                <w:szCs w:val="12"/>
                <w:color w:val="auto"/>
              </w:rPr>
            </w:pPr>
          </w:p>
        </w:tc>
        <w:tc>
          <w:tcPr>
            <w:tcW w:w="88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885,104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754,971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(118 )</w:t>
            </w:r>
          </w:p>
        </w:tc>
        <w:tc>
          <w:tcPr>
            <w:tcW w:w="12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(5 )</w:t>
            </w:r>
          </w:p>
        </w:tc>
        <w:tc>
          <w:tcPr>
            <w:tcW w:w="0" w:type="dxa"/>
            <w:vAlign w:val="bottom"/>
          </w:tcPr>
          <w:p>
            <w:pPr>
              <w:spacing w:after="0"/>
              <w:rPr>
                <w:sz w:val="1"/>
                <w:szCs w:val="1"/>
                <w:color w:val="auto"/>
              </w:rPr>
            </w:pPr>
          </w:p>
        </w:tc>
      </w:tr>
      <w:tr>
        <w:trPr>
          <w:trHeight w:val="140"/>
        </w:trPr>
        <w:tc>
          <w:tcPr>
            <w:tcW w:w="47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Accumulated deficit</w:t>
            </w:r>
          </w:p>
        </w:tc>
        <w:tc>
          <w:tcPr>
            <w:tcW w:w="10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(609,819 )</w:t>
            </w:r>
          </w:p>
        </w:tc>
        <w:tc>
          <w:tcPr>
            <w:tcW w:w="12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(594,640 )</w:t>
            </w:r>
          </w:p>
        </w:tc>
        <w:tc>
          <w:tcPr>
            <w:tcW w:w="0" w:type="dxa"/>
            <w:vAlign w:val="bottom"/>
          </w:tcPr>
          <w:p>
            <w:pPr>
              <w:spacing w:after="0"/>
              <w:rPr>
                <w:sz w:val="1"/>
                <w:szCs w:val="1"/>
                <w:color w:val="auto"/>
              </w:rPr>
            </w:pPr>
          </w:p>
        </w:tc>
      </w:tr>
      <w:tr>
        <w:trPr>
          <w:trHeight w:val="131"/>
        </w:trPr>
        <w:tc>
          <w:tcPr>
            <w:tcW w:w="4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00" w:type="dxa"/>
            <w:vAlign w:val="bottom"/>
            <w:tcBorders>
              <w:top w:val="single" w:sz="8" w:color="auto"/>
              <w:bottom w:val="single" w:sz="8" w:color="auto"/>
            </w:tcBorders>
            <w:shd w:val="clear" w:color="auto" w:fill="CFF0FC"/>
          </w:tcPr>
          <w:p>
            <w:pPr>
              <w:spacing w:after="0"/>
              <w:rPr>
                <w:sz w:val="11"/>
                <w:szCs w:val="1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275,207</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top w:val="single" w:sz="8" w:color="auto"/>
              <w:bottom w:val="single" w:sz="8" w:color="auto"/>
            </w:tcBorders>
            <w:shd w:val="clear" w:color="auto" w:fill="CFF0FC"/>
          </w:tcPr>
          <w:p>
            <w:pPr>
              <w:spacing w:after="0"/>
              <w:rPr>
                <w:sz w:val="11"/>
                <w:szCs w:val="11"/>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160,362</w:t>
            </w:r>
          </w:p>
        </w:tc>
        <w:tc>
          <w:tcPr>
            <w:tcW w:w="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4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305,499</w:t>
            </w:r>
          </w:p>
        </w:tc>
        <w:tc>
          <w:tcPr>
            <w:tcW w:w="1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182,550</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-2623185</wp:posOffset>
            </wp:positionV>
            <wp:extent cx="4127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-2623185</wp:posOffset>
            </wp:positionV>
            <wp:extent cx="4127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-2076450</wp:posOffset>
            </wp:positionV>
            <wp:extent cx="4127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-2062480</wp:posOffset>
            </wp:positionV>
            <wp:extent cx="4127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-2076450</wp:posOffset>
            </wp:positionV>
            <wp:extent cx="4127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-2062480</wp:posOffset>
            </wp:positionV>
            <wp:extent cx="4127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-1522730</wp:posOffset>
            </wp:positionV>
            <wp:extent cx="4127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-1522730</wp:posOffset>
            </wp:positionV>
            <wp:extent cx="4127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-1153795</wp:posOffset>
            </wp:positionV>
            <wp:extent cx="4127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-1153795</wp:posOffset>
            </wp:positionV>
            <wp:extent cx="4127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-204470</wp:posOffset>
            </wp:positionV>
            <wp:extent cx="4127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-204470</wp:posOffset>
            </wp:positionV>
            <wp:extent cx="4127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-19685</wp:posOffset>
            </wp:positionV>
            <wp:extent cx="4127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-6350</wp:posOffset>
            </wp:positionV>
            <wp:extent cx="4127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-19685</wp:posOffset>
            </wp:positionV>
            <wp:extent cx="4127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-6350</wp:posOffset>
            </wp:positionV>
            <wp:extent cx="4127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324"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COMPREHENSIVE LOSS (UNAUDITED)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6985</wp:posOffset>
            </wp:positionV>
            <wp:extent cx="4263390"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pacing w:after="0" w:line="369"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5"/>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60" w:type="dxa"/>
            <w:vAlign w:val="bottom"/>
          </w:tcPr>
          <w:p>
            <w:pPr>
              <w:spacing w:after="0"/>
              <w:rPr>
                <w:sz w:val="12"/>
                <w:szCs w:val="12"/>
                <w:color w:val="auto"/>
              </w:rPr>
            </w:pPr>
          </w:p>
        </w:tc>
        <w:tc>
          <w:tcPr>
            <w:tcW w:w="172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2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Sales</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34,887</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20,810</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64,399</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38,299</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Cost of sales</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10,637</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8,795</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19,464</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15,919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Gross profit</w:t>
            </w:r>
          </w:p>
        </w:tc>
        <w:tc>
          <w:tcPr>
            <w:tcW w:w="2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24,250</w:t>
            </w: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12,015</w:t>
            </w: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44,935</w:t>
            </w:r>
          </w:p>
        </w:tc>
        <w:tc>
          <w:tcPr>
            <w:tcW w:w="1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22,380</w:t>
            </w:r>
          </w:p>
        </w:tc>
        <w:tc>
          <w:tcPr>
            <w:tcW w:w="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Operating expenses:</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Selling, general and administrative</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24,292</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18,239</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47,616</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34,492</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Research and development</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8,291</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7,401</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16,322</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8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1"/>
                <w:szCs w:val="11"/>
                <w:color w:val="auto"/>
              </w:rPr>
              <w:t>Total operating expenses</w:t>
            </w:r>
          </w:p>
        </w:tc>
        <w:tc>
          <w:tcPr>
            <w:tcW w:w="220" w:type="dxa"/>
            <w:vAlign w:val="bottom"/>
            <w:tcBorders>
              <w:bottom w:val="single" w:sz="8" w:color="auto"/>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32,583</w:t>
            </w:r>
          </w:p>
        </w:tc>
        <w:tc>
          <w:tcPr>
            <w:tcW w:w="200" w:type="dxa"/>
            <w:vAlign w:val="bottom"/>
            <w:tcBorders>
              <w:bottom w:val="single" w:sz="8" w:color="CFF0FC"/>
            </w:tcBorders>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25,640</w:t>
            </w:r>
          </w:p>
        </w:tc>
        <w:tc>
          <w:tcPr>
            <w:tcW w:w="20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63,938</w:t>
            </w:r>
          </w:p>
        </w:tc>
        <w:tc>
          <w:tcPr>
            <w:tcW w:w="1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49,100</w:t>
            </w:r>
          </w:p>
        </w:tc>
        <w:tc>
          <w:tcPr>
            <w:tcW w:w="6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8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Loss from operations</w:t>
            </w:r>
          </w:p>
        </w:tc>
        <w:tc>
          <w:tcPr>
            <w:tcW w:w="2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(8,333 )</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(13,625 )</w:t>
            </w:r>
          </w:p>
        </w:tc>
        <w:tc>
          <w:tcPr>
            <w:tcW w:w="16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(19,003 )</w:t>
            </w:r>
          </w:p>
        </w:tc>
        <w:tc>
          <w:tcPr>
            <w:tcW w:w="180" w:type="dxa"/>
            <w:vAlign w:val="bottom"/>
          </w:tcPr>
          <w:p>
            <w:pPr>
              <w:spacing w:after="0"/>
              <w:rPr>
                <w:sz w:val="11"/>
                <w:szCs w:val="11"/>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(26,720 )</w:t>
            </w:r>
          </w:p>
        </w:tc>
        <w:tc>
          <w:tcPr>
            <w:tcW w:w="0" w:type="dxa"/>
            <w:vAlign w:val="bottom"/>
          </w:tcPr>
          <w:p>
            <w:pPr>
              <w:spacing w:after="0"/>
              <w:rPr>
                <w:sz w:val="1"/>
                <w:szCs w:val="1"/>
                <w:color w:val="auto"/>
              </w:rPr>
            </w:pPr>
          </w:p>
        </w:tc>
      </w:tr>
      <w:tr>
        <w:trPr>
          <w:trHeight w:val="140"/>
        </w:trPr>
        <w:tc>
          <w:tcPr>
            <w:tcW w:w="2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Other income (expense), net:</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Interest expense</w:t>
            </w:r>
          </w:p>
        </w:tc>
        <w:tc>
          <w:tcPr>
            <w:tcW w:w="220" w:type="dxa"/>
            <w:vAlign w:val="bottom"/>
          </w:tcPr>
          <w:p>
            <w:pPr>
              <w:spacing w:after="0"/>
              <w:rPr>
                <w:sz w:val="12"/>
                <w:szCs w:val="12"/>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(6 )</w:t>
            </w: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(1,568 )</w:t>
            </w:r>
          </w:p>
        </w:tc>
        <w:tc>
          <w:tcPr>
            <w:tcW w:w="1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(11 )</w:t>
            </w: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(3,075 )</w:t>
            </w:r>
          </w:p>
        </w:tc>
        <w:tc>
          <w:tcPr>
            <w:tcW w:w="0" w:type="dxa"/>
            <w:vAlign w:val="bottom"/>
          </w:tcPr>
          <w:p>
            <w:pPr>
              <w:spacing w:after="0"/>
              <w:rPr>
                <w:sz w:val="1"/>
                <w:szCs w:val="1"/>
                <w:color w:val="auto"/>
              </w:rPr>
            </w:pPr>
          </w:p>
        </w:tc>
      </w:tr>
      <w:tr>
        <w:trPr>
          <w:trHeight w:val="140"/>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Interest and other income</w:t>
            </w: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2,276</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1,777</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3,860</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3,168</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Loss on extinguishment of term loan</w:t>
            </w: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(362 )</w:t>
            </w:r>
          </w:p>
        </w:tc>
        <w:tc>
          <w:tcPr>
            <w:tcW w:w="160" w:type="dxa"/>
            <w:vAlign w:val="bottom"/>
          </w:tcPr>
          <w:p>
            <w:pPr>
              <w:spacing w:after="0"/>
              <w:rPr>
                <w:sz w:val="12"/>
                <w:szCs w:val="12"/>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(362 )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Loss before income taxes</w:t>
            </w:r>
          </w:p>
        </w:tc>
        <w:tc>
          <w:tcPr>
            <w:tcW w:w="22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(6,063 )</w:t>
            </w:r>
          </w:p>
        </w:tc>
        <w:tc>
          <w:tcPr>
            <w:tcW w:w="2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(13,778 )</w:t>
            </w:r>
          </w:p>
        </w:tc>
        <w:tc>
          <w:tcPr>
            <w:tcW w:w="160" w:type="dxa"/>
            <w:vAlign w:val="bottom"/>
            <w:shd w:val="clear" w:color="auto" w:fill="CFF0FC"/>
          </w:tcPr>
          <w:p>
            <w:pPr>
              <w:spacing w:after="0"/>
              <w:rPr>
                <w:sz w:val="11"/>
                <w:szCs w:val="1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(15,154 )</w:t>
            </w:r>
          </w:p>
        </w:tc>
        <w:tc>
          <w:tcPr>
            <w:tcW w:w="18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(26,989 )</w:t>
            </w:r>
          </w:p>
        </w:tc>
        <w:tc>
          <w:tcPr>
            <w:tcW w:w="0" w:type="dxa"/>
            <w:vAlign w:val="bottom"/>
          </w:tcPr>
          <w:p>
            <w:pPr>
              <w:spacing w:after="0"/>
              <w:rPr>
                <w:sz w:val="1"/>
                <w:szCs w:val="1"/>
                <w:color w:val="auto"/>
              </w:rPr>
            </w:pPr>
          </w:p>
        </w:tc>
      </w:tr>
      <w:tr>
        <w:trPr>
          <w:trHeight w:val="140"/>
        </w:trPr>
        <w:tc>
          <w:tcPr>
            <w:tcW w:w="23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Income tax expense</w:t>
            </w: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3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80" w:type="dxa"/>
            <w:vAlign w:val="bottom"/>
          </w:tcPr>
          <w:p>
            <w:pPr>
              <w:ind w:left="440"/>
              <w:spacing w:after="0" w:line="120" w:lineRule="exact"/>
              <w:rPr>
                <w:sz w:val="20"/>
                <w:szCs w:val="20"/>
                <w:color w:val="auto"/>
              </w:rPr>
            </w:pPr>
            <w:r>
              <w:rPr>
                <w:rFonts w:ascii="Times New Roman" w:cs="Times New Roman" w:eastAsia="Times New Roman" w:hAnsi="Times New Roman"/>
                <w:sz w:val="11"/>
                <w:szCs w:val="11"/>
                <w:color w:val="auto"/>
              </w:rPr>
              <w:t>Net loss</w:t>
            </w:r>
          </w:p>
        </w:tc>
        <w:tc>
          <w:tcPr>
            <w:tcW w:w="220" w:type="dxa"/>
            <w:vAlign w:val="bottom"/>
          </w:tcPr>
          <w:p>
            <w:pPr>
              <w:jc w:val="right"/>
              <w:ind w:right="10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(6,079 )</w:t>
            </w:r>
          </w:p>
        </w:tc>
        <w:tc>
          <w:tcPr>
            <w:tcW w:w="220" w:type="dxa"/>
            <w:vAlign w:val="bottom"/>
          </w:tcPr>
          <w:p>
            <w:pPr>
              <w:jc w:val="right"/>
              <w:ind w:right="83"/>
              <w:spacing w:after="0" w:line="120"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(13,804 )</w:t>
            </w:r>
          </w:p>
        </w:tc>
        <w:tc>
          <w:tcPr>
            <w:tcW w:w="160" w:type="dxa"/>
            <w:vAlign w:val="bottom"/>
          </w:tcPr>
          <w:p>
            <w:pPr>
              <w:jc w:val="right"/>
              <w:ind w:right="4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(15,179 )</w:t>
            </w:r>
          </w:p>
        </w:tc>
        <w:tc>
          <w:tcPr>
            <w:tcW w:w="180" w:type="dxa"/>
            <w:vAlign w:val="bottom"/>
          </w:tcPr>
          <w:p>
            <w:pPr>
              <w:jc w:val="right"/>
              <w:ind w:right="6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0"/>
              <w:spacing w:after="0" w:line="120" w:lineRule="exact"/>
              <w:rPr>
                <w:sz w:val="20"/>
                <w:szCs w:val="20"/>
                <w:color w:val="auto"/>
              </w:rPr>
            </w:pPr>
            <w:r>
              <w:rPr>
                <w:rFonts w:ascii="Times New Roman" w:cs="Times New Roman" w:eastAsia="Times New Roman" w:hAnsi="Times New Roman"/>
                <w:sz w:val="11"/>
                <w:szCs w:val="11"/>
                <w:color w:val="auto"/>
              </w:rPr>
              <w:t>(27,016 )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380" w:type="dxa"/>
            <w:vAlign w:val="bottom"/>
            <w:shd w:val="clear" w:color="auto" w:fill="CFF0FC"/>
          </w:tcPr>
          <w:p>
            <w:pPr>
              <w:ind w:left="160"/>
              <w:spacing w:after="0" w:line="112" w:lineRule="exact"/>
              <w:rPr>
                <w:sz w:val="20"/>
                <w:szCs w:val="20"/>
                <w:color w:val="auto"/>
              </w:rPr>
            </w:pPr>
            <w:r>
              <w:rPr>
                <w:rFonts w:ascii="Times New Roman" w:cs="Times New Roman" w:eastAsia="Times New Roman" w:hAnsi="Times New Roman"/>
                <w:sz w:val="11"/>
                <w:szCs w:val="11"/>
                <w:color w:val="auto"/>
              </w:rPr>
              <w:t>Other comprehensive (loss) income</w:t>
            </w: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380" w:type="dxa"/>
            <w:vAlign w:val="bottom"/>
          </w:tcPr>
          <w:p>
            <w:pPr>
              <w:ind w:left="300"/>
              <w:spacing w:after="0" w:line="112" w:lineRule="exact"/>
              <w:rPr>
                <w:sz w:val="20"/>
                <w:szCs w:val="20"/>
                <w:color w:val="auto"/>
              </w:rPr>
            </w:pPr>
            <w:r>
              <w:rPr>
                <w:rFonts w:ascii="Times New Roman" w:cs="Times New Roman" w:eastAsia="Times New Roman" w:hAnsi="Times New Roman"/>
                <w:sz w:val="11"/>
                <w:szCs w:val="11"/>
                <w:color w:val="auto"/>
              </w:rPr>
              <w:t>Unrealized (loss) gain on short-term</w:t>
            </w:r>
          </w:p>
        </w:tc>
        <w:tc>
          <w:tcPr>
            <w:tcW w:w="220" w:type="dxa"/>
            <w:vAlign w:val="bottom"/>
          </w:tcPr>
          <w:p>
            <w:pPr>
              <w:spacing w:after="0"/>
              <w:rPr>
                <w:sz w:val="9"/>
                <w:szCs w:val="9"/>
                <w:color w:val="auto"/>
              </w:rPr>
            </w:pP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(64 )</w:t>
            </w:r>
          </w:p>
        </w:tc>
        <w:tc>
          <w:tcPr>
            <w:tcW w:w="220" w:type="dxa"/>
            <w:vAlign w:val="bottom"/>
          </w:tcPr>
          <w:p>
            <w:pPr>
              <w:spacing w:after="0"/>
              <w:rPr>
                <w:sz w:val="9"/>
                <w:szCs w:val="9"/>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(65 )</w:t>
            </w:r>
          </w:p>
        </w:tc>
        <w:tc>
          <w:tcPr>
            <w:tcW w:w="16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(109 )</w:t>
            </w:r>
          </w:p>
        </w:tc>
        <w:tc>
          <w:tcPr>
            <w:tcW w:w="1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38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investments</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Foreign currency translation (loss) gain</w:t>
            </w:r>
          </w:p>
        </w:tc>
        <w:tc>
          <w:tcPr>
            <w:tcW w:w="22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(1 )</w:t>
            </w:r>
          </w:p>
        </w:tc>
        <w:tc>
          <w:tcPr>
            <w:tcW w:w="22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(4 )</w:t>
            </w:r>
          </w:p>
        </w:tc>
        <w:tc>
          <w:tcPr>
            <w:tcW w:w="18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3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Total other comprehensive (loss) income</w:t>
            </w:r>
          </w:p>
        </w:tc>
        <w:tc>
          <w:tcPr>
            <w:tcW w:w="220" w:type="dxa"/>
            <w:vAlign w:val="bottom"/>
          </w:tcPr>
          <w:p>
            <w:pPr>
              <w:spacing w:after="0"/>
              <w:rPr>
                <w:sz w:val="11"/>
                <w:szCs w:val="1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(65 )</w:t>
            </w:r>
          </w:p>
        </w:tc>
        <w:tc>
          <w:tcPr>
            <w:tcW w:w="22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(64 )</w:t>
            </w:r>
          </w:p>
        </w:tc>
        <w:tc>
          <w:tcPr>
            <w:tcW w:w="160" w:type="dxa"/>
            <w:vAlign w:val="bottom"/>
          </w:tcPr>
          <w:p>
            <w:pPr>
              <w:spacing w:after="0"/>
              <w:rPr>
                <w:sz w:val="11"/>
                <w:szCs w:val="1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(113 )</w:t>
            </w:r>
          </w:p>
        </w:tc>
        <w:tc>
          <w:tcPr>
            <w:tcW w:w="1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38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380" w:type="dxa"/>
            <w:vAlign w:val="bottom"/>
          </w:tcPr>
          <w:p>
            <w:pPr>
              <w:ind w:left="160"/>
              <w:spacing w:after="0" w:line="120" w:lineRule="exact"/>
              <w:rPr>
                <w:sz w:val="20"/>
                <w:szCs w:val="20"/>
                <w:color w:val="auto"/>
              </w:rPr>
            </w:pPr>
            <w:r>
              <w:rPr>
                <w:rFonts w:ascii="Times New Roman" w:cs="Times New Roman" w:eastAsia="Times New Roman" w:hAnsi="Times New Roman"/>
                <w:sz w:val="11"/>
                <w:szCs w:val="11"/>
                <w:color w:val="auto"/>
              </w:rPr>
              <w:t>Comprehensive loss</w:t>
            </w:r>
          </w:p>
        </w:tc>
        <w:tc>
          <w:tcPr>
            <w:tcW w:w="220" w:type="dxa"/>
            <w:vAlign w:val="bottom"/>
          </w:tcPr>
          <w:p>
            <w:pPr>
              <w:jc w:val="right"/>
              <w:ind w:right="10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(6,144 )</w:t>
            </w:r>
          </w:p>
        </w:tc>
        <w:tc>
          <w:tcPr>
            <w:tcW w:w="220" w:type="dxa"/>
            <w:vAlign w:val="bottom"/>
          </w:tcPr>
          <w:p>
            <w:pPr>
              <w:jc w:val="right"/>
              <w:ind w:right="83"/>
              <w:spacing w:after="0" w:line="120" w:lineRule="exact"/>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(13,868 )</w:t>
            </w:r>
          </w:p>
        </w:tc>
        <w:tc>
          <w:tcPr>
            <w:tcW w:w="160" w:type="dxa"/>
            <w:vAlign w:val="bottom"/>
          </w:tcPr>
          <w:p>
            <w:pPr>
              <w:jc w:val="right"/>
              <w:ind w:right="4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40"/>
              <w:spacing w:after="0" w:line="120" w:lineRule="exact"/>
              <w:rPr>
                <w:sz w:val="20"/>
                <w:szCs w:val="20"/>
                <w:color w:val="auto"/>
              </w:rPr>
            </w:pPr>
            <w:r>
              <w:rPr>
                <w:rFonts w:ascii="Times New Roman" w:cs="Times New Roman" w:eastAsia="Times New Roman" w:hAnsi="Times New Roman"/>
                <w:sz w:val="11"/>
                <w:szCs w:val="11"/>
                <w:color w:val="auto"/>
              </w:rPr>
              <w:t>(15,292 )</w:t>
            </w:r>
          </w:p>
        </w:tc>
        <w:tc>
          <w:tcPr>
            <w:tcW w:w="180" w:type="dxa"/>
            <w:vAlign w:val="bottom"/>
          </w:tcPr>
          <w:p>
            <w:pPr>
              <w:jc w:val="right"/>
              <w:ind w:right="6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0"/>
              <w:spacing w:after="0" w:line="120" w:lineRule="exact"/>
              <w:rPr>
                <w:sz w:val="20"/>
                <w:szCs w:val="20"/>
                <w:color w:val="auto"/>
              </w:rPr>
            </w:pPr>
            <w:r>
              <w:rPr>
                <w:rFonts w:ascii="Times New Roman" w:cs="Times New Roman" w:eastAsia="Times New Roman" w:hAnsi="Times New Roman"/>
                <w:sz w:val="11"/>
                <w:szCs w:val="11"/>
                <w:color w:val="auto"/>
              </w:rPr>
              <w:t>(26,994 )</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3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3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loss per share: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Basic &amp; diluted</w:t>
            </w:r>
          </w:p>
        </w:tc>
        <w:tc>
          <w:tcPr>
            <w:tcW w:w="220" w:type="dxa"/>
            <w:vAlign w:val="bottom"/>
            <w:shd w:val="clear" w:color="auto" w:fill="CFF0FC"/>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(0.16 )</w:t>
            </w:r>
          </w:p>
        </w:tc>
        <w:tc>
          <w:tcPr>
            <w:tcW w:w="220" w:type="dxa"/>
            <w:vAlign w:val="bottom"/>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(0.40 )</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(0.40 )</w:t>
            </w:r>
          </w:p>
        </w:tc>
        <w:tc>
          <w:tcPr>
            <w:tcW w:w="180" w:type="dxa"/>
            <w:vAlign w:val="bottom"/>
            <w:shd w:val="clear" w:color="auto" w:fill="CFF0FC"/>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(0.82 )</w:t>
            </w:r>
          </w:p>
        </w:tc>
        <w:tc>
          <w:tcPr>
            <w:tcW w:w="0" w:type="dxa"/>
            <w:vAlign w:val="bottom"/>
          </w:tcPr>
          <w:p>
            <w:pPr>
              <w:spacing w:after="0"/>
              <w:rPr>
                <w:sz w:val="1"/>
                <w:szCs w:val="1"/>
                <w:color w:val="auto"/>
              </w:rPr>
            </w:pPr>
          </w:p>
        </w:tc>
      </w:tr>
      <w:tr>
        <w:trPr>
          <w:trHeight w:val="112"/>
        </w:trPr>
        <w:tc>
          <w:tcPr>
            <w:tcW w:w="2380" w:type="dxa"/>
            <w:vAlign w:val="bottom"/>
          </w:tcPr>
          <w:p>
            <w:pPr>
              <w:ind w:left="160"/>
              <w:spacing w:after="0" w:line="112" w:lineRule="exact"/>
              <w:rPr>
                <w:sz w:val="20"/>
                <w:szCs w:val="20"/>
                <w:color w:val="auto"/>
              </w:rPr>
            </w:pPr>
            <w:r>
              <w:rPr>
                <w:rFonts w:ascii="Times New Roman" w:cs="Times New Roman" w:eastAsia="Times New Roman" w:hAnsi="Times New Roman"/>
                <w:sz w:val="11"/>
                <w:szCs w:val="11"/>
                <w:color w:val="auto"/>
              </w:rPr>
              <w:t>Weighted-average shares used in computing</w:t>
            </w: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3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loss per share:</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380" w:type="dxa"/>
            <w:vAlign w:val="bottom"/>
            <w:shd w:val="clear" w:color="auto" w:fill="CFF0FC"/>
          </w:tcPr>
          <w:p>
            <w:pPr>
              <w:ind w:left="160"/>
              <w:spacing w:after="0" w:line="112" w:lineRule="exact"/>
              <w:rPr>
                <w:sz w:val="20"/>
                <w:szCs w:val="20"/>
                <w:color w:val="auto"/>
              </w:rPr>
            </w:pPr>
            <w:r>
              <w:rPr>
                <w:rFonts w:ascii="Times New Roman" w:cs="Times New Roman" w:eastAsia="Times New Roman" w:hAnsi="Times New Roman"/>
                <w:sz w:val="11"/>
                <w:szCs w:val="11"/>
                <w:color w:val="auto"/>
              </w:rPr>
              <w:t>Attributable to common stock, basic &amp;</w:t>
            </w:r>
          </w:p>
        </w:tc>
        <w:tc>
          <w:tcPr>
            <w:tcW w:w="22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38,455,955</w:t>
            </w: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34,498,265</w:t>
            </w: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37,649,521</w:t>
            </w:r>
          </w:p>
        </w:tc>
        <w:tc>
          <w:tcPr>
            <w:tcW w:w="1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33,075,585</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3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diluted</w:t>
            </w:r>
          </w:p>
        </w:tc>
        <w:tc>
          <w:tcPr>
            <w:tcW w:w="22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-2445385</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-2445385</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-2445385</wp:posOffset>
            </wp:positionV>
            <wp:extent cx="4127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-2445385</wp:posOffset>
            </wp:positionV>
            <wp:extent cx="4127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2948940</wp:posOffset>
            </wp:positionH>
            <wp:positionV relativeFrom="paragraph">
              <wp:posOffset>-2076450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-2076450</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-2076450</wp:posOffset>
            </wp:positionV>
            <wp:extent cx="4127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-2076450</wp:posOffset>
            </wp:positionV>
            <wp:extent cx="4127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2948940</wp:posOffset>
            </wp:positionH>
            <wp:positionV relativeFrom="paragraph">
              <wp:posOffset>-894080</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-894080</wp:posOffset>
            </wp:positionV>
            <wp:extent cx="476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4315460</wp:posOffset>
            </wp:positionH>
            <wp:positionV relativeFrom="paragraph">
              <wp:posOffset>-894080</wp:posOffset>
            </wp:positionV>
            <wp:extent cx="4127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-894080</wp:posOffset>
            </wp:positionV>
            <wp:extent cx="4127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00" w:lineRule="exact"/>
        <w:rPr>
          <w:sz w:val="20"/>
          <w:szCs w:val="20"/>
          <w:color w:val="auto"/>
        </w:rPr>
      </w:pPr>
    </w:p>
    <w:p>
      <w:pPr>
        <w:spacing w:after="0" w:line="2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1"/>
          <w:szCs w:val="11"/>
          <w:b w:val="1"/>
          <w:bCs w:val="1"/>
          <w:color w:val="auto"/>
        </w:rPr>
        <w:t>RxSIGHT, INC.</w:t>
      </w:r>
    </w:p>
    <w:p>
      <w:pPr>
        <w:jc w:val="center"/>
        <w:spacing w:after="0" w:line="235" w:lineRule="auto"/>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w:t>
      </w:r>
    </w:p>
    <w:p>
      <w:pPr>
        <w:jc w:val="center"/>
        <w:spacing w:after="0" w:line="225" w:lineRule="auto"/>
        <w:rPr>
          <w:sz w:val="20"/>
          <w:szCs w:val="20"/>
          <w:color w:val="auto"/>
        </w:rPr>
      </w:pPr>
      <w:r>
        <w:rPr>
          <w:rFonts w:ascii="Times New Roman" w:cs="Times New Roman" w:eastAsia="Times New Roman" w:hAnsi="Times New Roman"/>
          <w:sz w:val="11"/>
          <w:szCs w:val="11"/>
          <w:b w:val="1"/>
          <w:bCs w:val="1"/>
          <w:color w:val="auto"/>
        </w:rPr>
        <w:t>(UNAUDITED)</w:t>
      </w:r>
    </w:p>
    <w:p>
      <w:pPr>
        <w:jc w:val="center"/>
        <w:spacing w:after="0"/>
        <w:rPr>
          <w:sz w:val="20"/>
          <w:szCs w:val="20"/>
          <w:color w:val="auto"/>
        </w:rPr>
      </w:pPr>
      <w:r>
        <w:rPr>
          <w:rFonts w:ascii="Times New Roman" w:cs="Times New Roman" w:eastAsia="Times New Roman" w:hAnsi="Times New Roman"/>
          <w:sz w:val="11"/>
          <w:szCs w:val="11"/>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558915"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8915" cy="13970"/>
                    </a:xfrm>
                    <a:prstGeom prst="rect">
                      <a:avLst/>
                    </a:prstGeom>
                    <a:noFill/>
                  </pic:spPr>
                </pic:pic>
              </a:graphicData>
            </a:graphic>
          </wp:anchor>
        </w:drawing>
      </w:r>
    </w:p>
    <w:p>
      <w:pPr>
        <w:spacing w:after="0" w:line="17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1"/>
          <w:szCs w:val="11"/>
          <w:b w:val="1"/>
          <w:bCs w:val="1"/>
          <w:color w:val="auto"/>
        </w:rPr>
        <w:t>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13970</wp:posOffset>
            </wp:positionV>
            <wp:extent cx="462534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25340" cy="698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900" w:type="dxa"/>
            <w:vAlign w:val="bottom"/>
            <w:gridSpan w:val="3"/>
            <w:vMerge w:val="restart"/>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90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Additional paid-in</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0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December 31, 2023</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36,139,513</w:t>
            </w:r>
          </w:p>
        </w:tc>
        <w:tc>
          <w:tcPr>
            <w:tcW w:w="20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21"/>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754,971</w:t>
            </w:r>
          </w:p>
        </w:tc>
        <w:tc>
          <w:tcPr>
            <w:tcW w:w="220" w:type="dxa"/>
            <w:vAlign w:val="bottom"/>
            <w:shd w:val="clear" w:color="auto" w:fill="CFF0FC"/>
          </w:tcPr>
          <w:p>
            <w:pPr>
              <w:spacing w:after="0"/>
              <w:rPr>
                <w:sz w:val="11"/>
                <w:szCs w:val="11"/>
                <w:color w:val="auto"/>
              </w:rPr>
            </w:pPr>
          </w:p>
        </w:tc>
        <w:tc>
          <w:tcPr>
            <w:tcW w:w="500" w:type="dxa"/>
            <w:vAlign w:val="bottom"/>
            <w:shd w:val="clear" w:color="auto" w:fill="CFF0FC"/>
          </w:tcPr>
          <w:p>
            <w:pPr>
              <w:jc w:val="right"/>
              <w:ind w:right="380"/>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(5 )</w:t>
            </w:r>
          </w:p>
        </w:tc>
        <w:tc>
          <w:tcPr>
            <w:tcW w:w="14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(594,640 )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160,362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960" w:type="dxa"/>
            <w:vAlign w:val="bottom"/>
          </w:tcPr>
          <w:p>
            <w:pPr>
              <w:ind w:left="20"/>
              <w:spacing w:after="0" w:line="112"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1,061,336</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10,152</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10,153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9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Shares redeemed for employee tax withholdings</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(39,096 )</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(2,134 )</w:t>
            </w:r>
          </w:p>
        </w:tc>
        <w:tc>
          <w:tcPr>
            <w:tcW w:w="5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(2,134 )</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4,696</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12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spacing w:after="0"/>
              <w:rPr>
                <w:sz w:val="9"/>
                <w:szCs w:val="9"/>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(45 )</w:t>
            </w:r>
          </w:p>
        </w:tc>
        <w:tc>
          <w:tcPr>
            <w:tcW w:w="14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(45 )</w:t>
            </w:r>
          </w:p>
        </w:tc>
        <w:tc>
          <w:tcPr>
            <w:tcW w:w="0" w:type="dxa"/>
            <w:vAlign w:val="bottom"/>
          </w:tcPr>
          <w:p>
            <w:pPr>
              <w:spacing w:after="0"/>
              <w:rPr>
                <w:sz w:val="1"/>
                <w:szCs w:val="1"/>
                <w:color w:val="auto"/>
              </w:rPr>
            </w:pPr>
          </w:p>
        </w:tc>
      </w:tr>
      <w:tr>
        <w:trPr>
          <w:trHeight w:val="146"/>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and cash equivalents, net of tax</w:t>
            </w:r>
          </w:p>
        </w:tc>
        <w:tc>
          <w:tcPr>
            <w:tcW w:w="1240" w:type="dxa"/>
            <w:vAlign w:val="bottom"/>
            <w:gridSpan w:val="2"/>
            <w:vMerge w:val="continue"/>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(3 )</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(3 )</w:t>
            </w:r>
          </w:p>
        </w:tc>
        <w:tc>
          <w:tcPr>
            <w:tcW w:w="0" w:type="dxa"/>
            <w:vAlign w:val="bottom"/>
          </w:tcPr>
          <w:p>
            <w:pPr>
              <w:spacing w:after="0"/>
              <w:rPr>
                <w:sz w:val="1"/>
                <w:szCs w:val="1"/>
                <w:color w:val="auto"/>
              </w:rPr>
            </w:pPr>
          </w:p>
        </w:tc>
      </w:tr>
      <w:tr>
        <w:trPr>
          <w:trHeight w:val="140"/>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(9,100 )</w:t>
            </w: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(9,100 )</w:t>
            </w:r>
          </w:p>
        </w:tc>
        <w:tc>
          <w:tcPr>
            <w:tcW w:w="0" w:type="dxa"/>
            <w:vAlign w:val="bottom"/>
          </w:tcPr>
          <w:p>
            <w:pPr>
              <w:spacing w:after="0"/>
              <w:rPr>
                <w:sz w:val="1"/>
                <w:szCs w:val="1"/>
                <w:color w:val="auto"/>
              </w:rPr>
            </w:pPr>
          </w:p>
        </w:tc>
      </w:tr>
      <w:tr>
        <w:trPr>
          <w:trHeight w:val="131"/>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March 31, 2024</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37,161,753</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right"/>
              <w:ind w:right="521"/>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20" w:type="dxa"/>
            <w:vAlign w:val="bottom"/>
          </w:tcPr>
          <w:p>
            <w:pPr>
              <w:spacing w:after="0"/>
              <w:rPr>
                <w:sz w:val="11"/>
                <w:szCs w:val="11"/>
                <w:color w:val="auto"/>
              </w:rPr>
            </w:pPr>
          </w:p>
        </w:tc>
        <w:tc>
          <w:tcPr>
            <w:tcW w:w="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767,685</w:t>
            </w:r>
          </w:p>
        </w:tc>
        <w:tc>
          <w:tcPr>
            <w:tcW w:w="220" w:type="dxa"/>
            <w:vAlign w:val="bottom"/>
          </w:tcPr>
          <w:p>
            <w:pPr>
              <w:spacing w:after="0"/>
              <w:rPr>
                <w:sz w:val="11"/>
                <w:szCs w:val="11"/>
                <w:color w:val="auto"/>
              </w:rPr>
            </w:pPr>
          </w:p>
        </w:tc>
        <w:tc>
          <w:tcPr>
            <w:tcW w:w="50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(603,740</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163,929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9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363,105</w:t>
            </w:r>
          </w:p>
        </w:tc>
        <w:tc>
          <w:tcPr>
            <w:tcW w:w="20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3,102</w:t>
            </w:r>
          </w:p>
        </w:tc>
        <w:tc>
          <w:tcPr>
            <w:tcW w:w="2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3,103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6,105</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Shares issued for the employee stock purchase plan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38,905</w:t>
            </w: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tcPr>
          <w:p>
            <w:pPr>
              <w:ind w:left="20"/>
              <w:spacing w:after="0" w:line="112" w:lineRule="exact"/>
              <w:rPr>
                <w:sz w:val="20"/>
                <w:szCs w:val="20"/>
                <w:color w:val="auto"/>
              </w:rPr>
            </w:pPr>
            <w:r>
              <w:rPr>
                <w:rFonts w:ascii="Times New Roman" w:cs="Times New Roman" w:eastAsia="Times New Roman" w:hAnsi="Times New Roman"/>
                <w:sz w:val="11"/>
                <w:szCs w:val="11"/>
                <w:color w:val="auto"/>
              </w:rPr>
              <w:t>Issuance of common stock for public offering, net of</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2,053,571</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107,475</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107,477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underwriting discounts, commissions and offering costs</w:t>
            </w: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12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spacing w:after="0"/>
              <w:rPr>
                <w:sz w:val="9"/>
                <w:szCs w:val="9"/>
                <w:color w:val="auto"/>
              </w:rPr>
            </w:pP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(64 )</w:t>
            </w:r>
          </w:p>
        </w:tc>
        <w:tc>
          <w:tcPr>
            <w:tcW w:w="14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(64 )</w:t>
            </w:r>
          </w:p>
        </w:tc>
        <w:tc>
          <w:tcPr>
            <w:tcW w:w="0" w:type="dxa"/>
            <w:vAlign w:val="bottom"/>
          </w:tcPr>
          <w:p>
            <w:pPr>
              <w:spacing w:after="0"/>
              <w:rPr>
                <w:sz w:val="1"/>
                <w:szCs w:val="1"/>
                <w:color w:val="auto"/>
              </w:rPr>
            </w:pPr>
          </w:p>
        </w:tc>
      </w:tr>
      <w:tr>
        <w:trPr>
          <w:trHeight w:val="146"/>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and cash equivalents, net of tax</w:t>
            </w:r>
          </w:p>
        </w:tc>
        <w:tc>
          <w:tcPr>
            <w:tcW w:w="1240" w:type="dxa"/>
            <w:vAlign w:val="bottom"/>
            <w:gridSpan w:val="2"/>
            <w:vMerge w:val="continue"/>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2"/>
                <w:szCs w:val="12"/>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(1 )</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(1 )</w:t>
            </w:r>
          </w:p>
        </w:tc>
        <w:tc>
          <w:tcPr>
            <w:tcW w:w="0" w:type="dxa"/>
            <w:vAlign w:val="bottom"/>
          </w:tcPr>
          <w:p>
            <w:pPr>
              <w:spacing w:after="0"/>
              <w:rPr>
                <w:sz w:val="1"/>
                <w:szCs w:val="1"/>
                <w:color w:val="auto"/>
              </w:rPr>
            </w:pPr>
          </w:p>
        </w:tc>
      </w:tr>
      <w:tr>
        <w:trPr>
          <w:trHeight w:val="140"/>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(6,079 )</w:t>
            </w: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(6,079 )</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Balance at June 30, 2024</w:t>
            </w:r>
          </w:p>
        </w:tc>
        <w:tc>
          <w:tcPr>
            <w:tcW w:w="10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39,617,334</w:t>
            </w:r>
          </w:p>
        </w:tc>
        <w:tc>
          <w:tcPr>
            <w:tcW w:w="200" w:type="dxa"/>
            <w:vAlign w:val="bottom"/>
          </w:tcPr>
          <w:p>
            <w:pPr>
              <w:spacing w:after="0"/>
              <w:rPr>
                <w:sz w:val="11"/>
                <w:szCs w:val="11"/>
                <w:color w:val="auto"/>
              </w:rPr>
            </w:pPr>
          </w:p>
        </w:tc>
        <w:tc>
          <w:tcPr>
            <w:tcW w:w="660" w:type="dxa"/>
            <w:vAlign w:val="bottom"/>
          </w:tcPr>
          <w:p>
            <w:pPr>
              <w:jc w:val="right"/>
              <w:ind w:right="521"/>
              <w:spacing w:after="0" w:line="120"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40</w:t>
            </w:r>
          </w:p>
        </w:tc>
        <w:tc>
          <w:tcPr>
            <w:tcW w:w="220" w:type="dxa"/>
            <w:vAlign w:val="bottom"/>
          </w:tcPr>
          <w:p>
            <w:pPr>
              <w:spacing w:after="0"/>
              <w:rPr>
                <w:sz w:val="11"/>
                <w:szCs w:val="11"/>
                <w:color w:val="auto"/>
              </w:rPr>
            </w:pPr>
          </w:p>
        </w:tc>
        <w:tc>
          <w:tcPr>
            <w:tcW w:w="200" w:type="dxa"/>
            <w:vAlign w:val="bottom"/>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885,104</w:t>
            </w:r>
          </w:p>
        </w:tc>
        <w:tc>
          <w:tcPr>
            <w:tcW w:w="220" w:type="dxa"/>
            <w:vAlign w:val="bottom"/>
          </w:tcPr>
          <w:p>
            <w:pPr>
              <w:spacing w:after="0"/>
              <w:rPr>
                <w:sz w:val="11"/>
                <w:szCs w:val="11"/>
                <w:color w:val="auto"/>
              </w:rPr>
            </w:pPr>
          </w:p>
        </w:tc>
        <w:tc>
          <w:tcPr>
            <w:tcW w:w="500" w:type="dxa"/>
            <w:vAlign w:val="bottom"/>
          </w:tcPr>
          <w:p>
            <w:pPr>
              <w:jc w:val="right"/>
              <w:ind w:right="380"/>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00"/>
              <w:spacing w:after="0" w:line="120" w:lineRule="exact"/>
              <w:rPr>
                <w:sz w:val="20"/>
                <w:szCs w:val="20"/>
                <w:color w:val="auto"/>
              </w:rPr>
            </w:pPr>
            <w:r>
              <w:rPr>
                <w:rFonts w:ascii="Times New Roman" w:cs="Times New Roman" w:eastAsia="Times New Roman" w:hAnsi="Times New Roman"/>
                <w:sz w:val="11"/>
                <w:szCs w:val="11"/>
                <w:color w:val="auto"/>
              </w:rPr>
              <w:t>(118 )</w:t>
            </w:r>
          </w:p>
        </w:tc>
        <w:tc>
          <w:tcPr>
            <w:tcW w:w="140" w:type="dxa"/>
            <w:vAlign w:val="bottom"/>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jc w:val="right"/>
              <w:ind w:right="120"/>
              <w:spacing w:after="0" w:line="120" w:lineRule="exact"/>
              <w:rPr>
                <w:sz w:val="20"/>
                <w:szCs w:val="20"/>
                <w:color w:val="auto"/>
              </w:rPr>
            </w:pPr>
            <w:r>
              <w:rPr>
                <w:rFonts w:ascii="Times New Roman" w:cs="Times New Roman" w:eastAsia="Times New Roman" w:hAnsi="Times New Roman"/>
                <w:sz w:val="11"/>
                <w:szCs w:val="11"/>
                <w:color w:val="auto"/>
              </w:rPr>
              <w:t>(609,819 )</w:t>
            </w:r>
          </w:p>
        </w:tc>
        <w:tc>
          <w:tcPr>
            <w:tcW w:w="1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275,207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-115570</wp:posOffset>
            </wp:positionV>
            <wp:extent cx="6858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-115570</wp:posOffset>
            </wp:positionV>
            <wp:extent cx="6858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-115570</wp:posOffset>
            </wp:positionV>
            <wp:extent cx="6858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-115570</wp:posOffset>
            </wp:positionV>
            <wp:extent cx="615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-115570</wp:posOffset>
            </wp:positionV>
            <wp:extent cx="615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-115570</wp:posOffset>
            </wp:positionV>
            <wp:extent cx="615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420370</wp:posOffset>
            </wp:positionV>
            <wp:extent cx="6584315" cy="393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84315" cy="393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29845</wp:posOffset>
            </wp:positionV>
            <wp:extent cx="6558915"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8915" cy="13970"/>
                    </a:xfrm>
                    <a:prstGeom prst="rect">
                      <a:avLst/>
                    </a:prstGeom>
                    <a:noFill/>
                  </pic:spPr>
                </pic:pic>
              </a:graphicData>
            </a:graphic>
          </wp:anchor>
        </w:drawing>
      </w:r>
    </w:p>
    <w:p>
      <w:pPr>
        <w:sectPr>
          <w:pgSz w:w="11900" w:h="16838" w:orient="portrait"/>
          <w:cols w:equalWidth="0" w:num="1">
            <w:col w:w="10340"/>
          </w:cols>
          <w:pgMar w:left="820" w:top="1153" w:right="7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RxSIGHT, INC.</w:t>
      </w:r>
    </w:p>
    <w:p>
      <w:pPr>
        <w:jc w:val="center"/>
        <w:ind w:right="40"/>
        <w:spacing w:after="0" w:line="235" w:lineRule="auto"/>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w:t>
      </w:r>
    </w:p>
    <w:p>
      <w:pPr>
        <w:jc w:val="center"/>
        <w:spacing w:after="0" w:line="225" w:lineRule="auto"/>
        <w:rPr>
          <w:sz w:val="20"/>
          <w:szCs w:val="20"/>
          <w:color w:val="auto"/>
        </w:rPr>
      </w:pPr>
      <w:r>
        <w:rPr>
          <w:rFonts w:ascii="Times New Roman" w:cs="Times New Roman" w:eastAsia="Times New Roman" w:hAnsi="Times New Roman"/>
          <w:sz w:val="11"/>
          <w:szCs w:val="11"/>
          <w:b w:val="1"/>
          <w:bCs w:val="1"/>
          <w:color w:val="auto"/>
        </w:rPr>
        <w:t>(UNAUDITED)</w:t>
      </w:r>
    </w:p>
    <w:p>
      <w:pPr>
        <w:jc w:val="center"/>
        <w:spacing w:after="0"/>
        <w:rPr>
          <w:sz w:val="20"/>
          <w:szCs w:val="20"/>
          <w:color w:val="auto"/>
        </w:rPr>
      </w:pPr>
      <w:r>
        <w:rPr>
          <w:rFonts w:ascii="Times New Roman" w:cs="Times New Roman" w:eastAsia="Times New Roman" w:hAnsi="Times New Roman"/>
          <w:sz w:val="11"/>
          <w:szCs w:val="11"/>
          <w:color w:val="auto"/>
        </w:rPr>
        <w:t>(In thousands, except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558915"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58915" cy="13970"/>
                    </a:xfrm>
                    <a:prstGeom prst="rect">
                      <a:avLst/>
                    </a:prstGeom>
                    <a:noFill/>
                  </pic:spPr>
                </pic:pic>
              </a:graphicData>
            </a:graphic>
          </wp:anchor>
        </w:drawing>
      </w:r>
    </w:p>
    <w:p>
      <w:pPr>
        <w:spacing w:after="0" w:line="36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1"/>
          <w:szCs w:val="11"/>
          <w:b w:val="1"/>
          <w:bCs w:val="1"/>
          <w:color w:val="auto"/>
        </w:rPr>
        <w:t>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13970</wp:posOffset>
            </wp:positionV>
            <wp:extent cx="462534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625340" cy="698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60" w:type="dxa"/>
            <w:vAlign w:val="bottom"/>
            <w:gridSpan w:val="4"/>
            <w:vMerge w:val="restart"/>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960" w:type="dxa"/>
            <w:vAlign w:val="bottom"/>
          </w:tcPr>
          <w:p>
            <w:pPr>
              <w:spacing w:after="0"/>
              <w:rPr>
                <w:sz w:val="14"/>
                <w:szCs w:val="14"/>
                <w:color w:val="auto"/>
              </w:rPr>
            </w:pPr>
          </w:p>
        </w:tc>
        <w:tc>
          <w:tcPr>
            <w:tcW w:w="2060" w:type="dxa"/>
            <w:vAlign w:val="bottom"/>
            <w:tcBorders>
              <w:bottom w:val="single" w:sz="8" w:color="auto"/>
            </w:tcBorders>
            <w:gridSpan w:val="4"/>
            <w:vMerge w:val="continue"/>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Additional paid-in</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2"/>
        </w:trPr>
        <w:tc>
          <w:tcPr>
            <w:tcW w:w="2960" w:type="dxa"/>
            <w:vAlign w:val="bottom"/>
          </w:tcPr>
          <w:p>
            <w:pPr>
              <w:spacing w:after="0"/>
              <w:rPr>
                <w:sz w:val="14"/>
                <w:szCs w:val="14"/>
                <w:color w:val="auto"/>
              </w:rPr>
            </w:pPr>
          </w:p>
        </w:tc>
        <w:tc>
          <w:tcPr>
            <w:tcW w:w="104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Balance at December 31, 2022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28,268,389</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636,001</w:t>
            </w:r>
          </w:p>
        </w:tc>
        <w:tc>
          <w:tcPr>
            <w:tcW w:w="22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400"/>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(95 )</w:t>
            </w:r>
          </w:p>
        </w:tc>
        <w:tc>
          <w:tcPr>
            <w:tcW w:w="14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(546,032 )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89,902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960" w:type="dxa"/>
            <w:vAlign w:val="bottom"/>
          </w:tcPr>
          <w:p>
            <w:pPr>
              <w:ind w:left="20"/>
              <w:spacing w:after="0" w:line="112"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243,598</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761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9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Shares redeemed for employee tax withholdings</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(24,631 )</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(337 )</w:t>
            </w:r>
          </w:p>
        </w:tc>
        <w:tc>
          <w:tcPr>
            <w:tcW w:w="5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(337 )</w:t>
            </w: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3,295</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Issuance of common stock for public offering, net of</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4,600,000</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53,595</w:t>
            </w: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53,600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underwriting discounts, commissions and offering costs</w:t>
            </w:r>
          </w:p>
        </w:tc>
        <w:tc>
          <w:tcPr>
            <w:tcW w:w="104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tcPr>
          <w:p>
            <w:pPr>
              <w:ind w:left="20"/>
              <w:spacing w:after="0" w:line="112" w:lineRule="exact"/>
              <w:rPr>
                <w:sz w:val="20"/>
                <w:szCs w:val="20"/>
                <w:color w:val="auto"/>
              </w:rPr>
            </w:pPr>
            <w:r>
              <w:rPr>
                <w:rFonts w:ascii="Times New Roman" w:cs="Times New Roman" w:eastAsia="Times New Roman" w:hAnsi="Times New Roman"/>
                <w:sz w:val="11"/>
                <w:szCs w:val="11"/>
                <w:color w:val="auto"/>
              </w:rPr>
              <w:t>Issuance of common stock for at-the-market offerings,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879,341</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10,913</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10,914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of issuance costs</w:t>
            </w: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Unrealized gain on short-term investments</w:t>
            </w:r>
          </w:p>
        </w:tc>
        <w:tc>
          <w:tcPr>
            <w:tcW w:w="12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and cash equivalents, net of tax</w:t>
            </w:r>
          </w:p>
        </w:tc>
        <w:tc>
          <w:tcPr>
            <w:tcW w:w="124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(13,212 )</w:t>
            </w: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(13,212 )</w:t>
            </w:r>
          </w:p>
        </w:tc>
        <w:tc>
          <w:tcPr>
            <w:tcW w:w="0" w:type="dxa"/>
            <w:vAlign w:val="bottom"/>
          </w:tcPr>
          <w:p>
            <w:pPr>
              <w:spacing w:after="0"/>
              <w:rPr>
                <w:sz w:val="1"/>
                <w:szCs w:val="1"/>
                <w:color w:val="auto"/>
              </w:rPr>
            </w:pPr>
          </w:p>
        </w:tc>
      </w:tr>
      <w:tr>
        <w:trPr>
          <w:trHeight w:val="131"/>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March 31, 2023</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33,966,697</w:t>
            </w:r>
          </w:p>
        </w:tc>
        <w:tc>
          <w:tcPr>
            <w:tcW w:w="200" w:type="dxa"/>
            <w:vAlign w:val="bottom"/>
          </w:tcPr>
          <w:p>
            <w:pPr>
              <w:spacing w:after="0"/>
              <w:rPr>
                <w:sz w:val="11"/>
                <w:szCs w:val="11"/>
                <w:color w:val="auto"/>
              </w:rPr>
            </w:pPr>
          </w:p>
        </w:tc>
        <w:tc>
          <w:tcPr>
            <w:tcW w:w="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20" w:type="dxa"/>
            <w:vAlign w:val="bottom"/>
          </w:tcPr>
          <w:p>
            <w:pPr>
              <w:spacing w:after="0"/>
              <w:rPr>
                <w:sz w:val="11"/>
                <w:szCs w:val="11"/>
                <w:color w:val="auto"/>
              </w:rPr>
            </w:pPr>
          </w:p>
        </w:tc>
        <w:tc>
          <w:tcPr>
            <w:tcW w:w="200" w:type="dxa"/>
            <w:vAlign w:val="bottom"/>
            <w:tcBorders>
              <w:top w:val="single" w:sz="8" w:color="auto"/>
            </w:tcBorders>
          </w:tcPr>
          <w:p>
            <w:pPr>
              <w:jc w:val="right"/>
              <w:ind w:right="80"/>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704,228</w:t>
            </w:r>
          </w:p>
        </w:tc>
        <w:tc>
          <w:tcPr>
            <w:tcW w:w="220" w:type="dxa"/>
            <w:vAlign w:val="bottom"/>
          </w:tcPr>
          <w:p>
            <w:pPr>
              <w:spacing w:after="0"/>
              <w:rPr>
                <w:sz w:val="11"/>
                <w:szCs w:val="11"/>
                <w:color w:val="auto"/>
              </w:rPr>
            </w:pPr>
          </w:p>
        </w:tc>
        <w:tc>
          <w:tcPr>
            <w:tcW w:w="52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80" w:type="dxa"/>
            <w:vAlign w:val="bottom"/>
          </w:tcPr>
          <w:p>
            <w:pPr>
              <w:jc w:val="right"/>
              <w:ind w:right="100"/>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(559,244</w:t>
            </w:r>
          </w:p>
        </w:tc>
        <w:tc>
          <w:tcPr>
            <w:tcW w:w="200" w:type="dxa"/>
            <w:vAlign w:val="bottom"/>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145,009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9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Shares issued for the exercise of stock options</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316,092</w:t>
            </w:r>
          </w:p>
        </w:tc>
        <w:tc>
          <w:tcPr>
            <w:tcW w:w="2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22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2,599</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and vesting of restricted stock units</w:t>
            </w:r>
          </w:p>
        </w:tc>
        <w:tc>
          <w:tcPr>
            <w:tcW w:w="1040" w:type="dxa"/>
            <w:vAlign w:val="bottom"/>
            <w:vMerge w:val="continue"/>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3,955</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Shares issued for the employee stock purchase plan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50,504</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tcPr>
          <w:p>
            <w:pPr>
              <w:ind w:left="20"/>
              <w:spacing w:after="0" w:line="112" w:lineRule="exact"/>
              <w:rPr>
                <w:sz w:val="20"/>
                <w:szCs w:val="20"/>
                <w:color w:val="auto"/>
              </w:rPr>
            </w:pPr>
            <w:r>
              <w:rPr>
                <w:rFonts w:ascii="Times New Roman" w:cs="Times New Roman" w:eastAsia="Times New Roman" w:hAnsi="Times New Roman"/>
                <w:sz w:val="11"/>
                <w:szCs w:val="11"/>
                <w:color w:val="auto"/>
              </w:rPr>
              <w:t>Issuance of common stock for at-the-market offerings,</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834,748</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18,956</w:t>
            </w: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18,957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of issuance costs</w:t>
            </w:r>
          </w:p>
        </w:tc>
        <w:tc>
          <w:tcPr>
            <w:tcW w:w="10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6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color w:val="auto"/>
              </w:rPr>
              <w:t>Unrealized loss on short-term investments</w:t>
            </w:r>
          </w:p>
        </w:tc>
        <w:tc>
          <w:tcPr>
            <w:tcW w:w="12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1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(65 )</w:t>
            </w:r>
          </w:p>
        </w:tc>
        <w:tc>
          <w:tcPr>
            <w:tcW w:w="140" w:type="dxa"/>
            <w:vAlign w:val="bottom"/>
            <w:shd w:val="clear" w:color="auto" w:fill="CFF0FC"/>
          </w:tcPr>
          <w:p>
            <w:pPr>
              <w:spacing w:after="0"/>
              <w:rPr>
                <w:sz w:val="9"/>
                <w:szCs w:val="9"/>
                <w:color w:val="auto"/>
              </w:rPr>
            </w:pP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(65 )</w:t>
            </w:r>
          </w:p>
        </w:tc>
        <w:tc>
          <w:tcPr>
            <w:tcW w:w="0" w:type="dxa"/>
            <w:vAlign w:val="bottom"/>
          </w:tcPr>
          <w:p>
            <w:pPr>
              <w:spacing w:after="0"/>
              <w:rPr>
                <w:sz w:val="1"/>
                <w:szCs w:val="1"/>
                <w:color w:val="auto"/>
              </w:rPr>
            </w:pPr>
          </w:p>
        </w:tc>
      </w:tr>
      <w:tr>
        <w:trPr>
          <w:trHeight w:val="146"/>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1"/>
                <w:szCs w:val="11"/>
                <w:color w:val="auto"/>
              </w:rPr>
              <w:t>and cash equivalents, net of tax</w:t>
            </w:r>
          </w:p>
        </w:tc>
        <w:tc>
          <w:tcPr>
            <w:tcW w:w="124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100" w:type="dxa"/>
            <w:vAlign w:val="bottom"/>
            <w:gridSpan w:val="2"/>
            <w:vMerge w:val="continue"/>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8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Foreign currency translation adjustment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(13,804 )</w:t>
            </w:r>
          </w:p>
        </w:tc>
        <w:tc>
          <w:tcPr>
            <w:tcW w:w="10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(13,804 )</w:t>
            </w:r>
          </w:p>
        </w:tc>
        <w:tc>
          <w:tcPr>
            <w:tcW w:w="0" w:type="dxa"/>
            <w:vAlign w:val="bottom"/>
          </w:tcPr>
          <w:p>
            <w:pPr>
              <w:spacing w:after="0"/>
              <w:rPr>
                <w:sz w:val="1"/>
                <w:szCs w:val="1"/>
                <w:color w:val="auto"/>
              </w:rPr>
            </w:pPr>
          </w:p>
        </w:tc>
      </w:tr>
      <w:tr>
        <w:trPr>
          <w:trHeight w:val="20"/>
        </w:trPr>
        <w:tc>
          <w:tcPr>
            <w:tcW w:w="29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96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color w:val="auto"/>
              </w:rPr>
              <w:t>Balance at June 30, 2023</w:t>
            </w:r>
          </w:p>
        </w:tc>
        <w:tc>
          <w:tcPr>
            <w:tcW w:w="104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35,168,041</w:t>
            </w:r>
          </w:p>
        </w:tc>
        <w:tc>
          <w:tcPr>
            <w:tcW w:w="200" w:type="dxa"/>
            <w:vAlign w:val="bottom"/>
          </w:tcPr>
          <w:p>
            <w:pPr>
              <w:spacing w:after="0"/>
              <w:rPr>
                <w:sz w:val="11"/>
                <w:szCs w:val="11"/>
                <w:color w:val="auto"/>
              </w:rPr>
            </w:pPr>
          </w:p>
        </w:tc>
        <w:tc>
          <w:tcPr>
            <w:tcW w:w="140" w:type="dxa"/>
            <w:vAlign w:val="bottom"/>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35</w:t>
            </w:r>
          </w:p>
        </w:tc>
        <w:tc>
          <w:tcPr>
            <w:tcW w:w="220" w:type="dxa"/>
            <w:vAlign w:val="bottom"/>
          </w:tcPr>
          <w:p>
            <w:pPr>
              <w:spacing w:after="0"/>
              <w:rPr>
                <w:sz w:val="11"/>
                <w:szCs w:val="11"/>
                <w:color w:val="auto"/>
              </w:rPr>
            </w:pPr>
          </w:p>
        </w:tc>
        <w:tc>
          <w:tcPr>
            <w:tcW w:w="200" w:type="dxa"/>
            <w:vAlign w:val="bottom"/>
          </w:tcPr>
          <w:p>
            <w:pPr>
              <w:jc w:val="right"/>
              <w:ind w:right="80"/>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730,274</w:t>
            </w:r>
          </w:p>
        </w:tc>
        <w:tc>
          <w:tcPr>
            <w:tcW w:w="220" w:type="dxa"/>
            <w:vAlign w:val="bottom"/>
          </w:tcPr>
          <w:p>
            <w:pPr>
              <w:spacing w:after="0"/>
              <w:rPr>
                <w:sz w:val="11"/>
                <w:szCs w:val="11"/>
                <w:color w:val="auto"/>
              </w:rPr>
            </w:pPr>
          </w:p>
        </w:tc>
        <w:tc>
          <w:tcPr>
            <w:tcW w:w="520" w:type="dxa"/>
            <w:vAlign w:val="bottom"/>
          </w:tcPr>
          <w:p>
            <w:pPr>
              <w:jc w:val="right"/>
              <w:ind w:right="400"/>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00"/>
              <w:spacing w:after="0" w:line="120" w:lineRule="exact"/>
              <w:rPr>
                <w:sz w:val="20"/>
                <w:szCs w:val="20"/>
                <w:color w:val="auto"/>
              </w:rPr>
            </w:pPr>
            <w:r>
              <w:rPr>
                <w:rFonts w:ascii="Times New Roman" w:cs="Times New Roman" w:eastAsia="Times New Roman" w:hAnsi="Times New Roman"/>
                <w:sz w:val="11"/>
                <w:szCs w:val="11"/>
                <w:color w:val="auto"/>
              </w:rPr>
              <w:t>(73 )</w:t>
            </w:r>
          </w:p>
        </w:tc>
        <w:tc>
          <w:tcPr>
            <w:tcW w:w="140" w:type="dxa"/>
            <w:vAlign w:val="bottom"/>
          </w:tcPr>
          <w:p>
            <w:pPr>
              <w:jc w:val="right"/>
              <w:ind w:right="3"/>
              <w:spacing w:after="0" w:line="120" w:lineRule="exact"/>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2"/>
          </w:tcPr>
          <w:p>
            <w:pPr>
              <w:jc w:val="right"/>
              <w:ind w:right="120"/>
              <w:spacing w:after="0" w:line="120" w:lineRule="exact"/>
              <w:rPr>
                <w:sz w:val="20"/>
                <w:szCs w:val="20"/>
                <w:color w:val="auto"/>
              </w:rPr>
            </w:pPr>
            <w:r>
              <w:rPr>
                <w:rFonts w:ascii="Times New Roman" w:cs="Times New Roman" w:eastAsia="Times New Roman" w:hAnsi="Times New Roman"/>
                <w:sz w:val="11"/>
                <w:szCs w:val="11"/>
                <w:color w:val="auto"/>
              </w:rPr>
              <w:t>(573,048 )</w:t>
            </w:r>
          </w:p>
        </w:tc>
        <w:tc>
          <w:tcPr>
            <w:tcW w:w="1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20" w:lineRule="exact"/>
              <w:rPr>
                <w:sz w:val="20"/>
                <w:szCs w:val="20"/>
                <w:color w:val="auto"/>
              </w:rPr>
            </w:pPr>
            <w:r>
              <w:rPr>
                <w:rFonts w:ascii="Times New Roman" w:cs="Times New Roman" w:eastAsia="Times New Roman" w:hAnsi="Times New Roman"/>
                <w:sz w:val="11"/>
                <w:szCs w:val="11"/>
                <w:color w:val="auto"/>
              </w:rPr>
              <w:t>157,188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-115570</wp:posOffset>
            </wp:positionV>
            <wp:extent cx="6858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-115570</wp:posOffset>
            </wp:positionV>
            <wp:extent cx="6858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-115570</wp:posOffset>
            </wp:positionV>
            <wp:extent cx="6858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-115570</wp:posOffset>
            </wp:positionV>
            <wp:extent cx="6159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-115570</wp:posOffset>
            </wp:positionV>
            <wp:extent cx="6159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-115570</wp:posOffset>
            </wp:positionV>
            <wp:extent cx="6159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420370</wp:posOffset>
            </wp:positionV>
            <wp:extent cx="658431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84315" cy="393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29845</wp:posOffset>
            </wp:positionV>
            <wp:extent cx="6558915"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58915" cy="13970"/>
                    </a:xfrm>
                    <a:prstGeom prst="rect">
                      <a:avLst/>
                    </a:prstGeom>
                    <a:noFill/>
                  </pic:spPr>
                </pic:pic>
              </a:graphicData>
            </a:graphic>
          </wp:anchor>
        </w:drawing>
      </w:r>
    </w:p>
    <w:p>
      <w:pPr>
        <w:sectPr>
          <w:pgSz w:w="11900" w:h="16838" w:orient="portrait"/>
          <w:cols w:equalWidth="0" w:num="1">
            <w:col w:w="10340"/>
          </w:cols>
          <w:pgMar w:left="820" w:top="1153" w:right="739" w:bottom="1440" w:gutter="0" w:footer="0" w:header="0"/>
        </w:sectPr>
      </w:pPr>
    </w:p>
    <w:bookmarkStart w:id="8" w:name="page9"/>
    <w:bookmarkEnd w:id="8"/>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CASH FLOWS</w:t>
      </w:r>
    </w:p>
    <w:p>
      <w:pPr>
        <w:ind w:left="4000"/>
        <w:spacing w:after="0"/>
        <w:rPr>
          <w:sz w:val="20"/>
          <w:szCs w:val="20"/>
          <w:color w:val="auto"/>
        </w:rPr>
      </w:pPr>
      <w:r>
        <w:rPr>
          <w:rFonts w:ascii="Times New Roman" w:cs="Times New Roman" w:eastAsia="Times New Roman" w:hAnsi="Times New Roman"/>
          <w:sz w:val="15"/>
          <w:szCs w:val="15"/>
          <w:b w:val="1"/>
          <w:bCs w:val="1"/>
          <w:color w:val="auto"/>
        </w:rPr>
        <w:t>(UNAUDITED)</w:t>
      </w:r>
    </w:p>
    <w:p>
      <w:pPr>
        <w:ind w:left="4040"/>
        <w:spacing w:after="0"/>
        <w:rPr>
          <w:sz w:val="20"/>
          <w:szCs w:val="20"/>
          <w:color w:val="auto"/>
        </w:rPr>
      </w:pPr>
      <w:r>
        <w:rPr>
          <w:rFonts w:ascii="Times New Roman" w:cs="Times New Roman" w:eastAsia="Times New Roman" w:hAnsi="Times New Roman"/>
          <w:sz w:val="15"/>
          <w:szCs w:val="15"/>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10160</wp:posOffset>
            </wp:positionV>
            <wp:extent cx="4263390"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pacing w:after="0" w:line="105" w:lineRule="exact"/>
        <w:rPr>
          <w:sz w:val="20"/>
          <w:szCs w:val="20"/>
          <w:color w:val="auto"/>
        </w:rPr>
      </w:pPr>
    </w:p>
    <w:tbl>
      <w:tblPr>
        <w:tblLayout w:type="fixed"/>
        <w:tblInd w:w="1140" w:type="dxa"/>
        <w:tblCellMar>
          <w:top w:w="0" w:type="dxa"/>
          <w:left w:w="0" w:type="dxa"/>
          <w:bottom w:w="0" w:type="dxa"/>
          <w:right w:w="0" w:type="dxa"/>
        </w:tblCellMar>
      </w:tblPr>
      <w:tr>
        <w:trPr>
          <w:trHeight w:val="140"/>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48"/>
        </w:trPr>
        <w:tc>
          <w:tcPr>
            <w:tcW w:w="46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2"/>
                <w:szCs w:val="12"/>
                <w:color w:val="auto"/>
              </w:rPr>
            </w:pPr>
          </w:p>
        </w:tc>
      </w:tr>
      <w:tr>
        <w:trPr>
          <w:trHeight w:val="131"/>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Activities:</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(15,179 )</w:t>
            </w:r>
          </w:p>
        </w:tc>
        <w:tc>
          <w:tcPr>
            <w:tcW w:w="200" w:type="dxa"/>
            <w:vAlign w:val="bottom"/>
            <w:shd w:val="clear" w:color="auto" w:fill="CFF0FC"/>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(27,016 )</w:t>
            </w:r>
          </w:p>
        </w:tc>
      </w:tr>
      <w:tr>
        <w:trPr>
          <w:trHeight w:val="140"/>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1,927</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1,944</w:t>
            </w: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Amortization of right-of-use lease assets</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Amortization of debt issuance costs and premium</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283</w:t>
            </w: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Loss on extinguishment of debt</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Amortization of discount on short-term investments</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(3,578 )</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(2,953 )</w:t>
            </w:r>
          </w:p>
        </w:tc>
      </w:tr>
      <w:tr>
        <w:trPr>
          <w:trHeight w:val="140"/>
        </w:trPr>
        <w:tc>
          <w:tcPr>
            <w:tcW w:w="4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Stock-based compensation</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10,801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7,250</w:t>
            </w: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Provision for excess and obsolete inventory</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Change in operating assets and liabilities: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Accounts receivable</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(5,441 )</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(2,338 )</w:t>
            </w:r>
          </w:p>
        </w:tc>
      </w:tr>
      <w:tr>
        <w:trPr>
          <w:trHeight w:val="140"/>
        </w:trPr>
        <w:tc>
          <w:tcPr>
            <w:tcW w:w="46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Inventories</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(2,189 )</w:t>
            </w:r>
          </w:p>
        </w:tc>
        <w:tc>
          <w:tcPr>
            <w:tcW w:w="20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(3,124 )</w:t>
            </w:r>
          </w:p>
        </w:tc>
      </w:tr>
      <w:tr>
        <w:trPr>
          <w:trHeight w:val="140"/>
        </w:trPr>
        <w:tc>
          <w:tcPr>
            <w:tcW w:w="4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Prepaid and other assets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868</w:t>
            </w: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Accounts payable</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w:t>
            </w: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(1,339 )</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(2,009 )</w:t>
            </w:r>
          </w:p>
        </w:tc>
      </w:tr>
      <w:tr>
        <w:trPr>
          <w:trHeight w:val="20"/>
        </w:trPr>
        <w:tc>
          <w:tcPr>
            <w:tcW w:w="46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131"/>
        </w:trPr>
        <w:tc>
          <w:tcPr>
            <w:tcW w:w="4620" w:type="dxa"/>
            <w:vAlign w:val="bottom"/>
          </w:tcPr>
          <w:p>
            <w:pPr>
              <w:ind w:left="440"/>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200" w:type="dxa"/>
            <w:vAlign w:val="bottom"/>
          </w:tcPr>
          <w:p>
            <w:pPr>
              <w:spacing w:after="0"/>
              <w:rPr>
                <w:sz w:val="11"/>
                <w:szCs w:val="1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(13,336 )</w:t>
            </w:r>
          </w:p>
        </w:tc>
        <w:tc>
          <w:tcPr>
            <w:tcW w:w="200" w:type="dxa"/>
            <w:vAlign w:val="bottom"/>
          </w:tcPr>
          <w:p>
            <w:pPr>
              <w:spacing w:after="0"/>
              <w:rPr>
                <w:sz w:val="11"/>
                <w:szCs w:val="1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(25,310 )</w:t>
            </w:r>
          </w:p>
        </w:tc>
      </w:tr>
      <w:tr>
        <w:trPr>
          <w:trHeight w:val="131"/>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Investing Activities:</w:t>
            </w:r>
          </w:p>
        </w:tc>
        <w:tc>
          <w:tcPr>
            <w:tcW w:w="2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0"/>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 of property and equipment</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(3,490 )</w:t>
            </w:r>
          </w:p>
        </w:tc>
        <w:tc>
          <w:tcPr>
            <w:tcW w:w="20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(2,570 )</w:t>
            </w:r>
          </w:p>
        </w:tc>
      </w:tr>
      <w:tr>
        <w:trPr>
          <w:trHeight w:val="14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Maturity of short-term investments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119,000</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115,000</w:t>
            </w: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short-term investments</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(206,881 )</w:t>
            </w:r>
          </w:p>
        </w:tc>
        <w:tc>
          <w:tcPr>
            <w:tcW w:w="20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(156,400 )</w:t>
            </w:r>
          </w:p>
        </w:tc>
      </w:tr>
      <w:tr>
        <w:trPr>
          <w:trHeight w:val="20"/>
        </w:trPr>
        <w:tc>
          <w:tcPr>
            <w:tcW w:w="4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1"/>
        </w:trPr>
        <w:tc>
          <w:tcPr>
            <w:tcW w:w="46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(91,371 )</w:t>
            </w:r>
          </w:p>
        </w:tc>
        <w:tc>
          <w:tcPr>
            <w:tcW w:w="2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(43,970 )</w:t>
            </w:r>
          </w:p>
        </w:tc>
      </w:tr>
      <w:tr>
        <w:trPr>
          <w:trHeight w:val="131"/>
        </w:trPr>
        <w:tc>
          <w:tcPr>
            <w:tcW w:w="4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Financing Activities:</w:t>
            </w: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CFF0FC"/>
            </w:tcBorders>
          </w:tcPr>
          <w:p>
            <w:pPr>
              <w:spacing w:after="0"/>
              <w:rPr>
                <w:sz w:val="11"/>
                <w:szCs w:val="11"/>
                <w:color w:val="auto"/>
              </w:rPr>
            </w:pPr>
          </w:p>
        </w:tc>
      </w:tr>
      <w:tr>
        <w:trPr>
          <w:trHeight w:val="14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Proceeds from term loan</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Repayment of term loan</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(40,000 )</w:t>
            </w:r>
          </w:p>
        </w:tc>
      </w:tr>
      <w:tr>
        <w:trPr>
          <w:trHeight w:val="14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Proceeds from issuance of common stock from public offering</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108,100</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54,050</w:t>
            </w: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issuance of common stock from at-the-market offerings</w:t>
            </w:r>
          </w:p>
        </w:tc>
        <w:tc>
          <w:tcPr>
            <w:tcW w:w="200" w:type="dxa"/>
            <w:vAlign w:val="bottom"/>
          </w:tcPr>
          <w:p>
            <w:pPr>
              <w:spacing w:after="0"/>
              <w:rPr>
                <w:sz w:val="12"/>
                <w:szCs w:val="12"/>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30,496</w:t>
            </w: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Proceeds from issuance of common stock</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13,993</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3,896</w:t>
            </w: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Payments for employee taxes related to stock compensation</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(2,133 )</w:t>
            </w:r>
          </w:p>
        </w:tc>
        <w:tc>
          <w:tcPr>
            <w:tcW w:w="20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(337 )</w:t>
            </w:r>
          </w:p>
        </w:tc>
      </w:tr>
      <w:tr>
        <w:trPr>
          <w:trHeight w:val="14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Principal payments on finance lease liabilities</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(38 )</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(82 )</w:t>
            </w:r>
          </w:p>
        </w:tc>
      </w:tr>
      <w:tr>
        <w:trPr>
          <w:trHeight w:val="140"/>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Payments of deferred offering costs</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(377 )</w:t>
            </w:r>
          </w:p>
        </w:tc>
        <w:tc>
          <w:tcPr>
            <w:tcW w:w="20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(602 )</w:t>
            </w:r>
          </w:p>
        </w:tc>
      </w:tr>
      <w:tr>
        <w:trPr>
          <w:trHeight w:val="140"/>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Payments of debt issuance costs</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(80 )</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(1,225 )</w:t>
            </w:r>
          </w:p>
        </w:tc>
      </w:tr>
      <w:tr>
        <w:trPr>
          <w:trHeight w:val="131"/>
        </w:trPr>
        <w:tc>
          <w:tcPr>
            <w:tcW w:w="4620" w:type="dxa"/>
            <w:vAlign w:val="bottom"/>
            <w:tcBorders>
              <w:top w:val="single" w:sz="8" w:color="CFF0FC"/>
            </w:tcBorders>
          </w:tcPr>
          <w:p>
            <w:pPr>
              <w:ind w:left="440"/>
              <w:spacing w:after="0"/>
              <w:rPr>
                <w:sz w:val="20"/>
                <w:szCs w:val="20"/>
                <w:color w:val="auto"/>
              </w:rPr>
            </w:pPr>
            <w:r>
              <w:rPr>
                <w:rFonts w:ascii="Times New Roman" w:cs="Times New Roman" w:eastAsia="Times New Roman" w:hAnsi="Times New Roman"/>
                <w:sz w:val="11"/>
                <w:szCs w:val="11"/>
                <w:color w:val="auto"/>
              </w:rPr>
              <w:t>Net cash provided by financing activities</w:t>
            </w: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119,465</w:t>
            </w:r>
          </w:p>
        </w:tc>
        <w:tc>
          <w:tcPr>
            <w:tcW w:w="160" w:type="dxa"/>
            <w:vAlign w:val="bottom"/>
            <w:tcBorders>
              <w:top w:val="single" w:sz="8" w:color="CFF0FC"/>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66,196</w:t>
            </w:r>
          </w:p>
        </w:tc>
        <w:tc>
          <w:tcPr>
            <w:tcW w:w="60" w:type="dxa"/>
            <w:vAlign w:val="bottom"/>
            <w:tcBorders>
              <w:top w:val="single" w:sz="8" w:color="CFF0FC"/>
            </w:tcBorders>
          </w:tcPr>
          <w:p>
            <w:pPr>
              <w:spacing w:after="0"/>
              <w:rPr>
                <w:sz w:val="11"/>
                <w:szCs w:val="11"/>
                <w:color w:val="auto"/>
              </w:rPr>
            </w:pPr>
          </w:p>
        </w:tc>
      </w:tr>
      <w:tr>
        <w:trPr>
          <w:trHeight w:val="131"/>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Effect of foreign exchange rate on cash, cash equivalents and restricted cash</w:t>
            </w:r>
          </w:p>
        </w:tc>
        <w:tc>
          <w:tcPr>
            <w:tcW w:w="200" w:type="dxa"/>
            <w:vAlign w:val="bottom"/>
            <w:shd w:val="clear" w:color="auto" w:fill="CFF0FC"/>
          </w:tcPr>
          <w:p>
            <w:pPr>
              <w:spacing w:after="0"/>
              <w:rPr>
                <w:sz w:val="11"/>
                <w:szCs w:val="11"/>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(4 )</w:t>
            </w: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FF0FC"/>
          </w:tcPr>
          <w:p>
            <w:pPr>
              <w:spacing w:after="0"/>
              <w:rPr>
                <w:sz w:val="11"/>
                <w:szCs w:val="11"/>
                <w:color w:val="auto"/>
              </w:rPr>
            </w:pPr>
          </w:p>
        </w:tc>
      </w:tr>
      <w:tr>
        <w:trPr>
          <w:trHeight w:val="140"/>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increase (decrease) in cash, cash equivalents and restricted cash</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14,754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(3,081 )</w:t>
            </w:r>
          </w:p>
        </w:tc>
      </w:tr>
      <w:tr>
        <w:trPr>
          <w:trHeight w:val="140"/>
        </w:trPr>
        <w:tc>
          <w:tcPr>
            <w:tcW w:w="4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 - beginning of period</w:t>
            </w:r>
          </w:p>
        </w:tc>
        <w:tc>
          <w:tcPr>
            <w:tcW w:w="2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10,402</w:t>
            </w:r>
          </w:p>
        </w:tc>
        <w:tc>
          <w:tcPr>
            <w:tcW w:w="1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12,595</w:t>
            </w:r>
          </w:p>
        </w:tc>
        <w:tc>
          <w:tcPr>
            <w:tcW w:w="60" w:type="dxa"/>
            <w:vAlign w:val="bottom"/>
            <w:tcBorders>
              <w:bottom w:val="single" w:sz="8" w:color="CFF0FC"/>
            </w:tcBorders>
            <w:shd w:val="clear" w:color="auto" w:fill="CFF0FC"/>
          </w:tcPr>
          <w:p>
            <w:pPr>
              <w:spacing w:after="0"/>
              <w:rPr>
                <w:sz w:val="12"/>
                <w:szCs w:val="12"/>
                <w:color w:val="auto"/>
              </w:rPr>
            </w:pPr>
          </w:p>
        </w:tc>
      </w:tr>
      <w:tr>
        <w:trPr>
          <w:trHeight w:val="131"/>
        </w:trPr>
        <w:tc>
          <w:tcPr>
            <w:tcW w:w="462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Cash, cash equivalents and restricted cash - end of period</w:t>
            </w:r>
          </w:p>
        </w:tc>
        <w:tc>
          <w:tcPr>
            <w:tcW w:w="200" w:type="dxa"/>
            <w:vAlign w:val="bottom"/>
            <w:tcBorders>
              <w:bottom w:val="single" w:sz="8" w:color="auto"/>
            </w:tcBorders>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25,156</w:t>
            </w:r>
          </w:p>
        </w:tc>
        <w:tc>
          <w:tcPr>
            <w:tcW w:w="160" w:type="dxa"/>
            <w:vAlign w:val="bottom"/>
          </w:tcPr>
          <w:p>
            <w:pPr>
              <w:spacing w:after="0"/>
              <w:rPr>
                <w:sz w:val="11"/>
                <w:szCs w:val="11"/>
                <w:color w:val="auto"/>
              </w:rPr>
            </w:pPr>
          </w:p>
        </w:tc>
        <w:tc>
          <w:tcPr>
            <w:tcW w:w="200" w:type="dxa"/>
            <w:vAlign w:val="bottom"/>
            <w:tcBorders>
              <w:bottom w:val="single" w:sz="8" w:color="auto"/>
            </w:tcBorders>
          </w:tcPr>
          <w:p>
            <w:pPr>
              <w:jc w:val="right"/>
              <w:ind w:right="8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rPr>
              <w:t>9,514</w:t>
            </w:r>
          </w:p>
        </w:tc>
        <w:tc>
          <w:tcPr>
            <w:tcW w:w="60" w:type="dxa"/>
            <w:vAlign w:val="bottom"/>
          </w:tcPr>
          <w:p>
            <w:pPr>
              <w:spacing w:after="0"/>
              <w:rPr>
                <w:sz w:val="11"/>
                <w:szCs w:val="1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12"/>
        </w:trPr>
        <w:tc>
          <w:tcPr>
            <w:tcW w:w="4620" w:type="dxa"/>
            <w:vAlign w:val="bottom"/>
            <w:shd w:val="clear" w:color="auto" w:fill="CFF0FC"/>
          </w:tcPr>
          <w:p>
            <w:pPr>
              <w:ind w:left="20"/>
              <w:spacing w:after="0" w:line="112" w:lineRule="exact"/>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r>
      <w:tr>
        <w:trPr>
          <w:trHeight w:val="140"/>
        </w:trPr>
        <w:tc>
          <w:tcPr>
            <w:tcW w:w="4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Operating cash flows from operating leases</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1,107</w:t>
            </w: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Cash paid for interest on financing leases</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Cash paid for interest on term loan</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3,240</w:t>
            </w: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Right-of-use assets obtained in exchange for lease obligations: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Operating lease</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9,060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4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Finance lease</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4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Lease obligations recorded for right-of-use assets: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1"/>
                <w:szCs w:val="11"/>
                <w:color w:val="auto"/>
              </w:rPr>
              <w:t>Operating lease</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9,060</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r>
      <w:tr>
        <w:trPr>
          <w:trHeight w:val="140"/>
        </w:trPr>
        <w:tc>
          <w:tcPr>
            <w:tcW w:w="4620" w:type="dxa"/>
            <w:vAlign w:val="bottom"/>
          </w:tcPr>
          <w:p>
            <w:pPr>
              <w:ind w:left="300"/>
              <w:spacing w:after="0"/>
              <w:rPr>
                <w:sz w:val="20"/>
                <w:szCs w:val="20"/>
                <w:color w:val="auto"/>
              </w:rPr>
            </w:pPr>
            <w:r>
              <w:rPr>
                <w:rFonts w:ascii="Times New Roman" w:cs="Times New Roman" w:eastAsia="Times New Roman" w:hAnsi="Times New Roman"/>
                <w:sz w:val="11"/>
                <w:szCs w:val="11"/>
                <w:color w:val="auto"/>
              </w:rPr>
              <w:t>Finance lease</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r>
      <w:tr>
        <w:trPr>
          <w:trHeight w:val="118"/>
        </w:trPr>
        <w:tc>
          <w:tcPr>
            <w:tcW w:w="4620" w:type="dxa"/>
            <w:vAlign w:val="bottom"/>
            <w:shd w:val="clear" w:color="auto" w:fill="CFF0FC"/>
          </w:tcPr>
          <w:p>
            <w:pPr>
              <w:ind w:left="160"/>
              <w:spacing w:after="0" w:line="119" w:lineRule="exact"/>
              <w:rPr>
                <w:sz w:val="20"/>
                <w:szCs w:val="20"/>
                <w:color w:val="auto"/>
              </w:rPr>
            </w:pPr>
            <w:r>
              <w:rPr>
                <w:rFonts w:ascii="Times New Roman" w:cs="Times New Roman" w:eastAsia="Times New Roman" w:hAnsi="Times New Roman"/>
                <w:sz w:val="11"/>
                <w:szCs w:val="11"/>
                <w:color w:val="auto"/>
              </w:rPr>
              <w:t>Acquisition of property and equipment included in accounts payable and accrued expenses</w:t>
            </w: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r>
      <w:tr>
        <w:trPr>
          <w:trHeight w:val="140"/>
        </w:trPr>
        <w:tc>
          <w:tcPr>
            <w:tcW w:w="46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rPr>
              <w:t>and other current liabilities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60" w:type="dxa"/>
            <w:vAlign w:val="bottom"/>
            <w:shd w:val="clear" w:color="auto" w:fill="CFF0FC"/>
          </w:tcPr>
          <w:p>
            <w:pPr>
              <w:spacing w:after="0"/>
              <w:rPr>
                <w:sz w:val="12"/>
                <w:szCs w:val="12"/>
                <w:color w:val="auto"/>
              </w:rPr>
            </w:pPr>
          </w:p>
        </w:tc>
      </w:tr>
      <w:tr>
        <w:trPr>
          <w:trHeight w:val="140"/>
        </w:trPr>
        <w:tc>
          <w:tcPr>
            <w:tcW w:w="462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Deferred offering and financing costs included in accounts payable and accrued liabilities</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60" w:type="dxa"/>
            <w:vAlign w:val="bottom"/>
          </w:tcPr>
          <w:p>
            <w:pPr>
              <w:spacing w:after="0"/>
              <w:rPr>
                <w:sz w:val="12"/>
                <w:szCs w:val="12"/>
                <w:color w:val="auto"/>
              </w:rPr>
            </w:pPr>
          </w:p>
        </w:tc>
      </w:tr>
      <w:tr>
        <w:trPr>
          <w:trHeight w:val="140"/>
        </w:trPr>
        <w:tc>
          <w:tcPr>
            <w:tcW w:w="4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Reclassification of deferred financing costs</w:t>
            </w:r>
          </w:p>
        </w:tc>
        <w:tc>
          <w:tcPr>
            <w:tcW w:w="2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1"/>
                <w:szCs w:val="11"/>
                <w:color w:val="auto"/>
              </w:rPr>
              <w:t>(768 )</w:t>
            </w:r>
          </w:p>
        </w:tc>
        <w:tc>
          <w:tcPr>
            <w:tcW w:w="20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(1,075 )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-3340100</wp:posOffset>
            </wp:positionV>
            <wp:extent cx="4127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-3340100</wp:posOffset>
            </wp:positionV>
            <wp:extent cx="4127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-2787015</wp:posOffset>
            </wp:positionV>
            <wp:extent cx="4127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-2787015</wp:posOffset>
            </wp:positionV>
            <wp:extent cx="4127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-1891665</wp:posOffset>
            </wp:positionV>
            <wp:extent cx="4127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-1891665</wp:posOffset>
            </wp:positionV>
            <wp:extent cx="4127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4260850</wp:posOffset>
            </wp:positionH>
            <wp:positionV relativeFrom="paragraph">
              <wp:posOffset>-1522730</wp:posOffset>
            </wp:positionV>
            <wp:extent cx="4127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-1522730</wp:posOffset>
            </wp:positionV>
            <wp:extent cx="4127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unaudited condensed consolidated financial statements.</w:t>
      </w:r>
    </w:p>
    <w:p>
      <w:pPr>
        <w:spacing w:after="0" w:line="2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t>RxSIGHT,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Note 1 - Organization and Basis of Presentation</w:t>
      </w:r>
    </w:p>
    <w:p>
      <w:pPr>
        <w:spacing w:after="0" w:line="1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99" w:lineRule="exact"/>
        <w:rPr>
          <w:sz w:val="20"/>
          <w:szCs w:val="20"/>
          <w:color w:val="auto"/>
        </w:rPr>
      </w:pPr>
    </w:p>
    <w:p>
      <w:pPr>
        <w:ind w:left="1140" w:right="1319" w:firstLine="258"/>
        <w:spacing w:after="0" w:line="265" w:lineRule="auto"/>
        <w:rPr>
          <w:sz w:val="20"/>
          <w:szCs w:val="20"/>
          <w:color w:val="auto"/>
        </w:rPr>
      </w:pPr>
      <w:r>
        <w:rPr>
          <w:rFonts w:ascii="Times New Roman" w:cs="Times New Roman" w:eastAsia="Times New Roman" w:hAnsi="Times New Roman"/>
          <w:sz w:val="14"/>
          <w:szCs w:val="14"/>
          <w:color w:val="auto"/>
        </w:rPr>
        <w:t>RxSight®, Inc. (the “Company”) is a Delaware corporation headquartered in Aliso Viejo, California with one wholly owned subsidiary located in Amsterdam, Netherlands (“RxSight, B.V.”). RxSight, B.V. has a registered branch in the United Kingdom and a wholly owned subsidiary located in Germany (“RxSight GmbH”). The Company is engaged in the research and development, manufacture and sale of light adjustable intraocular lenses used in cataract surgery along with capital equipment used with the lenses.</w:t>
      </w:r>
    </w:p>
    <w:p>
      <w:pPr>
        <w:spacing w:after="0" w:line="80" w:lineRule="exact"/>
        <w:rPr>
          <w:sz w:val="20"/>
          <w:szCs w:val="20"/>
          <w:color w:val="auto"/>
        </w:rPr>
      </w:pPr>
    </w:p>
    <w:p>
      <w:pPr>
        <w:ind w:left="1140" w:right="1239" w:firstLine="258"/>
        <w:spacing w:after="0" w:line="264" w:lineRule="auto"/>
        <w:rPr>
          <w:sz w:val="20"/>
          <w:szCs w:val="20"/>
          <w:color w:val="auto"/>
        </w:rPr>
      </w:pPr>
      <w:r>
        <w:rPr>
          <w:rFonts w:ascii="Times New Roman" w:cs="Times New Roman" w:eastAsia="Times New Roman" w:hAnsi="Times New Roman"/>
          <w:sz w:val="14"/>
          <w:szCs w:val="14"/>
          <w:color w:val="auto"/>
        </w:rPr>
        <w:t>The Company’s products, which include the light adjustable lens® (“LAL™” and “LAL+™”, and collectively the “LAL”) and a specially designed machine for delivering light to the eye, the Light Delivery Device (“LDD™”), are approved by the United States (“U.S.”) Food and Drug Administration (“FDA”) primarily for sale in the U.S. and have regulatory approval in the U.S., Europe, Canada and Mexico. The Company began marketing its products in 2019. The LAL is a premium intraocular lens (“IOL”) which is partially reimbursable under Medicare. The Company competes with other IOLs in the premium market.</w:t>
      </w:r>
    </w:p>
    <w:p>
      <w:pPr>
        <w:spacing w:after="0" w:line="89" w:lineRule="exact"/>
        <w:rPr>
          <w:sz w:val="20"/>
          <w:szCs w:val="20"/>
          <w:color w:val="auto"/>
        </w:rPr>
      </w:pPr>
    </w:p>
    <w:p>
      <w:pPr>
        <w:ind w:left="1140" w:right="1179" w:firstLine="258"/>
        <w:spacing w:after="0" w:line="275"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RxSight, Inc. and its wholly owned subsidiaries, RxSight, B.V. and RxSight GmbH. All significant inter-company balances and transactions have been eliminated in consolidation.</w:t>
      </w:r>
    </w:p>
    <w:p>
      <w:pPr>
        <w:spacing w:after="0" w:line="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Basis of Presentation and Principles of Consolidation</w:t>
      </w:r>
    </w:p>
    <w:p>
      <w:pPr>
        <w:spacing w:after="0" w:line="99" w:lineRule="exact"/>
        <w:rPr>
          <w:sz w:val="20"/>
          <w:szCs w:val="20"/>
          <w:color w:val="auto"/>
        </w:rPr>
      </w:pPr>
    </w:p>
    <w:p>
      <w:pPr>
        <w:ind w:left="1140" w:right="1159" w:firstLine="258"/>
        <w:spacing w:after="0" w:line="259" w:lineRule="auto"/>
        <w:rPr>
          <w:sz w:val="20"/>
          <w:szCs w:val="20"/>
          <w:color w:val="auto"/>
        </w:rPr>
      </w:pPr>
      <w:r>
        <w:rPr>
          <w:rFonts w:ascii="Times New Roman" w:cs="Times New Roman" w:eastAsia="Times New Roman" w:hAnsi="Times New Roman"/>
          <w:sz w:val="14"/>
          <w:szCs w:val="14"/>
          <w:color w:val="auto"/>
        </w:rPr>
        <w:t>The Company’s condensed consolidated financial statements have been prepared in accordance with accounting principles generally accepted in the United States of America (“GAAP”) for interim financial information and pursuant to Form 10-Q and Article 10 of Regulation S-X of the Securities and Exchange Commission (“SEC”). Accordingly, the accompanying unaudited condensed consolidated financial statements do not include all of the information and notes required by GAAP for complete financial statements. The unaudited interim financial statements reflect all adjustments which, in the opinion of management, are necessary for a fair statement of the results for the periods presented. All such adjustments are of a normal and recurring nature. The December 31, 2023 balance sheet data was derived from audited financial statements; however, the accompanying notes to the condensed consolidated financial statements do not include all of the annual disclosures required under GAAP and should be read in conjunction with the audited consolidated financial statements included in the Company’s 2023 Annual Report on Form 10-K filed with the SEC on February 28, 2024. The operating results presented in these unaudited condensed consolidated financial statements are not necessarily indicative of the results that may be expected for any future periods.</w:t>
      </w:r>
    </w:p>
    <w:p>
      <w:pPr>
        <w:spacing w:after="0" w:line="2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Operating Segments</w:t>
      </w:r>
    </w:p>
    <w:p>
      <w:pPr>
        <w:spacing w:after="0" w:line="132" w:lineRule="exact"/>
        <w:rPr>
          <w:sz w:val="20"/>
          <w:szCs w:val="20"/>
          <w:color w:val="auto"/>
        </w:rPr>
      </w:pPr>
    </w:p>
    <w:p>
      <w:pPr>
        <w:ind w:left="1140" w:right="1159" w:firstLine="258"/>
        <w:spacing w:after="0" w:line="265" w:lineRule="auto"/>
        <w:rPr>
          <w:sz w:val="20"/>
          <w:szCs w:val="20"/>
          <w:color w:val="auto"/>
        </w:rPr>
      </w:pPr>
      <w:r>
        <w:rPr>
          <w:rFonts w:ascii="Times New Roman" w:cs="Times New Roman" w:eastAsia="Times New Roman" w:hAnsi="Times New Roman"/>
          <w:sz w:val="14"/>
          <w:szCs w:val="14"/>
          <w:color w:val="auto"/>
        </w:rPr>
        <w:t>The Company determined its operating segment on the same basis that it uses to evaluate its performance internally. The Company’s chief operating decision-maker (“CODM”), its Chief Executive Officer, reviews its consolidated operating results for the purpose of allocating resources and evaluating financial performance. The Company determined that it operates and manages its business (including its non-U.S. subsidiaries) in one reportable segment: the research and development, manufacture and sale of light adjustable lenses and related capital equipment.</w:t>
      </w:r>
    </w:p>
    <w:p>
      <w:pPr>
        <w:spacing w:after="0" w:line="2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Liquidity</w:t>
      </w:r>
    </w:p>
    <w:p>
      <w:pPr>
        <w:spacing w:after="0" w:line="1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Shelf Registration Statement</w:t>
      </w:r>
    </w:p>
    <w:p>
      <w:pPr>
        <w:spacing w:after="0" w:line="132" w:lineRule="exact"/>
        <w:rPr>
          <w:sz w:val="20"/>
          <w:szCs w:val="20"/>
          <w:color w:val="auto"/>
        </w:rPr>
      </w:pPr>
    </w:p>
    <w:p>
      <w:pPr>
        <w:ind w:left="1140" w:right="1259" w:firstLine="258"/>
        <w:spacing w:after="0" w:line="264" w:lineRule="auto"/>
        <w:rPr>
          <w:sz w:val="20"/>
          <w:szCs w:val="20"/>
          <w:color w:val="auto"/>
        </w:rPr>
      </w:pPr>
      <w:r>
        <w:rPr>
          <w:rFonts w:ascii="Times New Roman" w:cs="Times New Roman" w:eastAsia="Times New Roman" w:hAnsi="Times New Roman"/>
          <w:sz w:val="14"/>
          <w:szCs w:val="14"/>
          <w:color w:val="auto"/>
        </w:rPr>
        <w:t>On May 8, 2024, the Company filed an automatic shelf registration statement on Form S-3 (“shelf registration statement”). The shelf registration statement is effective for three years and permits the Company to sell, from time to time, common stock, preferred stock, debt securities, warrants, and/or units. The shelf registration statement is intended to provide the Company with flexibility to access additional capital. At the time of filing the shelf registration statement, the Company also filed a prospectus supplement to sell up to an aggregate value of $115.0 million dollars of common stock through a public offering (“Public Offering”).</w:t>
      </w:r>
    </w:p>
    <w:p>
      <w:pPr>
        <w:spacing w:after="0" w:line="37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413385</wp:posOffset>
            </wp:positionV>
            <wp:extent cx="4288790" cy="39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0" w:name="page11"/>
    <w:bookmarkEnd w:id="10"/>
    <w:p>
      <w:pPr>
        <w:ind w:left="1140"/>
        <w:spacing w:after="0"/>
        <w:rPr>
          <w:sz w:val="20"/>
          <w:szCs w:val="20"/>
          <w:color w:val="auto"/>
        </w:rPr>
      </w:pPr>
      <w:r>
        <w:rPr>
          <w:rFonts w:ascii="Times New Roman" w:cs="Times New Roman" w:eastAsia="Times New Roman" w:hAnsi="Times New Roman"/>
          <w:sz w:val="14"/>
          <w:szCs w:val="14"/>
          <w:i w:val="1"/>
          <w:iCs w:val="1"/>
          <w:color w:val="auto"/>
        </w:rPr>
        <w:t>Public Offering</w:t>
      </w:r>
    </w:p>
    <w:p>
      <w:pPr>
        <w:spacing w:after="0" w:line="132" w:lineRule="exact"/>
        <w:rPr>
          <w:sz w:val="20"/>
          <w:szCs w:val="20"/>
          <w:color w:val="auto"/>
        </w:rPr>
      </w:pPr>
    </w:p>
    <w:p>
      <w:pPr>
        <w:jc w:val="both"/>
        <w:ind w:left="1140" w:right="1179" w:firstLine="258"/>
        <w:spacing w:after="0" w:line="263" w:lineRule="auto"/>
        <w:rPr>
          <w:sz w:val="20"/>
          <w:szCs w:val="20"/>
          <w:color w:val="auto"/>
        </w:rPr>
      </w:pPr>
      <w:r>
        <w:rPr>
          <w:rFonts w:ascii="Times New Roman" w:cs="Times New Roman" w:eastAsia="Times New Roman" w:hAnsi="Times New Roman"/>
          <w:sz w:val="14"/>
          <w:szCs w:val="14"/>
          <w:color w:val="auto"/>
        </w:rPr>
        <w:t>On May 8, 2024, the Company entered into an underwriting agreement with BofA Securities, Inc., in which the Company agreed to issue and sell 1,785,714 shares of the Company's common stock in a public offering, pursuant to the shelf registration statement. The shares of common stock were sold at a price to the public of $56.00 per share.</w:t>
      </w:r>
    </w:p>
    <w:p>
      <w:pPr>
        <w:spacing w:after="0" w:line="1" w:lineRule="exact"/>
        <w:rPr>
          <w:sz w:val="20"/>
          <w:szCs w:val="20"/>
          <w:color w:val="auto"/>
        </w:rPr>
      </w:pPr>
    </w:p>
    <w:p>
      <w:pPr>
        <w:ind w:left="1140" w:right="1179"/>
        <w:spacing w:after="0" w:line="259" w:lineRule="auto"/>
        <w:rPr>
          <w:sz w:val="20"/>
          <w:szCs w:val="20"/>
          <w:color w:val="auto"/>
        </w:rPr>
      </w:pPr>
      <w:r>
        <w:rPr>
          <w:rFonts w:ascii="Times New Roman" w:cs="Times New Roman" w:eastAsia="Times New Roman" w:hAnsi="Times New Roman"/>
          <w:sz w:val="14"/>
          <w:szCs w:val="14"/>
          <w:color w:val="auto"/>
        </w:rPr>
        <w:t>Under the terms of the underwriting agreement, the Company also granted the underwriters an option exercisable for 30 days from the date of the underwriting agreement to purchase up to an additional 267,857 shares of common stock on the same terms and conditions. The underwriters' option was exercised in full on May 10, 2024 and the Public Offering (inclusive of the underwriters' option shares) closed on May 13, 2024. The Company received net proceeds of $107.5 million from the Public Offering, after deducting underwriters' discounts and commissions of $6.9 million and other offering expenses of $0.6 million.</w:t>
      </w:r>
    </w:p>
    <w:p>
      <w:pPr>
        <w:spacing w:after="0" w:line="84" w:lineRule="exact"/>
        <w:rPr>
          <w:sz w:val="20"/>
          <w:szCs w:val="20"/>
          <w:color w:val="auto"/>
        </w:rPr>
      </w:pPr>
    </w:p>
    <w:p>
      <w:pPr>
        <w:ind w:left="1140" w:right="1819" w:firstLine="258"/>
        <w:spacing w:after="0" w:line="293" w:lineRule="auto"/>
        <w:rPr>
          <w:sz w:val="20"/>
          <w:szCs w:val="20"/>
          <w:color w:val="auto"/>
        </w:rPr>
      </w:pPr>
      <w:r>
        <w:rPr>
          <w:rFonts w:ascii="Times New Roman" w:cs="Times New Roman" w:eastAsia="Times New Roman" w:hAnsi="Times New Roman"/>
          <w:sz w:val="14"/>
          <w:szCs w:val="14"/>
          <w:color w:val="auto"/>
        </w:rPr>
        <w:t>As of June 30, 2024 and December 31, 2023 the Company had cash, cash equivalents and short-term investments of $233.2 million and $127.2 million, respectively.</w:t>
      </w:r>
    </w:p>
    <w:p>
      <w:pPr>
        <w:spacing w:after="0" w:line="70"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The Company began generating revenue from its principal operations in 2019. The Company has a limited operating history, and the revenue and income potential of the Company’s business and market are unproven. The Company has experienced recurring net losses and negative cash flows from operating activities since its inception. For the three months ended June 30, 2024 and 2023, the Company incurred losses from operations of $8.3 million and $13.6 million, respectively. For the six months ended June 30, 2024 and 2023, the Company incurred losses from operations of $19.0 million and $26.7 million, respectively. Based on the Company’s anticipated sales growth in relation to the anticipated costs associated with, among other things, its continuing research and development activities and the expansion of its sales and marketing activities, the Company expects to continue to incur net operating losses into the foreseeable future. Successful transition to attaining profitable operations is dependent upon gaining market acceptance of the Company’s products and achieving a level of revenues adequate to support the Company’s cost structure.</w:t>
      </w:r>
    </w:p>
    <w:p>
      <w:pPr>
        <w:spacing w:after="0" w:line="94" w:lineRule="exact"/>
        <w:rPr>
          <w:sz w:val="20"/>
          <w:szCs w:val="20"/>
          <w:color w:val="auto"/>
        </w:rPr>
      </w:pPr>
    </w:p>
    <w:p>
      <w:pPr>
        <w:ind w:left="1140" w:right="1179" w:firstLine="258"/>
        <w:spacing w:after="0" w:line="258"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assuming the Company will continue as a going concern. The Company believes that existing cash resources will be sufficient to meet projected operating requirements for at least 12 months from the date of issuance of the accompanying condensed consolidated financial statements, however for the near future, the Company expects to continue to incur operating losses and negative cash flows. The Company plans to continue to fund its losses from operations using its cash, cash equivalents and short-term investments as of June 30, 2024 and meet its future capital funding needs through equity or debt financings, other third-party funding, collaborations, strategic alliances and licensing arrangements or a combination of these. 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 There can be no assurance that the Company will be able to obtain additional financing on acceptable terms, or at all. If the Company is not able to secure adequate additional funding, the Company may be forced to make reductions in spending, extend payment terms with suppliers, liquidate assets where possible and/or suspend or curtail planned programs. Any of these actions could materially harm the Company’s business, results of operations and future prospects.</w:t>
      </w:r>
    </w:p>
    <w:p>
      <w:pPr>
        <w:spacing w:after="0" w:line="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Note 2 - Summary of Accounting Policies</w:t>
      </w:r>
    </w:p>
    <w:p>
      <w:pPr>
        <w:spacing w:after="0" w:line="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99" w:lineRule="exact"/>
        <w:rPr>
          <w:sz w:val="20"/>
          <w:szCs w:val="20"/>
          <w:color w:val="auto"/>
        </w:rPr>
      </w:pPr>
    </w:p>
    <w:p>
      <w:pPr>
        <w:ind w:left="1140" w:right="1319" w:firstLine="258"/>
        <w:spacing w:after="0" w:line="265"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GAAP requires management to make informed estimates, judgments and assumptions that affect the reported amounts in the condensed consolidated financial statements and disclosures in the accompanying notes as of the date of the accompanying condensed consolidated financial statements. On an on-going basis, management evaluates the most critical estimates and assumptions for continued reasonableness. Actual results may differ materially from the estimates used in the</w:t>
      </w:r>
    </w:p>
    <w:p>
      <w:pPr>
        <w:spacing w:after="0" w:line="38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413385</wp:posOffset>
            </wp:positionV>
            <wp:extent cx="4288790"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414" w:right="1440" w:bottom="1440" w:gutter="0" w:footer="0" w:header="0"/>
        </w:sectPr>
      </w:pPr>
    </w:p>
    <w:bookmarkStart w:id="11" w:name="page12"/>
    <w:bookmarkEnd w:id="11"/>
    <w:p>
      <w:pPr>
        <w:ind w:left="1140" w:right="1619"/>
        <w:spacing w:after="0" w:line="293" w:lineRule="auto"/>
        <w:rPr>
          <w:sz w:val="20"/>
          <w:szCs w:val="20"/>
          <w:color w:val="auto"/>
        </w:rPr>
      </w:pPr>
      <w:r>
        <w:rPr>
          <w:rFonts w:ascii="Times New Roman" w:cs="Times New Roman" w:eastAsia="Times New Roman" w:hAnsi="Times New Roman"/>
          <w:sz w:val="14"/>
          <w:szCs w:val="14"/>
          <w:color w:val="auto"/>
        </w:rPr>
        <w:t>preparation of the accompanying condensed consolidated financial statements under different assumptions or conditions.</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Significant Accounting Policies</w:t>
      </w:r>
    </w:p>
    <w:p>
      <w:pPr>
        <w:spacing w:after="0" w:line="99" w:lineRule="exact"/>
        <w:rPr>
          <w:sz w:val="20"/>
          <w:szCs w:val="20"/>
          <w:color w:val="auto"/>
        </w:rPr>
      </w:pPr>
    </w:p>
    <w:p>
      <w:pPr>
        <w:ind w:left="1140" w:right="1199" w:firstLine="258"/>
        <w:spacing w:after="0" w:line="268" w:lineRule="auto"/>
        <w:rPr>
          <w:sz w:val="20"/>
          <w:szCs w:val="20"/>
          <w:color w:val="auto"/>
        </w:rPr>
      </w:pPr>
      <w:r>
        <w:rPr>
          <w:rFonts w:ascii="Times New Roman" w:cs="Times New Roman" w:eastAsia="Times New Roman" w:hAnsi="Times New Roman"/>
          <w:sz w:val="14"/>
          <w:szCs w:val="14"/>
          <w:color w:val="auto"/>
        </w:rPr>
        <w:t>There have been no significant changes to the accounting policies during the three months ended June 30, 2024, as compared to the significant accounting policies described in Note 2 of the “Notes to Consolidated Financial Statements” in the Company’s audited consolidated financial statements included in its Annual Report on Form 10-K filed with the SEC on February 28, 2024.</w:t>
      </w: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Cash Equivalents</w:t>
      </w:r>
    </w:p>
    <w:p>
      <w:pPr>
        <w:spacing w:after="0" w:line="99" w:lineRule="exact"/>
        <w:rPr>
          <w:sz w:val="20"/>
          <w:szCs w:val="20"/>
          <w:color w:val="auto"/>
        </w:rPr>
      </w:pPr>
    </w:p>
    <w:p>
      <w:pPr>
        <w:jc w:val="both"/>
        <w:ind w:left="1140" w:right="1359" w:firstLine="258"/>
        <w:spacing w:after="0" w:line="275" w:lineRule="auto"/>
        <w:rPr>
          <w:sz w:val="20"/>
          <w:szCs w:val="20"/>
          <w:color w:val="auto"/>
        </w:rPr>
      </w:pPr>
      <w:r>
        <w:rPr>
          <w:rFonts w:ascii="Times New Roman" w:cs="Times New Roman" w:eastAsia="Times New Roman" w:hAnsi="Times New Roman"/>
          <w:sz w:val="14"/>
          <w:szCs w:val="14"/>
          <w:color w:val="auto"/>
        </w:rPr>
        <w:t>Cash equivalents consist of investments in money market accounts. The Company considers all highly liquid investments with original maturities of three months or less at the date of purchase that can be liquidated without prior notice or penalty to be cash equivalents.</w:t>
      </w:r>
    </w:p>
    <w:p>
      <w:pPr>
        <w:spacing w:after="0" w:line="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Short-term Investments</w:t>
      </w:r>
    </w:p>
    <w:p>
      <w:pPr>
        <w:spacing w:after="0" w:line="99" w:lineRule="exact"/>
        <w:rPr>
          <w:sz w:val="20"/>
          <w:szCs w:val="20"/>
          <w:color w:val="auto"/>
        </w:rPr>
      </w:pPr>
    </w:p>
    <w:p>
      <w:pPr>
        <w:ind w:left="1140" w:right="1199" w:firstLine="258"/>
        <w:spacing w:after="0" w:line="259" w:lineRule="auto"/>
        <w:rPr>
          <w:sz w:val="20"/>
          <w:szCs w:val="20"/>
          <w:color w:val="auto"/>
        </w:rPr>
      </w:pPr>
      <w:r>
        <w:rPr>
          <w:rFonts w:ascii="Times New Roman" w:cs="Times New Roman" w:eastAsia="Times New Roman" w:hAnsi="Times New Roman"/>
          <w:sz w:val="14"/>
          <w:szCs w:val="14"/>
          <w:color w:val="auto"/>
        </w:rPr>
        <w:t>Short-term investments are classified based on the maturity date of the related securities. Based on the nature of the assets, the Company’s short-term investments, which are government securities, are classified as available-for-sale and are recorded at their estimated fair value as determined by prices for identical or similar securities at the balance sheet date. The Company’s short-term investments consist of Level 2 financial instruments in the fair value hierarchy. Unrealized gains and losses are recorded as a component of Other Comprehensive Loss within Stockholders’ Equity on the condensed consolidated balance sheets. Realized gains and losses are included as other income (expense) in the accompanying Condensed Consolidated Statements of Operations and Comprehensive Loss. The cost basis for realized gains and losses on available-for-sale securities is determined on a specific identification basis. Management determines the appropriate classification of its investments at the time of purchase and reevaluates such determination at each balance sheet date. The Company periodically reviews its investments for unrealized losses other than credit losses and whenever events or changes in circumstances indicate that the carrying value of an asset may not be recoverable. In determining whether the carrying value is recoverable, management considers the following factors:</w:t>
      </w:r>
    </w:p>
    <w:p>
      <w:pPr>
        <w:spacing w:after="0" w:line="272" w:lineRule="exact"/>
        <w:rPr>
          <w:sz w:val="20"/>
          <w:szCs w:val="20"/>
          <w:color w:val="auto"/>
        </w:rPr>
      </w:pPr>
    </w:p>
    <w:p>
      <w:pPr>
        <w:ind w:left="1400" w:hanging="253"/>
        <w:spacing w:after="0"/>
        <w:tabs>
          <w:tab w:leader="none" w:pos="14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investment has been in a continuous loss position for over 12 months;</w:t>
      </w:r>
    </w:p>
    <w:p>
      <w:pPr>
        <w:spacing w:after="0" w:line="118" w:lineRule="exact"/>
        <w:rPr>
          <w:rFonts w:ascii="Times New Roman" w:cs="Times New Roman" w:eastAsia="Times New Roman" w:hAnsi="Times New Roman"/>
          <w:sz w:val="14"/>
          <w:szCs w:val="14"/>
          <w:color w:val="auto"/>
        </w:rPr>
      </w:pPr>
    </w:p>
    <w:p>
      <w:pPr>
        <w:ind w:left="1400" w:hanging="253"/>
        <w:spacing w:after="0"/>
        <w:tabs>
          <w:tab w:leader="none" w:pos="14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duration to maturity of investments;</w:t>
      </w:r>
    </w:p>
    <w:p>
      <w:pPr>
        <w:spacing w:after="0" w:line="129" w:lineRule="exact"/>
        <w:rPr>
          <w:rFonts w:ascii="Times New Roman" w:cs="Times New Roman" w:eastAsia="Times New Roman" w:hAnsi="Times New Roman"/>
          <w:sz w:val="14"/>
          <w:szCs w:val="14"/>
          <w:color w:val="auto"/>
        </w:rPr>
      </w:pPr>
    </w:p>
    <w:p>
      <w:pPr>
        <w:ind w:left="1400" w:right="1399" w:hanging="253"/>
        <w:spacing w:after="0" w:line="293" w:lineRule="auto"/>
        <w:tabs>
          <w:tab w:leader="none" w:pos="14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intention and ability to hold the investment to maturity and if it is not more likely than not that the Company will be required to sell the investment before recovery of the amortized cost basis;</w:t>
      </w:r>
    </w:p>
    <w:p>
      <w:pPr>
        <w:spacing w:after="0" w:line="69" w:lineRule="exact"/>
        <w:rPr>
          <w:rFonts w:ascii="Times New Roman" w:cs="Times New Roman" w:eastAsia="Times New Roman" w:hAnsi="Times New Roman"/>
          <w:sz w:val="14"/>
          <w:szCs w:val="14"/>
          <w:color w:val="auto"/>
        </w:rPr>
      </w:pPr>
    </w:p>
    <w:p>
      <w:pPr>
        <w:ind w:left="1400" w:hanging="253"/>
        <w:spacing w:after="0"/>
        <w:tabs>
          <w:tab w:leader="none" w:pos="14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credit rating, financial condition and near-term prospects of the issuer; and</w:t>
      </w:r>
    </w:p>
    <w:p>
      <w:pPr>
        <w:spacing w:after="0" w:line="118" w:lineRule="exact"/>
        <w:rPr>
          <w:rFonts w:ascii="Times New Roman" w:cs="Times New Roman" w:eastAsia="Times New Roman" w:hAnsi="Times New Roman"/>
          <w:sz w:val="14"/>
          <w:szCs w:val="14"/>
          <w:color w:val="auto"/>
        </w:rPr>
      </w:pPr>
    </w:p>
    <w:p>
      <w:pPr>
        <w:ind w:left="1400" w:hanging="253"/>
        <w:spacing w:after="0"/>
        <w:tabs>
          <w:tab w:leader="none" w:pos="14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of investments made.</w:t>
      </w:r>
    </w:p>
    <w:p>
      <w:pPr>
        <w:spacing w:after="0" w:line="97" w:lineRule="exact"/>
        <w:rPr>
          <w:sz w:val="20"/>
          <w:szCs w:val="20"/>
          <w:color w:val="auto"/>
        </w:rPr>
      </w:pPr>
    </w:p>
    <w:p>
      <w:pPr>
        <w:ind w:left="1140" w:right="1539" w:firstLine="258"/>
        <w:spacing w:after="0" w:line="293" w:lineRule="auto"/>
        <w:rPr>
          <w:sz w:val="20"/>
          <w:szCs w:val="20"/>
          <w:color w:val="auto"/>
        </w:rPr>
      </w:pPr>
      <w:r>
        <w:rPr>
          <w:rFonts w:ascii="Times New Roman" w:cs="Times New Roman" w:eastAsia="Times New Roman" w:hAnsi="Times New Roman"/>
          <w:sz w:val="14"/>
          <w:szCs w:val="14"/>
          <w:color w:val="auto"/>
        </w:rPr>
        <w:t>The Company had an unrealized loss of $99,000 and $10,000 of net unrealized gains related to short-term investments as of June 30, 2024 and December 31, 2023, respectively.</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Concentration of Credit Risk and Other Risks and Uncertainties</w:t>
      </w:r>
    </w:p>
    <w:p>
      <w:pPr>
        <w:spacing w:after="0" w:line="132"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concentration of credit risk consist primarily of cash, cash equivalents, short-term investments and accounts receivable. The Company’s policy is to invest cash in institutional money market funds and marketable securities of the U.S. government to limit the amount of credit exposure. The Company currently maintains a portfolio of cash equivalents and short-term investments in money market funds and U.S. treasury bills. A portion of the Company's operating cash is held in accounts in excess of the Federal Deposit Insurance Corporation (“FDIC”) insurance limits; however, the Company has established guidelines regarding diversification of its investments and their maturities, which are designed to maintain principal and maximize liquidity. The Company has not experienced material losses on cash equivalents and short-term investments.</w:t>
      </w:r>
    </w:p>
    <w:p>
      <w:pPr>
        <w:spacing w:after="0" w:line="256" w:lineRule="exact"/>
        <w:rPr>
          <w:sz w:val="20"/>
          <w:szCs w:val="20"/>
          <w:color w:val="auto"/>
        </w:rPr>
      </w:pPr>
    </w:p>
    <w:p>
      <w:pPr>
        <w:ind w:left="1140" w:right="1379" w:firstLine="258"/>
        <w:spacing w:after="0" w:line="293" w:lineRule="auto"/>
        <w:rPr>
          <w:sz w:val="20"/>
          <w:szCs w:val="20"/>
          <w:color w:val="auto"/>
        </w:rPr>
      </w:pPr>
      <w:r>
        <w:rPr>
          <w:rFonts w:ascii="Times New Roman" w:cs="Times New Roman" w:eastAsia="Times New Roman" w:hAnsi="Times New Roman"/>
          <w:sz w:val="14"/>
          <w:szCs w:val="14"/>
          <w:color w:val="auto"/>
        </w:rPr>
        <w:t>The Company’s products require approval from the FDA and foreign regulatory agencies before commercial sales can commence. There can be no assurance that the Company’s products will receive any of these required</w:t>
      </w:r>
    </w:p>
    <w:p>
      <w:pPr>
        <w:spacing w:after="0" w:line="36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413385</wp:posOffset>
            </wp:positionV>
            <wp:extent cx="428879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12" w:name="page13"/>
    <w:bookmarkEnd w:id="12"/>
    <w:p>
      <w:pPr>
        <w:ind w:left="1140" w:right="1379"/>
        <w:spacing w:after="0" w:line="275" w:lineRule="auto"/>
        <w:rPr>
          <w:sz w:val="20"/>
          <w:szCs w:val="20"/>
          <w:color w:val="auto"/>
        </w:rPr>
      </w:pPr>
      <w:r>
        <w:rPr>
          <w:rFonts w:ascii="Times New Roman" w:cs="Times New Roman" w:eastAsia="Times New Roman" w:hAnsi="Times New Roman"/>
          <w:sz w:val="14"/>
          <w:szCs w:val="14"/>
          <w:color w:val="auto"/>
        </w:rPr>
        <w:t>approvals. The denial or delay of such approvals may have a material adverse impact on the Company’s business and may impact business in the future. In addition, after approval by the FDA, there is still an ongoing risk of adverse events that did not appear during the device approval process.</w:t>
      </w:r>
    </w:p>
    <w:p>
      <w:pPr>
        <w:spacing w:after="0" w:line="81" w:lineRule="exact"/>
        <w:rPr>
          <w:sz w:val="20"/>
          <w:szCs w:val="20"/>
          <w:color w:val="auto"/>
        </w:rPr>
      </w:pPr>
    </w:p>
    <w:p>
      <w:pPr>
        <w:ind w:left="1140" w:right="1459" w:firstLine="258"/>
        <w:spacing w:after="0" w:line="265" w:lineRule="auto"/>
        <w:rPr>
          <w:sz w:val="20"/>
          <w:szCs w:val="20"/>
          <w:color w:val="auto"/>
        </w:rPr>
      </w:pPr>
      <w:r>
        <w:rPr>
          <w:rFonts w:ascii="Times New Roman" w:cs="Times New Roman" w:eastAsia="Times New Roman" w:hAnsi="Times New Roman"/>
          <w:sz w:val="14"/>
          <w:szCs w:val="14"/>
          <w:color w:val="auto"/>
        </w:rPr>
        <w:t>The Company is subject to risks common to companies in the medical device industry, including, but not limited to, new technological innovations, clinical development risk, establishment of appropriate commercial partnerships, protection of proprietary technology, compliance with government and environmental regulations, uncertainty of market acceptance of the Company's products, product liability and the need to obtain additional financing.</w:t>
      </w:r>
    </w:p>
    <w:p>
      <w:pPr>
        <w:spacing w:after="0" w:line="80" w:lineRule="exact"/>
        <w:rPr>
          <w:sz w:val="20"/>
          <w:szCs w:val="20"/>
          <w:color w:val="auto"/>
        </w:rPr>
      </w:pPr>
    </w:p>
    <w:p>
      <w:pPr>
        <w:ind w:left="1140" w:right="1259" w:firstLine="258"/>
        <w:spacing w:after="0" w:line="265" w:lineRule="auto"/>
        <w:rPr>
          <w:sz w:val="20"/>
          <w:szCs w:val="20"/>
          <w:color w:val="auto"/>
        </w:rPr>
      </w:pPr>
      <w:r>
        <w:rPr>
          <w:rFonts w:ascii="Times New Roman" w:cs="Times New Roman" w:eastAsia="Times New Roman" w:hAnsi="Times New Roman"/>
          <w:sz w:val="14"/>
          <w:szCs w:val="14"/>
          <w:color w:val="auto"/>
        </w:rPr>
        <w:t>The Company is subject to the risks related to global lead times, particularly in Europe and Asia, leading to a supply interruption from the Company's suppliers. In addition, the Company is currently experiencing inflation and longer lead times and limited availability in its supply chain for certain components and has continued exposure to price and supply risk related to anticipated purchases of certain commodities, materials and products used in its business.</w:t>
      </w:r>
    </w:p>
    <w:p>
      <w:pPr>
        <w:spacing w:after="0" w:line="8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Accounts Receivable</w:t>
      </w:r>
    </w:p>
    <w:p>
      <w:pPr>
        <w:spacing w:after="0" w:line="99" w:lineRule="exact"/>
        <w:rPr>
          <w:sz w:val="20"/>
          <w:szCs w:val="20"/>
          <w:color w:val="auto"/>
        </w:rPr>
      </w:pPr>
    </w:p>
    <w:p>
      <w:pPr>
        <w:ind w:left="1140" w:right="1299" w:firstLine="258"/>
        <w:spacing w:after="0" w:line="265" w:lineRule="auto"/>
        <w:rPr>
          <w:sz w:val="20"/>
          <w:szCs w:val="20"/>
          <w:color w:val="auto"/>
        </w:rPr>
      </w:pPr>
      <w:r>
        <w:rPr>
          <w:rFonts w:ascii="Times New Roman" w:cs="Times New Roman" w:eastAsia="Times New Roman" w:hAnsi="Times New Roman"/>
          <w:sz w:val="14"/>
          <w:szCs w:val="14"/>
          <w:color w:val="auto"/>
        </w:rPr>
        <w:t>The Company has a diverse customer base and as of June 30, 2024 and December 31, 2023 the Company did not have any customers who individually accounted for greater than 10% of accounts receivable. The Company maintains an allowance for credit losses resulting from the inability of its customers, including ambulatory surgery centers, to make required payments. After evaluation of the collectability of accounts receivable, the Company did not record any significant allowance for credit losses as of June 30, 2024 or December 31, 2023.</w:t>
      </w:r>
    </w:p>
    <w:p>
      <w:pPr>
        <w:spacing w:after="0" w:line="8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99" w:lineRule="exact"/>
        <w:rPr>
          <w:sz w:val="20"/>
          <w:szCs w:val="20"/>
          <w:color w:val="auto"/>
        </w:rPr>
      </w:pPr>
    </w:p>
    <w:p>
      <w:pPr>
        <w:ind w:left="1140" w:right="1199" w:firstLine="258"/>
        <w:spacing w:after="0" w:line="264" w:lineRule="auto"/>
        <w:rPr>
          <w:sz w:val="20"/>
          <w:szCs w:val="20"/>
          <w:color w:val="auto"/>
        </w:rPr>
      </w:pPr>
      <w:r>
        <w:rPr>
          <w:rFonts w:ascii="Times New Roman" w:cs="Times New Roman" w:eastAsia="Times New Roman" w:hAnsi="Times New Roman"/>
          <w:sz w:val="14"/>
          <w:szCs w:val="14"/>
          <w:color w:val="auto"/>
        </w:rPr>
        <w:t>The Company uses fair value measurements to record fair value adjustments to certain assets and liabilities and to determine fair value disclosures. Fair value is measured as the price that would be received from the sale of an asset or paid to transfer a liability in the principal or most advantageous market for the asset or liability in an orderly transaction between market participants on the measurement date. Valuation techniques that are consistent with the market, income or cost approach are used to measure fair value. The fair value hierarchy prioritizes the inputs to valuation techniques used to measure fair value into three levels:</w:t>
      </w:r>
    </w:p>
    <w:p>
      <w:pPr>
        <w:spacing w:after="0" w:line="78" w:lineRule="exact"/>
        <w:rPr>
          <w:sz w:val="20"/>
          <w:szCs w:val="20"/>
          <w:color w:val="auto"/>
        </w:rPr>
      </w:pPr>
    </w:p>
    <w:p>
      <w:pPr>
        <w:ind w:left="1140" w:right="1639" w:firstLine="258"/>
        <w:spacing w:after="0" w:line="293" w:lineRule="auto"/>
        <w:rPr>
          <w:sz w:val="20"/>
          <w:szCs w:val="20"/>
          <w:color w:val="auto"/>
        </w:rPr>
      </w:pPr>
      <w:r>
        <w:rPr>
          <w:rFonts w:ascii="Times New Roman" w:cs="Times New Roman" w:eastAsia="Times New Roman" w:hAnsi="Times New Roman"/>
          <w:sz w:val="14"/>
          <w:szCs w:val="14"/>
          <w:color w:val="auto"/>
        </w:rPr>
        <w:t>Level 1—Observable inputs such as unadjusted quoted prices in active markets that are accessible at the measurement date for identical unrestricted assets or liabilities.</w:t>
      </w:r>
    </w:p>
    <w:p>
      <w:pPr>
        <w:spacing w:after="0" w:line="70" w:lineRule="exact"/>
        <w:rPr>
          <w:sz w:val="20"/>
          <w:szCs w:val="20"/>
          <w:color w:val="auto"/>
        </w:rPr>
      </w:pPr>
    </w:p>
    <w:p>
      <w:pPr>
        <w:ind w:left="1140" w:right="1219" w:firstLine="258"/>
        <w:spacing w:after="0" w:line="264" w:lineRule="auto"/>
        <w:rPr>
          <w:sz w:val="20"/>
          <w:szCs w:val="20"/>
          <w:color w:val="auto"/>
        </w:rPr>
      </w:pPr>
      <w:r>
        <w:rPr>
          <w:rFonts w:ascii="Times New Roman" w:cs="Times New Roman" w:eastAsia="Times New Roman" w:hAnsi="Times New Roman"/>
          <w:sz w:val="14"/>
          <w:szCs w:val="14"/>
          <w:color w:val="auto"/>
        </w:rPr>
        <w:t>Level 2—Inputs (other than quoted prices included in Level 1) that are either directly or indirectly observable for the asset or liability, for substantially the full term of the asset or liability, through correlation with market data. These include quoted prices for similar assets or liabilities in active markets, quoted prices for identical or similar assets or liabilities in markets that are not active and inputs to valuation models or other pricing methodologies that do not require significant judgment because the inputs used in the model, such as interest rates and volatility, can be corroborated by readily observable market data.</w:t>
      </w:r>
    </w:p>
    <w:p>
      <w:pPr>
        <w:spacing w:after="0" w:line="89" w:lineRule="exact"/>
        <w:rPr>
          <w:sz w:val="20"/>
          <w:szCs w:val="20"/>
          <w:color w:val="auto"/>
        </w:rPr>
      </w:pPr>
    </w:p>
    <w:p>
      <w:pPr>
        <w:ind w:left="1140" w:right="1179" w:firstLine="258"/>
        <w:spacing w:after="0" w:line="264" w:lineRule="auto"/>
        <w:rPr>
          <w:sz w:val="20"/>
          <w:szCs w:val="20"/>
          <w:color w:val="auto"/>
        </w:rPr>
      </w:pPr>
      <w:r>
        <w:rPr>
          <w:rFonts w:ascii="Times New Roman" w:cs="Times New Roman" w:eastAsia="Times New Roman" w:hAnsi="Times New Roman"/>
          <w:sz w:val="14"/>
          <w:szCs w:val="14"/>
          <w:color w:val="auto"/>
        </w:rPr>
        <w:t>Level 3—One or more significant inputs that are unobservable and supported by little or no market activity and reflect the use of significant management judgment and assumptions. Level 3 assets and liabilities include those whose fair value measurements are determined using pricing models, discounted cash flow methodologies or similar valuation techniques and significant management judgment or estimation. These include the Black-Scholes option-pricing model which uses inputs such as expected volatility, risk-free interest rate and expected term to determine fair market valuation.</w:t>
      </w:r>
    </w:p>
    <w:p>
      <w:pPr>
        <w:spacing w:after="0" w:line="78" w:lineRule="exact"/>
        <w:rPr>
          <w:sz w:val="20"/>
          <w:szCs w:val="20"/>
          <w:color w:val="auto"/>
        </w:rPr>
      </w:pPr>
    </w:p>
    <w:p>
      <w:pPr>
        <w:ind w:left="1140" w:right="1279" w:firstLine="258"/>
        <w:spacing w:after="0" w:line="265" w:lineRule="auto"/>
        <w:rPr>
          <w:sz w:val="20"/>
          <w:szCs w:val="20"/>
          <w:color w:val="auto"/>
        </w:rPr>
      </w:pPr>
      <w:r>
        <w:rPr>
          <w:rFonts w:ascii="Times New Roman" w:cs="Times New Roman" w:eastAsia="Times New Roman" w:hAnsi="Times New Roman"/>
          <w:sz w:val="14"/>
          <w:szCs w:val="14"/>
          <w:color w:val="auto"/>
        </w:rPr>
        <w:t>Assets and liabilities are classified based on the lowest level of input that is significant to the fair value measurements. The Company reviews the fair value hierarchy classification at each reporting date. Changes in the ability to observe valuation inputs may result in a reclassification of levels for certain assets or liabilities within the fair value hierarchy. The Company did not have any transfers of assets and liabilities between the levels of the fair value measurement hierarchy during the years presented.</w:t>
      </w:r>
    </w:p>
    <w:p>
      <w:pPr>
        <w:spacing w:after="0" w:line="90" w:lineRule="exact"/>
        <w:rPr>
          <w:sz w:val="20"/>
          <w:szCs w:val="20"/>
          <w:color w:val="auto"/>
        </w:rPr>
      </w:pPr>
    </w:p>
    <w:p>
      <w:pPr>
        <w:ind w:left="1140" w:right="1159" w:firstLine="258"/>
        <w:spacing w:after="0" w:line="275" w:lineRule="auto"/>
        <w:rPr>
          <w:sz w:val="20"/>
          <w:szCs w:val="20"/>
          <w:color w:val="auto"/>
        </w:rPr>
      </w:pPr>
      <w:r>
        <w:rPr>
          <w:rFonts w:ascii="Times New Roman" w:cs="Times New Roman" w:eastAsia="Times New Roman" w:hAnsi="Times New Roman"/>
          <w:sz w:val="14"/>
          <w:szCs w:val="14"/>
          <w:color w:val="auto"/>
        </w:rPr>
        <w:t>The Company’s financial instruments consist principally of cash, cash equivalents, short-term investments, accounts receivable, accounts payable and operating lease liabilities. Cash, cash equivalents, accounts receivable and accounts payable are carried at their estimated fair value because of the short-term nature of these assets and</w:t>
      </w:r>
    </w:p>
    <w:p>
      <w:pPr>
        <w:spacing w:after="0" w:line="37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413385</wp:posOffset>
            </wp:positionV>
            <wp:extent cx="4288790" cy="39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13" w:name="page14"/>
    <w:bookmarkEnd w:id="13"/>
    <w:p>
      <w:pPr>
        <w:ind w:left="1140" w:right="1219"/>
        <w:spacing w:after="0" w:line="268" w:lineRule="auto"/>
        <w:rPr>
          <w:sz w:val="20"/>
          <w:szCs w:val="20"/>
          <w:color w:val="auto"/>
        </w:rPr>
      </w:pPr>
      <w:r>
        <w:rPr>
          <w:rFonts w:ascii="Times New Roman" w:cs="Times New Roman" w:eastAsia="Times New Roman" w:hAnsi="Times New Roman"/>
          <w:sz w:val="14"/>
          <w:szCs w:val="14"/>
          <w:color w:val="auto"/>
        </w:rPr>
        <w:t>liabilities. The Company’s short-term investments in government securities are carried at fair value, determined based on publicly available quoted market prices for identical securities at the measurement date. The Company believes the fair values of its operating lease liabilities at June 30, 2024 and December 31, 2023, approximated their carrying values, based on the borrowing rates that were available for loans with similar terms as of such date.</w:t>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Inventories</w:t>
      </w:r>
    </w:p>
    <w:p>
      <w:pPr>
        <w:spacing w:after="0" w:line="99"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Inventories consist of raw materials, work-in-process and finished goods. Raw materials are comprised of chemicals and parts used in the production of the Company's lenses, cartridges, and LDDs. Finished goods are comprised of lenses, cartridges, accessories and LDDs. Inventories are valued at the lower of cost or net realizable value. Cost is computed using standard cost, which approximates actual cost on a first-in, first-out basis. The carrying value of inventories is reviewed for potential impairment whenever indicators suggest that the cost of inventories exceeds the carrying value and management adjusts the inventories to its net realizable value. The cost of finished goods and work-in-process is comprised of raw materials, direct labor, other direct costs and related production overhead to the extent that these costs do not exceed the net realizable value of the goods produced. The Company periodically reviews inventories for potential impairment, estimated losses from obsolescence, material expirations or unmarketable inventories or excess inventories and writes down the cost of inventories to net realizable value at the time such determinations are made. Net realizable value is determined using the estimated selling price, in the ordinary course of business, less estimated costs to complete and dispose.</w:t>
      </w:r>
    </w:p>
    <w:p>
      <w:pPr>
        <w:spacing w:after="0" w:line="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Leases</w:t>
      </w:r>
    </w:p>
    <w:p>
      <w:pPr>
        <w:spacing w:after="0" w:line="132" w:lineRule="exact"/>
        <w:rPr>
          <w:sz w:val="20"/>
          <w:szCs w:val="20"/>
          <w:color w:val="auto"/>
        </w:rPr>
      </w:pPr>
    </w:p>
    <w:p>
      <w:pPr>
        <w:ind w:left="1140" w:right="1159" w:firstLine="258"/>
        <w:spacing w:after="0" w:line="259" w:lineRule="auto"/>
        <w:rPr>
          <w:sz w:val="20"/>
          <w:szCs w:val="20"/>
          <w:color w:val="auto"/>
        </w:rPr>
      </w:pPr>
      <w:r>
        <w:rPr>
          <w:rFonts w:ascii="Times New Roman" w:cs="Times New Roman" w:eastAsia="Times New Roman" w:hAnsi="Times New Roman"/>
          <w:sz w:val="14"/>
          <w:szCs w:val="14"/>
          <w:color w:val="auto"/>
        </w:rPr>
        <w:t>Lease right-of-use assets represent the Company’s right to use an underlying asset for the lease term, and lease liabilities represent the Company’s obligation to make lease payments arising from the lease. Operating lease right-of-use assets and liabilities are recognized when the Company takes possession of the leased property (“Commencement Date”) based on the present value of lease payments over the lease term. The Company estimates the incremental borrowing rate based upon the cost of its own debt financing, current market interest rates and quoted offerings or the rate implicit in the lease. Operating lease right-of-use assets also include any lease payments made at or before lease commencement and exclude any lease incentives received. The lease terms used to calculate the right-of-use asset and related lease liability include options to extend or terminate the lease when it is reasonably certain that the Company will exercise that option.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accompanying condensed consolidated balance sheets. Landlord improvement allowances and other such lease incentives are recorded as property and equipment and as reduction of the right-of-use leased assets and are amortized on a straight-line basis as a reduction to operating lease costs. Leases with an initial term of 12 months or less are expensed as incurred and are not recorded as right-of-use assets on the condensed consolidated balance sheets.</w:t>
      </w:r>
    </w:p>
    <w:p>
      <w:pPr>
        <w:spacing w:after="0" w:line="2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Net Loss per Share</w:t>
      </w:r>
    </w:p>
    <w:p>
      <w:pPr>
        <w:spacing w:after="0" w:line="121" w:lineRule="exact"/>
        <w:rPr>
          <w:sz w:val="20"/>
          <w:szCs w:val="20"/>
          <w:color w:val="auto"/>
        </w:rPr>
      </w:pPr>
    </w:p>
    <w:p>
      <w:pPr>
        <w:ind w:left="1140" w:right="1179" w:firstLine="258"/>
        <w:spacing w:after="0" w:line="264" w:lineRule="auto"/>
        <w:rPr>
          <w:sz w:val="20"/>
          <w:szCs w:val="20"/>
          <w:color w:val="auto"/>
        </w:rPr>
      </w:pPr>
      <w:r>
        <w:rPr>
          <w:rFonts w:ascii="Times New Roman" w:cs="Times New Roman" w:eastAsia="Times New Roman" w:hAnsi="Times New Roman"/>
          <w:sz w:val="14"/>
          <w:szCs w:val="14"/>
          <w:color w:val="auto"/>
        </w:rPr>
        <w:t>Basic net loss per share is computed by dividing net loss attributable to common stockholders by the weighted-average shares of common stock outstanding for the period, without consideration for potentially dilutive securities. Diluted net loss per share is computed by dividing the net loss attributable to common stockholders by the weighted-average shares of common stock and potentially dilutive securities outstanding for the period determined using the treasury-stock and if-converted methods. Diluted net loss per share is calculated by dividing net loss by the weighted-average number of shares of common stock and potential dilutive securities outstanding during the period.</w:t>
      </w:r>
    </w:p>
    <w:p>
      <w:pPr>
        <w:spacing w:after="0" w:line="37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413385</wp:posOffset>
            </wp:positionV>
            <wp:extent cx="4288790" cy="393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14" w:name="page15"/>
    <w:bookmarkEnd w:id="14"/>
    <w:p>
      <w:pPr>
        <w:ind w:left="1140" w:right="1279" w:firstLine="258"/>
        <w:spacing w:after="0" w:line="275" w:lineRule="auto"/>
        <w:rPr>
          <w:sz w:val="20"/>
          <w:szCs w:val="20"/>
          <w:color w:val="auto"/>
        </w:rPr>
      </w:pPr>
      <w:r>
        <w:rPr>
          <w:rFonts w:ascii="Times New Roman" w:cs="Times New Roman" w:eastAsia="Times New Roman" w:hAnsi="Times New Roman"/>
          <w:sz w:val="14"/>
          <w:szCs w:val="14"/>
          <w:color w:val="auto"/>
        </w:rPr>
        <w:t>The following outstanding potentially dilutive securities were excluded from the calculation of diluted net loss per share attributable to common stockholders because their impact under the treasury stock method was anti-dilutive for the periods presented:</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2820" w:type="dxa"/>
            <w:vAlign w:val="bottom"/>
          </w:tcPr>
          <w:p>
            <w:pPr>
              <w:spacing w:after="0"/>
              <w:rPr>
                <w:sz w:val="16"/>
                <w:szCs w:val="16"/>
                <w:color w:val="auto"/>
              </w:rPr>
            </w:pPr>
          </w:p>
        </w:tc>
        <w:tc>
          <w:tcPr>
            <w:tcW w:w="18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9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7"/>
        </w:trPr>
        <w:tc>
          <w:tcPr>
            <w:tcW w:w="2820" w:type="dxa"/>
            <w:vAlign w:val="bottom"/>
          </w:tcPr>
          <w:p>
            <w:pPr>
              <w:spacing w:after="0"/>
              <w:rPr>
                <w:sz w:val="16"/>
                <w:szCs w:val="16"/>
                <w:color w:val="auto"/>
              </w:rPr>
            </w:pPr>
          </w:p>
        </w:tc>
        <w:tc>
          <w:tcPr>
            <w:tcW w:w="9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84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162"/>
        </w:trPr>
        <w:tc>
          <w:tcPr>
            <w:tcW w:w="2820" w:type="dxa"/>
            <w:vAlign w:val="bottom"/>
            <w:tcBorders>
              <w:top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Stock options issued and outstanding under</w:t>
            </w:r>
          </w:p>
        </w:tc>
        <w:tc>
          <w:tcPr>
            <w:tcW w:w="90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2"/>
        </w:trPr>
        <w:tc>
          <w:tcPr>
            <w:tcW w:w="2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the Calhoun Vision, Inc. 2006 Stock Plan,</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72"/>
        </w:trPr>
        <w:tc>
          <w:tcPr>
            <w:tcW w:w="2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Calhoun Vision, Inc. 2015 Equity Incentive</w:t>
            </w:r>
          </w:p>
        </w:tc>
        <w:tc>
          <w:tcPr>
            <w:tcW w:w="9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98"/>
        </w:trPr>
        <w:tc>
          <w:tcPr>
            <w:tcW w:w="2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Plan and the 2021 Equity Incentive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5,618,186</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5,821,076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5,843,009</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3,409,842</w:t>
            </w:r>
          </w:p>
        </w:tc>
        <w:tc>
          <w:tcPr>
            <w:tcW w:w="60" w:type="dxa"/>
            <w:vAlign w:val="bottom"/>
            <w:shd w:val="clear" w:color="auto" w:fill="CFF0FC"/>
          </w:tcPr>
          <w:p>
            <w:pPr>
              <w:spacing w:after="0"/>
              <w:rPr>
                <w:sz w:val="17"/>
                <w:szCs w:val="17"/>
                <w:color w:val="auto"/>
              </w:rPr>
            </w:pPr>
          </w:p>
        </w:tc>
      </w:tr>
      <w:tr>
        <w:trPr>
          <w:trHeight w:val="168"/>
        </w:trPr>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Restricted stock units issued under the 2021</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2"/>
        </w:trPr>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 Incentive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666,573</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773,940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544,320</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671,956</w:t>
            </w:r>
          </w:p>
        </w:tc>
        <w:tc>
          <w:tcPr>
            <w:tcW w:w="60" w:type="dxa"/>
            <w:vAlign w:val="bottom"/>
          </w:tcPr>
          <w:p>
            <w:pPr>
              <w:spacing w:after="0"/>
              <w:rPr>
                <w:sz w:val="16"/>
                <w:szCs w:val="16"/>
                <w:color w:val="auto"/>
              </w:rPr>
            </w:pPr>
          </w:p>
        </w:tc>
      </w:tr>
      <w:tr>
        <w:trPr>
          <w:trHeight w:val="174"/>
        </w:trPr>
        <w:tc>
          <w:tcPr>
            <w:tcW w:w="2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Stock issuable in offering period under the</w:t>
            </w: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198"/>
        </w:trPr>
        <w:tc>
          <w:tcPr>
            <w:tcW w:w="2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2021 Employee Stock Purchase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59,149</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39,568</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61,085</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45,191</w:t>
            </w:r>
          </w:p>
        </w:tc>
        <w:tc>
          <w:tcPr>
            <w:tcW w:w="60" w:type="dxa"/>
            <w:vAlign w:val="bottom"/>
            <w:shd w:val="clear" w:color="auto" w:fill="CFF0FC"/>
          </w:tcPr>
          <w:p>
            <w:pPr>
              <w:spacing w:after="0"/>
              <w:rPr>
                <w:sz w:val="17"/>
                <w:szCs w:val="17"/>
                <w:color w:val="auto"/>
              </w:rPr>
            </w:pPr>
          </w:p>
        </w:tc>
      </w:tr>
    </w:tbl>
    <w:p>
      <w:pPr>
        <w:spacing w:after="0" w:line="20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Revenue Recognition</w:t>
      </w:r>
    </w:p>
    <w:p>
      <w:pPr>
        <w:spacing w:after="0" w:line="99" w:lineRule="exact"/>
        <w:rPr>
          <w:sz w:val="20"/>
          <w:szCs w:val="20"/>
          <w:color w:val="auto"/>
        </w:rPr>
      </w:pPr>
    </w:p>
    <w:p>
      <w:pPr>
        <w:ind w:left="1140" w:right="1339" w:firstLine="258"/>
        <w:spacing w:after="0" w:line="268" w:lineRule="auto"/>
        <w:rPr>
          <w:sz w:val="20"/>
          <w:szCs w:val="20"/>
          <w:color w:val="auto"/>
        </w:rPr>
      </w:pPr>
      <w:r>
        <w:rPr>
          <w:rFonts w:ascii="Times New Roman" w:cs="Times New Roman" w:eastAsia="Times New Roman" w:hAnsi="Times New Roman"/>
          <w:sz w:val="14"/>
          <w:szCs w:val="14"/>
          <w:color w:val="auto"/>
        </w:rPr>
        <w:t>The Company’s revenue is generated from the sale of LALs used in cataract surgery along with a specifically designed machine for delivering light to the eye, the LDD, to adjust the lens post-surgery, as needed. Revenue is recognized from sales of products in the U.S., Canada and Europe. Customers are primarily comprised of ambulatory surgery centers, hospitals, and physician private practices.</w:t>
      </w:r>
    </w:p>
    <w:p>
      <w:pPr>
        <w:spacing w:after="0" w:line="88" w:lineRule="exact"/>
        <w:rPr>
          <w:sz w:val="20"/>
          <w:szCs w:val="20"/>
          <w:color w:val="auto"/>
        </w:rPr>
      </w:pPr>
    </w:p>
    <w:p>
      <w:pPr>
        <w:ind w:left="1140" w:right="1179" w:firstLine="258"/>
        <w:spacing w:after="0" w:line="259" w:lineRule="auto"/>
        <w:rPr>
          <w:sz w:val="20"/>
          <w:szCs w:val="20"/>
          <w:color w:val="auto"/>
        </w:rPr>
      </w:pPr>
      <w:r>
        <w:rPr>
          <w:rFonts w:ascii="Times New Roman" w:cs="Times New Roman" w:eastAsia="Times New Roman" w:hAnsi="Times New Roman"/>
          <w:sz w:val="14"/>
          <w:szCs w:val="14"/>
          <w:color w:val="auto"/>
        </w:rPr>
        <w:t>The Company recognizes revenues when promised goods or services are transferred to customers at a transaction price that reflects the consideration to which the Company expects to be entitled in exchange for those goods and services. Specifically, the Company applies the following five steps to recognize revenue: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applies the five-step model to contracts when it is probable that it will collect the consideration to which it is entitled in exchange for the goods or services it transfers to the customer. At contract inception, the Company assesses the goods promised within each customer contract to determine the individual deliverables in its product offerings as separate performance obligations and assesses whether each promised good or service is distinct. The transaction price is determined based on the consideration expected to be received, based either on the stated value in contractual arrangements or the estimated cash to be collected in non-contracted arrangements. The Company recognizes revenue as the amount of the transaction price that is allocated to the respective performance obligation when, or as, the performance obligation is satisfied, considering whether or not this occurs at a point in time or over time. The Company elected to account for shipping costs as fulfillment costs rather than a promised service and excludes from revenue any taxes collected from customers that are remitted to government authorities.</w:t>
      </w:r>
    </w:p>
    <w:p>
      <w:pPr>
        <w:spacing w:after="0" w:line="82" w:lineRule="exact"/>
        <w:rPr>
          <w:sz w:val="20"/>
          <w:szCs w:val="20"/>
          <w:color w:val="auto"/>
        </w:rPr>
      </w:pPr>
    </w:p>
    <w:p>
      <w:pPr>
        <w:ind w:left="1140" w:right="1159" w:firstLine="258"/>
        <w:spacing w:after="0" w:line="259" w:lineRule="auto"/>
        <w:rPr>
          <w:sz w:val="20"/>
          <w:szCs w:val="20"/>
          <w:color w:val="auto"/>
        </w:rPr>
      </w:pPr>
      <w:r>
        <w:rPr>
          <w:rFonts w:ascii="Times New Roman" w:cs="Times New Roman" w:eastAsia="Times New Roman" w:hAnsi="Times New Roman"/>
          <w:sz w:val="14"/>
          <w:szCs w:val="14"/>
          <w:color w:val="auto"/>
        </w:rPr>
        <w:t>The Company’s LDD contracts contain multiple performance obligations bundled for one transaction price, with all obligations generally satisfied within one year. For these bundled arrangements, the Company accounts for individual products and services as separate performance obligations if they are distinct, that is, if a product or service is separately identifiable from other items in the bundled package, and if a customer can benefit from it on its own or with other resources that are readily available to the customer. The Company’s LDD contracts include a combination of the following performance obligations: (i) LDD capital asset and related components, (ii) training and (iii) device service (initial year). Each of these three performance obligations are considered distinct. The LDD capital asset is distinct because the customer can benefit from it together with other resources that are readily available to the customer. Training on the use of the machine is offered as a distinct activity after installation of the LDD to enhance the customer’s ability to utilize the machine by having an industry professional provide best practices and customize training to the specific needs of the customer. Each LDD comes with a twelve-month manufacturer’s warranty (service-type) that includes preventative maintenance, unscheduled service (labor and parts) and software updates. After the first year, service contracts can be purchased separately on a standalone basis. The Company recognizes revenue as performance obligations are satisfied by transferring control of the product or service to a customer. Specifically, revenue for the LDD capital asset is recognized at a point in time at installation. Revenue for training is also recorded at a point in time, generally 60 days after installation. Revenue</w:t>
      </w:r>
    </w:p>
    <w:p>
      <w:pPr>
        <w:spacing w:after="0" w:line="38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413385</wp:posOffset>
            </wp:positionV>
            <wp:extent cx="4288790" cy="393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15" w:name="page16"/>
    <w:bookmarkEnd w:id="15"/>
    <w:p>
      <w:pPr>
        <w:ind w:left="1140" w:right="1179"/>
        <w:spacing w:after="0" w:line="262" w:lineRule="auto"/>
        <w:rPr>
          <w:sz w:val="20"/>
          <w:szCs w:val="20"/>
          <w:color w:val="auto"/>
        </w:rPr>
      </w:pPr>
      <w:r>
        <w:rPr>
          <w:rFonts w:ascii="Times New Roman" w:cs="Times New Roman" w:eastAsia="Times New Roman" w:hAnsi="Times New Roman"/>
          <w:sz w:val="14"/>
          <w:szCs w:val="14"/>
          <w:color w:val="auto"/>
        </w:rPr>
        <w:t>for the device service is recognized ratably over time after installation, generally 12 months. The Company has determined that the transaction price is the invoice price, net of adjustments, if any. The allocation to the separate performance obligations is based upon the relative standalone selling price. Standalone selling prices are based on observable prices at which the Company separately sells the products or services. The Company estimates the standalone selling price using the market assessment approach considering market conditions and entity-specific factors including, but not limited to, features and functionality of the products and services, geographies, type of customer and market conditions. The Company regularly reviews and updates standalone selling prices as necessary.</w:t>
      </w:r>
    </w:p>
    <w:p>
      <w:pPr>
        <w:spacing w:after="0" w:line="93" w:lineRule="exact"/>
        <w:rPr>
          <w:sz w:val="20"/>
          <w:szCs w:val="20"/>
          <w:color w:val="auto"/>
        </w:rPr>
      </w:pPr>
    </w:p>
    <w:p>
      <w:pPr>
        <w:ind w:left="1140" w:right="1299" w:firstLine="258"/>
        <w:spacing w:after="0" w:line="268" w:lineRule="auto"/>
        <w:rPr>
          <w:sz w:val="20"/>
          <w:szCs w:val="20"/>
          <w:color w:val="auto"/>
        </w:rPr>
      </w:pPr>
      <w:r>
        <w:rPr>
          <w:rFonts w:ascii="Times New Roman" w:cs="Times New Roman" w:eastAsia="Times New Roman" w:hAnsi="Times New Roman"/>
          <w:sz w:val="14"/>
          <w:szCs w:val="14"/>
          <w:color w:val="auto"/>
        </w:rPr>
        <w:t>LALs are generally held at customer sites on consignment. The single performance obligation is satisfied, and revenue from sales is recognized for LALs upon customer notification that the LALs have been implanted in a patient. For the three and six months ended June 30, 2024 and 2023, credits related to returns and rebates on list prices were not significant.</w:t>
      </w:r>
    </w:p>
    <w:p>
      <w:pPr>
        <w:spacing w:after="0" w:line="77" w:lineRule="exact"/>
        <w:rPr>
          <w:sz w:val="20"/>
          <w:szCs w:val="20"/>
          <w:color w:val="auto"/>
        </w:rPr>
      </w:pPr>
    </w:p>
    <w:p>
      <w:pPr>
        <w:ind w:left="1140" w:right="1319" w:firstLine="258"/>
        <w:spacing w:after="0" w:line="275" w:lineRule="auto"/>
        <w:rPr>
          <w:sz w:val="20"/>
          <w:szCs w:val="20"/>
          <w:color w:val="auto"/>
        </w:rPr>
      </w:pPr>
      <w:r>
        <w:rPr>
          <w:rFonts w:ascii="Times New Roman" w:cs="Times New Roman" w:eastAsia="Times New Roman" w:hAnsi="Times New Roman"/>
          <w:sz w:val="14"/>
          <w:szCs w:val="14"/>
          <w:color w:val="auto"/>
        </w:rPr>
        <w:t>The Company has adopted the practical expedient permitting the direct expensing of costs incurred to obtain contracts where the amortization of such costs would occur over one year or less, and it applied to substantially all the Company’s contracts. Revenue for service agreements is recognized ratably over the term of each contract.</w:t>
      </w:r>
    </w:p>
    <w:p>
      <w:pPr>
        <w:spacing w:after="0" w:line="81" w:lineRule="exact"/>
        <w:rPr>
          <w:sz w:val="20"/>
          <w:szCs w:val="20"/>
          <w:color w:val="auto"/>
        </w:rPr>
      </w:pPr>
    </w:p>
    <w:p>
      <w:pPr>
        <w:ind w:left="1140" w:right="1179" w:firstLine="258"/>
        <w:spacing w:after="0" w:line="293" w:lineRule="auto"/>
        <w:rPr>
          <w:sz w:val="20"/>
          <w:szCs w:val="20"/>
          <w:color w:val="auto"/>
        </w:rPr>
      </w:pPr>
      <w:r>
        <w:rPr>
          <w:rFonts w:ascii="Times New Roman" w:cs="Times New Roman" w:eastAsia="Times New Roman" w:hAnsi="Times New Roman"/>
          <w:sz w:val="14"/>
          <w:szCs w:val="14"/>
          <w:color w:val="auto"/>
        </w:rPr>
        <w:t>For the three and six months ended June 30, 2024 and 2023, revenue from contracts with customers consisted of the following (in thousands):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2300" w:type="dxa"/>
            <w:vAlign w:val="bottom"/>
          </w:tcPr>
          <w:p>
            <w:pPr>
              <w:spacing w:after="0"/>
              <w:rPr>
                <w:sz w:val="16"/>
                <w:szCs w:val="16"/>
                <w:color w:val="auto"/>
              </w:rPr>
            </w:pPr>
          </w:p>
        </w:tc>
        <w:tc>
          <w:tcPr>
            <w:tcW w:w="2200" w:type="dxa"/>
            <w:vAlign w:val="bottom"/>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LDD (including training)</w:t>
            </w:r>
          </w:p>
        </w:tc>
        <w:tc>
          <w:tcPr>
            <w:tcW w:w="760" w:type="dxa"/>
            <w:vAlign w:val="bottom"/>
            <w:shd w:val="clear" w:color="auto" w:fill="CFF0FC"/>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10,189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7,720</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18,902</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14,195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LAL</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23,828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43,745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Service warranty, service contracts,</w:t>
            </w:r>
          </w:p>
        </w:tc>
        <w:tc>
          <w:tcPr>
            <w:tcW w:w="760" w:type="dxa"/>
            <w:vAlign w:val="bottom"/>
            <w:shd w:val="clear" w:color="auto" w:fill="CFF0FC"/>
          </w:tcPr>
          <w:p>
            <w:pPr>
              <w:spacing w:after="0"/>
              <w:rPr>
                <w:sz w:val="14"/>
                <w:szCs w:val="14"/>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and accessories</w:t>
            </w:r>
          </w:p>
        </w:tc>
        <w:tc>
          <w:tcPr>
            <w:tcW w:w="76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34,887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-149860</wp:posOffset>
            </wp:positionV>
            <wp:extent cx="476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-149860</wp:posOffset>
            </wp:positionV>
            <wp:extent cx="4127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-149860</wp:posOffset>
            </wp:positionV>
            <wp:extent cx="4127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-149860</wp:posOffset>
            </wp:positionV>
            <wp:extent cx="4127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48" w:lineRule="exact"/>
        <w:rPr>
          <w:sz w:val="20"/>
          <w:szCs w:val="20"/>
          <w:color w:val="auto"/>
        </w:rPr>
      </w:pPr>
    </w:p>
    <w:p>
      <w:pPr>
        <w:ind w:left="1140" w:right="1459" w:firstLine="258"/>
        <w:spacing w:after="0" w:line="293" w:lineRule="auto"/>
        <w:rPr>
          <w:sz w:val="20"/>
          <w:szCs w:val="20"/>
          <w:color w:val="auto"/>
        </w:rPr>
      </w:pPr>
      <w:r>
        <w:rPr>
          <w:rFonts w:ascii="Times New Roman" w:cs="Times New Roman" w:eastAsia="Times New Roman" w:hAnsi="Times New Roman"/>
          <w:sz w:val="14"/>
          <w:szCs w:val="14"/>
          <w:color w:val="auto"/>
        </w:rPr>
        <w:t>For the three and six months ended June 30, 2024 and 2023, the Company did not have any customers who individually accounted for greater than 10% of revenue.</w:t>
      </w:r>
    </w:p>
    <w:p>
      <w:pPr>
        <w:spacing w:after="0" w:line="59" w:lineRule="exact"/>
        <w:rPr>
          <w:sz w:val="20"/>
          <w:szCs w:val="20"/>
          <w:color w:val="auto"/>
        </w:rPr>
      </w:pPr>
    </w:p>
    <w:p>
      <w:pPr>
        <w:ind w:left="1140" w:right="1199" w:firstLine="258"/>
        <w:spacing w:after="0" w:line="293" w:lineRule="auto"/>
        <w:rPr>
          <w:sz w:val="20"/>
          <w:szCs w:val="20"/>
          <w:color w:val="auto"/>
        </w:rPr>
      </w:pPr>
      <w:r>
        <w:rPr>
          <w:rFonts w:ascii="Times New Roman" w:cs="Times New Roman" w:eastAsia="Times New Roman" w:hAnsi="Times New Roman"/>
          <w:sz w:val="14"/>
          <w:szCs w:val="14"/>
          <w:color w:val="auto"/>
        </w:rPr>
        <w:t>The following table represents the contract liabilities from sales activity for the six months ended June 30, 2024 and 2023, respectively (in thousands):</w:t>
      </w:r>
    </w:p>
    <w:p>
      <w:pPr>
        <w:spacing w:after="0" w:line="78"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3620" w:type="dxa"/>
            <w:vAlign w:val="bottom"/>
          </w:tcPr>
          <w:p>
            <w:pPr>
              <w:spacing w:after="0"/>
              <w:rPr>
                <w:sz w:val="16"/>
                <w:szCs w:val="16"/>
                <w:color w:val="auto"/>
              </w:rPr>
            </w:pPr>
          </w:p>
        </w:tc>
        <w:tc>
          <w:tcPr>
            <w:tcW w:w="25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7"/>
        </w:trPr>
        <w:tc>
          <w:tcPr>
            <w:tcW w:w="3620" w:type="dxa"/>
            <w:vAlign w:val="bottom"/>
          </w:tcPr>
          <w:p>
            <w:pPr>
              <w:spacing w:after="0"/>
              <w:rPr>
                <w:sz w:val="16"/>
                <w:szCs w:val="16"/>
                <w:color w:val="auto"/>
              </w:rPr>
            </w:pPr>
          </w:p>
        </w:tc>
        <w:tc>
          <w:tcPr>
            <w:tcW w:w="10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375"/>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beginning of period</w:t>
            </w:r>
          </w:p>
        </w:tc>
        <w:tc>
          <w:tcPr>
            <w:tcW w:w="102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180" w:type="dxa"/>
            <w:vAlign w:val="bottom"/>
          </w:tcPr>
          <w:p>
            <w:pPr>
              <w:spacing w:after="0"/>
              <w:rPr>
                <w:sz w:val="24"/>
                <w:szCs w:val="24"/>
                <w:color w:val="auto"/>
              </w:rPr>
            </w:pP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80" w:type="dxa"/>
            <w:vAlign w:val="bottom"/>
          </w:tcPr>
          <w:p>
            <w:pPr>
              <w:spacing w:after="0"/>
              <w:rPr>
                <w:sz w:val="24"/>
                <w:szCs w:val="24"/>
                <w:color w:val="auto"/>
              </w:rPr>
            </w:pPr>
          </w:p>
        </w:tc>
      </w:tr>
      <w:tr>
        <w:trPr>
          <w:trHeight w:val="200"/>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Additions during the period</w:t>
            </w:r>
          </w:p>
        </w:tc>
        <w:tc>
          <w:tcPr>
            <w:tcW w:w="10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1,391</w:t>
            </w:r>
          </w:p>
        </w:tc>
        <w:tc>
          <w:tcPr>
            <w:tcW w:w="80" w:type="dxa"/>
            <w:vAlign w:val="bottom"/>
            <w:shd w:val="clear" w:color="auto" w:fill="CFF0FC"/>
          </w:tcPr>
          <w:p>
            <w:pPr>
              <w:spacing w:after="0"/>
              <w:rPr>
                <w:sz w:val="17"/>
                <w:szCs w:val="17"/>
                <w:color w:val="auto"/>
              </w:rPr>
            </w:pPr>
          </w:p>
        </w:tc>
      </w:tr>
      <w:tr>
        <w:trPr>
          <w:trHeight w:val="190"/>
        </w:trPr>
        <w:tc>
          <w:tcPr>
            <w:tcW w:w="3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recognized during the period</w:t>
            </w:r>
          </w:p>
        </w:tc>
        <w:tc>
          <w:tcPr>
            <w:tcW w:w="10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(1,707 )</w:t>
            </w:r>
          </w:p>
        </w:tc>
        <w:tc>
          <w:tcPr>
            <w:tcW w:w="78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w w:val="99"/>
              </w:rPr>
              <w:t>(1,233 )</w:t>
            </w:r>
          </w:p>
        </w:tc>
      </w:tr>
      <w:tr>
        <w:trPr>
          <w:trHeight w:val="224"/>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end of period</w:t>
            </w:r>
          </w:p>
        </w:tc>
        <w:tc>
          <w:tcPr>
            <w:tcW w:w="1020" w:type="dxa"/>
            <w:vAlign w:val="bottom"/>
            <w:tcBorders>
              <w:top w:val="single" w:sz="8" w:color="auto"/>
              <w:bottom w:val="single" w:sz="8" w:color="auto"/>
            </w:tcBorders>
            <w:shd w:val="clear" w:color="auto" w:fill="CFF0FC"/>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1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3994150</wp:posOffset>
            </wp:positionH>
            <wp:positionV relativeFrom="paragraph">
              <wp:posOffset>-19685</wp:posOffset>
            </wp:positionV>
            <wp:extent cx="4127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-6350</wp:posOffset>
            </wp:positionV>
            <wp:extent cx="4127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-19685</wp:posOffset>
            </wp:positionV>
            <wp:extent cx="4127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-6350</wp:posOffset>
            </wp:positionV>
            <wp:extent cx="412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4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Stock-Based Compensation</w:t>
      </w:r>
    </w:p>
    <w:p>
      <w:pPr>
        <w:spacing w:after="0" w:line="132" w:lineRule="exact"/>
        <w:rPr>
          <w:sz w:val="20"/>
          <w:szCs w:val="20"/>
          <w:color w:val="auto"/>
        </w:rPr>
      </w:pPr>
    </w:p>
    <w:p>
      <w:pPr>
        <w:ind w:left="1140" w:right="1239" w:firstLine="258"/>
        <w:spacing w:after="0" w:line="268" w:lineRule="auto"/>
        <w:rPr>
          <w:sz w:val="20"/>
          <w:szCs w:val="20"/>
          <w:color w:val="auto"/>
        </w:rPr>
      </w:pPr>
      <w:r>
        <w:rPr>
          <w:rFonts w:ascii="Times New Roman" w:cs="Times New Roman" w:eastAsia="Times New Roman" w:hAnsi="Times New Roman"/>
          <w:sz w:val="14"/>
          <w:szCs w:val="14"/>
          <w:color w:val="auto"/>
        </w:rPr>
        <w:t>The Company has three equity incentive compensation plans: the Calhoun Vision, Inc. 2006 Stock Plan (“2006 Plan”); the Calhoun Vision, Inc. 2015 Equity Incentive Plan (“2015 Plan”); and the 2021 Equity Incentive Plan (“2021 Plan”), which are collectively referred to as the “Equity Plans.” The Company also has an employee stock purchase plan, the 2021 Employee Stock Purchase Plan (“2021 ESPP”).</w:t>
      </w:r>
    </w:p>
    <w:p>
      <w:pPr>
        <w:spacing w:after="0" w:line="77" w:lineRule="exact"/>
        <w:rPr>
          <w:sz w:val="20"/>
          <w:szCs w:val="20"/>
          <w:color w:val="auto"/>
        </w:rPr>
      </w:pPr>
    </w:p>
    <w:p>
      <w:pPr>
        <w:ind w:left="1140" w:right="1199" w:firstLine="258"/>
        <w:spacing w:after="0" w:line="264" w:lineRule="auto"/>
        <w:rPr>
          <w:sz w:val="20"/>
          <w:szCs w:val="20"/>
          <w:color w:val="auto"/>
        </w:rPr>
      </w:pPr>
      <w:r>
        <w:rPr>
          <w:rFonts w:ascii="Times New Roman" w:cs="Times New Roman" w:eastAsia="Times New Roman" w:hAnsi="Times New Roman"/>
          <w:sz w:val="14"/>
          <w:szCs w:val="14"/>
          <w:color w:val="auto"/>
        </w:rPr>
        <w:t>The Company recognizes compensation expense for equity-based awards on the date of grant to employees, board of directors and consultants based on the estimated grant date fair value of the award's Equity-based payments including stock options, restricted stock units and employee stock plan purchases. The fair value of the option awards are estimated using the Black-Scholes option-pricing model and recognized as an expense in the condensed consolidated statements of operations and comprehensive loss over the requisite service period, which is generally four years. The Company amortizes the stock-based compensation for equity awards with service conditions on a</w:t>
      </w:r>
    </w:p>
    <w:p>
      <w:pPr>
        <w:spacing w:after="0" w:line="37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413385</wp:posOffset>
            </wp:positionV>
            <wp:extent cx="4288790" cy="39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16" w:name="page17"/>
    <w:bookmarkEnd w:id="16"/>
    <w:p>
      <w:pPr>
        <w:ind w:left="1140" w:right="1239"/>
        <w:spacing w:after="0" w:line="293" w:lineRule="auto"/>
        <w:rPr>
          <w:sz w:val="20"/>
          <w:szCs w:val="20"/>
          <w:color w:val="auto"/>
        </w:rPr>
      </w:pPr>
      <w:r>
        <w:rPr>
          <w:rFonts w:ascii="Times New Roman" w:cs="Times New Roman" w:eastAsia="Times New Roman" w:hAnsi="Times New Roman"/>
          <w:sz w:val="14"/>
          <w:szCs w:val="14"/>
          <w:color w:val="auto"/>
        </w:rPr>
        <w:t>straight-line basis over the vesting period of the awards. Forfeitures of unvested stock option awards are recognized as reductions of expense as they occur.</w:t>
      </w:r>
    </w:p>
    <w:p>
      <w:pPr>
        <w:spacing w:after="0" w:line="70" w:lineRule="exact"/>
        <w:rPr>
          <w:sz w:val="20"/>
          <w:szCs w:val="20"/>
          <w:color w:val="auto"/>
        </w:rPr>
      </w:pPr>
    </w:p>
    <w:p>
      <w:pPr>
        <w:ind w:left="1140" w:right="1199" w:firstLine="258"/>
        <w:spacing w:after="0" w:line="275" w:lineRule="auto"/>
        <w:rPr>
          <w:sz w:val="20"/>
          <w:szCs w:val="20"/>
          <w:color w:val="auto"/>
        </w:rPr>
      </w:pPr>
      <w:r>
        <w:rPr>
          <w:rFonts w:ascii="Times New Roman" w:cs="Times New Roman" w:eastAsia="Times New Roman" w:hAnsi="Times New Roman"/>
          <w:sz w:val="14"/>
          <w:szCs w:val="14"/>
          <w:color w:val="auto"/>
        </w:rPr>
        <w:t>The Black-Scholes option-pricing model requires the use of assumptions about a number of variables, such as the fair market value of the Company’s common stock, expected volatility, expected term, risk-free interest rate, and dividend yield as discussed below:</w:t>
      </w:r>
    </w:p>
    <w:p>
      <w:pPr>
        <w:spacing w:after="0" w:line="133" w:lineRule="exact"/>
        <w:rPr>
          <w:sz w:val="20"/>
          <w:szCs w:val="20"/>
          <w:color w:val="auto"/>
        </w:rPr>
      </w:pPr>
    </w:p>
    <w:p>
      <w:pPr>
        <w:ind w:left="1600" w:right="1379"/>
        <w:spacing w:after="0" w:line="296" w:lineRule="auto"/>
        <w:rPr>
          <w:sz w:val="20"/>
          <w:szCs w:val="20"/>
          <w:color w:val="auto"/>
        </w:rPr>
      </w:pPr>
      <w:r>
        <w:rPr>
          <w:rFonts w:ascii="Times New Roman" w:cs="Times New Roman" w:eastAsia="Times New Roman" w:hAnsi="Times New Roman"/>
          <w:sz w:val="14"/>
          <w:szCs w:val="14"/>
          <w:i w:val="1"/>
          <w:iCs w:val="1"/>
          <w:color w:val="auto"/>
        </w:rPr>
        <w:t>Fair market value</w:t>
      </w:r>
      <w:r>
        <w:rPr>
          <w:rFonts w:ascii="Times New Roman" w:cs="Times New Roman" w:eastAsia="Times New Roman" w:hAnsi="Times New Roman"/>
          <w:sz w:val="14"/>
          <w:szCs w:val="14"/>
          <w:color w:val="auto"/>
        </w:rPr>
        <w:t>—The fair value of common stock is determined by using the closing price per share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as reported on the Nasdaq Global Market.</w:t>
      </w:r>
    </w:p>
    <w:p>
      <w:pPr>
        <w:spacing w:after="0" w:line="55" w:lineRule="exact"/>
        <w:rPr>
          <w:sz w:val="20"/>
          <w:szCs w:val="20"/>
          <w:color w:val="auto"/>
        </w:rPr>
      </w:pPr>
    </w:p>
    <w:p>
      <w:pPr>
        <w:ind w:left="1600" w:right="1239"/>
        <w:spacing w:after="0" w:line="266" w:lineRule="auto"/>
        <w:rPr>
          <w:sz w:val="20"/>
          <w:szCs w:val="20"/>
          <w:color w:val="auto"/>
        </w:rPr>
      </w:pPr>
      <w:r>
        <w:rPr>
          <w:rFonts w:ascii="Times New Roman" w:cs="Times New Roman" w:eastAsia="Times New Roman" w:hAnsi="Times New Roman"/>
          <w:sz w:val="14"/>
          <w:szCs w:val="14"/>
          <w:i w:val="1"/>
          <w:iCs w:val="1"/>
          <w:color w:val="auto"/>
        </w:rPr>
        <w:t>Expected volatility</w:t>
      </w:r>
      <w:r>
        <w:rPr>
          <w:rFonts w:ascii="Times New Roman" w:cs="Times New Roman" w:eastAsia="Times New Roman" w:hAnsi="Times New Roman"/>
          <w:sz w:val="14"/>
          <w:szCs w:val="14"/>
          <w:color w:val="auto"/>
        </w:rPr>
        <w:t>—Effective January 1, 2024, the Company based the expected volatility on the historic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volatility of its common stock. During the year ended December 31, 2023, the expected volatility was estimated based on the average historical volatilities for comparable publicly traded medical device companies over a period equal to the expected term of the stock option grants. Comparable companies were chosen based on their similar size, stage in the life cycle and area of specialty.</w:t>
      </w:r>
    </w:p>
    <w:p>
      <w:pPr>
        <w:spacing w:after="0" w:line="141" w:lineRule="exact"/>
        <w:rPr>
          <w:sz w:val="20"/>
          <w:szCs w:val="20"/>
          <w:color w:val="auto"/>
        </w:rPr>
      </w:pPr>
    </w:p>
    <w:p>
      <w:pPr>
        <w:ind w:left="1600" w:right="1159"/>
        <w:spacing w:after="0" w:line="276" w:lineRule="auto"/>
        <w:rPr>
          <w:sz w:val="20"/>
          <w:szCs w:val="20"/>
          <w:color w:val="auto"/>
        </w:rPr>
      </w:pPr>
      <w:r>
        <w:rPr>
          <w:rFonts w:ascii="Times New Roman" w:cs="Times New Roman" w:eastAsia="Times New Roman" w:hAnsi="Times New Roman"/>
          <w:sz w:val="14"/>
          <w:szCs w:val="14"/>
          <w:i w:val="1"/>
          <w:iCs w:val="1"/>
          <w:color w:val="auto"/>
        </w:rPr>
        <w:t>Expected term</w:t>
      </w:r>
      <w:r>
        <w:rPr>
          <w:rFonts w:ascii="Times New Roman" w:cs="Times New Roman" w:eastAsia="Times New Roman" w:hAnsi="Times New Roman"/>
          <w:sz w:val="14"/>
          <w:szCs w:val="14"/>
          <w:color w:val="auto"/>
        </w:rPr>
        <w:t>—The Company’s expected term represents the period that the Company’s stock-based awards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expected to be outstanding. The Company used the simplified method (based on the mid-point between the vesting date and the end of the contractual term) to determine the expected term.</w:t>
      </w:r>
    </w:p>
    <w:p>
      <w:pPr>
        <w:spacing w:after="0" w:line="133" w:lineRule="exact"/>
        <w:rPr>
          <w:sz w:val="20"/>
          <w:szCs w:val="20"/>
          <w:color w:val="auto"/>
        </w:rPr>
      </w:pPr>
    </w:p>
    <w:p>
      <w:pPr>
        <w:ind w:left="1580" w:right="1379"/>
        <w:spacing w:after="0" w:line="276" w:lineRule="auto"/>
        <w:rPr>
          <w:sz w:val="20"/>
          <w:szCs w:val="20"/>
          <w:color w:val="auto"/>
        </w:rPr>
      </w:pPr>
      <w:r>
        <w:rPr>
          <w:rFonts w:ascii="Times New Roman" w:cs="Times New Roman" w:eastAsia="Times New Roman" w:hAnsi="Times New Roman"/>
          <w:sz w:val="14"/>
          <w:szCs w:val="14"/>
          <w:i w:val="1"/>
          <w:iCs w:val="1"/>
          <w:color w:val="auto"/>
        </w:rPr>
        <w:t>Risk-free interest rate</w:t>
      </w:r>
      <w:r>
        <w:rPr>
          <w:rFonts w:ascii="Times New Roman" w:cs="Times New Roman" w:eastAsia="Times New Roman" w:hAnsi="Times New Roman"/>
          <w:sz w:val="14"/>
          <w:szCs w:val="14"/>
          <w:color w:val="auto"/>
        </w:rPr>
        <w:t>—The risk-free interest rate used is based on the published U.S. Department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Treasury interest rates in effect at the time of stock option grant for zero coupon U.S. Treasury notes with maturities approximating each grant’s expected term.</w:t>
      </w:r>
    </w:p>
    <w:p>
      <w:pPr>
        <w:spacing w:after="0" w:line="133" w:lineRule="exact"/>
        <w:rPr>
          <w:sz w:val="20"/>
          <w:szCs w:val="20"/>
          <w:color w:val="auto"/>
        </w:rPr>
      </w:pPr>
    </w:p>
    <w:p>
      <w:pPr>
        <w:ind w:left="1580" w:right="1579"/>
        <w:spacing w:after="0" w:line="296" w:lineRule="auto"/>
        <w:rPr>
          <w:sz w:val="20"/>
          <w:szCs w:val="20"/>
          <w:color w:val="auto"/>
        </w:rPr>
      </w:pPr>
      <w:r>
        <w:rPr>
          <w:rFonts w:ascii="Times New Roman" w:cs="Times New Roman" w:eastAsia="Times New Roman" w:hAnsi="Times New Roman"/>
          <w:sz w:val="14"/>
          <w:szCs w:val="14"/>
          <w:i w:val="1"/>
          <w:iCs w:val="1"/>
          <w:color w:val="auto"/>
        </w:rPr>
        <w:t>Dividend yield</w:t>
      </w:r>
      <w:r>
        <w:rPr>
          <w:rFonts w:ascii="Times New Roman" w:cs="Times New Roman" w:eastAsia="Times New Roman" w:hAnsi="Times New Roman"/>
          <w:sz w:val="14"/>
          <w:szCs w:val="14"/>
          <w:color w:val="auto"/>
        </w:rPr>
        <w:t>—The Company has never paid dividends on its common stock and has no plans to pay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dividends on its common stock. Therefore, the Company used an expected dividend yield of zero.</w:t>
      </w:r>
    </w:p>
    <w:p>
      <w:pPr>
        <w:spacing w:after="0" w:line="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Recent Accounting Pronouncements</w:t>
      </w:r>
    </w:p>
    <w:p>
      <w:pPr>
        <w:spacing w:after="0" w:line="132" w:lineRule="exact"/>
        <w:rPr>
          <w:sz w:val="20"/>
          <w:szCs w:val="20"/>
          <w:color w:val="auto"/>
        </w:rPr>
      </w:pPr>
    </w:p>
    <w:p>
      <w:pPr>
        <w:ind w:left="1140" w:right="1279" w:firstLine="258"/>
        <w:spacing w:after="0" w:line="268" w:lineRule="auto"/>
        <w:rPr>
          <w:sz w:val="20"/>
          <w:szCs w:val="20"/>
          <w:color w:val="auto"/>
        </w:rPr>
      </w:pPr>
      <w:r>
        <w:rPr>
          <w:rFonts w:ascii="Times New Roman" w:cs="Times New Roman" w:eastAsia="Times New Roman" w:hAnsi="Times New Roman"/>
          <w:sz w:val="14"/>
          <w:szCs w:val="14"/>
          <w:color w:val="auto"/>
        </w:rPr>
        <w:t>Changes to GAAP are established by the Financial Accounting Standards Board (“FASB”) in the form of accounting standards updates (“ASU”). There have been no recent accounting pronouncements, changes in accounting pronouncements or recently adopted accounting guidance during the three months ended June 30, 2024 that are of significance or potential significance to the Company.</w:t>
      </w:r>
    </w:p>
    <w:p>
      <w:pPr>
        <w:spacing w:after="0" w:line="2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Note 3 – Short-Term Investments</w:t>
      </w:r>
    </w:p>
    <w:p>
      <w:pPr>
        <w:spacing w:after="0" w:line="99" w:lineRule="exact"/>
        <w:rPr>
          <w:sz w:val="20"/>
          <w:szCs w:val="20"/>
          <w:color w:val="auto"/>
        </w:rPr>
      </w:pPr>
    </w:p>
    <w:p>
      <w:pPr>
        <w:ind w:left="1140" w:right="1219" w:firstLine="258"/>
        <w:spacing w:after="0" w:line="293" w:lineRule="auto"/>
        <w:rPr>
          <w:sz w:val="20"/>
          <w:szCs w:val="20"/>
          <w:color w:val="auto"/>
        </w:rPr>
      </w:pPr>
      <w:r>
        <w:rPr>
          <w:rFonts w:ascii="Times New Roman" w:cs="Times New Roman" w:eastAsia="Times New Roman" w:hAnsi="Times New Roman"/>
          <w:sz w:val="14"/>
          <w:szCs w:val="14"/>
          <w:color w:val="auto"/>
        </w:rPr>
        <w:t>Short-term investments, principally U.S. Treasury bills, are available-for-sale and consisted of the following (in thousands):</w:t>
      </w:r>
    </w:p>
    <w:p>
      <w:pPr>
        <w:spacing w:after="0" w:line="78"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1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7"/>
        </w:trPr>
        <w:tc>
          <w:tcPr>
            <w:tcW w:w="1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 Net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03"/>
        </w:trPr>
        <w:tc>
          <w:tcPr>
            <w:tcW w:w="1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208,938</w:t>
            </w:r>
          </w:p>
        </w:tc>
        <w:tc>
          <w:tcPr>
            <w:tcW w:w="2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208,839</w:t>
            </w:r>
          </w:p>
        </w:tc>
      </w:tr>
      <w:tr>
        <w:trPr>
          <w:trHeight w:val="20"/>
        </w:trPr>
        <w:tc>
          <w:tcPr>
            <w:tcW w:w="1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right w:val="single" w:sz="8" w:color="CFF0FC"/>
            </w:tcBorders>
            <w:shd w:val="clear" w:color="auto" w:fill="000000"/>
          </w:tcPr>
          <w:p>
            <w:pPr>
              <w:spacing w:after="0" w:line="20" w:lineRule="exact"/>
              <w:rPr>
                <w:sz w:val="1"/>
                <w:szCs w:val="1"/>
                <w:color w:val="auto"/>
              </w:rPr>
            </w:pPr>
          </w:p>
        </w:tc>
      </w:tr>
      <w:tr>
        <w:trPr>
          <w:trHeight w:val="261"/>
        </w:trPr>
        <w:tc>
          <w:tcPr>
            <w:tcW w:w="19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r>
      <w:tr>
        <w:trPr>
          <w:trHeight w:val="187"/>
        </w:trPr>
        <w:tc>
          <w:tcPr>
            <w:tcW w:w="1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Gain, Net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3"/>
        </w:trPr>
        <w:tc>
          <w:tcPr>
            <w:tcW w:w="1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117,480</w:t>
            </w: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117,490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2682240</wp:posOffset>
            </wp:positionH>
            <wp:positionV relativeFrom="paragraph">
              <wp:posOffset>-484505</wp:posOffset>
            </wp:positionV>
            <wp:extent cx="476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2682240</wp:posOffset>
            </wp:positionH>
            <wp:positionV relativeFrom="paragraph">
              <wp:posOffset>-470535</wp:posOffset>
            </wp:positionV>
            <wp:extent cx="4762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-484505</wp:posOffset>
            </wp:positionV>
            <wp:extent cx="4127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-470535</wp:posOffset>
            </wp:positionV>
            <wp:extent cx="4127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-484505</wp:posOffset>
            </wp:positionV>
            <wp:extent cx="4127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-470535</wp:posOffset>
            </wp:positionV>
            <wp:extent cx="4127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2682240</wp:posOffset>
            </wp:positionH>
            <wp:positionV relativeFrom="paragraph">
              <wp:posOffset>-19685</wp:posOffset>
            </wp:positionV>
            <wp:extent cx="4762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2682240</wp:posOffset>
            </wp:positionH>
            <wp:positionV relativeFrom="paragraph">
              <wp:posOffset>-6350</wp:posOffset>
            </wp:positionV>
            <wp:extent cx="4762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-19685</wp:posOffset>
            </wp:positionV>
            <wp:extent cx="4127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3823335</wp:posOffset>
            </wp:positionH>
            <wp:positionV relativeFrom="paragraph">
              <wp:posOffset>-6350</wp:posOffset>
            </wp:positionV>
            <wp:extent cx="4127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-19685</wp:posOffset>
            </wp:positionV>
            <wp:extent cx="4127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-6350</wp:posOffset>
            </wp:positionV>
            <wp:extent cx="4127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48" w:lineRule="exact"/>
        <w:rPr>
          <w:sz w:val="20"/>
          <w:szCs w:val="20"/>
          <w:color w:val="auto"/>
        </w:rPr>
      </w:pPr>
    </w:p>
    <w:p>
      <w:pPr>
        <w:ind w:left="1140" w:right="1179" w:firstLine="258"/>
        <w:spacing w:after="0" w:line="268" w:lineRule="auto"/>
        <w:rPr>
          <w:sz w:val="20"/>
          <w:szCs w:val="20"/>
          <w:color w:val="auto"/>
        </w:rPr>
      </w:pPr>
      <w:r>
        <w:rPr>
          <w:rFonts w:ascii="Times New Roman" w:cs="Times New Roman" w:eastAsia="Times New Roman" w:hAnsi="Times New Roman"/>
          <w:sz w:val="14"/>
          <w:szCs w:val="14"/>
          <w:color w:val="auto"/>
        </w:rPr>
        <w:t>All available-for-sale securities held as of June 30, 2024 and December 31, 2023 had a maturity of less than one year. The Company has classified all marketable securities, regardless of maturity, as short-term investments based upon the Company’s ability and intent to use any and all of those marketable securities to satisfy the Company’s liquidity requirements.</w:t>
      </w:r>
    </w:p>
    <w:p>
      <w:pPr>
        <w:spacing w:after="0" w:line="3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17" w:name="page18"/>
    <w:bookmarkEnd w:id="17"/>
    <w:tbl>
      <w:tblPr>
        <w:tblLayout w:type="fixed"/>
        <w:tblInd w:w="1140" w:type="dxa"/>
        <w:tblCellMar>
          <w:top w:w="0" w:type="dxa"/>
          <w:left w:w="0" w:type="dxa"/>
          <w:bottom w:w="0" w:type="dxa"/>
          <w:right w:w="0" w:type="dxa"/>
        </w:tblCellMar>
      </w:tblP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 Inventories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8"/>
        </w:trPr>
        <w:tc>
          <w:tcPr>
            <w:tcW w:w="4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Inventories consisted of the following (in thousands):</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1"/>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0"/>
        </w:trPr>
        <w:tc>
          <w:tcPr>
            <w:tcW w:w="40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7"/>
                <w:szCs w:val="17"/>
                <w:color w:val="auto"/>
              </w:rPr>
            </w:pPr>
          </w:p>
        </w:tc>
      </w:tr>
      <w:tr>
        <w:trPr>
          <w:trHeight w:val="19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Finished goods</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11,327</w:t>
            </w:r>
          </w:p>
        </w:tc>
        <w:tc>
          <w:tcPr>
            <w:tcW w:w="420" w:type="dxa"/>
            <w:vAlign w:val="bottom"/>
            <w:shd w:val="clear" w:color="auto" w:fill="CFF0FC"/>
          </w:tcPr>
          <w:p>
            <w:pPr>
              <w:spacing w:after="0"/>
              <w:rPr>
                <w:sz w:val="16"/>
                <w:szCs w:val="16"/>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8,092</w:t>
            </w:r>
          </w:p>
        </w:tc>
        <w:tc>
          <w:tcPr>
            <w:tcW w:w="60" w:type="dxa"/>
            <w:vAlign w:val="bottom"/>
            <w:shd w:val="clear" w:color="auto" w:fill="CFF0FC"/>
          </w:tcPr>
          <w:p>
            <w:pPr>
              <w:spacing w:after="0"/>
              <w:rPr>
                <w:sz w:val="16"/>
                <w:szCs w:val="16"/>
                <w:color w:val="auto"/>
              </w:rPr>
            </w:pPr>
          </w:p>
        </w:tc>
      </w:tr>
      <w:tr>
        <w:trPr>
          <w:trHeight w:val="190"/>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Raw materials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5,313</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5,680</w:t>
            </w:r>
          </w:p>
        </w:tc>
        <w:tc>
          <w:tcPr>
            <w:tcW w:w="60" w:type="dxa"/>
            <w:vAlign w:val="bottom"/>
          </w:tcPr>
          <w:p>
            <w:pPr>
              <w:spacing w:after="0"/>
              <w:rPr>
                <w:sz w:val="16"/>
                <w:szCs w:val="16"/>
                <w:color w:val="auto"/>
              </w:rPr>
            </w:pPr>
          </w:p>
        </w:tc>
      </w:tr>
      <w:tr>
        <w:trPr>
          <w:trHeight w:val="194"/>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Work-in-process</w:t>
            </w:r>
          </w:p>
        </w:tc>
        <w:tc>
          <w:tcPr>
            <w:tcW w:w="1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3,371</w:t>
            </w:r>
          </w:p>
        </w:tc>
        <w:tc>
          <w:tcPr>
            <w:tcW w:w="4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4,145</w:t>
            </w:r>
          </w:p>
        </w:tc>
        <w:tc>
          <w:tcPr>
            <w:tcW w:w="60" w:type="dxa"/>
            <w:vAlign w:val="bottom"/>
            <w:tcBorders>
              <w:bottom w:val="single" w:sz="8" w:color="CFF0FC"/>
            </w:tcBorders>
            <w:shd w:val="clear" w:color="auto" w:fill="CFF0FC"/>
          </w:tcPr>
          <w:p>
            <w:pPr>
              <w:spacing w:after="0"/>
              <w:rPr>
                <w:sz w:val="16"/>
                <w:szCs w:val="16"/>
                <w:color w:val="auto"/>
              </w:rPr>
            </w:pPr>
          </w:p>
        </w:tc>
      </w:tr>
      <w:tr>
        <w:trPr>
          <w:trHeight w:val="184"/>
        </w:trPr>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20,011</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17,917</w:t>
            </w:r>
          </w:p>
        </w:tc>
        <w:tc>
          <w:tcPr>
            <w:tcW w:w="60" w:type="dxa"/>
            <w:vAlign w:val="bottom"/>
          </w:tcPr>
          <w:p>
            <w:pPr>
              <w:spacing w:after="0"/>
              <w:rPr>
                <w:sz w:val="16"/>
                <w:szCs w:val="16"/>
                <w:color w:val="auto"/>
              </w:rPr>
            </w:pPr>
          </w:p>
        </w:tc>
      </w:tr>
      <w:tr>
        <w:trPr>
          <w:trHeight w:val="19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Less: reserve for excess and obsolete inventory</w:t>
            </w:r>
          </w:p>
        </w:tc>
        <w:tc>
          <w:tcPr>
            <w:tcW w:w="18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(568 )</w:t>
            </w:r>
          </w:p>
        </w:tc>
        <w:tc>
          <w:tcPr>
            <w:tcW w:w="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(496 )</w:t>
            </w:r>
          </w:p>
        </w:tc>
      </w:tr>
      <w:tr>
        <w:trPr>
          <w:trHeight w:val="184"/>
        </w:trPr>
        <w:tc>
          <w:tcPr>
            <w:tcW w:w="4000" w:type="dxa"/>
            <w:vAlign w:val="bottom"/>
            <w:tcBorders>
              <w:top w:val="single" w:sz="8" w:color="CFF0FC"/>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19,443</w:t>
            </w:r>
          </w:p>
        </w:tc>
        <w:tc>
          <w:tcPr>
            <w:tcW w:w="420" w:type="dxa"/>
            <w:vAlign w:val="bottom"/>
            <w:tcBorders>
              <w:top w:val="single" w:sz="8" w:color="CFF0FC"/>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17,421</w:t>
            </w:r>
          </w:p>
        </w:tc>
        <w:tc>
          <w:tcPr>
            <w:tcW w:w="60" w:type="dxa"/>
            <w:vAlign w:val="bottom"/>
            <w:tcBorders>
              <w:top w:val="single" w:sz="8" w:color="CFF0FC"/>
            </w:tcBorders>
          </w:tcPr>
          <w:p>
            <w:pPr>
              <w:spacing w:after="0"/>
              <w:rPr>
                <w:sz w:val="16"/>
                <w:szCs w:val="16"/>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3925570</wp:posOffset>
            </wp:positionH>
            <wp:positionV relativeFrom="paragraph">
              <wp:posOffset>-402590</wp:posOffset>
            </wp:positionV>
            <wp:extent cx="4127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-402590</wp:posOffset>
            </wp:positionV>
            <wp:extent cx="4127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-149860</wp:posOffset>
            </wp:positionV>
            <wp:extent cx="4127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4827905</wp:posOffset>
            </wp:positionH>
            <wp:positionV relativeFrom="paragraph">
              <wp:posOffset>-149860</wp:posOffset>
            </wp:positionV>
            <wp:extent cx="4127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51" w:lineRule="exact"/>
        <w:rPr>
          <w:sz w:val="20"/>
          <w:szCs w:val="20"/>
          <w:color w:val="auto"/>
        </w:rPr>
      </w:pPr>
    </w:p>
    <w:p>
      <w:pPr>
        <w:jc w:val="both"/>
        <w:ind w:left="1140" w:right="1339" w:firstLine="258"/>
        <w:spacing w:after="0" w:line="293" w:lineRule="auto"/>
        <w:rPr>
          <w:sz w:val="20"/>
          <w:szCs w:val="20"/>
          <w:color w:val="auto"/>
        </w:rPr>
      </w:pPr>
      <w:r>
        <w:rPr>
          <w:rFonts w:ascii="Times New Roman" w:cs="Times New Roman" w:eastAsia="Times New Roman" w:hAnsi="Times New Roman"/>
          <w:sz w:val="14"/>
          <w:szCs w:val="14"/>
          <w:color w:val="auto"/>
        </w:rPr>
        <w:t>At June 30, 2024 and December 31, 2023, finished goods included $5.0 million and $4.4 million of inventory held on consignment at customer sites, respectively.</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Note 5 – Fair Value Measurements</w:t>
      </w:r>
    </w:p>
    <w:p>
      <w:pPr>
        <w:spacing w:after="0" w:line="99" w:lineRule="exact"/>
        <w:rPr>
          <w:sz w:val="20"/>
          <w:szCs w:val="20"/>
          <w:color w:val="auto"/>
        </w:rPr>
      </w:pPr>
    </w:p>
    <w:p>
      <w:pPr>
        <w:ind w:left="1140" w:right="1179" w:firstLine="258"/>
        <w:spacing w:after="0" w:line="268" w:lineRule="auto"/>
        <w:rPr>
          <w:sz w:val="20"/>
          <w:szCs w:val="20"/>
          <w:color w:val="auto"/>
        </w:rPr>
      </w:pPr>
      <w:r>
        <w:rPr>
          <w:rFonts w:ascii="Times New Roman" w:cs="Times New Roman" w:eastAsia="Times New Roman" w:hAnsi="Times New Roman"/>
          <w:sz w:val="14"/>
          <w:szCs w:val="14"/>
          <w:color w:val="auto"/>
        </w:rPr>
        <w:t>The table and disclosures for the periods presented below (in thousands) present the Company’s assets and liabilities measured at fair value on a recurring basis and indicate the fair value hierarchy of the valuation techniques utilized by the Company to determine such fair value. The Company did not have any assets or liabilities measured at fair value on a recurring basis within Level 3 fair value measurements.</w:t>
      </w:r>
    </w:p>
    <w:p>
      <w:pPr>
        <w:spacing w:after="0" w:line="97"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24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24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r>
      <w:tr>
        <w:trPr>
          <w:trHeight w:val="187"/>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securities</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18,986</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18,986</w:t>
            </w:r>
          </w:p>
        </w:tc>
        <w:tc>
          <w:tcPr>
            <w:tcW w:w="60" w:type="dxa"/>
            <w:vAlign w:val="bottom"/>
          </w:tcPr>
          <w:p>
            <w:pPr>
              <w:spacing w:after="0"/>
              <w:rPr>
                <w:sz w:val="16"/>
                <w:szCs w:val="16"/>
                <w:color w:val="auto"/>
              </w:rPr>
            </w:pPr>
          </w:p>
        </w:tc>
      </w:tr>
      <w:tr>
        <w:trPr>
          <w:trHeight w:val="197"/>
        </w:trPr>
        <w:tc>
          <w:tcPr>
            <w:tcW w:w="2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86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208,839</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208,839</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85"/>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860" w:type="dxa"/>
            <w:vAlign w:val="bottom"/>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18,986</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208,839</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227,825</w:t>
            </w:r>
          </w:p>
        </w:tc>
        <w:tc>
          <w:tcPr>
            <w:tcW w:w="60" w:type="dxa"/>
            <w:vAlign w:val="bottom"/>
          </w:tcPr>
          <w:p>
            <w:pPr>
              <w:spacing w:after="0"/>
              <w:rPr>
                <w:sz w:val="16"/>
                <w:szCs w:val="16"/>
                <w:color w:val="auto"/>
              </w:rPr>
            </w:pPr>
          </w:p>
        </w:tc>
      </w:tr>
      <w:tr>
        <w:trPr>
          <w:trHeight w:val="20"/>
        </w:trPr>
        <w:tc>
          <w:tcPr>
            <w:tcW w:w="2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-149860</wp:posOffset>
            </wp:positionV>
            <wp:extent cx="476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-149860</wp:posOffset>
            </wp:positionV>
            <wp:extent cx="4127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-149860</wp:posOffset>
            </wp:positionV>
            <wp:extent cx="4127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24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2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I</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II</w:t>
            </w:r>
          </w:p>
        </w:tc>
        <w:tc>
          <w:tcPr>
            <w:tcW w:w="280" w:type="dxa"/>
            <w:vAlign w:val="bottom"/>
          </w:tcPr>
          <w:p>
            <w:pPr>
              <w:spacing w:after="0"/>
              <w:rPr>
                <w:sz w:val="16"/>
                <w:szCs w:val="16"/>
                <w:color w:val="auto"/>
              </w:rPr>
            </w:pPr>
          </w:p>
        </w:tc>
        <w:tc>
          <w:tcPr>
            <w:tcW w:w="10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r>
      <w:tr>
        <w:trPr>
          <w:trHeight w:val="187"/>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0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securities</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60" w:type="dxa"/>
            <w:vAlign w:val="bottom"/>
          </w:tcPr>
          <w:p>
            <w:pPr>
              <w:spacing w:after="0"/>
              <w:rPr>
                <w:sz w:val="16"/>
                <w:szCs w:val="16"/>
                <w:color w:val="auto"/>
              </w:rPr>
            </w:pPr>
          </w:p>
        </w:tc>
      </w:tr>
      <w:tr>
        <w:trPr>
          <w:trHeight w:val="197"/>
        </w:trPr>
        <w:tc>
          <w:tcPr>
            <w:tcW w:w="2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90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117,490</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117,490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85"/>
        </w:trPr>
        <w:tc>
          <w:tcPr>
            <w:tcW w:w="2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117,490</w:t>
            </w:r>
          </w:p>
        </w:tc>
        <w:tc>
          <w:tcPr>
            <w:tcW w:w="2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121,965</w:t>
            </w:r>
          </w:p>
        </w:tc>
        <w:tc>
          <w:tcPr>
            <w:tcW w:w="60" w:type="dxa"/>
            <w:vAlign w:val="bottom"/>
          </w:tcPr>
          <w:p>
            <w:pPr>
              <w:spacing w:after="0"/>
              <w:rPr>
                <w:sz w:val="16"/>
                <w:szCs w:val="16"/>
                <w:color w:val="auto"/>
              </w:rPr>
            </w:pPr>
          </w:p>
        </w:tc>
      </w:tr>
      <w:tr>
        <w:trPr>
          <w:trHeight w:val="20"/>
        </w:trPr>
        <w:tc>
          <w:tcPr>
            <w:tcW w:w="2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-149860</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-149860</wp:posOffset>
            </wp:positionV>
            <wp:extent cx="4127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-149860</wp:posOffset>
            </wp:positionV>
            <wp:extent cx="4127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Note 6 – Stock-Based Compensation Expense</w:t>
      </w:r>
    </w:p>
    <w:p>
      <w:pPr>
        <w:spacing w:after="0" w:line="1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Company has three equity incentive compensation plans: the 2006 Plan, the 2015 Plan and the 2021 Plan.</w:t>
      </w:r>
    </w:p>
    <w:p>
      <w:pPr>
        <w:spacing w:after="0" w:line="1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2006 Plan</w:t>
      </w:r>
    </w:p>
    <w:p>
      <w:pPr>
        <w:spacing w:after="0" w:line="101" w:lineRule="exact"/>
        <w:rPr>
          <w:sz w:val="20"/>
          <w:szCs w:val="20"/>
          <w:color w:val="auto"/>
        </w:rPr>
      </w:pPr>
    </w:p>
    <w:p>
      <w:pPr>
        <w:ind w:left="1140" w:right="1239" w:firstLine="258"/>
        <w:spacing w:after="0" w:line="268" w:lineRule="auto"/>
        <w:rPr>
          <w:sz w:val="20"/>
          <w:szCs w:val="20"/>
          <w:color w:val="auto"/>
        </w:rPr>
      </w:pPr>
      <w:r>
        <w:rPr>
          <w:rFonts w:ascii="Times New Roman" w:cs="Times New Roman" w:eastAsia="Times New Roman" w:hAnsi="Times New Roman"/>
          <w:sz w:val="14"/>
          <w:szCs w:val="14"/>
          <w:color w:val="auto"/>
        </w:rPr>
        <w:t>The 2006 Plan was originally adopted by the Board and approved by the Company’s stockholders in 2006. The 2006 Plan was terminated in 2015 in connection with the adoption of the 2015 Plan and as a result no new awards may be issued under the 2006 Plan. However, the 2006 Plan will continue to govern the terms and conditions of the outstanding awards previously granted under the 2006 Plan.</w:t>
      </w:r>
    </w:p>
    <w:p>
      <w:pPr>
        <w:spacing w:after="0" w:line="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2015 Plan</w:t>
      </w:r>
    </w:p>
    <w:p>
      <w:pPr>
        <w:spacing w:after="0" w:line="101" w:lineRule="exact"/>
        <w:rPr>
          <w:sz w:val="20"/>
          <w:szCs w:val="20"/>
          <w:color w:val="auto"/>
        </w:rPr>
      </w:pPr>
    </w:p>
    <w:p>
      <w:pPr>
        <w:ind w:left="1140" w:right="1239" w:firstLine="258"/>
        <w:spacing w:after="0" w:line="268" w:lineRule="auto"/>
        <w:rPr>
          <w:sz w:val="20"/>
          <w:szCs w:val="20"/>
          <w:color w:val="auto"/>
        </w:rPr>
      </w:pPr>
      <w:r>
        <w:rPr>
          <w:rFonts w:ascii="Times New Roman" w:cs="Times New Roman" w:eastAsia="Times New Roman" w:hAnsi="Times New Roman"/>
          <w:sz w:val="14"/>
          <w:szCs w:val="14"/>
          <w:color w:val="auto"/>
        </w:rPr>
        <w:t>The 2015 Plan was originally adopted by the Board and approved by the Company’s stockholders in 2015. In July 2021, the 2015 Plan terminated immediately prior to effectiveness of the 2021 Plan with respect to the grant of future awards. However, the 2015 Plan will continue to govern the terms and conditions of the outstanding awards previously granted under the 2015 Plan.</w:t>
      </w:r>
    </w:p>
    <w:p>
      <w:pPr>
        <w:spacing w:after="0" w:line="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2021 Plan</w:t>
      </w:r>
    </w:p>
    <w:p>
      <w:pPr>
        <w:spacing w:after="0" w:line="101" w:lineRule="exact"/>
        <w:rPr>
          <w:sz w:val="20"/>
          <w:szCs w:val="20"/>
          <w:color w:val="auto"/>
        </w:rPr>
      </w:pPr>
    </w:p>
    <w:p>
      <w:pPr>
        <w:ind w:left="1140" w:right="1239" w:firstLine="258"/>
        <w:spacing w:after="0" w:line="293" w:lineRule="auto"/>
        <w:rPr>
          <w:sz w:val="20"/>
          <w:szCs w:val="20"/>
          <w:color w:val="auto"/>
        </w:rPr>
      </w:pPr>
      <w:r>
        <w:rPr>
          <w:rFonts w:ascii="Times New Roman" w:cs="Times New Roman" w:eastAsia="Times New Roman" w:hAnsi="Times New Roman"/>
          <w:sz w:val="14"/>
          <w:szCs w:val="14"/>
          <w:color w:val="auto"/>
        </w:rPr>
        <w:t>On July 28, 2021, the 2021 Plan was adopted and approved by the Board and stockholders prior to the IPO and became effective on the business day immediately prior to the effective date of the Company’s IPO registration</w:t>
      </w:r>
    </w:p>
    <w:p>
      <w:pPr>
        <w:spacing w:after="0" w:line="36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413385</wp:posOffset>
            </wp:positionV>
            <wp:extent cx="4288790"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18" w:name="page19"/>
    <w:bookmarkEnd w:id="18"/>
    <w:p>
      <w:pPr>
        <w:ind w:left="1140" w:right="1239"/>
        <w:spacing w:after="0" w:line="260" w:lineRule="auto"/>
        <w:rPr>
          <w:sz w:val="20"/>
          <w:szCs w:val="20"/>
          <w:color w:val="auto"/>
        </w:rPr>
      </w:pPr>
      <w:r>
        <w:rPr>
          <w:rFonts w:ascii="Times New Roman" w:cs="Times New Roman" w:eastAsia="Times New Roman" w:hAnsi="Times New Roman"/>
          <w:sz w:val="14"/>
          <w:szCs w:val="14"/>
          <w:color w:val="auto"/>
        </w:rPr>
        <w:t>statement. The 2021 Plan provides for the grant of incentive stock options to employees and any subsidiary corporations’ employees, and for the grant of nonstatutory stock options, stock appreciation rights, restricted stock, restricted stock units (“RSUs”), and performance awards to employees, directors, and consultants and subsidiary corporations’ employees and consultants. The number of shares of the Company’s common stock originally available for issuance under the 2021 Plan was equal to 2,420,135 shares of common stock plus any shares subject to awards granted under the 2015 Plan and the 2006 Plan that, after the effectiveness of the 2021 Plan,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from the 2015 Plan and 2006 Plan equal to 4,569,530 shares of common stock.</w:t>
      </w:r>
    </w:p>
    <w:p>
      <w:pPr>
        <w:spacing w:after="0" w:line="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Evergreen provision</w:t>
      </w:r>
    </w:p>
    <w:p>
      <w:pPr>
        <w:spacing w:after="0" w:line="101"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color w:val="auto"/>
        </w:rPr>
        <w:t>The number of common shares reserved for issuance under the 2021 Plan will be increased automatically on the first day of each fiscal year beginning with the 2022 fiscal year and ending on the ten year anniversary of the date the Board approved the 2021 Plan, by a number equal to the least of: (i) 7,260,406 shares of our common stock; (ii) 4% of the outstanding shares of our common stock on the last day of the immediately preceding fiscal year; or (iii) such lesser number of shares of our common stock as the administrator may determine. The 2021 Plan is administered by the Board. On January 1, 2024 and 2023, the number of shares available under the 2021 Plan increased by 1,445,580 and 1,130,735 shares of common stock, respectively pursuant to this feature. As of June 30, 2024, the number of shares of the Company’s common stock available for future issuance under the 2021 Plan was equal to 951,817 shares of common stock.</w:t>
      </w:r>
    </w:p>
    <w:p>
      <w:pPr>
        <w:spacing w:after="0" w:line="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2021 ESPP</w:t>
      </w:r>
    </w:p>
    <w:p>
      <w:pPr>
        <w:spacing w:after="0" w:line="101" w:lineRule="exact"/>
        <w:rPr>
          <w:sz w:val="20"/>
          <w:szCs w:val="20"/>
          <w:color w:val="auto"/>
        </w:rPr>
      </w:pPr>
    </w:p>
    <w:p>
      <w:pPr>
        <w:jc w:val="both"/>
        <w:ind w:left="1140" w:right="1279" w:firstLine="258"/>
        <w:spacing w:after="0" w:line="275" w:lineRule="auto"/>
        <w:rPr>
          <w:sz w:val="20"/>
          <w:szCs w:val="20"/>
          <w:color w:val="auto"/>
        </w:rPr>
      </w:pPr>
      <w:r>
        <w:rPr>
          <w:rFonts w:ascii="Times New Roman" w:cs="Times New Roman" w:eastAsia="Times New Roman" w:hAnsi="Times New Roman"/>
          <w:sz w:val="14"/>
          <w:szCs w:val="14"/>
          <w:color w:val="auto"/>
        </w:rPr>
        <w:t>On July 28, 2021, the Board and stockholders adopted and approved the 2021 ESPP. As of June 30, 2024, the number of shares of the Company’s common stock available for future issuance under the 2021 ESPP was equal to 538,942 shares of common stock.</w:t>
      </w:r>
    </w:p>
    <w:p>
      <w:pPr>
        <w:spacing w:after="0" w:line="81" w:lineRule="exact"/>
        <w:rPr>
          <w:sz w:val="20"/>
          <w:szCs w:val="20"/>
          <w:color w:val="auto"/>
        </w:rPr>
      </w:pPr>
    </w:p>
    <w:p>
      <w:pPr>
        <w:ind w:left="1140" w:right="1179" w:firstLine="258"/>
        <w:spacing w:after="0" w:line="265" w:lineRule="auto"/>
        <w:rPr>
          <w:sz w:val="20"/>
          <w:szCs w:val="20"/>
          <w:color w:val="auto"/>
        </w:rPr>
      </w:pPr>
      <w:r>
        <w:rPr>
          <w:rFonts w:ascii="Times New Roman" w:cs="Times New Roman" w:eastAsia="Times New Roman" w:hAnsi="Times New Roman"/>
          <w:sz w:val="14"/>
          <w:szCs w:val="14"/>
          <w:color w:val="auto"/>
        </w:rPr>
        <w:t>The 2021 ESPP provides eligible employees of the Company and its subsidiaries with the opportunity to purchase shares of the Company’s common stock at a purchase price equal to 85% of the common stock’s fair market value on the first trading day or last trading day of each purchase period, whichever is lower. The 2021 ESPP provides for two six-month purchase periods every twelve months: May 1 through October 31 and November 1 through April 30. The initial purchase period began on November 1, 2021.</w:t>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Evergreen provision</w:t>
      </w:r>
    </w:p>
    <w:p>
      <w:pPr>
        <w:spacing w:after="0" w:line="123" w:lineRule="exact"/>
        <w:rPr>
          <w:sz w:val="20"/>
          <w:szCs w:val="20"/>
          <w:color w:val="auto"/>
        </w:rPr>
      </w:pPr>
    </w:p>
    <w:p>
      <w:pPr>
        <w:ind w:left="1140" w:right="1279" w:firstLine="258"/>
        <w:spacing w:after="0" w:line="265" w:lineRule="auto"/>
        <w:rPr>
          <w:sz w:val="20"/>
          <w:szCs w:val="20"/>
          <w:color w:val="auto"/>
        </w:rPr>
      </w:pPr>
      <w:r>
        <w:rPr>
          <w:rFonts w:ascii="Times New Roman" w:cs="Times New Roman" w:eastAsia="Times New Roman" w:hAnsi="Times New Roman"/>
          <w:sz w:val="14"/>
          <w:szCs w:val="14"/>
          <w:color w:val="auto"/>
        </w:rPr>
        <w:t>The number of common shares reserved for issuance under the 2021 ESPP will be increased automatically on the first day of each fiscal year beginning with the 2022 fiscal year, by a number equal to the least of: (i) 1,452,081 shares; (ii) 1% of the outstanding shares of our common stock on the last day of the immediately preceding fiscal year; or (iii) such other amount as the administrator may determine. The 2021 ESPP is administered by the Board. No additional shares were reserved for issuance on January 1, 2024 and 2023 pursuant to this feature.</w:t>
      </w:r>
    </w:p>
    <w:p>
      <w:pPr>
        <w:spacing w:after="0" w:line="8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01" w:lineRule="exact"/>
        <w:rPr>
          <w:sz w:val="20"/>
          <w:szCs w:val="20"/>
          <w:color w:val="auto"/>
        </w:rPr>
      </w:pPr>
    </w:p>
    <w:p>
      <w:pPr>
        <w:jc w:val="both"/>
        <w:ind w:left="1140" w:right="1179" w:firstLine="258"/>
        <w:spacing w:after="0" w:line="268" w:lineRule="auto"/>
        <w:rPr>
          <w:sz w:val="20"/>
          <w:szCs w:val="20"/>
          <w:color w:val="auto"/>
        </w:rPr>
      </w:pPr>
      <w:r>
        <w:rPr>
          <w:rFonts w:ascii="Times New Roman" w:cs="Times New Roman" w:eastAsia="Times New Roman" w:hAnsi="Times New Roman"/>
          <w:sz w:val="14"/>
          <w:szCs w:val="14"/>
          <w:color w:val="auto"/>
        </w:rPr>
        <w:t>The purpose of the 2021 Plan and 2021 ESPP is to provide a means by which eligible recipients of stock awards may be given an opportunity to benefit from increases in the value of the common stock in order to retain or procure the services of the employees, members of the Board and consultants and provide them with an incentive to promote the Company’s success and accomplish corporate goals.</w:t>
      </w:r>
    </w:p>
    <w:p>
      <w:pPr>
        <w:spacing w:after="0" w:line="88" w:lineRule="exact"/>
        <w:rPr>
          <w:sz w:val="20"/>
          <w:szCs w:val="20"/>
          <w:color w:val="auto"/>
        </w:rPr>
      </w:pPr>
    </w:p>
    <w:p>
      <w:pPr>
        <w:ind w:left="1140" w:right="1239" w:firstLine="258"/>
        <w:spacing w:after="0" w:line="264" w:lineRule="auto"/>
        <w:rPr>
          <w:sz w:val="20"/>
          <w:szCs w:val="20"/>
          <w:color w:val="auto"/>
        </w:rPr>
      </w:pPr>
      <w:r>
        <w:rPr>
          <w:rFonts w:ascii="Times New Roman" w:cs="Times New Roman" w:eastAsia="Times New Roman" w:hAnsi="Times New Roman"/>
          <w:sz w:val="14"/>
          <w:szCs w:val="14"/>
          <w:color w:val="auto"/>
        </w:rPr>
        <w:t>Stock option awards are granted with an exercise price of no less than 100% of estimated fair market value on the date of grant. Time based awards generally vest over four years as follows, subject to the optionee’s continuing service: (i) one fourth of the total number of shares vest and become exercisable on the one-year anniversary and then 1/48th of the total number of shares subject to the option vest and become exercisable on each monthly anniversary thereafter for the remaining three years, or (ii) 1/48th of the total number of shares subject to the option vest and become exercisable each month over four years.</w:t>
      </w:r>
    </w:p>
    <w:p>
      <w:pPr>
        <w:spacing w:after="0" w:line="368"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19" w:name="page20"/>
    <w:bookmarkEnd w:id="19"/>
    <w:p>
      <w:pPr>
        <w:ind w:left="1140" w:right="1299" w:firstLine="258"/>
        <w:spacing w:after="0" w:line="293" w:lineRule="auto"/>
        <w:rPr>
          <w:sz w:val="20"/>
          <w:szCs w:val="20"/>
          <w:color w:val="auto"/>
        </w:rPr>
      </w:pPr>
      <w:r>
        <w:rPr>
          <w:rFonts w:ascii="Times New Roman" w:cs="Times New Roman" w:eastAsia="Times New Roman" w:hAnsi="Times New Roman"/>
          <w:sz w:val="14"/>
          <w:szCs w:val="14"/>
          <w:color w:val="auto"/>
        </w:rPr>
        <w:t>A summary of the stock option activities related to the Equity Plans for the six months ended June 30, 2024 is presented below:</w:t>
      </w:r>
    </w:p>
    <w:p>
      <w:pPr>
        <w:spacing w:after="0" w:line="68" w:lineRule="exact"/>
        <w:rPr>
          <w:sz w:val="20"/>
          <w:szCs w:val="20"/>
          <w:color w:val="auto"/>
        </w:rPr>
      </w:pPr>
    </w:p>
    <w:tbl>
      <w:tblPr>
        <w:tblLayout w:type="fixed"/>
        <w:tblInd w:w="1140" w:type="dxa"/>
        <w:tblCellMar>
          <w:top w:w="0" w:type="dxa"/>
          <w:left w:w="0" w:type="dxa"/>
          <w:bottom w:w="0" w:type="dxa"/>
          <w:right w:w="0" w:type="dxa"/>
        </w:tblCellMar>
      </w:tblPr>
      <w:tr>
        <w:trPr>
          <w:trHeight w:val="126"/>
        </w:trPr>
        <w:tc>
          <w:tcPr>
            <w:tcW w:w="3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 w:type="dxa"/>
            <w:vAlign w:val="bottom"/>
          </w:tcPr>
          <w:p>
            <w:pPr>
              <w:spacing w:after="0"/>
              <w:rPr>
                <w:sz w:val="11"/>
                <w:szCs w:val="11"/>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Weighted Avg</w:t>
            </w:r>
          </w:p>
        </w:tc>
        <w:tc>
          <w:tcPr>
            <w:tcW w:w="0" w:type="dxa"/>
            <w:vAlign w:val="bottom"/>
          </w:tcPr>
          <w:p>
            <w:pPr>
              <w:spacing w:after="0"/>
              <w:rPr>
                <w:sz w:val="1"/>
                <w:szCs w:val="1"/>
                <w:color w:val="auto"/>
              </w:rPr>
            </w:pPr>
          </w:p>
        </w:tc>
      </w:tr>
      <w:tr>
        <w:trPr>
          <w:trHeight w:val="118"/>
        </w:trPr>
        <w:tc>
          <w:tcPr>
            <w:tcW w:w="3620" w:type="dxa"/>
            <w:vAlign w:val="bottom"/>
          </w:tcPr>
          <w:p>
            <w:pPr>
              <w:spacing w:after="0"/>
              <w:rPr>
                <w:sz w:val="10"/>
                <w:szCs w:val="10"/>
                <w:color w:val="auto"/>
              </w:rPr>
            </w:pPr>
          </w:p>
        </w:tc>
        <w:tc>
          <w:tcPr>
            <w:tcW w:w="10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0" w:type="dxa"/>
            <w:vAlign w:val="bottom"/>
          </w:tcPr>
          <w:p>
            <w:pPr>
              <w:spacing w:after="0"/>
              <w:rPr>
                <w:sz w:val="10"/>
                <w:szCs w:val="10"/>
                <w:color w:val="auto"/>
              </w:rPr>
            </w:pPr>
          </w:p>
        </w:tc>
        <w:tc>
          <w:tcPr>
            <w:tcW w:w="720" w:type="dxa"/>
            <w:vAlign w:val="bottom"/>
          </w:tcPr>
          <w:p>
            <w:pPr>
              <w:jc w:val="center"/>
              <w:ind w:right="58"/>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40" w:type="dxa"/>
            <w:vAlign w:val="bottom"/>
          </w:tcPr>
          <w:p>
            <w:pPr>
              <w:spacing w:after="0"/>
              <w:rPr>
                <w:sz w:val="10"/>
                <w:szCs w:val="10"/>
                <w:color w:val="auto"/>
              </w:rPr>
            </w:pPr>
          </w:p>
        </w:tc>
        <w:tc>
          <w:tcPr>
            <w:tcW w:w="102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0" w:type="dxa"/>
            <w:vAlign w:val="bottom"/>
          </w:tcPr>
          <w:p>
            <w:pPr>
              <w:spacing w:after="0"/>
              <w:rPr>
                <w:sz w:val="1"/>
                <w:szCs w:val="1"/>
                <w:color w:val="auto"/>
              </w:rPr>
            </w:pPr>
          </w:p>
        </w:tc>
      </w:tr>
      <w:tr>
        <w:trPr>
          <w:trHeight w:val="118"/>
        </w:trPr>
        <w:tc>
          <w:tcPr>
            <w:tcW w:w="36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78"/>
              <w:spacing w:after="0" w:line="119"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40" w:type="dxa"/>
            <w:vAlign w:val="bottom"/>
          </w:tcPr>
          <w:p>
            <w:pPr>
              <w:spacing w:after="0"/>
              <w:rPr>
                <w:sz w:val="10"/>
                <w:szCs w:val="10"/>
                <w:color w:val="auto"/>
              </w:rPr>
            </w:pPr>
          </w:p>
        </w:tc>
        <w:tc>
          <w:tcPr>
            <w:tcW w:w="102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1"/>
                <w:szCs w:val="11"/>
                <w:b w:val="1"/>
                <w:bCs w:val="1"/>
                <w:color w:val="auto"/>
              </w:rPr>
              <w:t>Contractual Life</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9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40" w:type="dxa"/>
            <w:vAlign w:val="bottom"/>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Options outstanding as of December 31,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6,777,404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799,502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55.89</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Exercised</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(1,258,874 )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10.53</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(62,995 )</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Expired</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(10,236 )</w:t>
            </w: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Options outstanding as of June 30, 2024</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6,244,801</w:t>
            </w:r>
          </w:p>
        </w:tc>
        <w:tc>
          <w:tcPr>
            <w:tcW w:w="16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3"/>
                <w:szCs w:val="13"/>
                <w:color w:val="auto"/>
              </w:rPr>
              <w:t>18.99</w:t>
            </w:r>
          </w:p>
        </w:tc>
        <w:tc>
          <w:tcPr>
            <w:tcW w:w="110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Exercisable as of June 30, 2024</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3,623,940</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13.23</w:t>
            </w:r>
          </w:p>
        </w:tc>
        <w:tc>
          <w:tcPr>
            <w:tcW w:w="1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3611880</wp:posOffset>
            </wp:positionH>
            <wp:positionV relativeFrom="paragraph">
              <wp:posOffset>-266065</wp:posOffset>
            </wp:positionV>
            <wp:extent cx="4127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-19685</wp:posOffset>
            </wp:positionV>
            <wp:extent cx="4127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-6350</wp:posOffset>
            </wp:positionV>
            <wp:extent cx="4127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37" w:lineRule="exact"/>
        <w:rPr>
          <w:sz w:val="20"/>
          <w:szCs w:val="20"/>
          <w:color w:val="auto"/>
        </w:rPr>
      </w:pPr>
    </w:p>
    <w:p>
      <w:pPr>
        <w:ind w:left="1140" w:right="1159" w:firstLine="258"/>
        <w:spacing w:after="0" w:line="265" w:lineRule="auto"/>
        <w:rPr>
          <w:sz w:val="20"/>
          <w:szCs w:val="20"/>
          <w:color w:val="auto"/>
        </w:rPr>
      </w:pPr>
      <w:r>
        <w:rPr>
          <w:rFonts w:ascii="Times New Roman" w:cs="Times New Roman" w:eastAsia="Times New Roman" w:hAnsi="Times New Roman"/>
          <w:sz w:val="14"/>
          <w:szCs w:val="14"/>
          <w:color w:val="auto"/>
        </w:rPr>
        <w:t>As of June 30, 2024 and December 31, 2023 the intrinsic value of options vested was $170.1 million and $121.3 million, respectively, and of all options outstanding was $257.2 million and $185.0 million, respectively. During the six months ended June 30, 2024 and 2023, the total cash received from the exercise of stock options was $13.3 million and $3.4 million, respectively. The total fair value less strike price of these options was $50.5 million and $5.2 million, respectively.</w:t>
      </w:r>
    </w:p>
    <w:p>
      <w:pPr>
        <w:spacing w:after="0" w:line="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A summary of non-vested restricted stock unit activities for the six months ended June 30, 2024 is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4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Weighted</w:t>
            </w:r>
          </w:p>
        </w:tc>
      </w:tr>
      <w:tr>
        <w:trPr>
          <w:trHeight w:val="194"/>
        </w:trPr>
        <w:tc>
          <w:tcPr>
            <w:tcW w:w="4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Average</w:t>
            </w:r>
          </w:p>
        </w:tc>
      </w:tr>
      <w:tr>
        <w:trPr>
          <w:trHeight w:val="194"/>
        </w:trPr>
        <w:tc>
          <w:tcPr>
            <w:tcW w:w="4320" w:type="dxa"/>
            <w:vAlign w:val="bottom"/>
          </w:tcPr>
          <w:p>
            <w:pPr>
              <w:spacing w:after="0"/>
              <w:rPr>
                <w:sz w:val="16"/>
                <w:szCs w:val="16"/>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6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Grant Date</w:t>
            </w:r>
          </w:p>
        </w:tc>
      </w:tr>
      <w:tr>
        <w:trPr>
          <w:trHeight w:val="181"/>
        </w:trPr>
        <w:tc>
          <w:tcPr>
            <w:tcW w:w="4320" w:type="dxa"/>
            <w:vAlign w:val="bottom"/>
          </w:tcPr>
          <w:p>
            <w:pPr>
              <w:spacing w:after="0"/>
              <w:rPr>
                <w:sz w:val="15"/>
                <w:szCs w:val="15"/>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Fair Value</w:t>
            </w:r>
          </w:p>
        </w:tc>
      </w:tr>
      <w:tr>
        <w:trPr>
          <w:trHeight w:val="184"/>
        </w:trPr>
        <w:tc>
          <w:tcPr>
            <w:tcW w:w="43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Unvested at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650,357</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15.80</w:t>
            </w:r>
          </w:p>
        </w:tc>
        <w:tc>
          <w:tcPr>
            <w:tcW w:w="60" w:type="dxa"/>
            <w:vAlign w:val="bottom"/>
            <w:shd w:val="clear" w:color="auto" w:fill="CFF0FC"/>
          </w:tcPr>
          <w:p>
            <w:pPr>
              <w:spacing w:after="0"/>
              <w:rPr>
                <w:sz w:val="15"/>
                <w:szCs w:val="15"/>
                <w:color w:val="auto"/>
              </w:rPr>
            </w:pPr>
          </w:p>
        </w:tc>
      </w:tr>
      <w:tr>
        <w:trPr>
          <w:trHeight w:val="175"/>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183,231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56.36</w:t>
            </w:r>
          </w:p>
        </w:tc>
        <w:tc>
          <w:tcPr>
            <w:tcW w:w="60" w:type="dxa"/>
            <w:vAlign w:val="bottom"/>
          </w:tcPr>
          <w:p>
            <w:pPr>
              <w:spacing w:after="0"/>
              <w:rPr>
                <w:sz w:val="15"/>
                <w:szCs w:val="15"/>
                <w:color w:val="auto"/>
              </w:rPr>
            </w:pPr>
          </w:p>
        </w:tc>
      </w:tr>
      <w:tr>
        <w:trPr>
          <w:trHeight w:val="191"/>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(165,567 )</w:t>
            </w:r>
          </w:p>
        </w:tc>
        <w:tc>
          <w:tcPr>
            <w:tcW w:w="1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60" w:type="dxa"/>
            <w:vAlign w:val="bottom"/>
            <w:shd w:val="clear" w:color="auto" w:fill="CFF0FC"/>
          </w:tcPr>
          <w:p>
            <w:pPr>
              <w:spacing w:after="0"/>
              <w:rPr>
                <w:sz w:val="16"/>
                <w:szCs w:val="16"/>
                <w:color w:val="auto"/>
              </w:rPr>
            </w:pPr>
          </w:p>
        </w:tc>
      </w:tr>
      <w:tr>
        <w:trPr>
          <w:trHeight w:val="180"/>
        </w:trPr>
        <w:tc>
          <w:tcPr>
            <w:tcW w:w="4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(18,033 )</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60" w:type="dxa"/>
            <w:vAlign w:val="bottom"/>
          </w:tcPr>
          <w:p>
            <w:pPr>
              <w:spacing w:after="0"/>
              <w:rPr>
                <w:sz w:val="15"/>
                <w:szCs w:val="15"/>
                <w:color w:val="auto"/>
              </w:rPr>
            </w:pPr>
          </w:p>
        </w:tc>
      </w:tr>
      <w:tr>
        <w:trPr>
          <w:trHeight w:val="216"/>
        </w:trPr>
        <w:tc>
          <w:tcPr>
            <w:tcW w:w="4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Unvested at June 30, 2024</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649,988</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ind w:right="15"/>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26.68</w:t>
            </w:r>
          </w:p>
        </w:tc>
        <w:tc>
          <w:tcPr>
            <w:tcW w:w="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-19685</wp:posOffset>
            </wp:positionV>
            <wp:extent cx="4127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-6350</wp:posOffset>
            </wp:positionV>
            <wp:extent cx="4127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51" w:lineRule="exact"/>
        <w:rPr>
          <w:sz w:val="20"/>
          <w:szCs w:val="20"/>
          <w:color w:val="auto"/>
        </w:rPr>
      </w:pPr>
    </w:p>
    <w:p>
      <w:pPr>
        <w:ind w:left="1140" w:right="1319" w:firstLine="258"/>
        <w:spacing w:after="0" w:line="293" w:lineRule="auto"/>
        <w:rPr>
          <w:sz w:val="20"/>
          <w:szCs w:val="20"/>
          <w:color w:val="auto"/>
        </w:rPr>
      </w:pPr>
      <w:r>
        <w:rPr>
          <w:rFonts w:ascii="Times New Roman" w:cs="Times New Roman" w:eastAsia="Times New Roman" w:hAnsi="Times New Roman"/>
          <w:sz w:val="14"/>
          <w:szCs w:val="14"/>
          <w:color w:val="auto"/>
        </w:rPr>
        <w:t>Stock-based compensation expense was classified in the accompanying condensed consolidated statements of operations and comprehensive income (loss) as follows (in thousands):</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2640" w:type="dxa"/>
            <w:vAlign w:val="bottom"/>
          </w:tcPr>
          <w:p>
            <w:pPr>
              <w:spacing w:after="0"/>
              <w:rPr>
                <w:sz w:val="12"/>
                <w:szCs w:val="12"/>
                <w:color w:val="auto"/>
              </w:rPr>
            </w:pPr>
          </w:p>
        </w:tc>
        <w:tc>
          <w:tcPr>
            <w:tcW w:w="2060" w:type="dxa"/>
            <w:vAlign w:val="bottom"/>
            <w:gridSpan w:val="5"/>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Three Months Ended June 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r>
      <w:tr>
        <w:trPr>
          <w:trHeight w:val="131"/>
        </w:trPr>
        <w:tc>
          <w:tcPr>
            <w:tcW w:w="2640" w:type="dxa"/>
            <w:vAlign w:val="bottom"/>
          </w:tcPr>
          <w:p>
            <w:pPr>
              <w:spacing w:after="0"/>
              <w:rPr>
                <w:sz w:val="11"/>
                <w:szCs w:val="1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2023</w:t>
            </w:r>
          </w:p>
        </w:tc>
        <w:tc>
          <w:tcPr>
            <w:tcW w:w="60" w:type="dxa"/>
            <w:vAlign w:val="bottom"/>
          </w:tcPr>
          <w:p>
            <w:pPr>
              <w:spacing w:after="0"/>
              <w:rPr>
                <w:sz w:val="11"/>
                <w:szCs w:val="11"/>
                <w:color w:val="auto"/>
              </w:rPr>
            </w:pPr>
          </w:p>
        </w:tc>
      </w:tr>
      <w:tr>
        <w:trPr>
          <w:trHeight w:val="184"/>
        </w:trPr>
        <w:tc>
          <w:tcPr>
            <w:tcW w:w="2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740" w:type="dxa"/>
            <w:vAlign w:val="bottom"/>
            <w:shd w:val="clear" w:color="auto" w:fill="CFF0FC"/>
          </w:tcPr>
          <w:p>
            <w:pPr>
              <w:jc w:val="right"/>
              <w:ind w:right="595"/>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1,823</w:t>
            </w:r>
          </w:p>
        </w:tc>
        <w:tc>
          <w:tcPr>
            <w:tcW w:w="60" w:type="dxa"/>
            <w:vAlign w:val="bottom"/>
            <w:shd w:val="clear" w:color="auto" w:fill="CFF0FC"/>
          </w:tcPr>
          <w:p>
            <w:pPr>
              <w:spacing w:after="0"/>
              <w:rPr>
                <w:sz w:val="16"/>
                <w:szCs w:val="16"/>
                <w:color w:val="auto"/>
              </w:rPr>
            </w:pPr>
          </w:p>
        </w:tc>
      </w:tr>
      <w:tr>
        <w:trPr>
          <w:trHeight w:val="190"/>
        </w:trPr>
        <w:tc>
          <w:tcPr>
            <w:tcW w:w="2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7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7,410</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4,910</w:t>
            </w:r>
          </w:p>
        </w:tc>
        <w:tc>
          <w:tcPr>
            <w:tcW w:w="60" w:type="dxa"/>
            <w:vAlign w:val="bottom"/>
          </w:tcPr>
          <w:p>
            <w:pPr>
              <w:spacing w:after="0"/>
              <w:rPr>
                <w:sz w:val="16"/>
                <w:szCs w:val="16"/>
                <w:color w:val="auto"/>
              </w:rPr>
            </w:pPr>
          </w:p>
        </w:tc>
      </w:tr>
      <w:tr>
        <w:trPr>
          <w:trHeight w:val="197"/>
        </w:trPr>
        <w:tc>
          <w:tcPr>
            <w:tcW w:w="2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7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81"/>
        </w:trPr>
        <w:tc>
          <w:tcPr>
            <w:tcW w:w="2640" w:type="dxa"/>
            <w:vAlign w:val="bottom"/>
          </w:tcPr>
          <w:p>
            <w:pPr>
              <w:spacing w:after="0"/>
              <w:rPr>
                <w:sz w:val="15"/>
                <w:szCs w:val="15"/>
                <w:color w:val="auto"/>
              </w:rPr>
            </w:pPr>
          </w:p>
        </w:tc>
        <w:tc>
          <w:tcPr>
            <w:tcW w:w="740" w:type="dxa"/>
            <w:vAlign w:val="bottom"/>
          </w:tcPr>
          <w:p>
            <w:pPr>
              <w:jc w:val="right"/>
              <w:ind w:right="595"/>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7,250</w:t>
            </w:r>
          </w:p>
        </w:tc>
        <w:tc>
          <w:tcPr>
            <w:tcW w:w="60" w:type="dxa"/>
            <w:vAlign w:val="bottom"/>
          </w:tcPr>
          <w:p>
            <w:pPr>
              <w:spacing w:after="0"/>
              <w:rPr>
                <w:sz w:val="15"/>
                <w:szCs w:val="15"/>
                <w:color w:val="auto"/>
              </w:rPr>
            </w:pPr>
          </w:p>
        </w:tc>
      </w:tr>
      <w:tr>
        <w:trPr>
          <w:trHeight w:val="20"/>
        </w:trPr>
        <w:tc>
          <w:tcPr>
            <w:tcW w:w="26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3119755</wp:posOffset>
            </wp:positionH>
            <wp:positionV relativeFrom="paragraph">
              <wp:posOffset>-149860</wp:posOffset>
            </wp:positionV>
            <wp:extent cx="4762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-149860</wp:posOffset>
            </wp:positionV>
            <wp:extent cx="4762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4322445</wp:posOffset>
            </wp:positionH>
            <wp:positionV relativeFrom="paragraph">
              <wp:posOffset>-149860</wp:posOffset>
            </wp:positionV>
            <wp:extent cx="4127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-149860</wp:posOffset>
            </wp:positionV>
            <wp:extent cx="4127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148" w:lineRule="exact"/>
        <w:rPr>
          <w:sz w:val="20"/>
          <w:szCs w:val="20"/>
          <w:color w:val="auto"/>
        </w:rPr>
      </w:pPr>
    </w:p>
    <w:p>
      <w:pPr>
        <w:ind w:left="1140" w:right="1439" w:firstLine="258"/>
        <w:spacing w:after="0" w:line="268" w:lineRule="auto"/>
        <w:rPr>
          <w:sz w:val="20"/>
          <w:szCs w:val="20"/>
          <w:color w:val="auto"/>
        </w:rPr>
      </w:pPr>
      <w:r>
        <w:rPr>
          <w:rFonts w:ascii="Times New Roman" w:cs="Times New Roman" w:eastAsia="Times New Roman" w:hAnsi="Times New Roman"/>
          <w:sz w:val="14"/>
          <w:szCs w:val="14"/>
          <w:color w:val="auto"/>
        </w:rPr>
        <w:t>As of June 30, 2024 and December 31, 2023, there were 2,620,861 and 2,539,445 unvested options, respectively. As of June 30, 2024 and December 31, 2023, total unrecognized expense related to unvested stock options was approximately $44.1 million and $22.7 million, respectively. Both amounts are expected to be recognized over a weighted average period of approximately 2.5 and 2.4 years, respectively.</w:t>
      </w:r>
    </w:p>
    <w:p>
      <w:pPr>
        <w:spacing w:after="0" w:line="77" w:lineRule="exact"/>
        <w:rPr>
          <w:sz w:val="20"/>
          <w:szCs w:val="20"/>
          <w:color w:val="auto"/>
        </w:rPr>
      </w:pPr>
    </w:p>
    <w:p>
      <w:pPr>
        <w:ind w:left="1140" w:right="1239" w:firstLine="258"/>
        <w:spacing w:after="0" w:line="275" w:lineRule="auto"/>
        <w:rPr>
          <w:sz w:val="20"/>
          <w:szCs w:val="20"/>
          <w:color w:val="auto"/>
        </w:rPr>
      </w:pPr>
      <w:r>
        <w:rPr>
          <w:rFonts w:ascii="Times New Roman" w:cs="Times New Roman" w:eastAsia="Times New Roman" w:hAnsi="Times New Roman"/>
          <w:sz w:val="14"/>
          <w:szCs w:val="14"/>
          <w:color w:val="auto"/>
        </w:rPr>
        <w:t>As of June 30, 2024, and December 31, 2023, total unrecognized expense related to non-vested restricted stock units was approximately $15.3 million and $8.3 million, respectively. The unrecognized compensation cost is expected to be recognized over a weighted average period of 2.4 years and 2.3 years, respectively.</w:t>
      </w:r>
    </w:p>
    <w:p>
      <w:pPr>
        <w:spacing w:after="0" w:line="37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413385</wp:posOffset>
            </wp:positionV>
            <wp:extent cx="4288790" cy="39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20" w:name="page21"/>
    <w:bookmarkEnd w:id="20"/>
    <w:p>
      <w:pPr>
        <w:ind w:left="1140" w:right="1419" w:firstLine="258"/>
        <w:spacing w:after="0" w:line="293" w:lineRule="auto"/>
        <w:rPr>
          <w:sz w:val="20"/>
          <w:szCs w:val="20"/>
          <w:color w:val="auto"/>
        </w:rPr>
      </w:pPr>
      <w:r>
        <w:rPr>
          <w:rFonts w:ascii="Times New Roman" w:cs="Times New Roman" w:eastAsia="Times New Roman" w:hAnsi="Times New Roman"/>
          <w:sz w:val="14"/>
          <w:szCs w:val="14"/>
          <w:color w:val="auto"/>
        </w:rPr>
        <w:t>The following table presents the range and weighted-average assumptions, used in the Black-Scholes option pricing model to determine the fair value of stock options:</w:t>
      </w:r>
    </w:p>
    <w:p>
      <w:pPr>
        <w:spacing w:after="0" w:line="76"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17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31"/>
        </w:trPr>
        <w:tc>
          <w:tcPr>
            <w:tcW w:w="1720" w:type="dxa"/>
            <w:vAlign w:val="bottom"/>
          </w:tcPr>
          <w:p>
            <w:pPr>
              <w:spacing w:after="0"/>
              <w:rPr>
                <w:sz w:val="11"/>
                <w:szCs w:val="11"/>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1035"/>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31"/>
        </w:trPr>
        <w:tc>
          <w:tcPr>
            <w:tcW w:w="1720" w:type="dxa"/>
            <w:vAlign w:val="bottom"/>
          </w:tcPr>
          <w:p>
            <w:pPr>
              <w:spacing w:after="0"/>
              <w:rPr>
                <w:sz w:val="11"/>
                <w:szCs w:val="1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Range</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11"/>
                <w:szCs w:val="11"/>
                <w:color w:val="auto"/>
              </w:rPr>
            </w:pPr>
          </w:p>
        </w:tc>
        <w:tc>
          <w:tcPr>
            <w:tcW w:w="108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1"/>
                <w:szCs w:val="11"/>
                <w:b w:val="1"/>
                <w:bCs w:val="1"/>
                <w:color w:val="auto"/>
              </w:rPr>
              <w:t>Range</w:t>
            </w: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 Average</w:t>
            </w:r>
          </w:p>
        </w:tc>
      </w:tr>
      <w:tr>
        <w:trPr>
          <w:trHeight w:val="184"/>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138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4"/>
                <w:szCs w:val="14"/>
                <w:color w:val="auto"/>
              </w:rPr>
              <w:t>69.0% to 72.0%</w:t>
            </w:r>
          </w:p>
        </w:tc>
        <w:tc>
          <w:tcPr>
            <w:tcW w:w="1080" w:type="dxa"/>
            <w:vAlign w:val="bottom"/>
            <w:shd w:val="clear" w:color="auto" w:fill="CFF0FC"/>
          </w:tcPr>
          <w:p>
            <w:pPr>
              <w:jc w:val="center"/>
              <w:ind w:right="52"/>
              <w:spacing w:after="0"/>
              <w:rPr>
                <w:sz w:val="20"/>
                <w:szCs w:val="20"/>
                <w:color w:val="auto"/>
              </w:rPr>
            </w:pPr>
            <w:r>
              <w:rPr>
                <w:rFonts w:ascii="Times New Roman" w:cs="Times New Roman" w:eastAsia="Times New Roman" w:hAnsi="Times New Roman"/>
                <w:sz w:val="14"/>
                <w:szCs w:val="14"/>
                <w:color w:val="auto"/>
                <w:w w:val="99"/>
              </w:rPr>
              <w:t>71.0%</w:t>
            </w: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4"/>
                <w:szCs w:val="14"/>
                <w:color w:val="auto"/>
              </w:rPr>
              <w:t>64.9% to 65.7%</w:t>
            </w:r>
          </w:p>
        </w:tc>
        <w:tc>
          <w:tcPr>
            <w:tcW w:w="1360" w:type="dxa"/>
            <w:vAlign w:val="bottom"/>
            <w:gridSpan w:val="3"/>
            <w:shd w:val="clear" w:color="auto" w:fill="CFF0FC"/>
          </w:tcPr>
          <w:p>
            <w:pPr>
              <w:jc w:val="center"/>
              <w:ind w:left="131"/>
              <w:spacing w:after="0"/>
              <w:rPr>
                <w:sz w:val="20"/>
                <w:szCs w:val="20"/>
                <w:color w:val="auto"/>
              </w:rPr>
            </w:pPr>
            <w:r>
              <w:rPr>
                <w:rFonts w:ascii="Times New Roman" w:cs="Times New Roman" w:eastAsia="Times New Roman" w:hAnsi="Times New Roman"/>
                <w:sz w:val="14"/>
                <w:szCs w:val="14"/>
                <w:color w:val="auto"/>
                <w:w w:val="99"/>
              </w:rPr>
              <w:t>65.1%</w:t>
            </w:r>
          </w:p>
        </w:tc>
      </w:tr>
      <w:tr>
        <w:trPr>
          <w:trHeight w:val="19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color w:val="auto"/>
              </w:rPr>
              <w:t>3.9% to 4.7%</w:t>
            </w: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08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3.4% to 4.2%</w:t>
            </w:r>
          </w:p>
        </w:tc>
        <w:tc>
          <w:tcPr>
            <w:tcW w:w="1360" w:type="dxa"/>
            <w:vAlign w:val="bottom"/>
            <w:gridSpan w:val="3"/>
          </w:tcPr>
          <w:p>
            <w:pPr>
              <w:jc w:val="center"/>
              <w:ind w:left="131"/>
              <w:spacing w:after="0"/>
              <w:rPr>
                <w:sz w:val="20"/>
                <w:szCs w:val="20"/>
                <w:color w:val="auto"/>
              </w:rPr>
            </w:pPr>
            <w:r>
              <w:rPr>
                <w:rFonts w:ascii="Times New Roman" w:cs="Times New Roman" w:eastAsia="Times New Roman" w:hAnsi="Times New Roman"/>
                <w:sz w:val="14"/>
                <w:szCs w:val="14"/>
                <w:color w:val="auto"/>
                <w:w w:val="95"/>
              </w:rPr>
              <w:t>4.1%</w:t>
            </w:r>
          </w:p>
        </w:tc>
      </w:tr>
      <w:tr>
        <w:trPr>
          <w:trHeight w:val="19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Expected life (in years)</w:t>
            </w:r>
          </w:p>
        </w:tc>
        <w:tc>
          <w:tcPr>
            <w:tcW w:w="1380" w:type="dxa"/>
            <w:vAlign w:val="bottom"/>
            <w:gridSpan w:val="3"/>
            <w:shd w:val="clear" w:color="auto" w:fill="CFF0FC"/>
          </w:tcPr>
          <w:p>
            <w:pPr>
              <w:jc w:val="center"/>
              <w:ind w:right="220"/>
              <w:spacing w:after="0"/>
              <w:rPr>
                <w:sz w:val="20"/>
                <w:szCs w:val="20"/>
                <w:color w:val="auto"/>
              </w:rPr>
            </w:pPr>
            <w:r>
              <w:rPr>
                <w:rFonts w:ascii="Times New Roman" w:cs="Times New Roman" w:eastAsia="Times New Roman" w:hAnsi="Times New Roman"/>
                <w:sz w:val="14"/>
                <w:szCs w:val="14"/>
                <w:color w:val="auto"/>
              </w:rPr>
              <w:t>6.0 years</w:t>
            </w:r>
          </w:p>
        </w:tc>
        <w:tc>
          <w:tcPr>
            <w:tcW w:w="1080" w:type="dxa"/>
            <w:vAlign w:val="bottom"/>
            <w:shd w:val="clear" w:color="auto" w:fill="CFF0FC"/>
          </w:tcPr>
          <w:p>
            <w:pPr>
              <w:jc w:val="center"/>
              <w:ind w:right="52"/>
              <w:spacing w:after="0"/>
              <w:rPr>
                <w:sz w:val="20"/>
                <w:szCs w:val="20"/>
                <w:color w:val="auto"/>
              </w:rPr>
            </w:pPr>
            <w:r>
              <w:rPr>
                <w:rFonts w:ascii="Times New Roman" w:cs="Times New Roman" w:eastAsia="Times New Roman" w:hAnsi="Times New Roman"/>
                <w:sz w:val="14"/>
                <w:szCs w:val="14"/>
                <w:color w:val="auto"/>
              </w:rPr>
              <w:t>6.0 years</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left="11"/>
              <w:spacing w:after="0"/>
              <w:rPr>
                <w:sz w:val="20"/>
                <w:szCs w:val="20"/>
                <w:color w:val="auto"/>
              </w:rPr>
            </w:pPr>
            <w:r>
              <w:rPr>
                <w:rFonts w:ascii="Times New Roman" w:cs="Times New Roman" w:eastAsia="Times New Roman" w:hAnsi="Times New Roman"/>
                <w:sz w:val="14"/>
                <w:szCs w:val="14"/>
                <w:color w:val="auto"/>
              </w:rPr>
              <w:t>6.0 to 10.0 years</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6.0 years</w:t>
            </w:r>
          </w:p>
        </w:tc>
      </w:tr>
      <w:tr>
        <w:trPr>
          <w:trHeight w:val="190"/>
        </w:trPr>
        <w:tc>
          <w:tcPr>
            <w:tcW w:w="1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dividend yield</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32"/>
              <w:spacing w:after="0"/>
              <w:rPr>
                <w:sz w:val="20"/>
                <w:szCs w:val="20"/>
                <w:color w:val="auto"/>
              </w:rPr>
            </w:pPr>
            <w:r>
              <w:rPr>
                <w:rFonts w:ascii="Times New Roman" w:cs="Times New Roman" w:eastAsia="Times New Roman" w:hAnsi="Times New Roman"/>
                <w:sz w:val="14"/>
                <w:szCs w:val="14"/>
                <w:color w:val="auto"/>
              </w:rPr>
              <w:t>0.0%</w:t>
            </w:r>
          </w:p>
        </w:tc>
        <w:tc>
          <w:tcPr>
            <w:tcW w:w="11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0.0%</w:t>
            </w:r>
          </w:p>
        </w:tc>
        <w:tc>
          <w:tcPr>
            <w:tcW w:w="1360" w:type="dxa"/>
            <w:vAlign w:val="bottom"/>
            <w:gridSpan w:val="3"/>
          </w:tcPr>
          <w:p>
            <w:pPr>
              <w:jc w:val="center"/>
              <w:ind w:left="131"/>
              <w:spacing w:after="0"/>
              <w:rPr>
                <w:sz w:val="20"/>
                <w:szCs w:val="20"/>
                <w:color w:val="auto"/>
              </w:rPr>
            </w:pPr>
            <w:r>
              <w:rPr>
                <w:rFonts w:ascii="Times New Roman" w:cs="Times New Roman" w:eastAsia="Times New Roman" w:hAnsi="Times New Roman"/>
                <w:sz w:val="14"/>
                <w:szCs w:val="14"/>
                <w:color w:val="auto"/>
                <w:w w:val="95"/>
              </w:rPr>
              <w:t>0.0%</w:t>
            </w:r>
          </w:p>
        </w:tc>
      </w:tr>
      <w:tr>
        <w:trPr>
          <w:trHeight w:val="198"/>
        </w:trPr>
        <w:tc>
          <w:tcPr>
            <w:tcW w:w="1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Grant date fair value</w:t>
            </w:r>
          </w:p>
        </w:tc>
        <w:tc>
          <w:tcPr>
            <w:tcW w:w="1380" w:type="dxa"/>
            <w:vAlign w:val="bottom"/>
            <w:gridSpan w:val="3"/>
            <w:shd w:val="clear" w:color="auto" w:fill="CFF0FC"/>
          </w:tcPr>
          <w:p>
            <w:pPr>
              <w:jc w:val="center"/>
              <w:ind w:right="200"/>
              <w:spacing w:after="0"/>
              <w:rPr>
                <w:sz w:val="20"/>
                <w:szCs w:val="20"/>
                <w:color w:val="auto"/>
              </w:rPr>
            </w:pPr>
            <w:r>
              <w:rPr>
                <w:rFonts w:ascii="Times New Roman" w:cs="Times New Roman" w:eastAsia="Times New Roman" w:hAnsi="Times New Roman"/>
                <w:sz w:val="14"/>
                <w:szCs w:val="14"/>
                <w:color w:val="auto"/>
              </w:rPr>
              <w:t>$36.89 to $60.65</w:t>
            </w:r>
          </w:p>
        </w:tc>
        <w:tc>
          <w:tcPr>
            <w:tcW w:w="1080" w:type="dxa"/>
            <w:vAlign w:val="bottom"/>
            <w:shd w:val="clear" w:color="auto" w:fill="CFF0FC"/>
          </w:tcPr>
          <w:p>
            <w:pPr>
              <w:jc w:val="center"/>
              <w:ind w:right="52"/>
              <w:spacing w:after="0"/>
              <w:rPr>
                <w:sz w:val="20"/>
                <w:szCs w:val="20"/>
                <w:color w:val="auto"/>
              </w:rPr>
            </w:pPr>
            <w:r>
              <w:rPr>
                <w:rFonts w:ascii="Times New Roman" w:cs="Times New Roman" w:eastAsia="Times New Roman" w:hAnsi="Times New Roman"/>
                <w:sz w:val="14"/>
                <w:szCs w:val="14"/>
                <w:color w:val="auto"/>
              </w:rPr>
              <w:t>$55.93</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left="31"/>
              <w:spacing w:after="0"/>
              <w:rPr>
                <w:sz w:val="20"/>
                <w:szCs w:val="20"/>
                <w:color w:val="auto"/>
              </w:rPr>
            </w:pPr>
            <w:r>
              <w:rPr>
                <w:rFonts w:ascii="Times New Roman" w:cs="Times New Roman" w:eastAsia="Times New Roman" w:hAnsi="Times New Roman"/>
                <w:sz w:val="14"/>
                <w:szCs w:val="14"/>
                <w:color w:val="auto"/>
              </w:rPr>
              <w:t>$12.91 to $28.80</w:t>
            </w:r>
          </w:p>
        </w:tc>
        <w:tc>
          <w:tcPr>
            <w:tcW w:w="1360" w:type="dxa"/>
            <w:vAlign w:val="bottom"/>
            <w:gridSpan w:val="3"/>
            <w:shd w:val="clear" w:color="auto" w:fill="CFF0FC"/>
          </w:tcPr>
          <w:p>
            <w:pPr>
              <w:jc w:val="center"/>
              <w:ind w:left="131"/>
              <w:spacing w:after="0"/>
              <w:rPr>
                <w:sz w:val="20"/>
                <w:szCs w:val="20"/>
                <w:color w:val="auto"/>
              </w:rPr>
            </w:pPr>
            <w:r>
              <w:rPr>
                <w:rFonts w:ascii="Times New Roman" w:cs="Times New Roman" w:eastAsia="Times New Roman" w:hAnsi="Times New Roman"/>
                <w:sz w:val="14"/>
                <w:szCs w:val="14"/>
                <w:color w:val="auto"/>
              </w:rPr>
              <w:t>$15.26</w:t>
            </w:r>
          </w:p>
        </w:tc>
      </w:tr>
    </w:tbl>
    <w:p>
      <w:pPr>
        <w:spacing w:after="0" w:line="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23" w:lineRule="exact"/>
        <w:rPr>
          <w:sz w:val="20"/>
          <w:szCs w:val="20"/>
          <w:color w:val="auto"/>
        </w:rPr>
      </w:pPr>
    </w:p>
    <w:p>
      <w:pPr>
        <w:jc w:val="both"/>
        <w:ind w:left="1140" w:right="1179" w:firstLine="258"/>
        <w:spacing w:after="0" w:line="293" w:lineRule="auto"/>
        <w:rPr>
          <w:sz w:val="20"/>
          <w:szCs w:val="20"/>
          <w:color w:val="auto"/>
        </w:rPr>
      </w:pPr>
      <w:r>
        <w:rPr>
          <w:rFonts w:ascii="Times New Roman" w:cs="Times New Roman" w:eastAsia="Times New Roman" w:hAnsi="Times New Roman"/>
          <w:sz w:val="14"/>
          <w:szCs w:val="14"/>
          <w:color w:val="auto"/>
        </w:rPr>
        <w:t>Each share of common stock is entitled to one vote. Common stock reserved for future issuance consisted of the following:</w:t>
      </w:r>
    </w:p>
    <w:p>
      <w:pPr>
        <w:spacing w:after="0" w:line="78"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46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02"/>
        </w:trPr>
        <w:tc>
          <w:tcPr>
            <w:tcW w:w="460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40" w:type="dxa"/>
            <w:vAlign w:val="bottom"/>
            <w:vMerge w:val="restart"/>
          </w:tcPr>
          <w:p>
            <w:pPr>
              <w:spacing w:after="0"/>
              <w:rPr>
                <w:sz w:val="8"/>
                <w:szCs w:val="8"/>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600" w:type="dxa"/>
            <w:vAlign w:val="bottom"/>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options issued and outstanding under the Equity Plans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6,244,801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6,777,404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issuance under the 2021 Plan</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951,817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358,610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Restricted stock units issued under the 2021 Plan</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649,988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650,357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available for future issuance under 2021 ESPP</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538,942</w:t>
            </w:r>
          </w:p>
        </w:tc>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577,847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shares of common stock reserved</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8,385,548</w:t>
            </w:r>
          </w:p>
        </w:tc>
        <w:tc>
          <w:tcPr>
            <w:tcW w:w="1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8,364,218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4253865</wp:posOffset>
            </wp:positionH>
            <wp:positionV relativeFrom="paragraph">
              <wp:posOffset>-19685</wp:posOffset>
            </wp:positionV>
            <wp:extent cx="4127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-6350</wp:posOffset>
            </wp:positionV>
            <wp:extent cx="4127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-19685</wp:posOffset>
            </wp:positionV>
            <wp:extent cx="4127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-6350</wp:posOffset>
            </wp:positionV>
            <wp:extent cx="4127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30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Note 7 – Leases</w:t>
      </w:r>
    </w:p>
    <w:p>
      <w:pPr>
        <w:spacing w:after="0" w:line="99" w:lineRule="exact"/>
        <w:rPr>
          <w:sz w:val="20"/>
          <w:szCs w:val="20"/>
          <w:color w:val="auto"/>
        </w:rPr>
      </w:pPr>
    </w:p>
    <w:p>
      <w:pPr>
        <w:ind w:left="1140" w:right="1159" w:firstLine="258"/>
        <w:spacing w:after="0" w:line="268" w:lineRule="auto"/>
        <w:rPr>
          <w:sz w:val="20"/>
          <w:szCs w:val="20"/>
          <w:color w:val="auto"/>
        </w:rPr>
      </w:pPr>
      <w:r>
        <w:rPr>
          <w:rFonts w:ascii="Times New Roman" w:cs="Times New Roman" w:eastAsia="Times New Roman" w:hAnsi="Times New Roman"/>
          <w:sz w:val="14"/>
          <w:szCs w:val="14"/>
          <w:color w:val="auto"/>
        </w:rPr>
        <w:t>The Company has operating and finance leases for facilities and certain equipment. Leases with an initial term of 12 months or less are not recorded on the condensed consolidated balance sheets. Lease expense for operating leases is recognized on a straight-line basis over the lease term. The Company does not combine lease and non-lease components in the recognition of lease expense.</w:t>
      </w:r>
    </w:p>
    <w:p>
      <w:pPr>
        <w:spacing w:after="0" w:line="88" w:lineRule="exact"/>
        <w:rPr>
          <w:sz w:val="20"/>
          <w:szCs w:val="20"/>
          <w:color w:val="auto"/>
        </w:rPr>
      </w:pPr>
    </w:p>
    <w:p>
      <w:pPr>
        <w:ind w:left="1140" w:right="1179" w:firstLine="258"/>
        <w:spacing w:after="0" w:line="275" w:lineRule="auto"/>
        <w:rPr>
          <w:sz w:val="20"/>
          <w:szCs w:val="20"/>
          <w:color w:val="auto"/>
        </w:rPr>
      </w:pPr>
      <w:r>
        <w:rPr>
          <w:rFonts w:ascii="Times New Roman" w:cs="Times New Roman" w:eastAsia="Times New Roman" w:hAnsi="Times New Roman"/>
          <w:sz w:val="14"/>
          <w:szCs w:val="14"/>
          <w:color w:val="auto"/>
        </w:rPr>
        <w:t>As of June 30, 2024 the Company held four leases for office, manufacturing and warehouse facilities in Aliso Viejo, California. The four leases are for approximately 137,000 square feet in the aggregate. For one such operating lease, the lessor provided $900,000 in tenant allowances.</w:t>
      </w:r>
    </w:p>
    <w:p>
      <w:pPr>
        <w:spacing w:after="0" w:line="71" w:lineRule="exact"/>
        <w:rPr>
          <w:sz w:val="20"/>
          <w:szCs w:val="20"/>
          <w:color w:val="auto"/>
        </w:rPr>
      </w:pPr>
    </w:p>
    <w:p>
      <w:pPr>
        <w:ind w:left="1140" w:right="1279" w:firstLine="258"/>
        <w:spacing w:after="0" w:line="265" w:lineRule="auto"/>
        <w:rPr>
          <w:sz w:val="20"/>
          <w:szCs w:val="20"/>
          <w:color w:val="auto"/>
        </w:rPr>
      </w:pPr>
      <w:r>
        <w:rPr>
          <w:rFonts w:ascii="Times New Roman" w:cs="Times New Roman" w:eastAsia="Times New Roman" w:hAnsi="Times New Roman"/>
          <w:sz w:val="14"/>
          <w:szCs w:val="14"/>
          <w:color w:val="auto"/>
        </w:rPr>
        <w:t>On April 4, 2022, the Company entered into a thirty-four-month sublease agreement for a portion of the 5 Columbia Building, in Aliso Viejo, CA. The sublease commencement date was June 13, 2022 and was to expire on March 31, 2025. The base rent receivable was $11,410 per month. On January 4, 2023 the Company entered into a second amendment to the sublease agreement adjusting the base rent receivable to $5,319 per month. On August 1, 2024 the sublease was cancelled.</w:t>
      </w:r>
    </w:p>
    <w:p>
      <w:pPr>
        <w:spacing w:after="0" w:line="8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New lease and lease amendments</w:t>
      </w:r>
    </w:p>
    <w:p>
      <w:pPr>
        <w:spacing w:after="0" w:line="99" w:lineRule="exact"/>
        <w:rPr>
          <w:sz w:val="20"/>
          <w:szCs w:val="20"/>
          <w:color w:val="auto"/>
        </w:rPr>
      </w:pPr>
    </w:p>
    <w:p>
      <w:pPr>
        <w:jc w:val="both"/>
        <w:ind w:left="1140" w:right="1279" w:firstLine="258"/>
        <w:spacing w:after="0" w:line="275" w:lineRule="auto"/>
        <w:rPr>
          <w:sz w:val="20"/>
          <w:szCs w:val="20"/>
          <w:color w:val="auto"/>
        </w:rPr>
      </w:pPr>
      <w:r>
        <w:rPr>
          <w:rFonts w:ascii="Times New Roman" w:cs="Times New Roman" w:eastAsia="Times New Roman" w:hAnsi="Times New Roman"/>
          <w:sz w:val="14"/>
          <w:szCs w:val="14"/>
          <w:color w:val="auto"/>
        </w:rPr>
        <w:t>On April 18, 2024, the Company entered into a new lease, and amendments to two existing leases, for three of its facilities comprising the Company’s headquarters, manufacturing, research and development and administrative offices in Aliso Viejo, California, as described in further detail below.</w:t>
      </w:r>
    </w:p>
    <w:p>
      <w:pPr>
        <w:spacing w:after="0" w:line="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125 Columbia</w:t>
      </w:r>
    </w:p>
    <w:p>
      <w:pPr>
        <w:spacing w:after="0" w:line="99" w:lineRule="exact"/>
        <w:rPr>
          <w:sz w:val="20"/>
          <w:szCs w:val="20"/>
          <w:color w:val="auto"/>
        </w:rPr>
      </w:pPr>
    </w:p>
    <w:p>
      <w:pPr>
        <w:ind w:left="1140" w:right="1199" w:firstLine="258"/>
        <w:spacing w:after="0" w:line="262" w:lineRule="auto"/>
        <w:rPr>
          <w:sz w:val="20"/>
          <w:szCs w:val="20"/>
          <w:color w:val="auto"/>
        </w:rPr>
      </w:pPr>
      <w:r>
        <w:rPr>
          <w:rFonts w:ascii="Times New Roman" w:cs="Times New Roman" w:eastAsia="Times New Roman" w:hAnsi="Times New Roman"/>
          <w:sz w:val="14"/>
          <w:szCs w:val="14"/>
          <w:color w:val="auto"/>
        </w:rPr>
        <w:t>On April 18, 2024, the Company entered into a Standard Industrial/Commercial Single-Tenant Lease – Net (the “125 Columbia Lease”) with BML Management, LLC, for an approximately 26,825 square foot industrial and research and development facility in Aliso Viejo, California. The 125 Columbia Lease commences on June 1, 2024 and will end on January 31, 2031. The Company has two options to extend the term of the 125 Columbia Lease, with each option to extend being for a term of 60 months, commencing when the prior term expires. The base rent is initially $41,579 per month, payable on the first day of each month commencing on June 1, 2024, subject to adjustment as set forth in the 125 Columbia Lease.</w:t>
      </w:r>
    </w:p>
    <w:p>
      <w:pPr>
        <w:spacing w:after="0" w:line="26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413385</wp:posOffset>
            </wp:positionV>
            <wp:extent cx="4288790"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21" w:name="page22"/>
    <w:bookmarkEnd w:id="21"/>
    <w:p>
      <w:pPr>
        <w:ind w:left="1140"/>
        <w:spacing w:after="0"/>
        <w:rPr>
          <w:sz w:val="20"/>
          <w:szCs w:val="20"/>
          <w:color w:val="auto"/>
        </w:rPr>
      </w:pPr>
      <w:r>
        <w:rPr>
          <w:rFonts w:ascii="Times New Roman" w:cs="Times New Roman" w:eastAsia="Times New Roman" w:hAnsi="Times New Roman"/>
          <w:sz w:val="14"/>
          <w:szCs w:val="14"/>
          <w:i w:val="1"/>
          <w:iCs w:val="1"/>
          <w:color w:val="auto"/>
        </w:rPr>
        <w:t>5 Columbia</w:t>
      </w:r>
    </w:p>
    <w:p>
      <w:pPr>
        <w:spacing w:after="0" w:line="99"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color w:val="auto"/>
        </w:rPr>
        <w:t>On April 18, 2024 and June 3, 2024, the Company entered into Lease Amendment #2 and Lease Amendment #3, respectively to that certain Lease Agreement dated January 10, 2018, as amended on April 5, 2022, with Clifford D. Downs, for an approximately 19,680 square foot industrial facility located at 5 Columbia in Aliso Viejo, California (collectively the “5 Columbia Amendments”). Pursuant to the 5 Columbia Amendments, the term of the lease was extended 70 months, beginning on April 1, 2025 and ending on January 31, 2031. The parties agreed to the base rent rate payable over the 70 month term as set forth in the 5 Columbia Amendments. The base rent is initially $30,701 per month and includes fixed rent escalations beginning on April 1, 2027. The Company has two options to extend the term of the lease, with each option to extend being for a term of 60 months, commencing when the prior term expires.</w:t>
      </w:r>
    </w:p>
    <w:p>
      <w:pPr>
        <w:spacing w:after="0" w:line="2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100 Columbia</w:t>
      </w:r>
    </w:p>
    <w:p>
      <w:pPr>
        <w:spacing w:after="0" w:line="99" w:lineRule="exact"/>
        <w:rPr>
          <w:sz w:val="20"/>
          <w:szCs w:val="20"/>
          <w:color w:val="auto"/>
        </w:rPr>
      </w:pPr>
    </w:p>
    <w:p>
      <w:pPr>
        <w:ind w:left="1140" w:right="1159" w:firstLine="258"/>
        <w:spacing w:after="0" w:line="261" w:lineRule="auto"/>
        <w:rPr>
          <w:sz w:val="20"/>
          <w:szCs w:val="20"/>
          <w:color w:val="auto"/>
        </w:rPr>
      </w:pPr>
      <w:r>
        <w:rPr>
          <w:rFonts w:ascii="Times New Roman" w:cs="Times New Roman" w:eastAsia="Times New Roman" w:hAnsi="Times New Roman"/>
          <w:sz w:val="14"/>
          <w:szCs w:val="14"/>
          <w:color w:val="auto"/>
        </w:rPr>
        <w:t>On April 18, 2024, the Company entered into a Fifth Amendment to that certain Commercial Lease Agreement, dated August 31, 2015, as amended November 23, 2015, December 22, 2015, January 18, 2016, and November 12, 2016, with Accuride International Inc., for an approximately 42,106 square foot industrial facility located at 100 Columbia in Aliso Viejo, California (the “April 2024 100 Columbia Amendment”). Pursuant to the April 2024 100 Columbia Amendment, the term of the lease was extended 76 months, beginning on October 1, 2024 and ending on January 31, 2031. The parties agreed to the base rent rate payable over the 76 month term as set forth in the April 2024 100 Columbia Amendment. The base rent is initially $64,843 per month and includes fixed rent escalations beginning on October 1, 2025. The Company has two options to extend the term of the lease at the end of the current term, with each option to extend being for a 5 year term. The lessor provided $50,000 in tenant allowances.</w:t>
      </w:r>
    </w:p>
    <w:p>
      <w:pPr>
        <w:spacing w:after="0" w:line="60" w:lineRule="exact"/>
        <w:rPr>
          <w:sz w:val="20"/>
          <w:szCs w:val="20"/>
          <w:color w:val="auto"/>
        </w:rPr>
      </w:pPr>
    </w:p>
    <w:p>
      <w:pPr>
        <w:ind w:left="1140" w:right="1279" w:firstLine="258"/>
        <w:spacing w:after="0" w:line="265" w:lineRule="auto"/>
        <w:rPr>
          <w:sz w:val="20"/>
          <w:szCs w:val="20"/>
          <w:color w:val="auto"/>
        </w:rPr>
      </w:pPr>
      <w:r>
        <w:rPr>
          <w:rFonts w:ascii="Times New Roman" w:cs="Times New Roman" w:eastAsia="Times New Roman" w:hAnsi="Times New Roman"/>
          <w:sz w:val="14"/>
          <w:szCs w:val="14"/>
          <w:color w:val="auto"/>
        </w:rPr>
        <w:t>On June 3, 2024, the Company entered into a Sixth Amendment to that certain Commercial Lease Agreement, dated August 31, 2015, as amended April 18, 2024 as amended November 23, 2015, December 22, 2015, January 18, 2016, and November 12, 2016, with Accuride International Inc., for the property located at 100 Columbia in Aliso Viejo, California (the “June 2024 100 Columbia Amendment”). The June 2024 100 Columbia Amendment updated certain notification requirements.</w:t>
      </w:r>
    </w:p>
    <w:p>
      <w:pPr>
        <w:spacing w:after="0" w:line="58" w:lineRule="exact"/>
        <w:rPr>
          <w:sz w:val="20"/>
          <w:szCs w:val="20"/>
          <w:color w:val="auto"/>
        </w:rPr>
      </w:pPr>
    </w:p>
    <w:p>
      <w:pPr>
        <w:ind w:left="1140" w:right="1239" w:firstLine="258"/>
        <w:spacing w:after="0" w:line="275" w:lineRule="auto"/>
        <w:rPr>
          <w:sz w:val="20"/>
          <w:szCs w:val="20"/>
          <w:color w:val="auto"/>
        </w:rPr>
      </w:pPr>
      <w:r>
        <w:rPr>
          <w:rFonts w:ascii="Times New Roman" w:cs="Times New Roman" w:eastAsia="Times New Roman" w:hAnsi="Times New Roman"/>
          <w:sz w:val="14"/>
          <w:szCs w:val="14"/>
          <w:color w:val="auto"/>
        </w:rPr>
        <w:t>Under these lease agreements, the Company is required to pay approximately $10.8 million in future minimum lease payments of which $0.2 million will be paid in 2024, $1.4 million will be paid in 2025, $1.6 million will be paid in 2026, $1.8 million will be paid in both 2027 and 2028, and $4.0 million will be paid thereafter.</w:t>
      </w:r>
    </w:p>
    <w:p>
      <w:pPr>
        <w:spacing w:after="0" w:line="49" w:lineRule="exact"/>
        <w:rPr>
          <w:sz w:val="20"/>
          <w:szCs w:val="20"/>
          <w:color w:val="auto"/>
        </w:rPr>
      </w:pPr>
    </w:p>
    <w:p>
      <w:pPr>
        <w:ind w:left="1140" w:right="1319" w:firstLine="258"/>
        <w:spacing w:after="0" w:line="293" w:lineRule="auto"/>
        <w:rPr>
          <w:sz w:val="20"/>
          <w:szCs w:val="20"/>
          <w:color w:val="auto"/>
        </w:rPr>
      </w:pPr>
      <w:r>
        <w:rPr>
          <w:rFonts w:ascii="Times New Roman" w:cs="Times New Roman" w:eastAsia="Times New Roman" w:hAnsi="Times New Roman"/>
          <w:sz w:val="14"/>
          <w:szCs w:val="14"/>
          <w:color w:val="auto"/>
        </w:rPr>
        <w:t>The following table presents the lease balances within the Condensed Consolidated Balance Sheets as of June 30, 2024 and December 31, 2023 (in thousands):</w:t>
      </w:r>
    </w:p>
    <w:p>
      <w:pPr>
        <w:spacing w:after="0" w:line="46"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1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6"/>
                <w:szCs w:val="16"/>
                <w:color w:val="auto"/>
              </w:rPr>
            </w:pPr>
          </w:p>
        </w:tc>
        <w:tc>
          <w:tcPr>
            <w:tcW w:w="9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00"/>
        </w:trPr>
        <w:tc>
          <w:tcPr>
            <w:tcW w:w="1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20" w:type="dxa"/>
            <w:vAlign w:val="bottom"/>
          </w:tcPr>
          <w:p>
            <w:pPr>
              <w:spacing w:after="0"/>
              <w:rPr>
                <w:sz w:val="17"/>
                <w:szCs w:val="17"/>
                <w:color w:val="auto"/>
              </w:rPr>
            </w:pPr>
          </w:p>
        </w:tc>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spacing w:after="0"/>
              <w:rPr>
                <w:sz w:val="17"/>
                <w:szCs w:val="17"/>
                <w:color w:val="auto"/>
              </w:rPr>
            </w:pPr>
          </w:p>
        </w:tc>
      </w:tr>
      <w:tr>
        <w:trPr>
          <w:trHeight w:val="190"/>
        </w:trPr>
        <w:tc>
          <w:tcPr>
            <w:tcW w:w="10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tcBorders>
              <w:right w:val="single" w:sz="8" w:color="CFF0FC"/>
            </w:tcBorders>
            <w:shd w:val="clear" w:color="auto" w:fill="CFF0FC"/>
          </w:tcPr>
          <w:p>
            <w:pPr>
              <w:spacing w:after="0"/>
              <w:rPr>
                <w:sz w:val="16"/>
                <w:szCs w:val="16"/>
                <w:color w:val="auto"/>
              </w:rPr>
            </w:pPr>
          </w:p>
        </w:tc>
        <w:tc>
          <w:tcPr>
            <w:tcW w:w="1040" w:type="dxa"/>
            <w:vAlign w:val="bottom"/>
          </w:tcPr>
          <w:p>
            <w:pPr>
              <w:spacing w:after="0"/>
              <w:rPr>
                <w:sz w:val="16"/>
                <w:szCs w:val="16"/>
                <w:color w:val="auto"/>
              </w:rPr>
            </w:pPr>
          </w:p>
        </w:tc>
      </w:tr>
      <w:tr>
        <w:trPr>
          <w:trHeight w:val="191"/>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7"/>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leases right-of-use assets</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10,818</w:t>
            </w:r>
          </w:p>
        </w:tc>
        <w:tc>
          <w:tcPr>
            <w:tcW w:w="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2,444</w:t>
            </w:r>
          </w:p>
        </w:tc>
        <w:tc>
          <w:tcPr>
            <w:tcW w:w="1040" w:type="dxa"/>
            <w:vAlign w:val="bottom"/>
          </w:tcPr>
          <w:p>
            <w:pPr>
              <w:spacing w:after="0"/>
              <w:rPr>
                <w:sz w:val="17"/>
                <w:szCs w:val="17"/>
                <w:color w:val="auto"/>
              </w:rPr>
            </w:pPr>
          </w:p>
        </w:tc>
      </w:tr>
      <w:tr>
        <w:trPr>
          <w:trHeight w:val="19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156</w:t>
            </w:r>
          </w:p>
        </w:tc>
        <w:tc>
          <w:tcPr>
            <w:tcW w:w="1040" w:type="dxa"/>
            <w:vAlign w:val="bottom"/>
          </w:tcPr>
          <w:p>
            <w:pPr>
              <w:spacing w:after="0"/>
              <w:rPr>
                <w:sz w:val="16"/>
                <w:szCs w:val="16"/>
                <w:color w:val="auto"/>
              </w:rPr>
            </w:pPr>
          </w:p>
        </w:tc>
      </w:tr>
      <w:tr>
        <w:trPr>
          <w:trHeight w:val="225"/>
        </w:trPr>
        <w:tc>
          <w:tcPr>
            <w:tcW w:w="1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lease assets</w:t>
            </w:r>
          </w:p>
        </w:tc>
        <w:tc>
          <w:tcPr>
            <w:tcW w:w="120" w:type="dxa"/>
            <w:vAlign w:val="bottom"/>
            <w:tcBorders>
              <w:bottom w:val="single" w:sz="8" w:color="CFF0FC"/>
            </w:tcBorders>
            <w:shd w:val="clear" w:color="auto" w:fill="CFF0FC"/>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10,960</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2,600</w:t>
            </w:r>
          </w:p>
        </w:tc>
        <w:tc>
          <w:tcPr>
            <w:tcW w:w="1040" w:type="dxa"/>
            <w:vAlign w:val="bottom"/>
          </w:tcPr>
          <w:p>
            <w:pPr>
              <w:spacing w:after="0"/>
              <w:rPr>
                <w:sz w:val="19"/>
                <w:szCs w:val="19"/>
                <w:color w:val="auto"/>
              </w:rPr>
            </w:pPr>
          </w:p>
        </w:tc>
      </w:tr>
      <w:tr>
        <w:trPr>
          <w:trHeight w:val="163"/>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7"/>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2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spacing w:after="0"/>
              <w:rPr>
                <w:sz w:val="17"/>
                <w:szCs w:val="17"/>
                <w:color w:val="auto"/>
              </w:rPr>
            </w:pPr>
          </w:p>
        </w:tc>
        <w:tc>
          <w:tcPr>
            <w:tcW w:w="1040" w:type="dxa"/>
            <w:vAlign w:val="bottom"/>
          </w:tcPr>
          <w:p>
            <w:pPr>
              <w:spacing w:after="0"/>
              <w:rPr>
                <w:sz w:val="17"/>
                <w:szCs w:val="17"/>
                <w:color w:val="auto"/>
              </w:rPr>
            </w:pPr>
          </w:p>
        </w:tc>
      </w:tr>
      <w:tr>
        <w:trPr>
          <w:trHeight w:val="190"/>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1,764</w:t>
            </w:r>
          </w:p>
        </w:tc>
        <w:tc>
          <w:tcPr>
            <w:tcW w:w="1040" w:type="dxa"/>
            <w:vAlign w:val="bottom"/>
          </w:tcPr>
          <w:p>
            <w:pPr>
              <w:spacing w:after="0"/>
              <w:rPr>
                <w:sz w:val="16"/>
                <w:szCs w:val="16"/>
                <w:color w:val="auto"/>
              </w:rPr>
            </w:pPr>
          </w:p>
        </w:tc>
      </w:tr>
      <w:tr>
        <w:trPr>
          <w:trHeight w:val="198"/>
        </w:trPr>
        <w:tc>
          <w:tcPr>
            <w:tcW w:w="19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37</w:t>
            </w:r>
          </w:p>
        </w:tc>
        <w:tc>
          <w:tcPr>
            <w:tcW w:w="1040" w:type="dxa"/>
            <w:vAlign w:val="bottom"/>
          </w:tcPr>
          <w:p>
            <w:pPr>
              <w:spacing w:after="0"/>
              <w:rPr>
                <w:sz w:val="17"/>
                <w:szCs w:val="17"/>
                <w:color w:val="auto"/>
              </w:rPr>
            </w:pPr>
          </w:p>
        </w:tc>
      </w:tr>
      <w:tr>
        <w:trPr>
          <w:trHeight w:val="19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Noncurrent</w:t>
            </w: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8"/>
        </w:trPr>
        <w:tc>
          <w:tcPr>
            <w:tcW w:w="19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Operating</w:t>
            </w:r>
          </w:p>
        </w:tc>
        <w:tc>
          <w:tcPr>
            <w:tcW w:w="12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10,553</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1,093</w:t>
            </w:r>
          </w:p>
        </w:tc>
        <w:tc>
          <w:tcPr>
            <w:tcW w:w="1040" w:type="dxa"/>
            <w:vAlign w:val="bottom"/>
          </w:tcPr>
          <w:p>
            <w:pPr>
              <w:spacing w:after="0"/>
              <w:rPr>
                <w:sz w:val="17"/>
                <w:szCs w:val="17"/>
                <w:color w:val="auto"/>
              </w:rPr>
            </w:pPr>
          </w:p>
        </w:tc>
      </w:tr>
      <w:tr>
        <w:trPr>
          <w:trHeight w:val="193"/>
        </w:trPr>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Finance</w:t>
            </w:r>
          </w:p>
        </w:tc>
        <w:tc>
          <w:tcPr>
            <w:tcW w:w="1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118</w:t>
            </w:r>
          </w:p>
        </w:tc>
        <w:tc>
          <w:tcPr>
            <w:tcW w:w="1040" w:type="dxa"/>
            <w:vAlign w:val="bottom"/>
          </w:tcPr>
          <w:p>
            <w:pPr>
              <w:spacing w:after="0"/>
              <w:rPr>
                <w:sz w:val="16"/>
                <w:szCs w:val="16"/>
                <w:color w:val="auto"/>
              </w:rPr>
            </w:pPr>
          </w:p>
        </w:tc>
      </w:tr>
      <w:tr>
        <w:trPr>
          <w:trHeight w:val="225"/>
        </w:trPr>
        <w:tc>
          <w:tcPr>
            <w:tcW w:w="19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12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3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3,012</w:t>
            </w:r>
          </w:p>
        </w:tc>
        <w:tc>
          <w:tcPr>
            <w:tcW w:w="1040" w:type="dxa"/>
            <w:vAlign w:val="bottom"/>
          </w:tcPr>
          <w:p>
            <w:pPr>
              <w:spacing w:after="0"/>
              <w:rPr>
                <w:sz w:val="19"/>
                <w:szCs w:val="19"/>
                <w:color w:val="auto"/>
              </w:rPr>
            </w:pPr>
          </w:p>
        </w:tc>
      </w:tr>
      <w:tr>
        <w:trPr>
          <w:trHeight w:val="606"/>
        </w:trPr>
        <w:tc>
          <w:tcPr>
            <w:tcW w:w="1980" w:type="dxa"/>
            <w:vAlign w:val="bottom"/>
            <w:tcBorders>
              <w:top w:val="single" w:sz="8" w:color="CFF0FC"/>
            </w:tcBorders>
            <w:gridSpan w:val="2"/>
          </w:tcPr>
          <w:p>
            <w:pPr>
              <w:ind w:left="1060"/>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Borders>
              <w:top w:val="single" w:sz="8" w:color="CFF0FC"/>
            </w:tcBorders>
          </w:tcPr>
          <w:p>
            <w:pPr>
              <w:spacing w:after="0"/>
              <w:rPr>
                <w:sz w:val="24"/>
                <w:szCs w:val="24"/>
                <w:color w:val="auto"/>
              </w:rPr>
            </w:pPr>
          </w:p>
        </w:tc>
        <w:tc>
          <w:tcPr>
            <w:tcW w:w="24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r>
      <w:tr>
        <w:trPr>
          <w:trHeight w:val="24"/>
        </w:trPr>
        <w:tc>
          <w:tcPr>
            <w:tcW w:w="1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604"/>
        </w:trPr>
        <w:tc>
          <w:tcPr>
            <w:tcW w:w="10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4253865</wp:posOffset>
            </wp:positionH>
            <wp:positionV relativeFrom="paragraph">
              <wp:posOffset>-1858010</wp:posOffset>
            </wp:positionV>
            <wp:extent cx="4127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-1844040</wp:posOffset>
            </wp:positionV>
            <wp:extent cx="4127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-1858010</wp:posOffset>
            </wp:positionV>
            <wp:extent cx="4127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-1844040</wp:posOffset>
            </wp:positionV>
            <wp:extent cx="4127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-846455</wp:posOffset>
            </wp:positionV>
            <wp:extent cx="4127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4253865</wp:posOffset>
            </wp:positionH>
            <wp:positionV relativeFrom="paragraph">
              <wp:posOffset>-833120</wp:posOffset>
            </wp:positionV>
            <wp:extent cx="4127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-846455</wp:posOffset>
            </wp:positionV>
            <wp:extent cx="4127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-833120</wp:posOffset>
            </wp:positionV>
            <wp:extent cx="4127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4972050</wp:posOffset>
            </wp:positionH>
            <wp:positionV relativeFrom="paragraph">
              <wp:posOffset>-26035</wp:posOffset>
            </wp:positionV>
            <wp:extent cx="32385" cy="393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-26035</wp:posOffset>
            </wp:positionV>
            <wp:extent cx="32385"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242" w:right="1440" w:bottom="1440" w:gutter="0" w:footer="0" w:header="0"/>
        </w:sectPr>
      </w:pPr>
    </w:p>
    <w:bookmarkStart w:id="22" w:name="page23"/>
    <w:bookmarkEnd w:id="22"/>
    <w:p>
      <w:pPr>
        <w:ind w:left="1140" w:right="1439" w:firstLine="294"/>
        <w:spacing w:after="0" w:line="293" w:lineRule="auto"/>
        <w:rPr>
          <w:sz w:val="20"/>
          <w:szCs w:val="20"/>
          <w:color w:val="auto"/>
        </w:rPr>
      </w:pPr>
      <w:r>
        <w:rPr>
          <w:rFonts w:ascii="Times New Roman" w:cs="Times New Roman" w:eastAsia="Times New Roman" w:hAnsi="Times New Roman"/>
          <w:sz w:val="14"/>
          <w:szCs w:val="14"/>
          <w:color w:val="auto"/>
        </w:rPr>
        <w:t>For the three and six months ended June 30, 2024 and 2023, the components of operating and finance lease expenses were as follows (in thousands):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4"/>
                <w:szCs w:val="14"/>
                <w:color w:val="auto"/>
              </w:rPr>
            </w:pPr>
          </w:p>
        </w:tc>
        <w:tc>
          <w:tcPr>
            <w:tcW w:w="120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90"/>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20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91"/>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10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6"/>
                <w:szCs w:val="16"/>
                <w:color w:val="auto"/>
              </w:rPr>
            </w:pPr>
          </w:p>
        </w:tc>
      </w:tr>
      <w:tr>
        <w:trPr>
          <w:trHeight w:val="187"/>
        </w:trPr>
        <w:tc>
          <w:tcPr>
            <w:tcW w:w="17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r>
      <w:tr>
        <w:trPr>
          <w:trHeight w:val="190"/>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Cost of sales</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6"/>
                <w:szCs w:val="16"/>
                <w:color w:val="auto"/>
              </w:rPr>
            </w:pPr>
          </w:p>
        </w:tc>
      </w:tr>
      <w:tr>
        <w:trPr>
          <w:trHeight w:val="198"/>
        </w:trPr>
        <w:tc>
          <w:tcPr>
            <w:tcW w:w="1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60" w:type="dxa"/>
            <w:vAlign w:val="bottom"/>
            <w:shd w:val="clear" w:color="auto" w:fill="CFF0FC"/>
          </w:tcPr>
          <w:p>
            <w:pPr>
              <w:spacing w:after="0"/>
              <w:rPr>
                <w:sz w:val="17"/>
                <w:szCs w:val="17"/>
                <w:color w:val="auto"/>
              </w:rPr>
            </w:pPr>
          </w:p>
        </w:tc>
      </w:tr>
      <w:tr>
        <w:trPr>
          <w:trHeight w:val="168"/>
        </w:trPr>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2"/>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60" w:type="dxa"/>
            <w:vAlign w:val="bottom"/>
          </w:tcPr>
          <w:p>
            <w:pPr>
              <w:spacing w:after="0"/>
              <w:rPr>
                <w:sz w:val="16"/>
                <w:szCs w:val="16"/>
                <w:color w:val="auto"/>
              </w:rPr>
            </w:pPr>
          </w:p>
        </w:tc>
      </w:tr>
      <w:tr>
        <w:trPr>
          <w:trHeight w:val="200"/>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10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60" w:type="dxa"/>
            <w:vAlign w:val="bottom"/>
            <w:shd w:val="clear" w:color="auto" w:fill="CFF0FC"/>
          </w:tcPr>
          <w:p>
            <w:pPr>
              <w:spacing w:after="0"/>
              <w:rPr>
                <w:sz w:val="17"/>
                <w:szCs w:val="17"/>
                <w:color w:val="auto"/>
              </w:rPr>
            </w:pPr>
          </w:p>
        </w:tc>
      </w:tr>
      <w:tr>
        <w:trPr>
          <w:trHeight w:val="190"/>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tcPr>
          <w:p>
            <w:pPr>
              <w:spacing w:after="0"/>
              <w:rPr>
                <w:sz w:val="16"/>
                <w:szCs w:val="16"/>
                <w:color w:val="auto"/>
              </w:rPr>
            </w:pPr>
          </w:p>
        </w:tc>
      </w:tr>
      <w:tr>
        <w:trPr>
          <w:trHeight w:val="198"/>
        </w:trPr>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100" w:type="dxa"/>
            <w:vAlign w:val="bottom"/>
            <w:shd w:val="clear" w:color="auto" w:fill="CFF0FC"/>
          </w:tcPr>
          <w:p>
            <w:pPr>
              <w:spacing w:after="0"/>
              <w:rPr>
                <w:sz w:val="17"/>
                <w:szCs w:val="17"/>
                <w:color w:val="auto"/>
              </w:rPr>
            </w:pPr>
          </w:p>
        </w:tc>
        <w:tc>
          <w:tcPr>
            <w:tcW w:w="2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FF0FC"/>
          </w:tcPr>
          <w:p>
            <w:pPr>
              <w:spacing w:after="0"/>
              <w:rPr>
                <w:sz w:val="17"/>
                <w:szCs w:val="17"/>
                <w:color w:val="auto"/>
              </w:rPr>
            </w:pPr>
          </w:p>
        </w:tc>
      </w:tr>
    </w:tbl>
    <w:p>
      <w:pPr>
        <w:spacing w:after="0" w:line="71" w:lineRule="exact"/>
        <w:rPr>
          <w:sz w:val="20"/>
          <w:szCs w:val="20"/>
          <w:color w:val="auto"/>
        </w:rPr>
      </w:pPr>
    </w:p>
    <w:p>
      <w:pPr>
        <w:ind w:left="1140" w:right="1519" w:firstLine="258"/>
        <w:spacing w:after="0" w:line="293" w:lineRule="auto"/>
        <w:rPr>
          <w:sz w:val="20"/>
          <w:szCs w:val="20"/>
          <w:color w:val="auto"/>
        </w:rPr>
      </w:pPr>
      <w:r>
        <w:rPr>
          <w:rFonts w:ascii="Times New Roman" w:cs="Times New Roman" w:eastAsia="Times New Roman" w:hAnsi="Times New Roman"/>
          <w:sz w:val="14"/>
          <w:szCs w:val="14"/>
          <w:color w:val="auto"/>
        </w:rPr>
        <w:t>Maturities of the Company’s operating and finance lease liabilities as of June 30, 2024 were as follows (in thousands):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2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40" w:type="dxa"/>
            <w:vAlign w:val="bottom"/>
          </w:tcPr>
          <w:p>
            <w:pPr>
              <w:spacing w:after="0"/>
              <w:rPr>
                <w:sz w:val="16"/>
                <w:szCs w:val="16"/>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00"/>
        </w:trPr>
        <w:tc>
          <w:tcPr>
            <w:tcW w:w="2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60" w:type="dxa"/>
            <w:vAlign w:val="bottom"/>
          </w:tcPr>
          <w:p>
            <w:pPr>
              <w:spacing w:after="0"/>
              <w:rPr>
                <w:sz w:val="17"/>
                <w:szCs w:val="17"/>
                <w:color w:val="auto"/>
              </w:rPr>
            </w:pPr>
          </w:p>
        </w:tc>
      </w:tr>
      <w:tr>
        <w:trPr>
          <w:trHeight w:val="190"/>
        </w:trPr>
        <w:tc>
          <w:tcPr>
            <w:tcW w:w="2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2024 (remainder)</w:t>
            </w:r>
          </w:p>
        </w:tc>
        <w:tc>
          <w:tcPr>
            <w:tcW w:w="7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w:t>
            </w:r>
          </w:p>
        </w:tc>
        <w:tc>
          <w:tcPr>
            <w:tcW w:w="82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60" w:type="dxa"/>
            <w:vAlign w:val="bottom"/>
            <w:shd w:val="clear" w:color="auto" w:fill="CFF0FC"/>
          </w:tcPr>
          <w:p>
            <w:pPr>
              <w:spacing w:after="0"/>
              <w:rPr>
                <w:sz w:val="16"/>
                <w:szCs w:val="16"/>
                <w:color w:val="auto"/>
              </w:rPr>
            </w:pPr>
          </w:p>
        </w:tc>
      </w:tr>
      <w:tr>
        <w:trPr>
          <w:trHeight w:val="190"/>
        </w:trPr>
        <w:tc>
          <w:tcPr>
            <w:tcW w:w="29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2025</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16"/>
                <w:szCs w:val="16"/>
                <w:color w:val="auto"/>
              </w:rPr>
            </w:pPr>
          </w:p>
        </w:tc>
      </w:tr>
      <w:tr>
        <w:trPr>
          <w:trHeight w:val="198"/>
        </w:trPr>
        <w:tc>
          <w:tcPr>
            <w:tcW w:w="2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2026</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2,637</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shd w:val="clear" w:color="auto" w:fill="CFF0FC"/>
          </w:tcPr>
          <w:p>
            <w:pPr>
              <w:spacing w:after="0"/>
              <w:rPr>
                <w:sz w:val="17"/>
                <w:szCs w:val="17"/>
                <w:color w:val="auto"/>
              </w:rPr>
            </w:pPr>
          </w:p>
        </w:tc>
      </w:tr>
      <w:tr>
        <w:trPr>
          <w:trHeight w:val="190"/>
        </w:trPr>
        <w:tc>
          <w:tcPr>
            <w:tcW w:w="29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2027</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60" w:type="dxa"/>
            <w:vAlign w:val="bottom"/>
          </w:tcPr>
          <w:p>
            <w:pPr>
              <w:spacing w:after="0"/>
              <w:rPr>
                <w:sz w:val="16"/>
                <w:szCs w:val="16"/>
                <w:color w:val="auto"/>
              </w:rPr>
            </w:pPr>
          </w:p>
        </w:tc>
      </w:tr>
      <w:tr>
        <w:trPr>
          <w:trHeight w:val="198"/>
        </w:trPr>
        <w:tc>
          <w:tcPr>
            <w:tcW w:w="2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2028</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2,871</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60" w:type="dxa"/>
            <w:vAlign w:val="bottom"/>
            <w:shd w:val="clear" w:color="auto" w:fill="CFF0FC"/>
          </w:tcPr>
          <w:p>
            <w:pPr>
              <w:spacing w:after="0"/>
              <w:rPr>
                <w:sz w:val="17"/>
                <w:szCs w:val="17"/>
                <w:color w:val="auto"/>
              </w:rPr>
            </w:pPr>
          </w:p>
        </w:tc>
      </w:tr>
      <w:tr>
        <w:trPr>
          <w:trHeight w:val="190"/>
        </w:trPr>
        <w:tc>
          <w:tcPr>
            <w:tcW w:w="29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2029</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2,954</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2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Thereafter</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3,308</w:t>
            </w: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81"/>
        </w:trPr>
        <w:tc>
          <w:tcPr>
            <w:tcW w:w="2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56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17,990</w:t>
            </w:r>
          </w:p>
        </w:tc>
        <w:tc>
          <w:tcPr>
            <w:tcW w:w="82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60" w:type="dxa"/>
            <w:vAlign w:val="bottom"/>
            <w:tcBorders>
              <w:top w:val="single" w:sz="8" w:color="CFF0FC"/>
            </w:tcBorders>
          </w:tcPr>
          <w:p>
            <w:pPr>
              <w:spacing w:after="0"/>
              <w:rPr>
                <w:sz w:val="15"/>
                <w:szCs w:val="15"/>
                <w:color w:val="auto"/>
              </w:rPr>
            </w:pPr>
          </w:p>
        </w:tc>
      </w:tr>
      <w:tr>
        <w:trPr>
          <w:trHeight w:val="197"/>
        </w:trPr>
        <w:tc>
          <w:tcPr>
            <w:tcW w:w="2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Less: imputed interest</w:t>
            </w:r>
          </w:p>
        </w:tc>
        <w:tc>
          <w:tcPr>
            <w:tcW w:w="5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76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4"/>
                <w:szCs w:val="14"/>
                <w:color w:val="auto"/>
              </w:rPr>
              <w:t>(6,727 )</w:t>
            </w: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185"/>
        </w:trPr>
        <w:tc>
          <w:tcPr>
            <w:tcW w:w="29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lease liabilities</w:t>
            </w:r>
          </w:p>
        </w:tc>
        <w:tc>
          <w:tcPr>
            <w:tcW w:w="560" w:type="dxa"/>
            <w:vAlign w:val="bottom"/>
            <w:tcBorders>
              <w:top w:val="single" w:sz="8" w:color="CFF0FC"/>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11,263</w:t>
            </w:r>
          </w:p>
        </w:tc>
        <w:tc>
          <w:tcPr>
            <w:tcW w:w="820" w:type="dxa"/>
            <w:vAlign w:val="bottom"/>
            <w:tcBorders>
              <w:top w:val="single" w:sz="8" w:color="CFF0FC"/>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60" w:type="dxa"/>
            <w:vAlign w:val="bottom"/>
            <w:tcBorders>
              <w:top w:val="single" w:sz="8" w:color="CFF0FC"/>
            </w:tcBorders>
          </w:tcPr>
          <w:p>
            <w:pPr>
              <w:spacing w:after="0"/>
              <w:rPr>
                <w:sz w:val="16"/>
                <w:szCs w:val="16"/>
                <w:color w:val="auto"/>
              </w:rPr>
            </w:pPr>
          </w:p>
        </w:tc>
      </w:tr>
      <w:tr>
        <w:trPr>
          <w:trHeight w:val="20"/>
        </w:trPr>
        <w:tc>
          <w:tcPr>
            <w:tcW w:w="2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3618230</wp:posOffset>
            </wp:positionH>
            <wp:positionV relativeFrom="paragraph">
              <wp:posOffset>-402590</wp:posOffset>
            </wp:positionV>
            <wp:extent cx="4127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-402590</wp:posOffset>
            </wp:positionV>
            <wp:extent cx="4127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-149860</wp:posOffset>
            </wp:positionV>
            <wp:extent cx="4127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-149860</wp:posOffset>
            </wp:positionV>
            <wp:extent cx="4127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224" w:lineRule="exact"/>
        <w:rPr>
          <w:sz w:val="20"/>
          <w:szCs w:val="20"/>
          <w:color w:val="auto"/>
        </w:rPr>
      </w:pPr>
    </w:p>
    <w:p>
      <w:pPr>
        <w:ind w:left="1140" w:right="1299" w:firstLine="258"/>
        <w:spacing w:after="0" w:line="293" w:lineRule="auto"/>
        <w:rPr>
          <w:sz w:val="20"/>
          <w:szCs w:val="20"/>
          <w:color w:val="auto"/>
        </w:rPr>
      </w:pPr>
      <w:r>
        <w:rPr>
          <w:rFonts w:ascii="Times New Roman" w:cs="Times New Roman" w:eastAsia="Times New Roman" w:hAnsi="Times New Roman"/>
          <w:sz w:val="14"/>
          <w:szCs w:val="14"/>
          <w:color w:val="auto"/>
        </w:rPr>
        <w:t>The weighted average remaining lease term and weighted average discount rate used to determine lease liabilities related to the Company’s operating and finance leases as of June 30, 2024 and December 31, 2023 were:</w:t>
      </w:r>
    </w:p>
    <w:p>
      <w:pPr>
        <w:spacing w:after="0" w:line="78"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3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0"/>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Lease Term and Discount Rate</w:t>
            </w:r>
          </w:p>
        </w:tc>
        <w:tc>
          <w:tcPr>
            <w:tcW w:w="106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7"/>
                <w:szCs w:val="17"/>
                <w:color w:val="auto"/>
              </w:rPr>
            </w:pPr>
          </w:p>
        </w:tc>
      </w:tr>
      <w:tr>
        <w:trPr>
          <w:trHeight w:val="190"/>
        </w:trPr>
        <w:tc>
          <w:tcPr>
            <w:tcW w:w="3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80" w:type="dxa"/>
            <w:vAlign w:val="bottom"/>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20" w:type="dxa"/>
            <w:vAlign w:val="bottom"/>
            <w:tcBorders>
              <w:top w:val="single" w:sz="8" w:color="auto"/>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3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97"/>
              </w:rPr>
              <w:t>6.58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1.69</w:t>
            </w:r>
          </w:p>
        </w:tc>
        <w:tc>
          <w:tcPr>
            <w:tcW w:w="60" w:type="dxa"/>
            <w:vAlign w:val="bottom"/>
          </w:tcPr>
          <w:p>
            <w:pPr>
              <w:spacing w:after="0"/>
              <w:rPr>
                <w:sz w:val="16"/>
                <w:szCs w:val="16"/>
                <w:color w:val="auto"/>
              </w:rPr>
            </w:pPr>
          </w:p>
        </w:tc>
      </w:tr>
      <w:tr>
        <w:trPr>
          <w:trHeight w:val="198"/>
        </w:trPr>
        <w:tc>
          <w:tcPr>
            <w:tcW w:w="3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Finance leases</w:t>
            </w:r>
          </w:p>
        </w:tc>
        <w:tc>
          <w:tcPr>
            <w:tcW w:w="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97"/>
              </w:rPr>
              <w:t>4.35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tcBorders>
              <w:right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4"/>
                <w:szCs w:val="14"/>
                <w:color w:val="auto"/>
              </w:rPr>
              <w:t>4.37</w:t>
            </w:r>
          </w:p>
        </w:tc>
        <w:tc>
          <w:tcPr>
            <w:tcW w:w="60" w:type="dxa"/>
            <w:vAlign w:val="bottom"/>
          </w:tcPr>
          <w:p>
            <w:pPr>
              <w:spacing w:after="0"/>
              <w:rPr>
                <w:sz w:val="17"/>
                <w:szCs w:val="17"/>
                <w:color w:val="auto"/>
              </w:rPr>
            </w:pPr>
          </w:p>
        </w:tc>
      </w:tr>
      <w:tr>
        <w:trPr>
          <w:trHeight w:val="186"/>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0"/>
        </w:trPr>
        <w:tc>
          <w:tcPr>
            <w:tcW w:w="3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leases</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14.4 %</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w w:val="90"/>
              </w:rPr>
              <w:t>10.4 %</w:t>
            </w:r>
          </w:p>
        </w:tc>
      </w:tr>
      <w:tr>
        <w:trPr>
          <w:trHeight w:val="194"/>
        </w:trPr>
        <w:tc>
          <w:tcPr>
            <w:tcW w:w="37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Finance leases</w:t>
            </w: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14.4 %</w:t>
            </w:r>
          </w:p>
        </w:tc>
        <w:tc>
          <w:tcPr>
            <w:tcW w:w="138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w w:val="90"/>
              </w:rPr>
              <w:t>14.0 %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-238125</wp:posOffset>
            </wp:positionV>
            <wp:extent cx="4263390" cy="1231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63390" cy="123190"/>
                    </a:xfrm>
                    <a:prstGeom prst="rect">
                      <a:avLst/>
                    </a:prstGeom>
                    <a:noFill/>
                  </pic:spPr>
                </pic:pic>
              </a:graphicData>
            </a:graphic>
          </wp:anchor>
        </w:drawing>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Note 8 – Commitments and Contingencies</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Letter of credit</w:t>
      </w:r>
    </w:p>
    <w:p>
      <w:pPr>
        <w:spacing w:after="0" w:line="99" w:lineRule="exact"/>
        <w:rPr>
          <w:sz w:val="20"/>
          <w:szCs w:val="20"/>
          <w:color w:val="auto"/>
        </w:rPr>
      </w:pPr>
    </w:p>
    <w:p>
      <w:pPr>
        <w:ind w:left="1140" w:right="1179" w:firstLine="258"/>
        <w:spacing w:after="0" w:line="275" w:lineRule="auto"/>
        <w:rPr>
          <w:sz w:val="20"/>
          <w:szCs w:val="20"/>
          <w:color w:val="auto"/>
        </w:rPr>
      </w:pPr>
      <w:r>
        <w:rPr>
          <w:rFonts w:ascii="Times New Roman" w:cs="Times New Roman" w:eastAsia="Times New Roman" w:hAnsi="Times New Roman"/>
          <w:sz w:val="14"/>
          <w:szCs w:val="14"/>
          <w:color w:val="auto"/>
        </w:rPr>
        <w:t>The Company has a standby letter of credit, expiring September 30, 2024, issued by a financial institution as required security for one operating lease. The aggregate amount of the letter of credit was $0.2 million as of June 30, 2024 and December 31, 2023.</w:t>
      </w:r>
    </w:p>
    <w:p>
      <w:pPr>
        <w:spacing w:after="0" w:line="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Legal Matters</w:t>
      </w:r>
    </w:p>
    <w:p>
      <w:pPr>
        <w:spacing w:after="0" w:line="99" w:lineRule="exact"/>
        <w:rPr>
          <w:sz w:val="20"/>
          <w:szCs w:val="20"/>
          <w:color w:val="auto"/>
        </w:rPr>
      </w:pPr>
    </w:p>
    <w:p>
      <w:pPr>
        <w:ind w:left="1140" w:right="1279" w:firstLine="258"/>
        <w:spacing w:after="0" w:line="275" w:lineRule="auto"/>
        <w:rPr>
          <w:sz w:val="20"/>
          <w:szCs w:val="20"/>
          <w:color w:val="auto"/>
        </w:rPr>
      </w:pPr>
      <w:r>
        <w:rPr>
          <w:rFonts w:ascii="Times New Roman" w:cs="Times New Roman" w:eastAsia="Times New Roman" w:hAnsi="Times New Roman"/>
          <w:sz w:val="14"/>
          <w:szCs w:val="14"/>
          <w:color w:val="auto"/>
        </w:rPr>
        <w:t>From time-to-time, the Company may be involved in certain legal proceedings or regulatory matters arising in the ordinary course of business, including without limitation, actions with respect to intellectual property, employment, regulatory, product liability and contractual matters. In connection with these proceedings or matters,</w:t>
      </w:r>
    </w:p>
    <w:p>
      <w:pPr>
        <w:spacing w:after="0" w:line="25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413385</wp:posOffset>
            </wp:positionV>
            <wp:extent cx="4288790"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1384300</wp:posOffset>
            </wp:positionH>
            <wp:positionV relativeFrom="paragraph">
              <wp:posOffset>29845</wp:posOffset>
            </wp:positionV>
            <wp:extent cx="4263390"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341" w:right="1440" w:bottom="1440" w:gutter="0" w:footer="0" w:header="0"/>
        </w:sectPr>
      </w:pPr>
    </w:p>
    <w:bookmarkStart w:id="23" w:name="page24"/>
    <w:bookmarkEnd w:id="23"/>
    <w:p>
      <w:pPr>
        <w:jc w:val="both"/>
        <w:ind w:left="1140" w:right="1159"/>
        <w:spacing w:after="0" w:line="263" w:lineRule="auto"/>
        <w:rPr>
          <w:sz w:val="20"/>
          <w:szCs w:val="20"/>
          <w:color w:val="auto"/>
        </w:rPr>
      </w:pPr>
      <w:r>
        <w:rPr>
          <w:rFonts w:ascii="Times New Roman" w:cs="Times New Roman" w:eastAsia="Times New Roman" w:hAnsi="Times New Roman"/>
          <w:sz w:val="14"/>
          <w:szCs w:val="14"/>
          <w:color w:val="auto"/>
        </w:rPr>
        <w:t>the Company regularly assesses the probability and amount (or range) of possible issues based on the developments in these proceedings or matters. A liability is recorded in the consolidated financial statements if it is determined that it is probable that a loss has been incurred, and that the amount (or range) of the loss can be reasonably estimated.</w:t>
      </w:r>
    </w:p>
    <w:p>
      <w:pPr>
        <w:spacing w:after="0" w:line="1" w:lineRule="exact"/>
        <w:rPr>
          <w:sz w:val="20"/>
          <w:szCs w:val="20"/>
          <w:color w:val="auto"/>
        </w:rPr>
      </w:pPr>
    </w:p>
    <w:p>
      <w:pPr>
        <w:ind w:left="1140" w:right="1219"/>
        <w:spacing w:after="0" w:line="259" w:lineRule="auto"/>
        <w:rPr>
          <w:sz w:val="20"/>
          <w:szCs w:val="20"/>
          <w:color w:val="auto"/>
        </w:rPr>
      </w:pPr>
      <w:r>
        <w:rPr>
          <w:rFonts w:ascii="Times New Roman" w:cs="Times New Roman" w:eastAsia="Times New Roman" w:hAnsi="Times New Roman"/>
          <w:sz w:val="14"/>
          <w:szCs w:val="14"/>
          <w:color w:val="auto"/>
        </w:rPr>
        <w:t>Because of the uncertainties related to any pending proceedings or matters, the Company is currently unable to predict their ultimate outcome and, with respect to any legal proceeding or regulatory matter where no liability has been accrued, to make a reasonable estimate of the possible loss (or range of loss) that could result from an adverse outcome. At June 30, 2024 and December 31, 2023, there were no legal proceedings, regulatory matters, or other disputes or claims for which a material loss was considered probable or for which the amount (or range) of loss was reasonably estimable. However, regardless of the outcome, legal proceedings, regulatory matters, and other disputes and claims can have an adverse impact on the Company because of legal costs, diversion of management time and resources, and other factors.</w:t>
      </w:r>
    </w:p>
    <w:p>
      <w:pPr>
        <w:spacing w:after="0" w:line="230" w:lineRule="exact"/>
        <w:rPr>
          <w:sz w:val="20"/>
          <w:szCs w:val="20"/>
          <w:color w:val="auto"/>
        </w:rPr>
      </w:pPr>
    </w:p>
    <w:p>
      <w:pPr>
        <w:ind w:left="1140" w:right="1199"/>
        <w:spacing w:after="0" w:line="296" w:lineRule="auto"/>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33" w:lineRule="exact"/>
        <w:rPr>
          <w:sz w:val="20"/>
          <w:szCs w:val="20"/>
          <w:color w:val="auto"/>
        </w:rPr>
      </w:pPr>
    </w:p>
    <w:p>
      <w:pPr>
        <w:ind w:left="1140" w:right="131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unaudited condensed consolidated financial statements and the related notes to those statements included elsewhere in this report and our audited consolidated financial statements and related notes thereto for the year ended December 31, 2023, included in our Annual Report on Form 10-K filed with the U.S. Securities and Exchange Commission on February 28, 2024.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Part II, Item 1A “Risk Factors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and elsewhere in, this report. See “Special Note Regarding Forward-Looking Statements.”</w:t>
      </w:r>
    </w:p>
    <w:p>
      <w:pPr>
        <w:spacing w:after="0" w:line="62" w:lineRule="exact"/>
        <w:rPr>
          <w:sz w:val="20"/>
          <w:szCs w:val="20"/>
          <w:color w:val="auto"/>
        </w:rPr>
      </w:pPr>
    </w:p>
    <w:p>
      <w:pPr>
        <w:ind w:left="1140" w:right="1219" w:firstLine="258"/>
        <w:spacing w:after="0" w:line="262" w:lineRule="auto"/>
        <w:rPr>
          <w:sz w:val="20"/>
          <w:szCs w:val="20"/>
          <w:color w:val="auto"/>
        </w:rPr>
      </w:pPr>
      <w:r>
        <w:rPr>
          <w:rFonts w:ascii="Times New Roman" w:cs="Times New Roman" w:eastAsia="Times New Roman" w:hAnsi="Times New Roman"/>
          <w:sz w:val="14"/>
          <w:szCs w:val="14"/>
          <w:color w:val="auto"/>
        </w:rPr>
        <w:t>We are a commercial-stage medical technology company dedicated to providing high quality customized vision to patients following cataract surgery. Our proprietary RxSight® Light Adjustable Lens system (“RxSight system”) is the first and only commercially available premium cataract technology that enables doctors to customize and optimize visual acuity for patients after surgery. The RxSight system is comprised of our RxSight Light Adjustable Lens® (“LAL™” and “LAL+™”, collectively the “LAL”), RxSight Light Delivery Device (“LDD™”), and accessories. Our LAL is a premium intraocular lens (“IOL”) made of proprietary photosensitive material that changes shape in response to specific patterns of ultraviolet (“UV”) light generated by our LDD.</w:t>
      </w:r>
    </w:p>
    <w:p>
      <w:pPr>
        <w:spacing w:after="0" w:line="61" w:lineRule="exact"/>
        <w:rPr>
          <w:sz w:val="20"/>
          <w:szCs w:val="20"/>
          <w:color w:val="auto"/>
        </w:rPr>
      </w:pPr>
    </w:p>
    <w:p>
      <w:pPr>
        <w:ind w:left="1140" w:right="1199" w:firstLine="258"/>
        <w:spacing w:after="0" w:line="262" w:lineRule="auto"/>
        <w:rPr>
          <w:sz w:val="20"/>
          <w:szCs w:val="20"/>
          <w:color w:val="auto"/>
        </w:rPr>
      </w:pPr>
      <w:r>
        <w:rPr>
          <w:rFonts w:ascii="Times New Roman" w:cs="Times New Roman" w:eastAsia="Times New Roman" w:hAnsi="Times New Roman"/>
          <w:sz w:val="14"/>
          <w:szCs w:val="14"/>
          <w:color w:val="auto"/>
        </w:rPr>
        <w:t>We designed our RxSight system to address the shortcomings of competitive premium IOL technologies and provide a solution that doctors can trust to improve visual outcomes and achieve high levels of patient satisfaction. Competitive premium IOLs require patients to specify their visual priorities before surgery and be willing to accept various optical trade-offs associated with those choices. Once a patient has selected a competitive premium IOL, the surgeon must rely on a series of preoperative diagnostic tests and predictive formulae to choose the appropriate lens power. If the doctor’s prediction isn’t exact, the patient may experience suboptimal results that could necessitate a subsequent corneal refractive procedure or certain other compromises in order to reach vision targets.</w:t>
      </w:r>
    </w:p>
    <w:p>
      <w:pPr>
        <w:spacing w:after="0" w:line="61" w:lineRule="exact"/>
        <w:rPr>
          <w:sz w:val="20"/>
          <w:szCs w:val="20"/>
          <w:color w:val="auto"/>
        </w:rPr>
      </w:pPr>
    </w:p>
    <w:p>
      <w:pPr>
        <w:ind w:left="1140" w:right="1239" w:firstLine="258"/>
        <w:spacing w:after="0" w:line="264" w:lineRule="auto"/>
        <w:rPr>
          <w:sz w:val="20"/>
          <w:szCs w:val="20"/>
          <w:color w:val="auto"/>
        </w:rPr>
      </w:pPr>
      <w:r>
        <w:rPr>
          <w:rFonts w:ascii="Times New Roman" w:cs="Times New Roman" w:eastAsia="Times New Roman" w:hAnsi="Times New Roman"/>
          <w:sz w:val="14"/>
          <w:szCs w:val="14"/>
          <w:color w:val="auto"/>
        </w:rPr>
        <w:t>In contrast, with the RxSight system, the surgeon implants the LAL during a standard cataract procedure, determines refractive error with patient input several weeks following surgery and then uses the LDD to modify the LAL with the precise visual correction needed to achieve the patient’s desired vision outcomes. We believe our RxSight system provides doctors and patients increased confidence and peace of mind by eliminating the high-stakes preoperative guesswork common to competitive premium IOLs and allowing patients to iterate their final vision characteristics with customized post-surgical adjustments.</w:t>
      </w:r>
    </w:p>
    <w:p>
      <w:pPr>
        <w:spacing w:after="0" w:line="56"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color w:val="auto"/>
        </w:rPr>
        <w:t>We compete primarily in the IOL market in the U.S. The LAL is a premium IOL which is partially reimbursable under Medicare, and in some cases by private payors. Premium IOLs are sold at a higher price point than conventional IOLs, as they provide refractive correction of vision unlike a conventional IOL that only replaces the natural lens with a clear lens (which is the standard for Medicare reimbursement). Our RxSight system is approved in the U.S., Europe, Canada and Mexico for improving uncorrected visual acuity by adjusting the LAL power to correct residual postoperative refractive error. We may selectively pursue commercial expansion in these or other geographies that accept these approvals in the future, with a priority on markets where we see significant potential opportunities. New approvals may also be sought in large foreign cataract markets with more complex regulatory processes such as Asia and Europe.</w:t>
      </w:r>
    </w:p>
    <w:p>
      <w:pPr>
        <w:spacing w:after="0" w:line="2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24" w:name="page25"/>
    <w:bookmarkEnd w:id="24"/>
    <w:p>
      <w:pPr>
        <w:ind w:left="1140" w:right="1319" w:firstLine="258"/>
        <w:spacing w:after="0" w:line="275" w:lineRule="auto"/>
        <w:rPr>
          <w:sz w:val="20"/>
          <w:szCs w:val="20"/>
          <w:color w:val="auto"/>
        </w:rPr>
      </w:pPr>
      <w:r>
        <w:rPr>
          <w:rFonts w:ascii="Times New Roman" w:cs="Times New Roman" w:eastAsia="Times New Roman" w:hAnsi="Times New Roman"/>
          <w:sz w:val="14"/>
          <w:szCs w:val="14"/>
          <w:color w:val="auto"/>
        </w:rPr>
        <w:t>We are a Delaware corporation headquartered in Aliso Viejo, California with one wholly owned subsidiary located in Amsterdam, Netherlands. The wholly owned subsidiary has a registered branch in the United Kingdom and a wholly owned subsidiary located in Germany.</w:t>
      </w:r>
    </w:p>
    <w:p>
      <w:pPr>
        <w:spacing w:after="0" w:line="49" w:lineRule="exact"/>
        <w:rPr>
          <w:sz w:val="20"/>
          <w:szCs w:val="20"/>
          <w:color w:val="auto"/>
        </w:rPr>
      </w:pPr>
    </w:p>
    <w:p>
      <w:pPr>
        <w:ind w:left="1140" w:right="1159" w:firstLine="258"/>
        <w:spacing w:after="0" w:line="262" w:lineRule="auto"/>
        <w:rPr>
          <w:sz w:val="20"/>
          <w:szCs w:val="20"/>
          <w:color w:val="auto"/>
        </w:rPr>
      </w:pPr>
      <w:r>
        <w:rPr>
          <w:rFonts w:ascii="Times New Roman" w:cs="Times New Roman" w:eastAsia="Times New Roman" w:hAnsi="Times New Roman"/>
          <w:sz w:val="14"/>
          <w:szCs w:val="14"/>
          <w:color w:val="auto"/>
        </w:rPr>
        <w:t>Our commercial efforts began in 2019 and have been primarily focused in the United States, where we are building a “razor and razor blade” business model to drive new customer adoption and ongoing LAL volume growth. Our United States commercial organization includes a direct sales team of LDD sales personnel and LAL account managers, as well as clinical specialists, field service engineers and marketing personnel. Our sales efforts are concentrated on the roughly 4,000 U.S. cataract surgeons that perform 70%-80% of all premium IOL procedures. As of June 30, 2024, we had established an installed base of 810 LDDs in ophthalmology practices and, since our inception through June 30, 2024, surgeons have implanted over 141,000 LALs.</w:t>
      </w:r>
    </w:p>
    <w:p>
      <w:pPr>
        <w:spacing w:after="0" w:line="61" w:lineRule="exact"/>
        <w:rPr>
          <w:sz w:val="20"/>
          <w:szCs w:val="20"/>
          <w:color w:val="auto"/>
        </w:rPr>
      </w:pPr>
    </w:p>
    <w:p>
      <w:pPr>
        <w:ind w:left="1140" w:right="1259" w:firstLine="258"/>
        <w:spacing w:after="0" w:line="260" w:lineRule="auto"/>
        <w:rPr>
          <w:sz w:val="20"/>
          <w:szCs w:val="20"/>
          <w:color w:val="auto"/>
        </w:rPr>
      </w:pPr>
      <w:r>
        <w:rPr>
          <w:rFonts w:ascii="Times New Roman" w:cs="Times New Roman" w:eastAsia="Times New Roman" w:hAnsi="Times New Roman"/>
          <w:sz w:val="14"/>
          <w:szCs w:val="14"/>
          <w:color w:val="auto"/>
        </w:rPr>
        <w:t>We believe this business model provides an attractive and concentrated market opportunity addressable with a focused sales force. We intend to continue to make significant investments in our sales and marketing organization. We believe selectively increasing the number of sales representatives, practice development personnel and clinical trainers will help facilitate further adoption of our products among existing customer accounts as well as broaden awareness of our products to new accounts. We plan to grow our business primarily by expanding the size of our LDD installed base and driving increased utilization of our LAL through heightened awareness of the superior clinical outcomes that our RxSight system provides patients. To continue to strengthen our competitive position in the premium IOL market, our research and development activities are focused primarily on programs that improve clinical outcomes, improve customer experience, expand our indications for use, reduce manufacturing costs and lifecycle management.</w:t>
      </w:r>
    </w:p>
    <w:p>
      <w:pPr>
        <w:spacing w:after="0" w:line="64" w:lineRule="exact"/>
        <w:rPr>
          <w:sz w:val="20"/>
          <w:szCs w:val="20"/>
          <w:color w:val="auto"/>
        </w:rPr>
      </w:pPr>
    </w:p>
    <w:p>
      <w:pPr>
        <w:ind w:left="1140" w:right="1239" w:firstLine="258"/>
        <w:spacing w:after="0" w:line="261" w:lineRule="auto"/>
        <w:rPr>
          <w:sz w:val="20"/>
          <w:szCs w:val="20"/>
          <w:color w:val="auto"/>
        </w:rPr>
      </w:pPr>
      <w:r>
        <w:rPr>
          <w:rFonts w:ascii="Times New Roman" w:cs="Times New Roman" w:eastAsia="Times New Roman" w:hAnsi="Times New Roman"/>
          <w:sz w:val="14"/>
          <w:szCs w:val="14"/>
          <w:color w:val="auto"/>
        </w:rPr>
        <w:t>Our near-term research and development activities are focused on enhancements to the RxSight system to improve the patient and doctor experience, expand the range of patients that can be treated, as well as expand the RxSight system indications and drive adoption. We believe that over time, our adjustable lens solution can be used to address a broad range of cataract surgery patients, including those that would otherwise elect for a conventional cataract procedure today. Additional development and clinical studies that are designed to provide clinical evidence of the safety and effectiveness of our existing and future generations of products are also anticipated. Finally, we may in the future seek to acquire or invest in additional businesses, products or technologies that we believe could complement or expand our portfolio, enhance our technical capabilities or otherwise offer growth opportunities.</w:t>
      </w:r>
    </w:p>
    <w:p>
      <w:pPr>
        <w:spacing w:after="0" w:line="63" w:lineRule="exact"/>
        <w:rPr>
          <w:sz w:val="20"/>
          <w:szCs w:val="20"/>
          <w:color w:val="auto"/>
        </w:rPr>
      </w:pPr>
    </w:p>
    <w:p>
      <w:pPr>
        <w:ind w:left="1140" w:right="1219" w:firstLine="258"/>
        <w:spacing w:after="0" w:line="260" w:lineRule="auto"/>
        <w:rPr>
          <w:sz w:val="20"/>
          <w:szCs w:val="20"/>
          <w:color w:val="auto"/>
        </w:rPr>
      </w:pPr>
      <w:r>
        <w:rPr>
          <w:rFonts w:ascii="Times New Roman" w:cs="Times New Roman" w:eastAsia="Times New Roman" w:hAnsi="Times New Roman"/>
          <w:sz w:val="14"/>
          <w:szCs w:val="14"/>
          <w:color w:val="auto"/>
        </w:rPr>
        <w:t>We intend to continue to make investments in our sales and marketing organization, primarily sales representatives, clinical applications specialists and technical service personnel to support new customers and upgrades and LAL account managers to facilitate adoption of use of our LALs among existing accounts. We will expand our marketing efforts with additional print and digital, social media and other customer tools to expand their local advertising. We will also continue to make significant investments in research and development and clinical expenses to make enhancements in our current products. Additionally, as a public company, we have incurred and expect to continue to incur increased costs for employee-related expenses, director and officer insurance premiums, audit fees, (including costs for compliance with Section 404(b) of the Sarbanes-Oxley Act), legal fees, investor relations fees, fees to members of our Board of directors, and expenses for compliance with public-company reporting requirements. Because of these and other factors, we expect to continue to incur net losses and negative cash flows from operations in the near future.</w:t>
      </w:r>
    </w:p>
    <w:p>
      <w:pPr>
        <w:spacing w:after="0" w:line="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99" w:lineRule="exact"/>
        <w:rPr>
          <w:sz w:val="20"/>
          <w:szCs w:val="20"/>
          <w:color w:val="auto"/>
        </w:rPr>
      </w:pPr>
    </w:p>
    <w:p>
      <w:pPr>
        <w:ind w:left="1140" w:right="1159" w:firstLine="258"/>
        <w:spacing w:after="0" w:line="262" w:lineRule="auto"/>
        <w:rPr>
          <w:sz w:val="20"/>
          <w:szCs w:val="20"/>
          <w:color w:val="auto"/>
        </w:rPr>
      </w:pPr>
      <w:r>
        <w:rPr>
          <w:rFonts w:ascii="Times New Roman" w:cs="Times New Roman" w:eastAsia="Times New Roman" w:hAnsi="Times New Roman"/>
          <w:sz w:val="14"/>
          <w:szCs w:val="14"/>
          <w:color w:val="auto"/>
        </w:rPr>
        <w:t>We regularly review several operating and financial metrics to evaluate our business, measure our performance, identify trends affecting our business, formulate our business plan and make strategic decisions. We believe the number of LDDs installed and, LALs implanted are indicators of our ability to drive adoption and generate revenue. We believe these are important metrics for our business. We may not yet be able to accurately assess seasonality and other trends, and we will continue to evaluate our business in the future using these and other financial metrics as we observe trends in our business. Our quarterly and annual financial results may fluctuate as a result of a variety of factors many of which are outside our control.</w:t>
      </w:r>
    </w:p>
    <w:p>
      <w:pPr>
        <w:spacing w:after="0" w:line="61" w:lineRule="exact"/>
        <w:rPr>
          <w:sz w:val="20"/>
          <w:szCs w:val="20"/>
          <w:color w:val="auto"/>
        </w:rPr>
      </w:pPr>
    </w:p>
    <w:p>
      <w:pPr>
        <w:jc w:val="both"/>
        <w:ind w:left="1140" w:right="1299" w:firstLine="258"/>
        <w:spacing w:after="0" w:line="268" w:lineRule="auto"/>
        <w:rPr>
          <w:sz w:val="20"/>
          <w:szCs w:val="20"/>
          <w:color w:val="auto"/>
        </w:rPr>
      </w:pPr>
      <w:r>
        <w:rPr>
          <w:rFonts w:ascii="Times New Roman" w:cs="Times New Roman" w:eastAsia="Times New Roman" w:hAnsi="Times New Roman"/>
          <w:sz w:val="14"/>
          <w:szCs w:val="14"/>
          <w:color w:val="auto"/>
        </w:rPr>
        <w:t>We believe the number of LDDs sold in each quarter and our LDD installed base at the end of each period are important metrics as they represent an installed base into which we can sell our LALs. We also believe the number of LALs sold (reported as implanted in a patient) in each quarter is an important metric indicative of adoption and utilization of our RxSight system.</w:t>
      </w:r>
    </w:p>
    <w:p>
      <w:pPr>
        <w:spacing w:after="0" w:line="200" w:lineRule="exact"/>
        <w:rPr>
          <w:sz w:val="20"/>
          <w:szCs w:val="20"/>
          <w:color w:val="auto"/>
        </w:rPr>
      </w:pPr>
    </w:p>
    <w:p>
      <w:pPr>
        <w:spacing w:after="0" w:line="2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25" w:name="page26"/>
    <w:bookmarkEnd w:id="25"/>
    <w:tbl>
      <w:tblPr>
        <w:tblLayout w:type="fixed"/>
        <w:tblInd w:w="1140" w:type="dxa"/>
        <w:tblCellMar>
          <w:top w:w="0" w:type="dxa"/>
          <w:left w:w="0" w:type="dxa"/>
          <w:bottom w:w="0" w:type="dxa"/>
          <w:right w:w="0" w:type="dxa"/>
        </w:tblCellMar>
      </w:tblPr>
      <w:tr>
        <w:trPr>
          <w:trHeight w:val="148"/>
        </w:trPr>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184"/>
        </w:trPr>
        <w:tc>
          <w:tcPr>
            <w:tcW w:w="22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Q1</w:t>
            </w:r>
          </w:p>
        </w:tc>
        <w:tc>
          <w:tcPr>
            <w:tcW w:w="16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Q2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Q1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Q2</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Q3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b w:val="1"/>
                <w:bCs w:val="1"/>
                <w:color w:val="auto"/>
              </w:rPr>
              <w:t>Q4</w:t>
            </w:r>
          </w:p>
        </w:tc>
        <w:tc>
          <w:tcPr>
            <w:tcW w:w="180" w:type="dxa"/>
            <w:vAlign w:val="bottom"/>
          </w:tcPr>
          <w:p>
            <w:pPr>
              <w:spacing w:after="0"/>
              <w:rPr>
                <w:sz w:val="16"/>
                <w:szCs w:val="16"/>
                <w:color w:val="auto"/>
              </w:rPr>
            </w:pPr>
          </w:p>
        </w:tc>
      </w:tr>
      <w:tr>
        <w:trPr>
          <w:trHeight w:val="184"/>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LDDs Sold</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7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66</w:t>
            </w: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80" w:type="dxa"/>
            <w:vAlign w:val="bottom"/>
            <w:shd w:val="clear" w:color="auto" w:fill="CFF0FC"/>
          </w:tcPr>
          <w:p>
            <w:pPr>
              <w:spacing w:after="0"/>
              <w:rPr>
                <w:sz w:val="16"/>
                <w:szCs w:val="16"/>
                <w:color w:val="auto"/>
              </w:rPr>
            </w:pPr>
          </w:p>
        </w:tc>
      </w:tr>
      <w:tr>
        <w:trPr>
          <w:trHeight w:val="190"/>
        </w:trPr>
        <w:tc>
          <w:tcPr>
            <w:tcW w:w="2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Installed Base at End of Period</w:t>
            </w:r>
          </w:p>
        </w:tc>
        <w:tc>
          <w:tcPr>
            <w:tcW w:w="5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80" w:type="dxa"/>
            <w:vAlign w:val="bottom"/>
            <w:gridSpan w:val="2"/>
          </w:tcPr>
          <w:p>
            <w:pPr>
              <w:spacing w:after="0"/>
              <w:rPr>
                <w:sz w:val="16"/>
                <w:szCs w:val="16"/>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456</w:t>
            </w:r>
          </w:p>
        </w:tc>
        <w:tc>
          <w:tcPr>
            <w:tcW w:w="140" w:type="dxa"/>
            <w:vAlign w:val="bottom"/>
            <w:gridSpan w:val="2"/>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gridSpan w:val="2"/>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80" w:type="dxa"/>
            <w:vAlign w:val="bottom"/>
          </w:tcPr>
          <w:p>
            <w:pPr>
              <w:spacing w:after="0"/>
              <w:rPr>
                <w:sz w:val="16"/>
                <w:szCs w:val="16"/>
                <w:color w:val="auto"/>
              </w:rPr>
            </w:pPr>
          </w:p>
        </w:tc>
      </w:tr>
      <w:tr>
        <w:trPr>
          <w:trHeight w:val="393"/>
        </w:trPr>
        <w:tc>
          <w:tcPr>
            <w:tcW w:w="2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31"/>
        </w:trPr>
        <w:tc>
          <w:tcPr>
            <w:tcW w:w="22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Q1</w:t>
            </w:r>
          </w:p>
        </w:tc>
        <w:tc>
          <w:tcPr>
            <w:tcW w:w="160" w:type="dxa"/>
            <w:vAlign w:val="bottom"/>
            <w:gridSpan w:val="2"/>
          </w:tcPr>
          <w:p>
            <w:pPr>
              <w:spacing w:after="0"/>
              <w:rPr>
                <w:sz w:val="11"/>
                <w:szCs w:val="11"/>
                <w:color w:val="auto"/>
              </w:rPr>
            </w:pPr>
          </w:p>
        </w:tc>
        <w:tc>
          <w:tcPr>
            <w:tcW w:w="160" w:type="dxa"/>
            <w:vAlign w:val="bottom"/>
            <w:tcBorders>
              <w:bottom w:val="single" w:sz="8" w:color="auto"/>
            </w:tcBorders>
            <w:gridSpan w:val="2"/>
          </w:tcPr>
          <w:p>
            <w:pPr>
              <w:spacing w:after="0"/>
              <w:rPr>
                <w:sz w:val="11"/>
                <w:szCs w:val="11"/>
                <w:color w:val="auto"/>
              </w:rPr>
            </w:pPr>
          </w:p>
        </w:tc>
        <w:tc>
          <w:tcPr>
            <w:tcW w:w="4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Q2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Q1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Q2</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Q3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Q4</w:t>
            </w:r>
          </w:p>
        </w:tc>
        <w:tc>
          <w:tcPr>
            <w:tcW w:w="180" w:type="dxa"/>
            <w:vAlign w:val="bottom"/>
          </w:tcPr>
          <w:p>
            <w:pPr>
              <w:spacing w:after="0"/>
              <w:rPr>
                <w:sz w:val="11"/>
                <w:szCs w:val="11"/>
                <w:color w:val="auto"/>
              </w:rPr>
            </w:pPr>
          </w:p>
        </w:tc>
      </w:tr>
      <w:tr>
        <w:trPr>
          <w:trHeight w:val="184"/>
        </w:trPr>
        <w:tc>
          <w:tcPr>
            <w:tcW w:w="2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LALs Sold</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20,218</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24,214</w:t>
            </w:r>
          </w:p>
        </w:tc>
        <w:tc>
          <w:tcPr>
            <w:tcW w:w="6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10,523</w:t>
            </w:r>
          </w:p>
        </w:tc>
        <w:tc>
          <w:tcPr>
            <w:tcW w:w="60" w:type="dxa"/>
            <w:vAlign w:val="bottom"/>
            <w:shd w:val="clear" w:color="auto" w:fill="CFF0FC"/>
          </w:tcPr>
          <w:p>
            <w:pPr>
              <w:spacing w:after="0"/>
              <w:rPr>
                <w:sz w:val="16"/>
                <w:szCs w:val="16"/>
                <w:color w:val="auto"/>
              </w:rPr>
            </w:pPr>
          </w:p>
        </w:tc>
        <w:tc>
          <w:tcPr>
            <w:tcW w:w="7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12,622</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13,657</w:t>
            </w:r>
          </w:p>
        </w:tc>
        <w:tc>
          <w:tcPr>
            <w:tcW w:w="80" w:type="dxa"/>
            <w:vAlign w:val="bottom"/>
            <w:shd w:val="clear" w:color="auto" w:fill="CFF0FC"/>
          </w:tcPr>
          <w:p>
            <w:pPr>
              <w:spacing w:after="0"/>
              <w:rPr>
                <w:sz w:val="16"/>
                <w:szCs w:val="16"/>
                <w:color w:val="auto"/>
              </w:rPr>
            </w:pPr>
          </w:p>
        </w:tc>
        <w:tc>
          <w:tcPr>
            <w:tcW w:w="6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18,071</w:t>
            </w:r>
          </w:p>
        </w:tc>
        <w:tc>
          <w:tcPr>
            <w:tcW w:w="180" w:type="dxa"/>
            <w:vAlign w:val="bottom"/>
            <w:shd w:val="clear" w:color="auto" w:fill="CFF0FC"/>
          </w:tcPr>
          <w:p>
            <w:pPr>
              <w:spacing w:after="0"/>
              <w:rPr>
                <w:sz w:val="16"/>
                <w:szCs w:val="16"/>
                <w:color w:val="auto"/>
              </w:rPr>
            </w:pPr>
          </w:p>
        </w:tc>
      </w:tr>
    </w:tbl>
    <w:p>
      <w:pPr>
        <w:spacing w:after="0" w:line="168" w:lineRule="exact"/>
        <w:rPr>
          <w:sz w:val="20"/>
          <w:szCs w:val="20"/>
          <w:color w:val="auto"/>
        </w:rPr>
      </w:pPr>
    </w:p>
    <w:p>
      <w:pPr>
        <w:ind w:left="1140" w:right="1179" w:firstLine="258"/>
        <w:spacing w:after="0" w:line="275" w:lineRule="auto"/>
        <w:rPr>
          <w:sz w:val="20"/>
          <w:szCs w:val="20"/>
          <w:color w:val="auto"/>
        </w:rPr>
      </w:pPr>
      <w:r>
        <w:rPr>
          <w:rFonts w:ascii="Times New Roman" w:cs="Times New Roman" w:eastAsia="Times New Roman" w:hAnsi="Times New Roman"/>
          <w:sz w:val="14"/>
          <w:szCs w:val="14"/>
          <w:color w:val="auto"/>
        </w:rPr>
        <w:t>During the quarter ended June 30, 2024, we had increased LDD sales of 11 and increased LAL sales of 11,592 when compared to the quarter ended June 30, 2023 from strong adoption of our RxSight technology by practices and doctors combined with an increased LDD installed base.</w:t>
      </w:r>
    </w:p>
    <w:p>
      <w:pPr>
        <w:spacing w:after="0" w:line="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Sales</w:t>
      </w:r>
    </w:p>
    <w:p>
      <w:pPr>
        <w:spacing w:after="0" w:line="101" w:lineRule="exact"/>
        <w:rPr>
          <w:sz w:val="20"/>
          <w:szCs w:val="20"/>
          <w:color w:val="auto"/>
        </w:rPr>
      </w:pPr>
    </w:p>
    <w:p>
      <w:pPr>
        <w:ind w:left="1140" w:right="1199" w:firstLine="258"/>
        <w:spacing w:after="0" w:line="262" w:lineRule="auto"/>
        <w:rPr>
          <w:sz w:val="20"/>
          <w:szCs w:val="20"/>
          <w:color w:val="auto"/>
        </w:rPr>
      </w:pPr>
      <w:r>
        <w:rPr>
          <w:rFonts w:ascii="Times New Roman" w:cs="Times New Roman" w:eastAsia="Times New Roman" w:hAnsi="Times New Roman"/>
          <w:sz w:val="14"/>
          <w:szCs w:val="14"/>
          <w:color w:val="auto"/>
        </w:rPr>
        <w:t>Our sales consist of the sale of LALs used in cataract surgeries, the LDDs for delivering light to the LALs to adjust the lens post-surgery, as needed, and service and accessories. Revenue is derived from sales of products primarily in the United States. Customers are primarily comprised of ophthalmic practices (LDD sales) and ambulatory surgery centers (LAL sales). We expect revenue to increase in absolute dollars as we expand our sales organization and sales territories, add customers, expand the base of doctors that are trained to use our products, and expand awareness of our products with new and existing customers and as doctors perform more procedures using our products.</w:t>
      </w:r>
    </w:p>
    <w:p>
      <w:pPr>
        <w:spacing w:after="0" w:line="61" w:lineRule="exact"/>
        <w:rPr>
          <w:sz w:val="20"/>
          <w:szCs w:val="20"/>
          <w:color w:val="auto"/>
        </w:rPr>
      </w:pPr>
    </w:p>
    <w:p>
      <w:pPr>
        <w:ind w:left="1140" w:right="1319" w:firstLine="258"/>
        <w:spacing w:after="0" w:line="293" w:lineRule="auto"/>
        <w:rPr>
          <w:sz w:val="20"/>
          <w:szCs w:val="20"/>
          <w:color w:val="auto"/>
        </w:rPr>
      </w:pPr>
      <w:r>
        <w:rPr>
          <w:rFonts w:ascii="Times New Roman" w:cs="Times New Roman" w:eastAsia="Times New Roman" w:hAnsi="Times New Roman"/>
          <w:sz w:val="14"/>
          <w:szCs w:val="14"/>
          <w:color w:val="auto"/>
        </w:rPr>
        <w:t>LALs are held at customer sites on consignment. Revenue is recognized for LALs upon customer notification that the LALs have been implanted in a patient.</w:t>
      </w:r>
    </w:p>
    <w:p>
      <w:pPr>
        <w:spacing w:after="0" w:line="37" w:lineRule="exact"/>
        <w:rPr>
          <w:sz w:val="20"/>
          <w:szCs w:val="20"/>
          <w:color w:val="auto"/>
        </w:rPr>
      </w:pPr>
    </w:p>
    <w:p>
      <w:pPr>
        <w:ind w:left="1140" w:right="1199" w:firstLine="258"/>
        <w:spacing w:after="0" w:line="264" w:lineRule="auto"/>
        <w:rPr>
          <w:sz w:val="20"/>
          <w:szCs w:val="20"/>
          <w:color w:val="auto"/>
        </w:rPr>
      </w:pPr>
      <w:r>
        <w:rPr>
          <w:rFonts w:ascii="Times New Roman" w:cs="Times New Roman" w:eastAsia="Times New Roman" w:hAnsi="Times New Roman"/>
          <w:sz w:val="14"/>
          <w:szCs w:val="14"/>
          <w:color w:val="auto"/>
        </w:rPr>
        <w:t>Our LDD contracts contain multiple performance obligations bundled into one transaction price, with all obligations generally satisfied within one year. The LDD capital asset and related components revenue is recognized upon installation and customer acceptance, training revenue is recognized upon completion of training by at least one doctor and the initial warranty and service agreement are recognized ratably over the service period. After the first year, service contracts can be purchased separately on a standalone basis. Revenue for such service agreements will be recognized over the term of each contract.</w:t>
      </w:r>
    </w:p>
    <w:p>
      <w:pPr>
        <w:spacing w:after="0" w:line="56" w:lineRule="exact"/>
        <w:rPr>
          <w:sz w:val="20"/>
          <w:szCs w:val="20"/>
          <w:color w:val="auto"/>
        </w:rPr>
      </w:pPr>
    </w:p>
    <w:p>
      <w:pPr>
        <w:ind w:left="1140" w:right="1179" w:firstLine="258"/>
        <w:spacing w:after="0" w:line="293" w:lineRule="auto"/>
        <w:rPr>
          <w:sz w:val="20"/>
          <w:szCs w:val="20"/>
          <w:color w:val="auto"/>
        </w:rPr>
      </w:pPr>
      <w:r>
        <w:rPr>
          <w:rFonts w:ascii="Times New Roman" w:cs="Times New Roman" w:eastAsia="Times New Roman" w:hAnsi="Times New Roman"/>
          <w:sz w:val="14"/>
          <w:szCs w:val="14"/>
          <w:color w:val="auto"/>
        </w:rPr>
        <w:t>For the three and six months ended June 30, 2024 and 2023, revenue from contracts with customers consisted of the following (in thousands):</w:t>
      </w:r>
    </w:p>
    <w:p>
      <w:pPr>
        <w:spacing w:after="0" w:line="46" w:lineRule="exact"/>
        <w:rPr>
          <w:sz w:val="20"/>
          <w:szCs w:val="20"/>
          <w:color w:val="auto"/>
        </w:rPr>
      </w:pPr>
    </w:p>
    <w:tbl>
      <w:tblPr>
        <w:tblLayout w:type="fixed"/>
        <w:tblInd w:w="1140" w:type="dxa"/>
        <w:tblCellMar>
          <w:top w:w="0" w:type="dxa"/>
          <w:left w:w="0" w:type="dxa"/>
          <w:bottom w:w="0" w:type="dxa"/>
          <w:right w:w="0" w:type="dxa"/>
        </w:tblCellMar>
      </w:tblPr>
      <w:tr>
        <w:trPr>
          <w:trHeight w:val="194"/>
        </w:trPr>
        <w:tc>
          <w:tcPr>
            <w:tcW w:w="2300" w:type="dxa"/>
            <w:vAlign w:val="bottom"/>
          </w:tcPr>
          <w:p>
            <w:pPr>
              <w:spacing w:after="0"/>
              <w:rPr>
                <w:sz w:val="16"/>
                <w:szCs w:val="16"/>
                <w:color w:val="auto"/>
              </w:rPr>
            </w:pPr>
          </w:p>
        </w:tc>
        <w:tc>
          <w:tcPr>
            <w:tcW w:w="2200" w:type="dxa"/>
            <w:vAlign w:val="bottom"/>
            <w:gridSpan w:val="5"/>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7"/>
        </w:trPr>
        <w:tc>
          <w:tcPr>
            <w:tcW w:w="23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LDD (including training)</w:t>
            </w:r>
          </w:p>
        </w:tc>
        <w:tc>
          <w:tcPr>
            <w:tcW w:w="760" w:type="dxa"/>
            <w:vAlign w:val="bottom"/>
            <w:shd w:val="clear" w:color="auto" w:fill="CFF0FC"/>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10,189</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7,720</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18,902</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14,195</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LAL</w:t>
            </w:r>
          </w:p>
        </w:tc>
        <w:tc>
          <w:tcPr>
            <w:tcW w:w="7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23,828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43,745</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Service warranty, service contracts,</w:t>
            </w:r>
          </w:p>
        </w:tc>
        <w:tc>
          <w:tcPr>
            <w:tcW w:w="760" w:type="dxa"/>
            <w:vAlign w:val="bottom"/>
            <w:shd w:val="clear" w:color="auto" w:fill="CFF0FC"/>
          </w:tcPr>
          <w:p>
            <w:pPr>
              <w:spacing w:after="0"/>
              <w:rPr>
                <w:sz w:val="14"/>
                <w:szCs w:val="14"/>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870</w:t>
            </w:r>
          </w:p>
        </w:tc>
        <w:tc>
          <w:tcPr>
            <w:tcW w:w="1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and accessories</w:t>
            </w:r>
          </w:p>
        </w:tc>
        <w:tc>
          <w:tcPr>
            <w:tcW w:w="76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00" w:type="dxa"/>
            <w:vAlign w:val="bottom"/>
          </w:tcPr>
          <w:p>
            <w:pPr>
              <w:spacing w:after="0"/>
              <w:rPr>
                <w:sz w:val="15"/>
                <w:szCs w:val="15"/>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34,887</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64,399</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-149860</wp:posOffset>
            </wp:positionV>
            <wp:extent cx="476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-149860</wp:posOffset>
            </wp:positionV>
            <wp:extent cx="4127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-149860</wp:posOffset>
            </wp:positionV>
            <wp:extent cx="4127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-149860</wp:posOffset>
            </wp:positionV>
            <wp:extent cx="4127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245" w:lineRule="exact"/>
        <w:rPr>
          <w:sz w:val="20"/>
          <w:szCs w:val="20"/>
          <w:color w:val="auto"/>
        </w:rPr>
      </w:pPr>
    </w:p>
    <w:p>
      <w:pPr>
        <w:ind w:left="1140" w:right="1199" w:firstLine="258"/>
        <w:spacing w:after="0" w:line="293" w:lineRule="auto"/>
        <w:rPr>
          <w:sz w:val="20"/>
          <w:szCs w:val="20"/>
          <w:color w:val="auto"/>
        </w:rPr>
      </w:pPr>
      <w:r>
        <w:rPr>
          <w:rFonts w:ascii="Times New Roman" w:cs="Times New Roman" w:eastAsia="Times New Roman" w:hAnsi="Times New Roman"/>
          <w:sz w:val="14"/>
          <w:szCs w:val="14"/>
          <w:color w:val="auto"/>
        </w:rPr>
        <w:t>For the three and six months ended June 30, 2024 and 2023 we did not have any one customer who individually accounted for more than 10% of revenue.</w:t>
      </w:r>
    </w:p>
    <w:p>
      <w:pPr>
        <w:spacing w:after="0" w:line="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01" w:lineRule="exact"/>
        <w:rPr>
          <w:sz w:val="20"/>
          <w:szCs w:val="20"/>
          <w:color w:val="auto"/>
        </w:rPr>
      </w:pPr>
    </w:p>
    <w:p>
      <w:pPr>
        <w:ind w:left="1140" w:right="1179" w:firstLine="258"/>
        <w:spacing w:after="0" w:line="264" w:lineRule="auto"/>
        <w:rPr>
          <w:sz w:val="20"/>
          <w:szCs w:val="20"/>
          <w:color w:val="auto"/>
        </w:rPr>
      </w:pPr>
      <w:r>
        <w:rPr>
          <w:rFonts w:ascii="Times New Roman" w:cs="Times New Roman" w:eastAsia="Times New Roman" w:hAnsi="Times New Roman"/>
          <w:sz w:val="14"/>
          <w:szCs w:val="14"/>
          <w:color w:val="auto"/>
        </w:rPr>
        <w:t>Cost of sales consist of materials, labor and manufacturing overhead internally to produce our products as well as the cost of shipping and handling. Overhead costs include the cost of quality assurance, material procurement, inventory control, facilities, equipment and operations supervision and management and stock-based compensation. Cost of sales also includes depreciation expense for production equipment and certain direct costs such as shipping costs and royalty and license fee expense. Shipping costs billed to customers are included in sales. We expect cost of sales to increase in absolute dollars as our revenue grows and more of our products are sold.</w:t>
      </w:r>
    </w:p>
    <w:p>
      <w:pPr>
        <w:spacing w:after="0" w:line="2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164" w:right="1440" w:bottom="1440" w:gutter="0" w:footer="0" w:header="0"/>
        </w:sectPr>
      </w:pPr>
    </w:p>
    <w:bookmarkStart w:id="26" w:name="page27"/>
    <w:bookmarkEnd w:id="26"/>
    <w:p>
      <w:pPr>
        <w:ind w:left="1140" w:right="1299" w:firstLine="258"/>
        <w:spacing w:after="0" w:line="265" w:lineRule="auto"/>
        <w:rPr>
          <w:sz w:val="20"/>
          <w:szCs w:val="20"/>
          <w:color w:val="auto"/>
        </w:rPr>
      </w:pPr>
      <w:r>
        <w:rPr>
          <w:rFonts w:ascii="Times New Roman" w:cs="Times New Roman" w:eastAsia="Times New Roman" w:hAnsi="Times New Roman"/>
          <w:sz w:val="14"/>
          <w:szCs w:val="14"/>
          <w:color w:val="auto"/>
        </w:rPr>
        <w:t>We calculate gross margin as gross profit/(loss) divided by sales. Our gross margin has been and will continue to be affected by a variety of factors, including average selling prices, product sales mix, production and ordering volumes, manufacturing costs, product yields, headcount and cost-reduction strategies. Our gross margin could fluctuate from quarter to quarter as we introduce new products, and as we adopt new manufacturing processes and technologies.</w:t>
      </w:r>
    </w:p>
    <w:p>
      <w:pPr>
        <w:spacing w:after="0" w:line="58" w:lineRule="exact"/>
        <w:rPr>
          <w:sz w:val="20"/>
          <w:szCs w:val="20"/>
          <w:color w:val="auto"/>
        </w:rPr>
      </w:pPr>
    </w:p>
    <w:p>
      <w:pPr>
        <w:ind w:left="1140" w:right="1319" w:firstLine="258"/>
        <w:spacing w:after="0" w:line="265" w:lineRule="auto"/>
        <w:rPr>
          <w:sz w:val="20"/>
          <w:szCs w:val="20"/>
          <w:color w:val="auto"/>
        </w:rPr>
      </w:pPr>
      <w:r>
        <w:rPr>
          <w:rFonts w:ascii="Times New Roman" w:cs="Times New Roman" w:eastAsia="Times New Roman" w:hAnsi="Times New Roman"/>
          <w:sz w:val="14"/>
          <w:szCs w:val="14"/>
          <w:color w:val="auto"/>
        </w:rPr>
        <w:t>Our LDD, as is typical of many medical device capital equipment products, has a low gross margin, as the material cost of the LDD is significant, representing greater than 50% of the total cost to manufacture. In addition, we do not mark up our LDD substantially because LDDs, once sold, generate LAL procedures. Our LAL gross margin is higher, with low material cost but high fixed overhead costs. As our manufacturing volume of the LAL increases, we expect gross margin may improve significantly.</w:t>
      </w:r>
    </w:p>
    <w:p>
      <w:pPr>
        <w:spacing w:after="0" w:line="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Operating expenses</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01"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Selling, general and administrative (“SG&amp;A”), expenses consist primarily of personnel-related expenses, including wages, incentive bonuses, stock-based compensation and benefits related to administrative, selling and marketing functions, education programs for doctors, commercial operations and analytics, finance, information technology and human resource functions. Other SG&amp;A expenses include sales commissions, travel expenses, promotional activities, marketing initiatives, market research and analysis, conferences and trade shows, training for doctors, professional services fees such as legal, patent registration costs, accounting, audit fees (including costs for compliance with Section 404(b) of the Sarbanes-Oxley Act), tax fees, board of directors’ expenses, insurance costs, general corporate expenses and facilities-related expenses. We expect SG&amp;A expenses to continue to increase in absolute dollars as we expand our sales and marketing organization and infrastructure to both drive and support the anticipated growth in revenue and due to additional legal, accounting audit and tax fees, insurance and other expenses associated with being a public company.</w:t>
      </w:r>
    </w:p>
    <w:p>
      <w:pPr>
        <w:spacing w:after="0" w:line="9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01" w:lineRule="exact"/>
        <w:rPr>
          <w:sz w:val="20"/>
          <w:szCs w:val="20"/>
          <w:color w:val="auto"/>
        </w:rPr>
      </w:pPr>
    </w:p>
    <w:p>
      <w:pPr>
        <w:ind w:left="1140" w:right="1219" w:firstLine="258"/>
        <w:spacing w:after="0" w:line="260" w:lineRule="auto"/>
        <w:rPr>
          <w:sz w:val="20"/>
          <w:szCs w:val="20"/>
          <w:color w:val="auto"/>
        </w:rPr>
      </w:pPr>
      <w:r>
        <w:rPr>
          <w:rFonts w:ascii="Times New Roman" w:cs="Times New Roman" w:eastAsia="Times New Roman" w:hAnsi="Times New Roman"/>
          <w:sz w:val="14"/>
          <w:szCs w:val="14"/>
          <w:color w:val="auto"/>
        </w:rPr>
        <w:t>Research and development expenses consist of expenses incurred in performing research and development and engineering activities for new products and technology, clinical studies and regulatory submissions and compliance. The expenses include personnel-related expenses, including wages, incentive bonuses, stock-based compensation and benefits, costs incurred at clinical trial sites, regulatory and manufacturing engineering costs, including those related to various laboratory and research equipment and supplies, expense of pre-approved inventory utilized for clinical trial and research purposes, costs incurred in the development of manufacturing processes in excess of capitalizable value, fees paid to consultants and contract clinical organizations and direct FDA related costs and costs related to FDA premarket approval submission preparation. Research and development expenses are expensed as incurred. We expect research and development expenses as a percentage of revenue to vary over time depending on the level and timing of our new product development efforts, as well as our clinical development, clinical trials and registries and other related activities.</w:t>
      </w:r>
    </w:p>
    <w:p>
      <w:pPr>
        <w:spacing w:after="0" w:line="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01" w:lineRule="exact"/>
        <w:rPr>
          <w:sz w:val="20"/>
          <w:szCs w:val="20"/>
          <w:color w:val="auto"/>
        </w:rPr>
      </w:pPr>
    </w:p>
    <w:p>
      <w:pPr>
        <w:ind w:left="1140" w:right="1419" w:firstLine="258"/>
        <w:spacing w:after="0" w:line="275" w:lineRule="auto"/>
        <w:rPr>
          <w:sz w:val="20"/>
          <w:szCs w:val="20"/>
          <w:color w:val="auto"/>
        </w:rPr>
      </w:pPr>
      <w:r>
        <w:rPr>
          <w:rFonts w:ascii="Times New Roman" w:cs="Times New Roman" w:eastAsia="Times New Roman" w:hAnsi="Times New Roman"/>
          <w:sz w:val="14"/>
          <w:szCs w:val="14"/>
          <w:color w:val="auto"/>
        </w:rPr>
        <w:t>Interest expense consist primarily of interest incurred on our outstanding indebtedness and non-cash interest related to the amortization of debt discount and issuance costs associated with our indebtedness and interest on leases.</w:t>
      </w:r>
    </w:p>
    <w:p>
      <w:pPr>
        <w:spacing w:after="0" w:line="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Interest and other income, net</w:t>
      </w:r>
    </w:p>
    <w:p>
      <w:pPr>
        <w:spacing w:after="0" w:line="101" w:lineRule="exact"/>
        <w:rPr>
          <w:sz w:val="20"/>
          <w:szCs w:val="20"/>
          <w:color w:val="auto"/>
        </w:rPr>
      </w:pPr>
    </w:p>
    <w:p>
      <w:pPr>
        <w:ind w:left="1140" w:right="1419" w:firstLine="258"/>
        <w:spacing w:after="0" w:line="293" w:lineRule="auto"/>
        <w:rPr>
          <w:sz w:val="20"/>
          <w:szCs w:val="20"/>
          <w:color w:val="auto"/>
        </w:rPr>
      </w:pPr>
      <w:r>
        <w:rPr>
          <w:rFonts w:ascii="Times New Roman" w:cs="Times New Roman" w:eastAsia="Times New Roman" w:hAnsi="Times New Roman"/>
          <w:sz w:val="14"/>
          <w:szCs w:val="14"/>
          <w:color w:val="auto"/>
        </w:rPr>
        <w:t>Interest and other income, net consist primarily of interest income earned on our short-term investments and cash equivalents.</w:t>
      </w:r>
    </w:p>
    <w:p>
      <w:pPr>
        <w:spacing w:after="0" w:line="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Comprehensive loss</w:t>
      </w:r>
    </w:p>
    <w:p>
      <w:pPr>
        <w:spacing w:after="0" w:line="101" w:lineRule="exact"/>
        <w:rPr>
          <w:sz w:val="20"/>
          <w:szCs w:val="20"/>
          <w:color w:val="auto"/>
        </w:rPr>
      </w:pPr>
    </w:p>
    <w:p>
      <w:pPr>
        <w:ind w:left="1140" w:right="1159" w:firstLine="258"/>
        <w:spacing w:after="0" w:line="268" w:lineRule="auto"/>
        <w:rPr>
          <w:sz w:val="20"/>
          <w:szCs w:val="20"/>
          <w:color w:val="auto"/>
        </w:rPr>
      </w:pPr>
      <w:r>
        <w:rPr>
          <w:rFonts w:ascii="Times New Roman" w:cs="Times New Roman" w:eastAsia="Times New Roman" w:hAnsi="Times New Roman"/>
          <w:sz w:val="14"/>
          <w:szCs w:val="14"/>
          <w:color w:val="auto"/>
        </w:rPr>
        <w:t>All components of comprehensive loss, including net loss, are reported in the consolidated financial statements in the period in which they are recognized. Comprehensive loss is defined as the change in equity during a period from transactions and other events and circumstances from non-owner sources, including unrealized gains and losses on short-term investments and foreign currency translation adjustments.</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27" w:name="page28"/>
    <w:bookmarkEnd w:id="27"/>
    <w:p>
      <w:pPr>
        <w:ind w:left="11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June 30, 2024 and 2023</w:t>
      </w:r>
    </w:p>
    <w:p>
      <w:pPr>
        <w:spacing w:after="0" w:line="101" w:lineRule="exact"/>
        <w:rPr>
          <w:sz w:val="20"/>
          <w:szCs w:val="20"/>
          <w:color w:val="auto"/>
        </w:rPr>
      </w:pPr>
    </w:p>
    <w:p>
      <w:pPr>
        <w:ind w:left="1140" w:right="1359" w:firstLine="258"/>
        <w:spacing w:after="0" w:line="293" w:lineRule="auto"/>
        <w:rPr>
          <w:sz w:val="20"/>
          <w:szCs w:val="20"/>
          <w:color w:val="auto"/>
        </w:rPr>
      </w:pPr>
      <w:r>
        <w:rPr>
          <w:rFonts w:ascii="Times New Roman" w:cs="Times New Roman" w:eastAsia="Times New Roman" w:hAnsi="Times New Roman"/>
          <w:sz w:val="14"/>
          <w:szCs w:val="14"/>
          <w:color w:val="auto"/>
        </w:rPr>
        <w:t>The following table summarizes our results of operations for the three months ended June 30, 2024 and 2023 together with the dollar increase or decrease and percentage change in those items.</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19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34,887</w:t>
            </w:r>
          </w:p>
        </w:tc>
        <w:tc>
          <w:tcPr>
            <w:tcW w:w="1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20,810</w:t>
            </w:r>
          </w:p>
        </w:tc>
        <w:tc>
          <w:tcPr>
            <w:tcW w:w="1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67.6 %</w:t>
            </w:r>
          </w:p>
        </w:tc>
        <w:tc>
          <w:tcPr>
            <w:tcW w:w="0" w:type="dxa"/>
            <w:vAlign w:val="bottom"/>
          </w:tcPr>
          <w:p>
            <w:pPr>
              <w:spacing w:after="0"/>
              <w:rPr>
                <w:sz w:val="1"/>
                <w:szCs w:val="1"/>
                <w:color w:val="auto"/>
              </w:rPr>
            </w:pPr>
          </w:p>
        </w:tc>
      </w:tr>
      <w:tr>
        <w:trPr>
          <w:trHeight w:val="192"/>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10,637</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8,795</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24,250</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12,015</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101.8 %</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24,292</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18,239</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6,053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8,291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7,401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8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top w:val="single" w:sz="8" w:color="CFF0FC"/>
              <w:bottom w:val="single" w:sz="8" w:color="auto"/>
            </w:tcBorders>
            <w:shd w:val="clear" w:color="auto" w:fill="CFF0FC"/>
          </w:tcPr>
          <w:p>
            <w:pPr>
              <w:spacing w:after="0"/>
              <w:rPr>
                <w:sz w:val="14"/>
                <w:szCs w:val="14"/>
                <w:color w:val="auto"/>
              </w:rPr>
            </w:pPr>
          </w:p>
        </w:tc>
        <w:tc>
          <w:tcPr>
            <w:tcW w:w="6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32,583</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CFF0FC"/>
              <w:bottom w:val="single" w:sz="8" w:color="auto"/>
            </w:tcBorders>
            <w:shd w:val="clear" w:color="auto" w:fill="CFF0FC"/>
          </w:tcPr>
          <w:p>
            <w:pPr>
              <w:spacing w:after="0"/>
              <w:rPr>
                <w:sz w:val="14"/>
                <w:szCs w:val="14"/>
                <w:color w:val="auto"/>
              </w:rPr>
            </w:pPr>
          </w:p>
        </w:tc>
        <w:tc>
          <w:tcPr>
            <w:tcW w:w="6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25,640</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CFF0FC"/>
              <w:bottom w:val="single" w:sz="8" w:color="auto"/>
            </w:tcBorders>
            <w:shd w:val="clear" w:color="auto" w:fill="CFF0FC"/>
          </w:tcPr>
          <w:p>
            <w:pPr>
              <w:spacing w:after="0"/>
              <w:rPr>
                <w:sz w:val="14"/>
                <w:szCs w:val="14"/>
                <w:color w:val="auto"/>
              </w:rPr>
            </w:pPr>
          </w:p>
        </w:tc>
        <w:tc>
          <w:tcPr>
            <w:tcW w:w="62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6,943</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8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(8,333 )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(13,625 )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(38.8 )%</w:t>
            </w:r>
          </w:p>
        </w:tc>
        <w:tc>
          <w:tcPr>
            <w:tcW w:w="0" w:type="dxa"/>
            <w:vAlign w:val="bottom"/>
          </w:tcPr>
          <w:p>
            <w:pPr>
              <w:spacing w:after="0"/>
              <w:rPr>
                <w:sz w:val="1"/>
                <w:szCs w:val="1"/>
                <w:color w:val="auto"/>
              </w:rPr>
            </w:pPr>
          </w:p>
        </w:tc>
      </w:tr>
      <w:tr>
        <w:trPr>
          <w:trHeight w:val="198"/>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(6 )</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(1,568 )</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2,276</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extinguishment of term loan</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(362 )</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Total other (expense) income, net:</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(153 )</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(1585.2 )%</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(6,063 )</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(13,778 )</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(10 )</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(38.1 )</w:t>
            </w:r>
          </w:p>
        </w:tc>
        <w:tc>
          <w:tcPr>
            <w:tcW w:w="180" w:type="dxa"/>
            <w:vAlign w:val="bottom"/>
            <w:tcBorders>
              <w:left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(6,079 )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(13,804 )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(56.0 )%</w:t>
            </w:r>
          </w:p>
        </w:tc>
        <w:tc>
          <w:tcPr>
            <w:tcW w:w="0" w:type="dxa"/>
            <w:vAlign w:val="bottom"/>
          </w:tcPr>
          <w:p>
            <w:pPr>
              <w:spacing w:after="0"/>
              <w:rPr>
                <w:sz w:val="1"/>
                <w:szCs w:val="1"/>
                <w:color w:val="auto"/>
              </w:rPr>
            </w:pPr>
          </w:p>
        </w:tc>
      </w:tr>
      <w:tr>
        <w:trPr>
          <w:trHeight w:val="188"/>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8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80" w:type="dxa"/>
            <w:vAlign w:val="bottom"/>
            <w:tcBorders>
              <w:left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(64 )</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(65 )</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(loss) gain</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(1 )</w:t>
            </w: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(2 )</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(163.4 )</w:t>
            </w:r>
          </w:p>
        </w:tc>
        <w:tc>
          <w:tcPr>
            <w:tcW w:w="180" w:type="dxa"/>
            <w:vAlign w:val="bottom"/>
            <w:tcBorders>
              <w:left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w:t>
            </w: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(65 )</w:t>
            </w: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(64 )</w:t>
            </w:r>
          </w:p>
        </w:tc>
        <w:tc>
          <w:tcPr>
            <w:tcW w:w="2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(1 )</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(6,144 )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(13,868 )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(55.7 )%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-2677795</wp:posOffset>
            </wp:positionV>
            <wp:extent cx="4263390" cy="1231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63390" cy="12319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-2425065</wp:posOffset>
            </wp:positionV>
            <wp:extent cx="4263390" cy="1295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63390" cy="12954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-1789430</wp:posOffset>
            </wp:positionV>
            <wp:extent cx="4762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-1789430</wp:posOffset>
            </wp:positionV>
            <wp:extent cx="4127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-1789430</wp:posOffset>
            </wp:positionV>
            <wp:extent cx="4127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-1931670</wp:posOffset>
            </wp:positionV>
            <wp:extent cx="66675" cy="161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-1160780</wp:posOffset>
            </wp:positionV>
            <wp:extent cx="4263390" cy="1295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263390" cy="12954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-279400</wp:posOffset>
            </wp:positionV>
            <wp:extent cx="476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-279400</wp:posOffset>
            </wp:positionV>
            <wp:extent cx="4127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-279400</wp:posOffset>
            </wp:positionV>
            <wp:extent cx="4127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-279400</wp:posOffset>
            </wp:positionV>
            <wp:extent cx="4127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-142875</wp:posOffset>
            </wp:positionV>
            <wp:extent cx="4263390" cy="143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63390" cy="143510"/>
                    </a:xfrm>
                    <a:prstGeom prst="rect">
                      <a:avLst/>
                    </a:prstGeom>
                    <a:noFill/>
                  </pic:spPr>
                </pic:pic>
              </a:graphicData>
            </a:graphic>
          </wp:anchor>
        </w:drawing>
      </w:r>
    </w:p>
    <w:p>
      <w:pPr>
        <w:spacing w:after="0" w:line="1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Sales</w:t>
      </w:r>
    </w:p>
    <w:p>
      <w:pPr>
        <w:spacing w:after="0" w:line="101" w:lineRule="exact"/>
        <w:rPr>
          <w:sz w:val="20"/>
          <w:szCs w:val="20"/>
          <w:color w:val="auto"/>
        </w:rPr>
      </w:pPr>
    </w:p>
    <w:p>
      <w:pPr>
        <w:ind w:left="1140" w:right="1399" w:firstLine="258"/>
        <w:spacing w:after="0" w:line="268" w:lineRule="auto"/>
        <w:rPr>
          <w:sz w:val="20"/>
          <w:szCs w:val="20"/>
          <w:color w:val="auto"/>
        </w:rPr>
      </w:pPr>
      <w:r>
        <w:rPr>
          <w:rFonts w:ascii="Times New Roman" w:cs="Times New Roman" w:eastAsia="Times New Roman" w:hAnsi="Times New Roman"/>
          <w:sz w:val="14"/>
          <w:szCs w:val="14"/>
          <w:color w:val="auto"/>
        </w:rPr>
        <w:t>Sales increased by $14.1 million, or 67.6%, to $34.9 million for the three months ended June 30, 2024, from $20.8 million for the three months ended June 30, 2023. The increase in total sales was primarily due to the incremental sales of 11,592 LALs and 11 LDDs from strong adoption of our RxSight system by practices and doctors.</w:t>
      </w:r>
    </w:p>
    <w:p>
      <w:pPr>
        <w:spacing w:after="0" w:line="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01" w:lineRule="exact"/>
        <w:rPr>
          <w:sz w:val="20"/>
          <w:szCs w:val="20"/>
          <w:color w:val="auto"/>
        </w:rPr>
      </w:pPr>
    </w:p>
    <w:p>
      <w:pPr>
        <w:ind w:left="1140" w:right="1199" w:firstLine="258"/>
        <w:spacing w:after="0" w:line="265" w:lineRule="auto"/>
        <w:rPr>
          <w:sz w:val="20"/>
          <w:szCs w:val="20"/>
          <w:color w:val="auto"/>
        </w:rPr>
      </w:pPr>
      <w:r>
        <w:rPr>
          <w:rFonts w:ascii="Times New Roman" w:cs="Times New Roman" w:eastAsia="Times New Roman" w:hAnsi="Times New Roman"/>
          <w:sz w:val="14"/>
          <w:szCs w:val="14"/>
          <w:color w:val="auto"/>
        </w:rPr>
        <w:t>Cost of sales increased by $1.8 million, or 20.9%, to $10.6 million for the three months ended June 30, 2024, from $8.8 million for the three months ended June 30, 2023, primarily due to the increase in the number of LALs and LDDs sold during the period. Gross margin increased to 69.5% in the three months ended June 30, 2024, from 57.8% for the three months ended June 30, 2023 primarily due to improved operating leverage, favorable product mix from a greater percentage of revenue from LAL sales, and increased margins on our LDD due to lower material costs.</w:t>
      </w:r>
    </w:p>
    <w:p>
      <w:pPr>
        <w:spacing w:after="0" w:line="25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 expenses</w:t>
      </w:r>
    </w:p>
    <w:p>
      <w:pPr>
        <w:spacing w:after="0" w:line="101" w:lineRule="exact"/>
        <w:rPr>
          <w:sz w:val="20"/>
          <w:szCs w:val="20"/>
          <w:color w:val="auto"/>
        </w:rPr>
      </w:pPr>
    </w:p>
    <w:p>
      <w:pPr>
        <w:ind w:left="1140" w:right="1179" w:firstLine="258"/>
        <w:spacing w:after="0" w:line="262" w:lineRule="auto"/>
        <w:rPr>
          <w:sz w:val="20"/>
          <w:szCs w:val="20"/>
          <w:color w:val="auto"/>
        </w:rPr>
      </w:pPr>
      <w:r>
        <w:rPr>
          <w:rFonts w:ascii="Times New Roman" w:cs="Times New Roman" w:eastAsia="Times New Roman" w:hAnsi="Times New Roman"/>
          <w:sz w:val="14"/>
          <w:szCs w:val="14"/>
          <w:color w:val="auto"/>
        </w:rPr>
        <w:t>SG&amp;A expenses increased by $6.1 million, or 33.2%, to $24.3 million for the three months ended June 30, 2024, from $18.2 million for the three months ended June 30, 2023. This increase was primarily attributable to an increase in selling and marketing costs of $4.0 million mainly due to increased salaries from increased headcount of 37, increased sales commissions, incentive bonuses and employee benefits of $2.1 million, $0.8 million of increased stock-based compensation expense, $0.3 million in additional post market study costs, and new customer acquisition costs, in each case when compared to the three months ended June 30, 2023. General and administrative expenses increased $2.0 million due to increased personnel expenses of $0.6 million, $0.2 million of increased costs related to</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85" w:right="1440" w:bottom="1440" w:gutter="0" w:footer="0" w:header="0"/>
        </w:sectPr>
      </w:pPr>
    </w:p>
    <w:bookmarkStart w:id="28" w:name="page29"/>
    <w:bookmarkEnd w:id="28"/>
    <w:p>
      <w:pPr>
        <w:ind w:left="1140" w:right="1459"/>
        <w:spacing w:after="0" w:line="293" w:lineRule="auto"/>
        <w:rPr>
          <w:sz w:val="20"/>
          <w:szCs w:val="20"/>
          <w:color w:val="auto"/>
        </w:rPr>
      </w:pPr>
      <w:r>
        <w:rPr>
          <w:rFonts w:ascii="Times New Roman" w:cs="Times New Roman" w:eastAsia="Times New Roman" w:hAnsi="Times New Roman"/>
          <w:sz w:val="14"/>
          <w:szCs w:val="14"/>
          <w:color w:val="auto"/>
        </w:rPr>
        <w:t>operating as a public company for Sarbanes-Oxley compliance and increased stock-based compensation of $0.8 million, in each case when compared to the three months ended June 30, 2023.</w:t>
      </w:r>
    </w:p>
    <w:p>
      <w:pPr>
        <w:spacing w:after="0" w:line="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01" w:lineRule="exact"/>
        <w:rPr>
          <w:sz w:val="20"/>
          <w:szCs w:val="20"/>
          <w:color w:val="auto"/>
        </w:rPr>
      </w:pPr>
    </w:p>
    <w:p>
      <w:pPr>
        <w:ind w:left="1140" w:right="1319" w:firstLine="258"/>
        <w:spacing w:after="0" w:line="268" w:lineRule="auto"/>
        <w:rPr>
          <w:sz w:val="20"/>
          <w:szCs w:val="20"/>
          <w:color w:val="auto"/>
        </w:rPr>
      </w:pPr>
      <w:r>
        <w:rPr>
          <w:rFonts w:ascii="Times New Roman" w:cs="Times New Roman" w:eastAsia="Times New Roman" w:hAnsi="Times New Roman"/>
          <w:sz w:val="14"/>
          <w:szCs w:val="14"/>
          <w:color w:val="auto"/>
        </w:rPr>
        <w:t>Research and development expenses increased by $0.9 million, or 12.0%, to $8.3 million for the three months ended June 30, 2024, from $7.4 million for the three months ended June 30, 2023. This increase was primarily attributable to $0.8 million due to increased facility costs and $0.3 million from increased stock-based compensation.</w:t>
      </w:r>
    </w:p>
    <w:p>
      <w:pPr>
        <w:spacing w:after="0" w:line="7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01" w:lineRule="exact"/>
        <w:rPr>
          <w:sz w:val="20"/>
          <w:szCs w:val="20"/>
          <w:color w:val="auto"/>
        </w:rPr>
      </w:pPr>
    </w:p>
    <w:p>
      <w:pPr>
        <w:ind w:left="1140" w:right="1179" w:firstLine="258"/>
        <w:spacing w:after="0" w:line="264" w:lineRule="auto"/>
        <w:rPr>
          <w:sz w:val="20"/>
          <w:szCs w:val="20"/>
          <w:color w:val="auto"/>
        </w:rPr>
      </w:pPr>
      <w:r>
        <w:rPr>
          <w:rFonts w:ascii="Times New Roman" w:cs="Times New Roman" w:eastAsia="Times New Roman" w:hAnsi="Times New Roman"/>
          <w:sz w:val="14"/>
          <w:szCs w:val="14"/>
          <w:color w:val="auto"/>
        </w:rPr>
        <w:t>Other income (expense), net, was income of $2.3 million for the three months ended June 30, 2024, compared to expense of $0.2 million for the three months ended June 30, 2023. The increase was primarily due to (i) decreased interest expense of $1.6 million due to the repayment of the Oxford term loan, as compared to the prior year period which also included a $0.3 million loss from the extinguishment of such term loan and (ii) increased interest income of $0.5 million, as compared to the prior year period, from higher interest rates earned on higher short term investment balances.</w:t>
      </w:r>
    </w:p>
    <w:p>
      <w:pPr>
        <w:spacing w:after="0" w:line="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six months ended June 30, 2024 and 2023</w:t>
      </w:r>
    </w:p>
    <w:p>
      <w:pPr>
        <w:spacing w:after="0" w:line="101" w:lineRule="exact"/>
        <w:rPr>
          <w:sz w:val="20"/>
          <w:szCs w:val="20"/>
          <w:color w:val="auto"/>
        </w:rPr>
      </w:pPr>
    </w:p>
    <w:p>
      <w:pPr>
        <w:ind w:left="1140" w:right="1479" w:firstLine="258"/>
        <w:spacing w:after="0" w:line="293" w:lineRule="auto"/>
        <w:rPr>
          <w:sz w:val="20"/>
          <w:szCs w:val="20"/>
          <w:color w:val="auto"/>
        </w:rPr>
      </w:pPr>
      <w:r>
        <w:rPr>
          <w:rFonts w:ascii="Times New Roman" w:cs="Times New Roman" w:eastAsia="Times New Roman" w:hAnsi="Times New Roman"/>
          <w:sz w:val="14"/>
          <w:szCs w:val="14"/>
          <w:color w:val="auto"/>
        </w:rPr>
        <w:t>The following table summarizes our results of operations for the six months ended June 30, 2024 and 2023 together with the dollar increase or decrease and percentage change in those items:</w:t>
      </w:r>
    </w:p>
    <w:p>
      <w:pPr>
        <w:spacing w:after="0" w:line="200" w:lineRule="exact"/>
        <w:rPr>
          <w:sz w:val="20"/>
          <w:szCs w:val="20"/>
          <w:color w:val="auto"/>
        </w:rPr>
      </w:pP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2880" w:type="dxa"/>
            <w:vAlign w:val="bottom"/>
          </w:tcPr>
          <w:p>
            <w:pPr>
              <w:spacing w:after="0"/>
              <w:rPr>
                <w:sz w:val="16"/>
                <w:szCs w:val="16"/>
                <w:color w:val="auto"/>
              </w:rPr>
            </w:pPr>
          </w:p>
        </w:tc>
        <w:tc>
          <w:tcPr>
            <w:tcW w:w="19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6"/>
                <w:szCs w:val="16"/>
                <w:color w:val="auto"/>
              </w:rPr>
            </w:pPr>
          </w:p>
        </w:tc>
        <w:tc>
          <w:tcPr>
            <w:tcW w:w="100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64,399</w:t>
            </w:r>
          </w:p>
        </w:tc>
        <w:tc>
          <w:tcPr>
            <w:tcW w:w="18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38,299</w:t>
            </w:r>
          </w:p>
        </w:tc>
        <w:tc>
          <w:tcPr>
            <w:tcW w:w="1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68.1 %</w:t>
            </w:r>
          </w:p>
        </w:tc>
        <w:tc>
          <w:tcPr>
            <w:tcW w:w="0" w:type="dxa"/>
            <w:vAlign w:val="bottom"/>
          </w:tcPr>
          <w:p>
            <w:pPr>
              <w:spacing w:after="0"/>
              <w:rPr>
                <w:sz w:val="1"/>
                <w:szCs w:val="1"/>
                <w:color w:val="auto"/>
              </w:rPr>
            </w:pPr>
          </w:p>
        </w:tc>
      </w:tr>
      <w:tr>
        <w:trPr>
          <w:trHeight w:val="192"/>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sales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19,464</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15,919</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3,545</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44,935</w:t>
            </w:r>
          </w:p>
        </w:tc>
        <w:tc>
          <w:tcPr>
            <w:tcW w:w="1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22,380</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100.8 %</w:t>
            </w:r>
          </w:p>
        </w:tc>
        <w:tc>
          <w:tcPr>
            <w:tcW w:w="0" w:type="dxa"/>
            <w:vAlign w:val="bottom"/>
          </w:tcPr>
          <w:p>
            <w:pPr>
              <w:spacing w:after="0"/>
              <w:rPr>
                <w:sz w:val="1"/>
                <w:szCs w:val="1"/>
                <w:color w:val="auto"/>
              </w:rPr>
            </w:pPr>
          </w:p>
        </w:tc>
      </w:tr>
      <w:tr>
        <w:trPr>
          <w:trHeight w:val="18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47,616</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34,492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13,124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16,322</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8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top w:val="single" w:sz="8" w:color="CFF0FC"/>
              <w:bottom w:val="single" w:sz="8" w:color="auto"/>
            </w:tcBorders>
            <w:shd w:val="clear" w:color="auto" w:fill="CFF0FC"/>
          </w:tcPr>
          <w:p>
            <w:pPr>
              <w:spacing w:after="0"/>
              <w:rPr>
                <w:sz w:val="14"/>
                <w:szCs w:val="14"/>
                <w:color w:val="auto"/>
              </w:rPr>
            </w:pPr>
          </w:p>
        </w:tc>
        <w:tc>
          <w:tcPr>
            <w:tcW w:w="66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63,938</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160" w:type="dxa"/>
            <w:vAlign w:val="bottom"/>
            <w:tcBorders>
              <w:top w:val="single" w:sz="8" w:color="CFF0FC"/>
              <w:bottom w:val="single" w:sz="8" w:color="auto"/>
            </w:tcBorders>
            <w:shd w:val="clear" w:color="auto" w:fill="CFF0FC"/>
          </w:tcPr>
          <w:p>
            <w:pPr>
              <w:spacing w:after="0"/>
              <w:rPr>
                <w:sz w:val="14"/>
                <w:szCs w:val="14"/>
                <w:color w:val="auto"/>
              </w:rPr>
            </w:pPr>
          </w:p>
        </w:tc>
        <w:tc>
          <w:tcPr>
            <w:tcW w:w="640" w:type="dxa"/>
            <w:vAlign w:val="bottom"/>
            <w:tcBorders>
              <w:top w:val="single" w:sz="8" w:color="CFF0FC"/>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49,100</w:t>
            </w:r>
          </w:p>
        </w:tc>
        <w:tc>
          <w:tcPr>
            <w:tcW w:w="160" w:type="dxa"/>
            <w:vAlign w:val="bottom"/>
            <w:tcBorders>
              <w:top w:val="single" w:sz="8" w:color="CFF0FC"/>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14,838</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8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(19,003 )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(26,720 )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(28.9 )%</w:t>
            </w:r>
          </w:p>
        </w:tc>
        <w:tc>
          <w:tcPr>
            <w:tcW w:w="0" w:type="dxa"/>
            <w:vAlign w:val="bottom"/>
          </w:tcPr>
          <w:p>
            <w:pPr>
              <w:spacing w:after="0"/>
              <w:rPr>
                <w:sz w:val="1"/>
                <w:szCs w:val="1"/>
                <w:color w:val="auto"/>
              </w:rPr>
            </w:pPr>
          </w:p>
        </w:tc>
      </w:tr>
      <w:tr>
        <w:trPr>
          <w:trHeight w:val="198"/>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(11 )</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(3,075 )</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3,860</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on extinguishment of term loan</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(362 )</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(269 )</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(1531.6 )%</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(15,154 )</w:t>
            </w:r>
          </w:p>
        </w:tc>
        <w:tc>
          <w:tcPr>
            <w:tcW w:w="16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(26,989 )</w:t>
            </w: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(2 )</w:t>
            </w:r>
          </w:p>
        </w:tc>
        <w:tc>
          <w:tcPr>
            <w:tcW w:w="26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80" w:type="dxa"/>
            <w:vAlign w:val="bottom"/>
            <w:tcBorders>
              <w:left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(15,179 )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(27,016 )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(43.8 )%</w:t>
            </w:r>
          </w:p>
        </w:tc>
        <w:tc>
          <w:tcPr>
            <w:tcW w:w="0" w:type="dxa"/>
            <w:vAlign w:val="bottom"/>
          </w:tcPr>
          <w:p>
            <w:pPr>
              <w:spacing w:after="0"/>
              <w:rPr>
                <w:sz w:val="1"/>
                <w:szCs w:val="1"/>
                <w:color w:val="auto"/>
              </w:rPr>
            </w:pPr>
          </w:p>
        </w:tc>
      </w:tr>
      <w:tr>
        <w:trPr>
          <w:trHeight w:val="198"/>
        </w:trPr>
        <w:tc>
          <w:tcPr>
            <w:tcW w:w="2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Unrealized (loss) gain on short-term</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(109 )</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(128 )</w:t>
            </w:r>
          </w:p>
        </w:tc>
        <w:tc>
          <w:tcPr>
            <w:tcW w:w="2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(682.7 )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(loss) gain</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(4 )</w:t>
            </w: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(7 )</w:t>
            </w:r>
          </w:p>
        </w:tc>
        <w:tc>
          <w:tcPr>
            <w:tcW w:w="2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(216.9 )</w:t>
            </w:r>
          </w:p>
        </w:tc>
        <w:tc>
          <w:tcPr>
            <w:tcW w:w="1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(113 )</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(135 )</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(618.5 )</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80" w:type="dxa"/>
            <w:vAlign w:val="bottom"/>
            <w:vMerge w:val="continue"/>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(15,292 )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(26,994 )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(43.3 )%</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-2780030</wp:posOffset>
            </wp:positionV>
            <wp:extent cx="4263390" cy="1231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263390" cy="12319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-2527300</wp:posOffset>
            </wp:positionV>
            <wp:extent cx="4263390" cy="1295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263390" cy="12954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-1891665</wp:posOffset>
            </wp:positionV>
            <wp:extent cx="47625"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-1891665</wp:posOffset>
            </wp:positionV>
            <wp:extent cx="4127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4316095</wp:posOffset>
            </wp:positionH>
            <wp:positionV relativeFrom="paragraph">
              <wp:posOffset>-2034540</wp:posOffset>
            </wp:positionV>
            <wp:extent cx="66675" cy="161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4937760</wp:posOffset>
            </wp:positionH>
            <wp:positionV relativeFrom="paragraph">
              <wp:posOffset>-2034540</wp:posOffset>
            </wp:positionV>
            <wp:extent cx="66675" cy="161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675" cy="16192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-1263015</wp:posOffset>
            </wp:positionV>
            <wp:extent cx="4263390" cy="1295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63390" cy="12954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-887730</wp:posOffset>
            </wp:positionV>
            <wp:extent cx="47625"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-887730</wp:posOffset>
            </wp:positionV>
            <wp:extent cx="4127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-887730</wp:posOffset>
            </wp:positionV>
            <wp:extent cx="4127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-887730</wp:posOffset>
            </wp:positionV>
            <wp:extent cx="4127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-279400</wp:posOffset>
            </wp:positionV>
            <wp:extent cx="476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-279400</wp:posOffset>
            </wp:positionV>
            <wp:extent cx="4127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-279400</wp:posOffset>
            </wp:positionV>
            <wp:extent cx="4127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-279400</wp:posOffset>
            </wp:positionV>
            <wp:extent cx="4127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-142875</wp:posOffset>
            </wp:positionV>
            <wp:extent cx="4263390" cy="143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263390" cy="143510"/>
                    </a:xfrm>
                    <a:prstGeom prst="rect">
                      <a:avLst/>
                    </a:prstGeom>
                    <a:noFill/>
                  </pic:spPr>
                </pic:pic>
              </a:graphicData>
            </a:graphic>
          </wp:anchor>
        </w:drawing>
      </w:r>
    </w:p>
    <w:p>
      <w:pPr>
        <w:spacing w:after="0" w:line="1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Sales</w:t>
      </w:r>
    </w:p>
    <w:p>
      <w:pPr>
        <w:spacing w:after="0" w:line="101" w:lineRule="exact"/>
        <w:rPr>
          <w:sz w:val="20"/>
          <w:szCs w:val="20"/>
          <w:color w:val="auto"/>
        </w:rPr>
      </w:pPr>
    </w:p>
    <w:p>
      <w:pPr>
        <w:ind w:left="1140" w:right="1379" w:firstLine="258"/>
        <w:spacing w:after="0" w:line="268" w:lineRule="auto"/>
        <w:rPr>
          <w:sz w:val="20"/>
          <w:szCs w:val="20"/>
          <w:color w:val="auto"/>
        </w:rPr>
      </w:pPr>
      <w:r>
        <w:rPr>
          <w:rFonts w:ascii="Times New Roman" w:cs="Times New Roman" w:eastAsia="Times New Roman" w:hAnsi="Times New Roman"/>
          <w:sz w:val="14"/>
          <w:szCs w:val="14"/>
          <w:color w:val="auto"/>
        </w:rPr>
        <w:t>Sales increased by $26.1 million, or 68.1%, to $64.4 million for the six months ended June 30, 2024, from $38.3 million for the six months ended June 30, 2023. The increase was due to incremental sales of 21,287 LALs primarily due to an increased LDD installed base and incremental sales of 21 LDDs from strong adoption of our RxSight technology by practices and doctors combined with an increased LDD installed base.</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29" w:name="page30"/>
    <w:bookmarkEnd w:id="29"/>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Cost of sales</w:t>
      </w:r>
    </w:p>
    <w:p>
      <w:pPr>
        <w:spacing w:after="0" w:line="101" w:lineRule="exact"/>
        <w:rPr>
          <w:sz w:val="20"/>
          <w:szCs w:val="20"/>
          <w:color w:val="auto"/>
        </w:rPr>
      </w:pPr>
    </w:p>
    <w:p>
      <w:pPr>
        <w:ind w:left="1140" w:right="1159" w:firstLine="258"/>
        <w:spacing w:after="0" w:line="264" w:lineRule="auto"/>
        <w:rPr>
          <w:sz w:val="20"/>
          <w:szCs w:val="20"/>
          <w:color w:val="auto"/>
        </w:rPr>
      </w:pPr>
      <w:r>
        <w:rPr>
          <w:rFonts w:ascii="Times New Roman" w:cs="Times New Roman" w:eastAsia="Times New Roman" w:hAnsi="Times New Roman"/>
          <w:sz w:val="14"/>
          <w:szCs w:val="14"/>
          <w:color w:val="auto"/>
        </w:rPr>
        <w:t>Cost of sales increased by $3.6 million, or 22.3%, to $19.5 million for the six months ended June 30, 2024 from $15.9 million for the six months ended June 30, 2023, primarily due to the increase in the number of LALs and LDDs sold during the period. Gross margin increased to 69.8% for the six months ended June 30, 2024 from 58.4% for the six months ended June 30, 2023 primarily due to favorable product mix from a greater percentage of revenue from LAL sales and increased margins on our LDD due to lower material costs from the introduction of our compact LDD during the third quarter of 2023.</w:t>
      </w:r>
    </w:p>
    <w:p>
      <w:pPr>
        <w:spacing w:after="0" w:line="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SG&amp;A expenses</w:t>
      </w:r>
    </w:p>
    <w:p>
      <w:pPr>
        <w:spacing w:after="0" w:line="101"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color w:val="auto"/>
        </w:rPr>
        <w:t>SG&amp;A expenses increased by $13.1 million, or 38.0%, to $47.6 million for the six months ended June 30, 2024, from $34.5 million for the six months ended June 30, 2023. This increase was primarily attributable to an increase in selling and marketing costs of $8.8 million mainly due to increased salaries from increased headcount of 37, increased sales commissions, incentive bonuses and employee benefits of $4.5 million, $1.4 million of increased stock-based compensation expense, $1.5 million in additional post market study costs, and new customer acquisition costs and increased travel costs of $0.6 million from increased LDD sales, in each case when compared to the six months ended June 30, 2023. General and administrative expenses increased $4.2 million due to increased personnel expenses of $1.3 million, $0.6 million of increased costs related to operating as a public company and increased stock-based compensation of $1.1 million.</w:t>
      </w:r>
    </w:p>
    <w:p>
      <w:pPr>
        <w:spacing w:after="0" w:line="8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101" w:lineRule="exact"/>
        <w:rPr>
          <w:sz w:val="20"/>
          <w:szCs w:val="20"/>
          <w:color w:val="auto"/>
        </w:rPr>
      </w:pPr>
    </w:p>
    <w:p>
      <w:pPr>
        <w:ind w:left="1140" w:right="1359" w:firstLine="258"/>
        <w:spacing w:after="0" w:line="268" w:lineRule="auto"/>
        <w:rPr>
          <w:sz w:val="20"/>
          <w:szCs w:val="20"/>
          <w:color w:val="auto"/>
        </w:rPr>
      </w:pPr>
      <w:r>
        <w:rPr>
          <w:rFonts w:ascii="Times New Roman" w:cs="Times New Roman" w:eastAsia="Times New Roman" w:hAnsi="Times New Roman"/>
          <w:sz w:val="14"/>
          <w:szCs w:val="14"/>
          <w:color w:val="auto"/>
        </w:rPr>
        <w:t>Research and development expenses increased by $1.7 million, or 11.7%, to $16.3 million for the six months ended June 30, 2024, from $14.6 million for the six months ended June 30, 2023. This increase was primarily attributable to $1.0 million in increased personnel costs primarily from increased headcount and $0.8 million in increased clinical study costs and $0.6 million from increased stock-based compensation.</w:t>
      </w:r>
    </w:p>
    <w:p>
      <w:pPr>
        <w:spacing w:after="0" w:line="8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01" w:lineRule="exact"/>
        <w:rPr>
          <w:sz w:val="20"/>
          <w:szCs w:val="20"/>
          <w:color w:val="auto"/>
        </w:rPr>
      </w:pPr>
    </w:p>
    <w:p>
      <w:pPr>
        <w:ind w:left="1140" w:right="1239" w:firstLine="258"/>
        <w:spacing w:after="0" w:line="265" w:lineRule="auto"/>
        <w:rPr>
          <w:sz w:val="20"/>
          <w:szCs w:val="20"/>
          <w:color w:val="auto"/>
        </w:rPr>
      </w:pPr>
      <w:r>
        <w:rPr>
          <w:rFonts w:ascii="Times New Roman" w:cs="Times New Roman" w:eastAsia="Times New Roman" w:hAnsi="Times New Roman"/>
          <w:sz w:val="14"/>
          <w:szCs w:val="14"/>
          <w:color w:val="auto"/>
        </w:rPr>
        <w:t>Other income (expense), net, was income of $3.8 million for the six months ended June 30, 2024, as compared to expense of $0.3 million for the six months ended June 30, 2023, The increase was primarily due to decreased interest expense of $3.1 million and $0.3 million loss from extinguishment of term loan due to the repayment of the Oxford term loan in 2023 and increased interest income of $0.7 million from higher interest rates earned on higher short-term investment balances.</w:t>
      </w:r>
    </w:p>
    <w:p>
      <w:pPr>
        <w:spacing w:after="0" w:line="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101" w:lineRule="exact"/>
        <w:rPr>
          <w:sz w:val="20"/>
          <w:szCs w:val="20"/>
          <w:color w:val="auto"/>
        </w:rPr>
      </w:pPr>
    </w:p>
    <w:p>
      <w:pPr>
        <w:ind w:left="1140" w:right="1239" w:firstLine="258"/>
        <w:spacing w:after="0" w:line="293" w:lineRule="auto"/>
        <w:rPr>
          <w:sz w:val="20"/>
          <w:szCs w:val="20"/>
          <w:color w:val="auto"/>
        </w:rPr>
      </w:pPr>
      <w:r>
        <w:rPr>
          <w:rFonts w:ascii="Times New Roman" w:cs="Times New Roman" w:eastAsia="Times New Roman" w:hAnsi="Times New Roman"/>
          <w:sz w:val="14"/>
          <w:szCs w:val="14"/>
          <w:color w:val="auto"/>
        </w:rPr>
        <w:t>We have incurred significant operating losses and negative cash flows from operations since our inception, and we anticipate that we will incur significant losses in the future.</w:t>
      </w:r>
    </w:p>
    <w:p>
      <w:pPr>
        <w:spacing w:after="0" w:line="37" w:lineRule="exact"/>
        <w:rPr>
          <w:sz w:val="20"/>
          <w:szCs w:val="20"/>
          <w:color w:val="auto"/>
        </w:rPr>
      </w:pPr>
    </w:p>
    <w:p>
      <w:pPr>
        <w:ind w:left="1140" w:right="1199" w:firstLine="258"/>
        <w:spacing w:after="0" w:line="275" w:lineRule="auto"/>
        <w:rPr>
          <w:sz w:val="20"/>
          <w:szCs w:val="20"/>
          <w:color w:val="auto"/>
        </w:rPr>
      </w:pPr>
      <w:r>
        <w:rPr>
          <w:rFonts w:ascii="Times New Roman" w:cs="Times New Roman" w:eastAsia="Times New Roman" w:hAnsi="Times New Roman"/>
          <w:sz w:val="14"/>
          <w:szCs w:val="14"/>
          <w:color w:val="auto"/>
        </w:rPr>
        <w:t>As of June 30, 2024, we had cash, cash equivalents and short-term investments of $233.2 million. For the six months ended June 30, 2024, and 2023, our loss from operations were $19.0 million and $26.7 million, respectively. We had an accumulated deficit of $609.8 million as of June 30, 2024.</w:t>
      </w:r>
    </w:p>
    <w:p>
      <w:pPr>
        <w:spacing w:after="0" w:line="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Shelf Registration Statement</w:t>
      </w:r>
    </w:p>
    <w:p>
      <w:pPr>
        <w:spacing w:after="0" w:line="101" w:lineRule="exact"/>
        <w:rPr>
          <w:sz w:val="20"/>
          <w:szCs w:val="20"/>
          <w:color w:val="auto"/>
        </w:rPr>
      </w:pPr>
    </w:p>
    <w:p>
      <w:pPr>
        <w:ind w:left="1140" w:right="1159" w:firstLine="258"/>
        <w:spacing w:after="0" w:line="264" w:lineRule="auto"/>
        <w:rPr>
          <w:sz w:val="20"/>
          <w:szCs w:val="20"/>
          <w:color w:val="auto"/>
        </w:rPr>
      </w:pPr>
      <w:r>
        <w:rPr>
          <w:rFonts w:ascii="Times New Roman" w:cs="Times New Roman" w:eastAsia="Times New Roman" w:hAnsi="Times New Roman"/>
          <w:sz w:val="14"/>
          <w:szCs w:val="14"/>
          <w:color w:val="auto"/>
        </w:rPr>
        <w:t>On May 8, 2024, we filed an automatic shelf registration statement on Form S-3 (“shelf registration statement”). The shelf registration statement is effective for three years and permits us to sell, from time to time, common stock, preferred stock, debt securities, warrants, and/or units. The shelf registration statement is intended to provide us with the flexibility to access additional capital. At the time of filing the shelf registration statement, we also filed a prospectus supplement to sell up to an aggregate value of $115.0 million dollars of common stock through a public offering (“Public Offering”).</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Public Offering</w:t>
      </w:r>
    </w:p>
    <w:p>
      <w:pPr>
        <w:spacing w:after="0" w:line="101" w:lineRule="exact"/>
        <w:rPr>
          <w:sz w:val="20"/>
          <w:szCs w:val="20"/>
          <w:color w:val="auto"/>
        </w:rPr>
      </w:pPr>
    </w:p>
    <w:p>
      <w:pPr>
        <w:ind w:left="1140" w:right="1199" w:firstLine="258"/>
        <w:spacing w:after="0" w:line="275" w:lineRule="auto"/>
        <w:rPr>
          <w:sz w:val="20"/>
          <w:szCs w:val="20"/>
          <w:color w:val="auto"/>
        </w:rPr>
      </w:pPr>
      <w:r>
        <w:rPr>
          <w:rFonts w:ascii="Times New Roman" w:cs="Times New Roman" w:eastAsia="Times New Roman" w:hAnsi="Times New Roman"/>
          <w:sz w:val="14"/>
          <w:szCs w:val="14"/>
          <w:color w:val="auto"/>
        </w:rPr>
        <w:t>On May 8, 2024, we entered into an underwriting agreement with BofA Securities, Inc., in which we agreed to issue and sell 1,785,714 shares of our common stock in a Public Offering, pursuant to the shelf registration statement. The shares of common stock were sold at a price to the public of $56.00 per share. Under the terms of the</w:t>
      </w:r>
    </w:p>
    <w:p>
      <w:pPr>
        <w:spacing w:after="0" w:line="200" w:lineRule="exact"/>
        <w:rPr>
          <w:sz w:val="20"/>
          <w:szCs w:val="20"/>
          <w:color w:val="auto"/>
        </w:rPr>
      </w:pPr>
    </w:p>
    <w:p>
      <w:pPr>
        <w:spacing w:after="0" w:line="2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72" w:right="1440" w:bottom="1440" w:gutter="0" w:footer="0" w:header="0"/>
        </w:sectPr>
      </w:pPr>
    </w:p>
    <w:bookmarkStart w:id="30" w:name="page31"/>
    <w:bookmarkEnd w:id="30"/>
    <w:p>
      <w:pPr>
        <w:ind w:left="1140" w:right="1159"/>
        <w:spacing w:after="0" w:line="264" w:lineRule="auto"/>
        <w:rPr>
          <w:sz w:val="20"/>
          <w:szCs w:val="20"/>
          <w:color w:val="auto"/>
        </w:rPr>
      </w:pPr>
      <w:r>
        <w:rPr>
          <w:rFonts w:ascii="Times New Roman" w:cs="Times New Roman" w:eastAsia="Times New Roman" w:hAnsi="Times New Roman"/>
          <w:sz w:val="14"/>
          <w:szCs w:val="14"/>
          <w:color w:val="auto"/>
        </w:rPr>
        <w:t>underwriting agreement, we also granted the underwriters an option exercisable for 30 days from the date of the underwriting agreement to purchase up to an additional 267,857 shares of common stock on the same terms and conditions. The underwriters' option was exercised in full on May 10, 2024 and the Public Offering (inclusive of the underwriters' option shares) closed on May 13, 2024. We received net proceeds of approximately $107.5 million from the Public Offering, after deducting underwriters' discounts and commissions of $6.9 million and other offering expenses of $0.6 million.</w:t>
      </w:r>
    </w:p>
    <w:p>
      <w:pPr>
        <w:spacing w:after="0" w:line="8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April 2024 lease activity</w:t>
      </w:r>
    </w:p>
    <w:p>
      <w:pPr>
        <w:spacing w:after="0" w:line="101" w:lineRule="exact"/>
        <w:rPr>
          <w:sz w:val="20"/>
          <w:szCs w:val="20"/>
          <w:color w:val="auto"/>
        </w:rPr>
      </w:pPr>
    </w:p>
    <w:p>
      <w:pPr>
        <w:ind w:left="1140" w:right="1199" w:firstLine="258"/>
        <w:spacing w:after="0" w:line="264" w:lineRule="auto"/>
        <w:rPr>
          <w:sz w:val="20"/>
          <w:szCs w:val="20"/>
          <w:color w:val="auto"/>
        </w:rPr>
      </w:pPr>
      <w:r>
        <w:rPr>
          <w:rFonts w:ascii="Times New Roman" w:cs="Times New Roman" w:eastAsia="Times New Roman" w:hAnsi="Times New Roman"/>
          <w:sz w:val="14"/>
          <w:szCs w:val="14"/>
          <w:color w:val="auto"/>
        </w:rPr>
        <w:t>On April 18, 2024, we entered into a new lease, and amendments to two existing leases, for three of our four facilities comprising our headquarters, manufacturing, research and development and administrative offices in Aliso Viejo, California. We entered into the new lease and amended two existing leases to extend the rental terms and options, ensure continued long-term access to our facilities, acquire additional square footage to expand manufacturing, and align the lease end dates for each of our four facilities. See Note 7 – Leases in the Notes to the condensed consolidated financial statements included in this report.</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Standby letter of credit</w:t>
      </w:r>
    </w:p>
    <w:p>
      <w:pPr>
        <w:spacing w:after="0" w:line="101" w:lineRule="exact"/>
        <w:rPr>
          <w:sz w:val="20"/>
          <w:szCs w:val="20"/>
          <w:color w:val="auto"/>
        </w:rPr>
      </w:pPr>
    </w:p>
    <w:p>
      <w:pPr>
        <w:ind w:left="1140" w:right="1179" w:firstLine="258"/>
        <w:spacing w:after="0" w:line="275" w:lineRule="auto"/>
        <w:rPr>
          <w:sz w:val="20"/>
          <w:szCs w:val="20"/>
          <w:color w:val="auto"/>
        </w:rPr>
      </w:pPr>
      <w:r>
        <w:rPr>
          <w:rFonts w:ascii="Times New Roman" w:cs="Times New Roman" w:eastAsia="Times New Roman" w:hAnsi="Times New Roman"/>
          <w:sz w:val="14"/>
          <w:szCs w:val="14"/>
          <w:color w:val="auto"/>
        </w:rPr>
        <w:t>We also have a standby letter of credit, expiring September 30, 2024, issued by a financial institution as a required security for one operating lease. The aggregate amount of the letter of credit was $0.2 million as of June 30, 2024 and December 31, 2023.</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Funding requirements</w:t>
      </w:r>
    </w:p>
    <w:p>
      <w:pPr>
        <w:spacing w:after="0" w:line="10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Our future liquidity and capital funding requirements will depend on numerous factors, including:</w:t>
      </w:r>
    </w:p>
    <w:p>
      <w:pPr>
        <w:spacing w:after="0" w:line="97" w:lineRule="exact"/>
        <w:rPr>
          <w:sz w:val="20"/>
          <w:szCs w:val="20"/>
          <w:color w:val="auto"/>
        </w:rPr>
      </w:pPr>
    </w:p>
    <w:p>
      <w:pPr>
        <w:ind w:left="1920" w:hanging="256"/>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growth, including potential international expansion;</w:t>
      </w:r>
    </w:p>
    <w:p>
      <w:pPr>
        <w:spacing w:after="0" w:line="97"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research and development efforts;</w:t>
      </w:r>
    </w:p>
    <w:p>
      <w:pPr>
        <w:spacing w:after="0" w:line="97"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and marketing activities;</w:t>
      </w:r>
    </w:p>
    <w:p>
      <w:pPr>
        <w:spacing w:after="0" w:line="97"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investments, primarily in inventories and accounts receivable;</w:t>
      </w:r>
    </w:p>
    <w:p>
      <w:pPr>
        <w:spacing w:after="0" w:line="97"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additional funds or borrow to finance our operations;</w:t>
      </w:r>
    </w:p>
    <w:p>
      <w:pPr>
        <w:spacing w:after="0" w:line="97"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any clinical trial results for our current or future products;</w:t>
      </w:r>
    </w:p>
    <w:p>
      <w:pPr>
        <w:spacing w:after="0" w:line="97"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and effect of competing or complementary products;</w:t>
      </w:r>
    </w:p>
    <w:p>
      <w:pPr>
        <w:spacing w:after="0" w:line="97" w:lineRule="exact"/>
        <w:rPr>
          <w:rFonts w:ascii="Times New Roman" w:cs="Times New Roman" w:eastAsia="Times New Roman" w:hAnsi="Times New Roman"/>
          <w:sz w:val="14"/>
          <w:szCs w:val="14"/>
          <w:color w:val="auto"/>
        </w:rPr>
      </w:pPr>
    </w:p>
    <w:p>
      <w:pPr>
        <w:ind w:left="1920" w:right="1379" w:hanging="256"/>
        <w:spacing w:after="0" w:line="268" w:lineRule="auto"/>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55" w:lineRule="exact"/>
        <w:rPr>
          <w:rFonts w:ascii="Times New Roman" w:cs="Times New Roman" w:eastAsia="Times New Roman" w:hAnsi="Times New Roman"/>
          <w:sz w:val="14"/>
          <w:szCs w:val="14"/>
          <w:color w:val="auto"/>
        </w:rPr>
      </w:pPr>
    </w:p>
    <w:p>
      <w:pPr>
        <w:ind w:left="1920" w:right="1459" w:hanging="256"/>
        <w:spacing w:after="0" w:line="293" w:lineRule="auto"/>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current employees and the need and ability to hire additional management, sales, research and development, scientific and customer support personnel;</w:t>
      </w:r>
    </w:p>
    <w:p>
      <w:pPr>
        <w:spacing w:after="0" w:line="37" w:lineRule="exact"/>
        <w:rPr>
          <w:rFonts w:ascii="Times New Roman" w:cs="Times New Roman" w:eastAsia="Times New Roman" w:hAnsi="Times New Roman"/>
          <w:sz w:val="14"/>
          <w:szCs w:val="14"/>
          <w:color w:val="auto"/>
        </w:rPr>
      </w:pPr>
    </w:p>
    <w:p>
      <w:pPr>
        <w:ind w:left="1920" w:right="1659" w:hanging="256"/>
        <w:spacing w:after="0" w:line="293" w:lineRule="auto"/>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collaborative, licensing or other arrangements that we have or may establish;</w:t>
      </w:r>
    </w:p>
    <w:p>
      <w:pPr>
        <w:spacing w:after="0" w:line="37"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finance lease payments for our facilities; and</w:t>
      </w:r>
    </w:p>
    <w:p>
      <w:pPr>
        <w:spacing w:after="0" w:line="97" w:lineRule="exact"/>
        <w:rPr>
          <w:rFonts w:ascii="Times New Roman" w:cs="Times New Roman" w:eastAsia="Times New Roman" w:hAnsi="Times New Roman"/>
          <w:sz w:val="14"/>
          <w:szCs w:val="14"/>
          <w:color w:val="auto"/>
        </w:rPr>
      </w:pPr>
    </w:p>
    <w:p>
      <w:pPr>
        <w:ind w:left="1920" w:hanging="256"/>
        <w:spacing w:after="0"/>
        <w:tabs>
          <w:tab w:leader="none" w:pos="1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or technologies.</w:t>
      </w:r>
    </w:p>
    <w:p>
      <w:pPr>
        <w:spacing w:after="0" w:line="97" w:lineRule="exact"/>
        <w:rPr>
          <w:sz w:val="20"/>
          <w:szCs w:val="20"/>
          <w:color w:val="auto"/>
        </w:rPr>
      </w:pPr>
    </w:p>
    <w:p>
      <w:pPr>
        <w:ind w:left="1140" w:right="1159" w:firstLine="258"/>
        <w:spacing w:after="0" w:line="262" w:lineRule="auto"/>
        <w:rPr>
          <w:sz w:val="20"/>
          <w:szCs w:val="20"/>
          <w:color w:val="auto"/>
        </w:rPr>
      </w:pPr>
      <w:r>
        <w:rPr>
          <w:rFonts w:ascii="Times New Roman" w:cs="Times New Roman" w:eastAsia="Times New Roman" w:hAnsi="Times New Roman"/>
          <w:sz w:val="14"/>
          <w:szCs w:val="14"/>
          <w:color w:val="auto"/>
        </w:rPr>
        <w:t>We believe that our current cash, cash equivalents and short-term investments through the date of filing of this report will be sufficient to fund our operations for at least the next 12 months. Although, based on our current planned operations, we do not anticipate the need to raise additional capital or incur additional debt in order to reach profit from operations, as the same may be disclosed in the Company’s future Annual Reports on Form 10-K or Quarterly Reports on Form 10-Q filed with the SEC, we may be required to raise additional capital through public or private equity offerings or debt financings, credit or loan facilities or by entering into partnerships or a combination of one or more of these funding sources in order to meet our liquidity requirements. We may also opportunistically</w:t>
      </w:r>
    </w:p>
    <w:p>
      <w:pPr>
        <w:spacing w:after="0" w:line="26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31" w:name="page32"/>
    <w:bookmarkEnd w:id="31"/>
    <w:p>
      <w:pPr>
        <w:ind w:left="1140" w:right="1199"/>
        <w:spacing w:after="0" w:line="260" w:lineRule="auto"/>
        <w:rPr>
          <w:sz w:val="20"/>
          <w:szCs w:val="20"/>
          <w:color w:val="auto"/>
        </w:rPr>
      </w:pPr>
      <w:r>
        <w:rPr>
          <w:rFonts w:ascii="Times New Roman" w:cs="Times New Roman" w:eastAsia="Times New Roman" w:hAnsi="Times New Roman"/>
          <w:sz w:val="14"/>
          <w:szCs w:val="14"/>
          <w:color w:val="auto"/>
        </w:rPr>
        <w:t>raise capital under advantageous circumstances from time to time, such as the Public Offering, in order to support the expansion of our sales and operations in the U.S. and internationally and to pursue other business opportunities. If we determine that we need to raise additional funds,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 If we raise additional funds by issuing equity securities, our stockholders may experience dilution.</w:t>
      </w:r>
    </w:p>
    <w:p>
      <w:pPr>
        <w:spacing w:after="0" w:line="59" w:lineRule="exact"/>
        <w:rPr>
          <w:sz w:val="20"/>
          <w:szCs w:val="20"/>
          <w:color w:val="auto"/>
        </w:rPr>
      </w:pPr>
    </w:p>
    <w:p>
      <w:pPr>
        <w:ind w:left="1140" w:right="1379" w:firstLine="258"/>
        <w:spacing w:after="0" w:line="293" w:lineRule="auto"/>
        <w:rPr>
          <w:sz w:val="20"/>
          <w:szCs w:val="20"/>
          <w:color w:val="auto"/>
        </w:rPr>
      </w:pPr>
      <w:r>
        <w:rPr>
          <w:rFonts w:ascii="Times New Roman" w:cs="Times New Roman" w:eastAsia="Times New Roman" w:hAnsi="Times New Roman"/>
          <w:sz w:val="14"/>
          <w:szCs w:val="14"/>
          <w:color w:val="auto"/>
        </w:rPr>
        <w:t>See Part II, Item 1A (“Risk Factors”) of this report for additional risks associated with our substantial capital requirements.</w:t>
      </w:r>
    </w:p>
    <w:p>
      <w:pPr>
        <w:spacing w:after="0" w:line="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Summary statement of cash flows</w:t>
      </w:r>
    </w:p>
    <w:p>
      <w:pPr>
        <w:spacing w:after="0" w:line="101" w:lineRule="exact"/>
        <w:rPr>
          <w:sz w:val="20"/>
          <w:szCs w:val="20"/>
          <w:color w:val="auto"/>
        </w:rPr>
      </w:pPr>
    </w:p>
    <w:p>
      <w:pPr>
        <w:ind w:left="1140" w:right="1419" w:firstLine="258"/>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primary sources and uses of cash, cash equivalents, and restricted cash for each of the periods presented below (in thousands):</w:t>
      </w:r>
    </w:p>
    <w:p>
      <w:pPr>
        <w:spacing w:after="0" w:line="57"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4"/>
          <w:szCs w:val="14"/>
          <w:b w:val="1"/>
          <w:bCs w:val="1"/>
          <w:color w:val="auto"/>
        </w:rPr>
        <w:t>For the Six Months Ended June</w:t>
      </w:r>
    </w:p>
    <w:p>
      <w:pPr>
        <w:spacing w:after="0" w:line="27"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11"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464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7"/>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cash (used in) provided by:</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activities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(13,336 )</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(25,310 )</w:t>
            </w:r>
          </w:p>
        </w:tc>
        <w:tc>
          <w:tcPr>
            <w:tcW w:w="0" w:type="dxa"/>
            <w:vAlign w:val="bottom"/>
          </w:tcPr>
          <w:p>
            <w:pPr>
              <w:spacing w:after="0"/>
              <w:rPr>
                <w:sz w:val="1"/>
                <w:szCs w:val="1"/>
                <w:color w:val="auto"/>
              </w:rPr>
            </w:pPr>
          </w:p>
        </w:tc>
      </w:tr>
      <w:tr>
        <w:trPr>
          <w:trHeight w:val="198"/>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Investing activities</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(91,371 )</w:t>
            </w:r>
          </w:p>
        </w:tc>
        <w:tc>
          <w:tcPr>
            <w:tcW w:w="28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(43,970 )</w:t>
            </w:r>
          </w:p>
        </w:tc>
        <w:tc>
          <w:tcPr>
            <w:tcW w:w="0" w:type="dxa"/>
            <w:vAlign w:val="bottom"/>
          </w:tcPr>
          <w:p>
            <w:pPr>
              <w:spacing w:after="0"/>
              <w:rPr>
                <w:sz w:val="1"/>
                <w:szCs w:val="1"/>
                <w:color w:val="auto"/>
              </w:rPr>
            </w:pPr>
          </w:p>
        </w:tc>
      </w:tr>
      <w:tr>
        <w:trPr>
          <w:trHeight w:val="190"/>
        </w:trPr>
        <w:tc>
          <w:tcPr>
            <w:tcW w:w="4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Financing activities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119,465</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66,196</w:t>
            </w:r>
          </w:p>
        </w:tc>
        <w:tc>
          <w:tcPr>
            <w:tcW w:w="0" w:type="dxa"/>
            <w:vAlign w:val="bottom"/>
          </w:tcPr>
          <w:p>
            <w:pPr>
              <w:spacing w:after="0"/>
              <w:rPr>
                <w:sz w:val="1"/>
                <w:szCs w:val="1"/>
                <w:color w:val="auto"/>
              </w:rPr>
            </w:pPr>
          </w:p>
        </w:tc>
      </w:tr>
      <w:tr>
        <w:trPr>
          <w:trHeight w:val="172"/>
        </w:trPr>
        <w:tc>
          <w:tcPr>
            <w:tcW w:w="4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Effect of foreign exchange rate on cash, cash equivalents</w:t>
            </w:r>
          </w:p>
        </w:tc>
        <w:tc>
          <w:tcPr>
            <w:tcW w:w="200" w:type="dxa"/>
            <w:vAlign w:val="bottom"/>
            <w:shd w:val="clear" w:color="auto" w:fill="CFF0FC"/>
          </w:tcPr>
          <w:p>
            <w:pPr>
              <w:spacing w:after="0"/>
              <w:rPr>
                <w:sz w:val="14"/>
                <w:szCs w:val="14"/>
                <w:color w:val="auto"/>
              </w:rPr>
            </w:pPr>
          </w:p>
        </w:tc>
        <w:tc>
          <w:tcPr>
            <w:tcW w:w="9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(4 )</w:t>
            </w:r>
          </w:p>
        </w:tc>
        <w:tc>
          <w:tcPr>
            <w:tcW w:w="280" w:type="dxa"/>
            <w:vAlign w:val="bottom"/>
            <w:shd w:val="clear" w:color="auto" w:fill="CFF0FC"/>
          </w:tcPr>
          <w:p>
            <w:pPr>
              <w:spacing w:after="0"/>
              <w:rPr>
                <w:sz w:val="14"/>
                <w:szCs w:val="14"/>
                <w:color w:val="auto"/>
              </w:rPr>
            </w:pPr>
          </w:p>
        </w:tc>
        <w:tc>
          <w:tcPr>
            <w:tcW w:w="70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6"/>
        </w:trPr>
        <w:tc>
          <w:tcPr>
            <w:tcW w:w="46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and restricted cash</w:t>
            </w:r>
          </w:p>
        </w:tc>
        <w:tc>
          <w:tcPr>
            <w:tcW w:w="200" w:type="dxa"/>
            <w:vAlign w:val="bottom"/>
            <w:shd w:val="clear" w:color="auto" w:fill="CFF0FC"/>
          </w:tcPr>
          <w:p>
            <w:pPr>
              <w:spacing w:after="0"/>
              <w:rPr>
                <w:sz w:val="16"/>
                <w:szCs w:val="16"/>
                <w:color w:val="auto"/>
              </w:rPr>
            </w:pPr>
          </w:p>
        </w:tc>
        <w:tc>
          <w:tcPr>
            <w:tcW w:w="900" w:type="dxa"/>
            <w:vAlign w:val="bottom"/>
            <w:gridSpan w:val="2"/>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00" w:type="dxa"/>
            <w:vAlign w:val="bottom"/>
            <w:tcBorders>
              <w:right w:val="single" w:sz="8" w:color="CFF0FC"/>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14,754</w:t>
            </w:r>
          </w:p>
        </w:tc>
        <w:tc>
          <w:tcPr>
            <w:tcW w:w="18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(3,081 )</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4253865</wp:posOffset>
            </wp:positionH>
            <wp:positionV relativeFrom="paragraph">
              <wp:posOffset>-149860</wp:posOffset>
            </wp:positionV>
            <wp:extent cx="4127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1275" cy="6985"/>
                    </a:xfrm>
                    <a:prstGeom prst="rect">
                      <a:avLst/>
                    </a:prstGeom>
                    <a:noFill/>
                  </pic:spPr>
                </pic:pic>
              </a:graphicData>
            </a:graphic>
          </wp:anchor>
        </w:drawing>
        <w:drawing>
          <wp:anchor simplePos="0" relativeHeight="251657728" behindDoc="1" locked="0" layoutInCell="0" allowOverlap="1">
            <wp:simplePos x="0" y="0"/>
            <wp:positionH relativeFrom="column">
              <wp:posOffset>4950460</wp:posOffset>
            </wp:positionH>
            <wp:positionV relativeFrom="paragraph">
              <wp:posOffset>-149860</wp:posOffset>
            </wp:positionV>
            <wp:extent cx="4127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1275" cy="6985"/>
                    </a:xfrm>
                    <a:prstGeom prst="rect">
                      <a:avLst/>
                    </a:prstGeom>
                    <a:noFill/>
                  </pic:spPr>
                </pic:pic>
              </a:graphicData>
            </a:graphic>
          </wp:anchor>
        </w:drawing>
      </w:r>
    </w:p>
    <w:p>
      <w:pPr>
        <w:spacing w:after="0" w:line="8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Cash used in operating activities</w:t>
      </w:r>
    </w:p>
    <w:p>
      <w:pPr>
        <w:spacing w:after="0" w:line="99" w:lineRule="exact"/>
        <w:rPr>
          <w:sz w:val="20"/>
          <w:szCs w:val="20"/>
          <w:color w:val="auto"/>
        </w:rPr>
      </w:pPr>
    </w:p>
    <w:p>
      <w:pPr>
        <w:ind w:left="1140" w:right="1379" w:firstLine="258"/>
        <w:spacing w:after="0" w:line="275" w:lineRule="auto"/>
        <w:rPr>
          <w:sz w:val="20"/>
          <w:szCs w:val="20"/>
          <w:color w:val="auto"/>
        </w:rPr>
      </w:pPr>
      <w:r>
        <w:rPr>
          <w:rFonts w:ascii="Times New Roman" w:cs="Times New Roman" w:eastAsia="Times New Roman" w:hAnsi="Times New Roman"/>
          <w:sz w:val="14"/>
          <w:szCs w:val="14"/>
          <w:color w:val="auto"/>
        </w:rPr>
        <w:t>Net cash used in operating activities for the six months ended June 30, 2024, was $13.3 million, consisting primarily of a net loss of $15.2 million and a change in operating assets and liabilities of $7.5 million, partially offset by non-cash stock-based compensation of $10.8 million and depreciation and amortization of $1.9 million.</w:t>
      </w:r>
    </w:p>
    <w:p>
      <w:pPr>
        <w:spacing w:after="0" w:line="49" w:lineRule="exact"/>
        <w:rPr>
          <w:sz w:val="20"/>
          <w:szCs w:val="20"/>
          <w:color w:val="auto"/>
        </w:rPr>
      </w:pPr>
    </w:p>
    <w:p>
      <w:pPr>
        <w:jc w:val="both"/>
        <w:ind w:left="1140" w:right="1459" w:firstLine="258"/>
        <w:spacing w:after="0" w:line="275" w:lineRule="auto"/>
        <w:rPr>
          <w:sz w:val="20"/>
          <w:szCs w:val="20"/>
          <w:color w:val="auto"/>
        </w:rPr>
      </w:pPr>
      <w:r>
        <w:rPr>
          <w:rFonts w:ascii="Times New Roman" w:cs="Times New Roman" w:eastAsia="Times New Roman" w:hAnsi="Times New Roman"/>
          <w:sz w:val="14"/>
          <w:szCs w:val="14"/>
          <w:color w:val="auto"/>
        </w:rPr>
        <w:t>Net cash used in operating activities for the six months ended June 30, 2023, was $25.3 million, consisting primarily of a net loss of $27.0 million and a change in operating assets and liabilities of $5.3 million, partially offset by non-cash stock-based compensation of $7.3 million and depreciation and amortization of $1.9 million.</w:t>
      </w:r>
    </w:p>
    <w:p>
      <w:pPr>
        <w:spacing w:after="0" w:line="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Cash used in investing activities</w:t>
      </w:r>
    </w:p>
    <w:p>
      <w:pPr>
        <w:spacing w:after="0" w:line="99" w:lineRule="exact"/>
        <w:rPr>
          <w:sz w:val="20"/>
          <w:szCs w:val="20"/>
          <w:color w:val="auto"/>
        </w:rPr>
      </w:pPr>
    </w:p>
    <w:p>
      <w:pPr>
        <w:jc w:val="both"/>
        <w:ind w:left="1140" w:right="1339" w:firstLine="258"/>
        <w:spacing w:after="0" w:line="293" w:lineRule="auto"/>
        <w:rPr>
          <w:sz w:val="20"/>
          <w:szCs w:val="20"/>
          <w:color w:val="auto"/>
        </w:rPr>
      </w:pPr>
      <w:r>
        <w:rPr>
          <w:rFonts w:ascii="Times New Roman" w:cs="Times New Roman" w:eastAsia="Times New Roman" w:hAnsi="Times New Roman"/>
          <w:sz w:val="14"/>
          <w:szCs w:val="14"/>
          <w:color w:val="auto"/>
        </w:rPr>
        <w:t>Net cash used in investing activities for the six months ended June 30, 2024, was $91.4 million, consisting of net purchase of short-term investments of $87.9 million and purchases of property and equipment of $3.5 million.</w:t>
      </w:r>
    </w:p>
    <w:p>
      <w:pPr>
        <w:spacing w:after="0" w:line="37" w:lineRule="exact"/>
        <w:rPr>
          <w:sz w:val="20"/>
          <w:szCs w:val="20"/>
          <w:color w:val="auto"/>
        </w:rPr>
      </w:pPr>
    </w:p>
    <w:p>
      <w:pPr>
        <w:ind w:left="1140" w:right="1279" w:firstLine="258"/>
        <w:spacing w:after="0" w:line="293" w:lineRule="auto"/>
        <w:rPr>
          <w:sz w:val="20"/>
          <w:szCs w:val="20"/>
          <w:color w:val="auto"/>
        </w:rPr>
      </w:pPr>
      <w:r>
        <w:rPr>
          <w:rFonts w:ascii="Times New Roman" w:cs="Times New Roman" w:eastAsia="Times New Roman" w:hAnsi="Times New Roman"/>
          <w:sz w:val="14"/>
          <w:szCs w:val="14"/>
          <w:color w:val="auto"/>
        </w:rPr>
        <w:t>Net cash used in investing activities for the six months ended June 30, 2023, was $44.0 million, consisting of net purchases of short-term investments of $41.4 million and purchases of property and equipment of $2.6 million.</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Cash provided by financing activities</w:t>
      </w:r>
    </w:p>
    <w:p>
      <w:pPr>
        <w:spacing w:after="0" w:line="99" w:lineRule="exact"/>
        <w:rPr>
          <w:sz w:val="20"/>
          <w:szCs w:val="20"/>
          <w:color w:val="auto"/>
        </w:rPr>
      </w:pPr>
    </w:p>
    <w:p>
      <w:pPr>
        <w:ind w:left="1140" w:right="1179" w:firstLine="258"/>
        <w:spacing w:after="0" w:line="268" w:lineRule="auto"/>
        <w:rPr>
          <w:sz w:val="20"/>
          <w:szCs w:val="20"/>
          <w:color w:val="auto"/>
        </w:rPr>
      </w:pPr>
      <w:r>
        <w:rPr>
          <w:rFonts w:ascii="Times New Roman" w:cs="Times New Roman" w:eastAsia="Times New Roman" w:hAnsi="Times New Roman"/>
          <w:sz w:val="14"/>
          <w:szCs w:val="14"/>
          <w:color w:val="auto"/>
        </w:rPr>
        <w:t>Net cash provided by financing activities for the six months ended June 30, 2024, was $119.5 million consisting primarily of proceeds from issuances of common stock from the Public Offering of $108.1 million, proceeds from issuance of common stock from stock option exercises of $14.0 million partially offset by tax payments for employee stock compensation of $2.1 million.</w:t>
      </w:r>
    </w:p>
    <w:p>
      <w:pPr>
        <w:spacing w:after="0" w:line="56" w:lineRule="exact"/>
        <w:rPr>
          <w:sz w:val="20"/>
          <w:szCs w:val="20"/>
          <w:color w:val="auto"/>
        </w:rPr>
      </w:pPr>
    </w:p>
    <w:p>
      <w:pPr>
        <w:ind w:left="1140" w:right="1259" w:firstLine="258"/>
        <w:spacing w:after="0" w:line="275" w:lineRule="auto"/>
        <w:rPr>
          <w:sz w:val="20"/>
          <w:szCs w:val="20"/>
          <w:color w:val="auto"/>
        </w:rPr>
      </w:pPr>
      <w:r>
        <w:rPr>
          <w:rFonts w:ascii="Times New Roman" w:cs="Times New Roman" w:eastAsia="Times New Roman" w:hAnsi="Times New Roman"/>
          <w:sz w:val="14"/>
          <w:szCs w:val="14"/>
          <w:color w:val="auto"/>
        </w:rPr>
        <w:t>Net cash provided by financing activities for the six months ended June 30, 2023, was $66.2 million consisting primarily of proceeds from issuances of common stock from the Public Offering of $54.1 million, proceeds from issuance of common stock from at-the-market offerings of $30.5 million and proceeds from issuance of common</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32" w:name="page33"/>
    <w:bookmarkEnd w:id="32"/>
    <w:p>
      <w:pPr>
        <w:ind w:left="1140" w:right="1219"/>
        <w:spacing w:after="0" w:line="293" w:lineRule="auto"/>
        <w:rPr>
          <w:sz w:val="20"/>
          <w:szCs w:val="20"/>
          <w:color w:val="auto"/>
        </w:rPr>
      </w:pPr>
      <w:r>
        <w:rPr>
          <w:rFonts w:ascii="Times New Roman" w:cs="Times New Roman" w:eastAsia="Times New Roman" w:hAnsi="Times New Roman"/>
          <w:sz w:val="14"/>
          <w:szCs w:val="14"/>
          <w:color w:val="auto"/>
        </w:rPr>
        <w:t>stock from stock option exercises of $3.9 million partially offset by a net paydown of the Oxford term loan of $20.0 million.</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Critical accounting policies, significant judgments and use of estimates</w:t>
      </w:r>
    </w:p>
    <w:p>
      <w:pPr>
        <w:spacing w:after="0" w:line="99" w:lineRule="exact"/>
        <w:rPr>
          <w:sz w:val="20"/>
          <w:szCs w:val="20"/>
          <w:color w:val="auto"/>
        </w:rPr>
      </w:pPr>
    </w:p>
    <w:p>
      <w:pPr>
        <w:ind w:left="1140" w:right="1159" w:firstLine="258"/>
        <w:spacing w:after="0" w:line="259" w:lineRule="auto"/>
        <w:rPr>
          <w:sz w:val="20"/>
          <w:szCs w:val="20"/>
          <w:color w:val="auto"/>
        </w:rPr>
      </w:pPr>
      <w:r>
        <w:rPr>
          <w:rFonts w:ascii="Times New Roman" w:cs="Times New Roman" w:eastAsia="Times New Roman" w:hAnsi="Times New Roman"/>
          <w:sz w:val="14"/>
          <w:szCs w:val="14"/>
          <w:color w:val="auto"/>
        </w:rPr>
        <w:t>Our management’s discussion and analysis of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which may affect our future financial statement presentation, financial condition, results of operations and cash flows. Our significant accounting policies are more fully described in the notes to our financial statements included in our Annual Report on Form 10-K filed with the SEC on February 28, 2024. We believe that the accounting policies we use are critical to the process of making significant judgments and estimates in the preparation of our financial statements and understanding and evaluating our reported financial results.</w:t>
      </w:r>
    </w:p>
    <w:p>
      <w:pPr>
        <w:spacing w:after="0" w:line="238" w:lineRule="exact"/>
        <w:rPr>
          <w:sz w:val="20"/>
          <w:szCs w:val="20"/>
          <w:color w:val="auto"/>
        </w:rPr>
      </w:pPr>
    </w:p>
    <w:p>
      <w:pPr>
        <w:ind w:left="1140" w:right="1219" w:firstLine="258"/>
        <w:spacing w:after="0" w:line="275" w:lineRule="auto"/>
        <w:rPr>
          <w:sz w:val="20"/>
          <w:szCs w:val="20"/>
          <w:color w:val="auto"/>
        </w:rPr>
      </w:pPr>
      <w:r>
        <w:rPr>
          <w:rFonts w:ascii="Times New Roman" w:cs="Times New Roman" w:eastAsia="Times New Roman" w:hAnsi="Times New Roman"/>
          <w:sz w:val="14"/>
          <w:szCs w:val="14"/>
          <w:color w:val="auto"/>
        </w:rPr>
        <w:t>We believe that accounting policies we have identified as critical involve a greater degree of judgment and complexity than our other accounting policies. Accordingly, those are the policies we believe are the most critical to understanding and evaluating our consolidated financial condition and results of operations.</w:t>
      </w:r>
    </w:p>
    <w:p>
      <w:pPr>
        <w:spacing w:after="0" w:line="49" w:lineRule="exact"/>
        <w:rPr>
          <w:sz w:val="20"/>
          <w:szCs w:val="20"/>
          <w:color w:val="auto"/>
        </w:rPr>
      </w:pPr>
    </w:p>
    <w:p>
      <w:pPr>
        <w:ind w:left="1140" w:right="1159" w:firstLine="258"/>
        <w:spacing w:after="0" w:line="268" w:lineRule="auto"/>
        <w:rPr>
          <w:sz w:val="20"/>
          <w:szCs w:val="20"/>
          <w:color w:val="auto"/>
        </w:rPr>
      </w:pPr>
      <w:r>
        <w:rPr>
          <w:rFonts w:ascii="Times New Roman" w:cs="Times New Roman" w:eastAsia="Times New Roman" w:hAnsi="Times New Roman"/>
          <w:sz w:val="14"/>
          <w:szCs w:val="14"/>
          <w:color w:val="auto"/>
        </w:rPr>
        <w:t>For a summary of our critical accounting policies and estimates, refer to “Management's Discussion and Analysis of Financial Condition and Results of Operations” included in our Annual Report on Form 10-K filed with the SEC on February 28, 2024. There have been no material changes to our critical accounting policies and estimates during the three months ended June 30, 2024.</w:t>
      </w:r>
    </w:p>
    <w:p>
      <w:pPr>
        <w:spacing w:after="0" w:line="7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99" w:lineRule="exact"/>
        <w:rPr>
          <w:sz w:val="20"/>
          <w:szCs w:val="20"/>
          <w:color w:val="auto"/>
        </w:rPr>
      </w:pPr>
    </w:p>
    <w:p>
      <w:pPr>
        <w:ind w:left="1140" w:right="1299" w:firstLine="258"/>
        <w:spacing w:after="0" w:line="261" w:lineRule="auto"/>
        <w:rPr>
          <w:sz w:val="20"/>
          <w:szCs w:val="20"/>
          <w:color w:val="auto"/>
        </w:rPr>
      </w:pPr>
      <w:r>
        <w:rPr>
          <w:rFonts w:ascii="Times New Roman" w:cs="Times New Roman" w:eastAsia="Times New Roman" w:hAnsi="Times New Roman"/>
          <w:sz w:val="14"/>
          <w:szCs w:val="14"/>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misappropriation or other violation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9" w:lineRule="exact"/>
        <w:rPr>
          <w:sz w:val="20"/>
          <w:szCs w:val="20"/>
          <w:color w:val="auto"/>
        </w:rPr>
      </w:pPr>
    </w:p>
    <w:p>
      <w:pPr>
        <w:ind w:left="1140" w:right="1299" w:firstLine="258"/>
        <w:spacing w:after="0" w:line="293" w:lineRule="auto"/>
        <w:rPr>
          <w:sz w:val="20"/>
          <w:szCs w:val="20"/>
          <w:color w:val="auto"/>
        </w:rPr>
      </w:pPr>
      <w:r>
        <w:rPr>
          <w:rFonts w:ascii="Times New Roman" w:cs="Times New Roman" w:eastAsia="Times New Roman" w:hAnsi="Times New Roman"/>
          <w:sz w:val="14"/>
          <w:szCs w:val="14"/>
          <w:color w:val="auto"/>
        </w:rPr>
        <w:t>See the section titled “Summary of Significant Accounting Policies—Recent Accounting Pronouncements” in Note 2 to our financial statements included elsewhere in this report for additional information.</w:t>
      </w:r>
    </w:p>
    <w:p>
      <w:pPr>
        <w:spacing w:after="0" w:line="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Supply chain constraints and inflation</w:t>
      </w:r>
    </w:p>
    <w:p>
      <w:pPr>
        <w:spacing w:after="0" w:line="99" w:lineRule="exact"/>
        <w:rPr>
          <w:sz w:val="20"/>
          <w:szCs w:val="20"/>
          <w:color w:val="auto"/>
        </w:rPr>
      </w:pPr>
    </w:p>
    <w:p>
      <w:pPr>
        <w:ind w:left="1140" w:right="1219" w:firstLine="258"/>
        <w:spacing w:after="0" w:line="259" w:lineRule="auto"/>
        <w:rPr>
          <w:sz w:val="20"/>
          <w:szCs w:val="20"/>
          <w:color w:val="auto"/>
        </w:rPr>
      </w:pPr>
      <w:r>
        <w:rPr>
          <w:rFonts w:ascii="Times New Roman" w:cs="Times New Roman" w:eastAsia="Times New Roman" w:hAnsi="Times New Roman"/>
          <w:sz w:val="14"/>
          <w:szCs w:val="14"/>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 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33" w:name="page34"/>
    <w:bookmarkEnd w:id="33"/>
    <w:p>
      <w:pPr>
        <w:ind w:left="1140" w:right="1219"/>
        <w:spacing w:after="0" w:line="261" w:lineRule="auto"/>
        <w:rPr>
          <w:sz w:val="20"/>
          <w:szCs w:val="20"/>
          <w:color w:val="auto"/>
        </w:rPr>
      </w:pPr>
      <w:r>
        <w:rPr>
          <w:rFonts w:ascii="Times New Roman" w:cs="Times New Roman" w:eastAsia="Times New Roman" w:hAnsi="Times New Roman"/>
          <w:sz w:val="14"/>
          <w:szCs w:val="14"/>
          <w:color w:val="auto"/>
        </w:rPr>
        <w:t>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60" w:lineRule="exact"/>
        <w:rPr>
          <w:sz w:val="20"/>
          <w:szCs w:val="20"/>
          <w:color w:val="auto"/>
        </w:rPr>
      </w:pPr>
    </w:p>
    <w:p>
      <w:pPr>
        <w:jc w:val="both"/>
        <w:ind w:left="1140" w:right="1299" w:firstLine="258"/>
        <w:spacing w:after="0" w:line="275" w:lineRule="auto"/>
        <w:rPr>
          <w:sz w:val="20"/>
          <w:szCs w:val="20"/>
          <w:color w:val="auto"/>
        </w:rPr>
      </w:pPr>
      <w:r>
        <w:rPr>
          <w:rFonts w:ascii="Times New Roman" w:cs="Times New Roman" w:eastAsia="Times New Roman" w:hAnsi="Times New Roman"/>
          <w:sz w:val="14"/>
          <w:szCs w:val="14"/>
          <w:color w:val="auto"/>
        </w:rPr>
        <w:t>Uncertain macroeconomic conditions including recent inflationary pressures and the rise in interest rates have created significant uncertainty in the U.S. economy and capital markets, which is expected to continue through the remainder of 2024 and beyond and could negatively impact our financial results and liquidity.</w:t>
      </w:r>
    </w:p>
    <w:p>
      <w:pPr>
        <w:spacing w:after="0" w:line="30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9" w:lineRule="exact"/>
        <w:rPr>
          <w:sz w:val="20"/>
          <w:szCs w:val="20"/>
          <w:color w:val="auto"/>
        </w:rPr>
      </w:pPr>
    </w:p>
    <w:p>
      <w:pPr>
        <w:jc w:val="both"/>
        <w:ind w:left="1140" w:right="1319" w:firstLine="258"/>
        <w:spacing w:after="0" w:line="293" w:lineRule="auto"/>
        <w:rPr>
          <w:sz w:val="20"/>
          <w:szCs w:val="20"/>
          <w:color w:val="auto"/>
        </w:rPr>
      </w:pPr>
      <w:r>
        <w:rPr>
          <w:rFonts w:ascii="Times New Roman" w:cs="Times New Roman" w:eastAsia="Times New Roman" w:hAnsi="Times New Roman"/>
          <w:sz w:val="14"/>
          <w:szCs w:val="14"/>
          <w:color w:val="auto"/>
        </w:rPr>
        <w:t>We are exposed to market risks in the ordinary course of our business. Market risk is the potential loss arising from the adverse changes in market rates and prices.</w:t>
      </w:r>
    </w:p>
    <w:p>
      <w:pPr>
        <w:spacing w:after="0" w:line="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Interest Fluctuation Rate Risk</w:t>
      </w:r>
    </w:p>
    <w:p>
      <w:pPr>
        <w:spacing w:after="0" w:line="99"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We had cash and cash equivalents and short-term investments of $233.2 million as of June 30, 2024, which consisted of $208.8 million in highly liquid money market and U.S. Treasury securities with maturities of twelve months or less.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and short-term investments. Declines in interest rates, however, would reduce future investment income. We considered the historical volatility of short-term interest rates and determined that it was reasonably possible that an adverse change of 100 basis points could be experienced in the near term. A hypothetical 1.00% (100 basis points) change in interest rates would not have materially impacted the fair value of our marketable securities as of June 30, 2024 and December 31, 2023. If overall interest rates had increased or decreased by 1.00% (100 basis points), our interest income would not have been materially affected during the quarter ended June 30, 2024 or June 30, 2023.</w:t>
      </w:r>
    </w:p>
    <w:p>
      <w:pPr>
        <w:spacing w:after="0" w:line="23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Foreign Currency Exchange Risk</w:t>
      </w:r>
    </w:p>
    <w:p>
      <w:pPr>
        <w:spacing w:after="0" w:line="99" w:lineRule="exact"/>
        <w:rPr>
          <w:sz w:val="20"/>
          <w:szCs w:val="20"/>
          <w:color w:val="auto"/>
        </w:rPr>
      </w:pPr>
    </w:p>
    <w:p>
      <w:pPr>
        <w:ind w:left="1140" w:right="1259" w:firstLine="258"/>
        <w:spacing w:after="0" w:line="293" w:lineRule="auto"/>
        <w:rPr>
          <w:sz w:val="20"/>
          <w:szCs w:val="20"/>
          <w:color w:val="auto"/>
        </w:rPr>
      </w:pPr>
      <w:r>
        <w:rPr>
          <w:rFonts w:ascii="Times New Roman" w:cs="Times New Roman" w:eastAsia="Times New Roman" w:hAnsi="Times New Roman"/>
          <w:sz w:val="14"/>
          <w:szCs w:val="14"/>
          <w:color w:val="auto"/>
        </w:rPr>
        <w:t>As of June 30, 2024, we have de minimis amounts of revenue and expenses that are denominated in currencies other than U.S. dollars.</w:t>
      </w:r>
    </w:p>
    <w:p>
      <w:pPr>
        <w:spacing w:after="0" w:line="6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99" w:lineRule="exact"/>
        <w:rPr>
          <w:sz w:val="20"/>
          <w:szCs w:val="20"/>
          <w:color w:val="auto"/>
        </w:rPr>
      </w:pPr>
    </w:p>
    <w:p>
      <w:pPr>
        <w:ind w:left="1140" w:right="1239" w:firstLine="258"/>
        <w:spacing w:after="0" w:line="259" w:lineRule="auto"/>
        <w:rPr>
          <w:sz w:val="20"/>
          <w:szCs w:val="20"/>
          <w:color w:val="auto"/>
        </w:rPr>
      </w:pPr>
      <w:r>
        <w:rPr>
          <w:rFonts w:ascii="Times New Roman" w:cs="Times New Roman" w:eastAsia="Times New Roman" w:hAnsi="Times New Roman"/>
          <w:sz w:val="14"/>
          <w:szCs w:val="14"/>
          <w:color w:val="auto"/>
        </w:rPr>
        <w:t>As of June 30, 2024, our management, with the participation and supervision of our principal executive officer and our principal financial officer, evaluated our disclosure controls and procedures (as defined in Rules 13a-15(e) and 15d-15(e) under the Exchange Act). Based on this evaluation, our principal executive officer and principal financial officer concluded that our disclosure controls and procedures were effective at the reasonable assurance level as of June 30,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w:t>
      </w: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34" w:name="page35"/>
    <w:bookmarkEnd w:id="34"/>
    <w:p>
      <w:pPr>
        <w:ind w:left="1140" w:right="1679"/>
        <w:spacing w:after="0" w:line="293" w:lineRule="auto"/>
        <w:rPr>
          <w:sz w:val="20"/>
          <w:szCs w:val="20"/>
          <w:color w:val="auto"/>
        </w:rPr>
      </w:pPr>
      <w:r>
        <w:rPr>
          <w:rFonts w:ascii="Times New Roman" w:cs="Times New Roman" w:eastAsia="Times New Roman" w:hAnsi="Times New Roman"/>
          <w:sz w:val="14"/>
          <w:szCs w:val="14"/>
          <w:color w:val="auto"/>
        </w:rPr>
        <w:t>of achieving their objectives and management necessarily applies its judgment in evaluating the cost benefit relationship of possible controls and procedures.</w:t>
      </w:r>
    </w:p>
    <w:p>
      <w:pPr>
        <w:spacing w:after="0" w:line="6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1" w:lineRule="exact"/>
        <w:rPr>
          <w:sz w:val="20"/>
          <w:szCs w:val="20"/>
          <w:color w:val="auto"/>
        </w:rPr>
      </w:pPr>
    </w:p>
    <w:p>
      <w:pPr>
        <w:ind w:left="1140" w:right="1319" w:firstLine="258"/>
        <w:spacing w:after="0" w:line="275"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spacing w:after="0" w:line="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the Effectiveness of Controls</w:t>
      </w:r>
    </w:p>
    <w:p>
      <w:pPr>
        <w:spacing w:after="0" w:line="101" w:lineRule="exact"/>
        <w:rPr>
          <w:sz w:val="20"/>
          <w:szCs w:val="20"/>
          <w:color w:val="auto"/>
        </w:rPr>
      </w:pPr>
    </w:p>
    <w:p>
      <w:pPr>
        <w:ind w:left="1140" w:right="1239" w:firstLine="258"/>
        <w:spacing w:after="0" w:line="264" w:lineRule="auto"/>
        <w:rPr>
          <w:sz w:val="20"/>
          <w:szCs w:val="20"/>
          <w:color w:val="auto"/>
        </w:rPr>
      </w:pPr>
      <w:r>
        <w:rPr>
          <w:rFonts w:ascii="Times New Roman" w:cs="Times New Roman" w:eastAsia="Times New Roman" w:hAnsi="Times New Roman"/>
          <w:sz w:val="14"/>
          <w:szCs w:val="14"/>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9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ind w:left="1140" w:right="1319" w:firstLine="258"/>
        <w:spacing w:after="0" w:line="265" w:lineRule="auto"/>
        <w:rPr>
          <w:sz w:val="20"/>
          <w:szCs w:val="20"/>
          <w:color w:val="auto"/>
        </w:rPr>
      </w:pPr>
      <w:r>
        <w:rPr>
          <w:rFonts w:ascii="Times New Roman" w:cs="Times New Roman" w:eastAsia="Times New Roman" w:hAnsi="Times New Roman"/>
          <w:sz w:val="14"/>
          <w:szCs w:val="14"/>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pacing w:after="0" w:line="3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7"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i w:val="1"/>
          <w:iCs w:val="1"/>
          <w:color w:val="auto"/>
        </w:rPr>
        <w:t>We operate in a rapidly changing environment that involves numerous uncertainties and risks. In addition to the other information included in this report, the following risks and uncertainties may have a material and adverse effect on our business, financial condition, results of operations, or stock price. You should consider these risks and uncertainties carefully, together with all of the other information included or incorporated by reference in this report. The risks and uncertainties described below may not be the only ones we face. If any of the risks or uncertainties we face were to occur, the trading price of our securities could decline, and you may lose all or part of your investment. This report also contains forward-looking statements that involve risks and uncertainties. See the section titled “Special Note Regarding Forward-Looking Statements” appearing elsewhere in this report. Our actual results could differ materially from those anticipated in the forward-looking statements as a result of factors that are described below and elsewhere in this report.</w:t>
      </w:r>
    </w:p>
    <w:p>
      <w:pPr>
        <w:spacing w:after="0" w:line="14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99" w:lineRule="exact"/>
        <w:rPr>
          <w:sz w:val="20"/>
          <w:szCs w:val="20"/>
          <w:color w:val="auto"/>
        </w:rPr>
      </w:pPr>
    </w:p>
    <w:p>
      <w:pPr>
        <w:ind w:left="1140" w:right="1719" w:firstLine="258"/>
        <w:spacing w:after="0" w:line="275" w:lineRule="auto"/>
        <w:rPr>
          <w:sz w:val="20"/>
          <w:szCs w:val="20"/>
          <w:color w:val="auto"/>
        </w:rPr>
      </w:pPr>
      <w:r>
        <w:rPr>
          <w:rFonts w:ascii="Times New Roman" w:cs="Times New Roman" w:eastAsia="Times New Roman" w:hAnsi="Times New Roman"/>
          <w:sz w:val="14"/>
          <w:szCs w:val="14"/>
          <w:color w:val="auto"/>
        </w:rPr>
        <w:t>Our following risks and uncertainties are among the most significant we face, however, the risks and uncertainties identified in this subsection are not the only ones we face and are qualified in their entirety by reference to all of the risk factors described herein:</w:t>
      </w:r>
    </w:p>
    <w:p>
      <w:pPr>
        <w:spacing w:after="0" w:line="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Risks related to our business and products:</w:t>
      </w:r>
    </w:p>
    <w:p>
      <w:pPr>
        <w:spacing w:after="0" w:line="99" w:lineRule="exact"/>
        <w:rPr>
          <w:sz w:val="20"/>
          <w:szCs w:val="20"/>
          <w:color w:val="auto"/>
        </w:rPr>
      </w:pPr>
    </w:p>
    <w:p>
      <w:pPr>
        <w:ind w:left="1840" w:right="1259" w:hanging="342"/>
        <w:spacing w:after="0" w:line="275" w:lineRule="auto"/>
        <w:tabs>
          <w:tab w:leader="none" w:pos="18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49" w:lineRule="exact"/>
        <w:rPr>
          <w:rFonts w:ascii="Times New Roman" w:cs="Times New Roman" w:eastAsia="Times New Roman" w:hAnsi="Times New Roman"/>
          <w:sz w:val="14"/>
          <w:szCs w:val="14"/>
          <w:color w:val="auto"/>
        </w:rPr>
      </w:pPr>
    </w:p>
    <w:p>
      <w:pPr>
        <w:ind w:left="1840" w:right="1279" w:hanging="342"/>
        <w:spacing w:after="0" w:line="293" w:lineRule="auto"/>
        <w:tabs>
          <w:tab w:leader="none" w:pos="18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net operating losses, and we expect to continue to incur losses in the future. If we ever achieve profitability, we may not be able to sustain it.</w:t>
      </w:r>
    </w:p>
    <w:p>
      <w:pPr>
        <w:spacing w:after="0" w:line="37" w:lineRule="exact"/>
        <w:rPr>
          <w:rFonts w:ascii="Times New Roman" w:cs="Times New Roman" w:eastAsia="Times New Roman" w:hAnsi="Times New Roman"/>
          <w:sz w:val="14"/>
          <w:szCs w:val="14"/>
          <w:color w:val="auto"/>
        </w:rPr>
      </w:pPr>
    </w:p>
    <w:p>
      <w:pPr>
        <w:ind w:left="1840" w:right="1299" w:hanging="342"/>
        <w:spacing w:after="0" w:line="275" w:lineRule="auto"/>
        <w:tabs>
          <w:tab w:leader="none" w:pos="18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35" w:name="page36"/>
    <w:bookmarkEnd w:id="35"/>
    <w:p>
      <w:pPr>
        <w:ind w:left="1840" w:right="1479" w:hanging="342"/>
        <w:spacing w:after="0" w:line="293" w:lineRule="auto"/>
        <w:tabs>
          <w:tab w:leader="none" w:pos="18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significant competition, and if we are unable to compete effectively, we may not be able to achieve or maintain significant market penetration or improve our results of operations.</w:t>
      </w:r>
    </w:p>
    <w:p>
      <w:pPr>
        <w:spacing w:after="0" w:line="37" w:lineRule="exact"/>
        <w:rPr>
          <w:rFonts w:ascii="Times New Roman" w:cs="Times New Roman" w:eastAsia="Times New Roman" w:hAnsi="Times New Roman"/>
          <w:sz w:val="14"/>
          <w:szCs w:val="14"/>
          <w:color w:val="auto"/>
        </w:rPr>
      </w:pPr>
    </w:p>
    <w:p>
      <w:pPr>
        <w:ind w:left="1840" w:right="1279" w:hanging="342"/>
        <w:spacing w:after="0" w:line="275" w:lineRule="auto"/>
        <w:tabs>
          <w:tab w:leader="none" w:pos="18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economic, political and market conditions, including downgrades of the U.S. credit rating, may adversely affect our business, results of operations and financial condition, including our revenue growth and profitability.</w:t>
      </w:r>
    </w:p>
    <w:p>
      <w:pPr>
        <w:spacing w:after="0" w:line="49" w:lineRule="exact"/>
        <w:rPr>
          <w:rFonts w:ascii="Times New Roman" w:cs="Times New Roman" w:eastAsia="Times New Roman" w:hAnsi="Times New Roman"/>
          <w:sz w:val="14"/>
          <w:szCs w:val="14"/>
          <w:color w:val="auto"/>
        </w:rPr>
      </w:pPr>
    </w:p>
    <w:p>
      <w:pPr>
        <w:ind w:left="1840" w:right="1479" w:hanging="342"/>
        <w:spacing w:after="0" w:line="268" w:lineRule="auto"/>
        <w:tabs>
          <w:tab w:leader="none" w:pos="18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spacing w:after="0" w:line="5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99" w:lineRule="exact"/>
        <w:rPr>
          <w:sz w:val="20"/>
          <w:szCs w:val="20"/>
          <w:color w:val="auto"/>
        </w:rPr>
      </w:pPr>
    </w:p>
    <w:p>
      <w:pPr>
        <w:ind w:left="1840" w:right="1179" w:hanging="342"/>
        <w:spacing w:after="0" w:line="275" w:lineRule="auto"/>
        <w:tabs>
          <w:tab w:leader="none" w:pos="18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49" w:lineRule="exact"/>
        <w:rPr>
          <w:rFonts w:ascii="Times New Roman" w:cs="Times New Roman" w:eastAsia="Times New Roman" w:hAnsi="Times New Roman"/>
          <w:sz w:val="14"/>
          <w:szCs w:val="14"/>
          <w:color w:val="auto"/>
        </w:rPr>
      </w:pPr>
    </w:p>
    <w:p>
      <w:pPr>
        <w:ind w:left="1840" w:right="1219" w:hanging="342"/>
        <w:spacing w:after="0" w:line="293" w:lineRule="auto"/>
        <w:tabs>
          <w:tab w:leader="none" w:pos="18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protect the confidentiality of our trade secrets and other proprietary information, our business and competitive position may be harmed.</w:t>
      </w:r>
    </w:p>
    <w:p>
      <w:pPr>
        <w:spacing w:after="0" w:line="37" w:lineRule="exact"/>
        <w:rPr>
          <w:rFonts w:ascii="Times New Roman" w:cs="Times New Roman" w:eastAsia="Times New Roman" w:hAnsi="Times New Roman"/>
          <w:sz w:val="14"/>
          <w:szCs w:val="14"/>
          <w:color w:val="auto"/>
        </w:rPr>
      </w:pPr>
    </w:p>
    <w:p>
      <w:pPr>
        <w:ind w:left="1840" w:right="1239" w:hanging="342"/>
        <w:spacing w:after="0" w:line="293" w:lineRule="auto"/>
        <w:tabs>
          <w:tab w:leader="none" w:pos="18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protect our intellectual property rights throughout the world, which could impair our business.</w:t>
      </w:r>
    </w:p>
    <w:p>
      <w:pPr>
        <w:spacing w:after="0" w:line="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9" w:lineRule="exact"/>
        <w:rPr>
          <w:sz w:val="20"/>
          <w:szCs w:val="20"/>
          <w:color w:val="auto"/>
        </w:rPr>
      </w:pPr>
    </w:p>
    <w:p>
      <w:pPr>
        <w:ind w:left="1840" w:right="1359" w:hanging="342"/>
        <w:spacing w:after="0" w:line="275" w:lineRule="auto"/>
        <w:tabs>
          <w:tab w:leader="none" w:pos="18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obtain and maintain necessary regulatory clearances or approvals for our products, or if clearances or approvals for future products and indications are delayed or not issued, our commercial operations may be harmed.</w:t>
      </w:r>
    </w:p>
    <w:p>
      <w:pPr>
        <w:spacing w:after="0" w:line="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Risks related to reliance on third parties:</w:t>
      </w:r>
    </w:p>
    <w:p>
      <w:pPr>
        <w:spacing w:after="0" w:line="99" w:lineRule="exact"/>
        <w:rPr>
          <w:sz w:val="20"/>
          <w:szCs w:val="20"/>
          <w:color w:val="auto"/>
        </w:rPr>
      </w:pPr>
    </w:p>
    <w:p>
      <w:pPr>
        <w:ind w:left="1840" w:right="1219" w:hanging="342"/>
        <w:spacing w:after="0" w:line="275" w:lineRule="auto"/>
        <w:tabs>
          <w:tab w:leader="none" w:pos="18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upon third parties, including single and sole source suppliers, to manufacture certain components and subcomponents of the RxSight system, making us vulnerable to supply disruptions and price fluctuations.</w:t>
      </w:r>
    </w:p>
    <w:p>
      <w:pPr>
        <w:spacing w:after="0" w:line="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9" w:lineRule="exact"/>
        <w:rPr>
          <w:sz w:val="20"/>
          <w:szCs w:val="20"/>
          <w:color w:val="auto"/>
        </w:rPr>
      </w:pPr>
    </w:p>
    <w:p>
      <w:pPr>
        <w:ind w:left="1840" w:hanging="342"/>
        <w:spacing w:after="0"/>
        <w:tabs>
          <w:tab w:leader="none" w:pos="1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our stock may be volatile, and you could lose all or part of your investment.</w:t>
      </w:r>
    </w:p>
    <w:p>
      <w:pPr>
        <w:spacing w:after="0" w:line="97" w:lineRule="exact"/>
        <w:rPr>
          <w:rFonts w:ascii="Times New Roman" w:cs="Times New Roman" w:eastAsia="Times New Roman" w:hAnsi="Times New Roman"/>
          <w:sz w:val="14"/>
          <w:szCs w:val="14"/>
          <w:color w:val="auto"/>
        </w:rPr>
      </w:pPr>
    </w:p>
    <w:p>
      <w:pPr>
        <w:jc w:val="both"/>
        <w:ind w:left="1840" w:right="1179" w:hanging="342"/>
        <w:spacing w:after="0" w:line="275" w:lineRule="auto"/>
        <w:tabs>
          <w:tab w:leader="none" w:pos="1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4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9" w:lineRule="exact"/>
        <w:rPr>
          <w:sz w:val="20"/>
          <w:szCs w:val="20"/>
          <w:color w:val="auto"/>
        </w:rPr>
      </w:pPr>
    </w:p>
    <w:p>
      <w:pPr>
        <w:ind w:left="1840" w:right="1479" w:hanging="342"/>
        <w:spacing w:after="0" w:line="293" w:lineRule="auto"/>
        <w:tabs>
          <w:tab w:leader="none" w:pos="18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recruit, retain, manage and motivate qualified executives as we build out the management team, and we are highly dependent on our management team.</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litigation proceedings could adversely affect our business.</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Risks related to our business and products</w:t>
      </w:r>
    </w:p>
    <w:p>
      <w:pPr>
        <w:spacing w:after="0" w:line="267" w:lineRule="exact"/>
        <w:rPr>
          <w:sz w:val="20"/>
          <w:szCs w:val="20"/>
          <w:color w:val="auto"/>
        </w:rPr>
      </w:pPr>
    </w:p>
    <w:p>
      <w:pPr>
        <w:ind w:left="1140" w:right="121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and if we fail to effectively train our sales force, increase our sales and marketing capabilities or develop broad brand awareness in a cost-effective manner, our growth will be impeded, and our business will suffer.</w:t>
      </w:r>
    </w:p>
    <w:p>
      <w:pPr>
        <w:spacing w:after="0" w:line="47" w:lineRule="exact"/>
        <w:rPr>
          <w:sz w:val="20"/>
          <w:szCs w:val="20"/>
          <w:color w:val="auto"/>
        </w:rPr>
      </w:pPr>
    </w:p>
    <w:p>
      <w:pPr>
        <w:jc w:val="both"/>
        <w:ind w:left="1140" w:right="1179" w:firstLine="258"/>
        <w:spacing w:after="0" w:line="263" w:lineRule="auto"/>
        <w:rPr>
          <w:sz w:val="20"/>
          <w:szCs w:val="20"/>
          <w:color w:val="auto"/>
        </w:rPr>
      </w:pPr>
      <w:r>
        <w:rPr>
          <w:rFonts w:ascii="Times New Roman" w:cs="Times New Roman" w:eastAsia="Times New Roman" w:hAnsi="Times New Roman"/>
          <w:sz w:val="14"/>
          <w:szCs w:val="14"/>
          <w:color w:val="auto"/>
        </w:rPr>
        <w:t>We were incorporated in March 1997 and began commercializing our products in the second half of 2019, when we initiated a full launch of our LAL and LDD. Accordingly, our limited commercialization experience and limited number of approved or cleared products make it difficult to evaluate our current business and assess our prospects.</w:t>
      </w:r>
    </w:p>
    <w:p>
      <w:pPr>
        <w:spacing w:after="0" w:line="1" w:lineRule="exact"/>
        <w:rPr>
          <w:sz w:val="20"/>
          <w:szCs w:val="20"/>
          <w:color w:val="auto"/>
        </w:rPr>
      </w:pPr>
    </w:p>
    <w:p>
      <w:pPr>
        <w:ind w:left="1140" w:right="1179"/>
        <w:spacing w:after="0" w:line="264" w:lineRule="auto"/>
        <w:rPr>
          <w:sz w:val="20"/>
          <w:szCs w:val="20"/>
          <w:color w:val="auto"/>
        </w:rPr>
      </w:pPr>
      <w:r>
        <w:rPr>
          <w:rFonts w:ascii="Times New Roman" w:cs="Times New Roman" w:eastAsia="Times New Roman" w:hAnsi="Times New Roman"/>
          <w:sz w:val="14"/>
          <w:szCs w:val="14"/>
          <w:color w:val="auto"/>
        </w:rPr>
        <w:t>We also currently have limited sales and marketing experience. If we are unable to establish or scale effective sales and marketing capabilities, or if we are unable to commercialize any of our products, we may not be able to generate sufficient product revenue, sustain revenue growth and compete effectively. In order to generate future growth, we</w:t>
      </w:r>
    </w:p>
    <w:p>
      <w:pPr>
        <w:spacing w:after="0" w:line="2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36" w:name="page37"/>
    <w:bookmarkEnd w:id="36"/>
    <w:p>
      <w:pPr>
        <w:ind w:left="1140" w:right="1399"/>
        <w:spacing w:after="0" w:line="293" w:lineRule="auto"/>
        <w:rPr>
          <w:sz w:val="20"/>
          <w:szCs w:val="20"/>
          <w:color w:val="auto"/>
        </w:rPr>
      </w:pPr>
      <w:r>
        <w:rPr>
          <w:rFonts w:ascii="Times New Roman" w:cs="Times New Roman" w:eastAsia="Times New Roman" w:hAnsi="Times New Roman"/>
          <w:sz w:val="14"/>
          <w:szCs w:val="14"/>
          <w:color w:val="auto"/>
        </w:rPr>
        <w:t>plan to continue to expand and leverage our sales and marketing infrastructure to increase our customer base and grow our business.</w:t>
      </w:r>
    </w:p>
    <w:p>
      <w:pPr>
        <w:spacing w:after="0" w:line="37"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Identifying and recruiting qualified sales and marketing personnel and training them on our products, applicable federal and state laws and regulations, and on our internal policies and procedures requires significant time, expense and attention. It often takes several months or more before a sales representative is fully trained and productive. Our business may be harmed if our efforts to expand and train our sales force do not generate a corresponding increase in revenue, or in the event we are unable to reduce costs in the face of an unexpected decline in demand for our products. Any failure to hire, develop and retain talented sales and marketing personnel, to achieve desired productivity levels in a reasonable timeframe or timely leverage our fixed costs could have a material adverse effect on our business, financial condition and results of operations. Moreover, the members of our direct sales force are at-will employees. The loss of these personnel to competitors or otherwise could materially harm our business. If we are unable to retain our direct sales force personnel or replace them with individuals of equivalent technical expertise and qualifications, or if we are unable to successfully instill technical expertise in replacement personnel, our revenue and results of operations could be materially harmed.</w:t>
      </w:r>
    </w:p>
    <w:p>
      <w:pPr>
        <w:spacing w:after="0" w:line="59" w:lineRule="exact"/>
        <w:rPr>
          <w:sz w:val="20"/>
          <w:szCs w:val="20"/>
          <w:color w:val="auto"/>
        </w:rPr>
      </w:pPr>
    </w:p>
    <w:p>
      <w:pPr>
        <w:ind w:left="1140" w:right="1219" w:firstLine="258"/>
        <w:spacing w:after="0" w:line="261" w:lineRule="auto"/>
        <w:rPr>
          <w:sz w:val="20"/>
          <w:szCs w:val="20"/>
          <w:color w:val="auto"/>
        </w:rPr>
      </w:pPr>
      <w:r>
        <w:rPr>
          <w:rFonts w:ascii="Times New Roman" w:cs="Times New Roman" w:eastAsia="Times New Roman" w:hAnsi="Times New Roman"/>
          <w:sz w:val="14"/>
          <w:szCs w:val="14"/>
          <w:color w:val="auto"/>
        </w:rPr>
        <w:t>Our ability to increase our customer base and achieve broader market acceptance of our products will also depend to a significant extent on our ability to expand our marketing efforts. Our business may be harmed if our marketing efforts and expenditures do not generate a corresponding increase in revenue. In addition, we believe that developing and maintaining broad awareness of our brand in a cost-effective manner is critical to achieving broad acceptance of our products and penetrating new customer accounts. Brand promotion activities may not generate patient or doctor awareness or increased revenue, and even if they do, any increase in revenue may not offset the costs and expenses we incur in building our brand. If we fail to successfully promote, maintain and protect our brand, we may fail to attract or retain the doctor acceptance necessary to realize a sufficient return on our brand building efforts, or to achieve the level of brand awareness that is critical for broad adoption of our products.</w:t>
      </w:r>
    </w:p>
    <w:p>
      <w:pPr>
        <w:spacing w:after="0" w:line="60" w:lineRule="exact"/>
        <w:rPr>
          <w:sz w:val="20"/>
          <w:szCs w:val="20"/>
          <w:color w:val="auto"/>
        </w:rPr>
      </w:pPr>
    </w:p>
    <w:p>
      <w:pPr>
        <w:ind w:left="1140" w:right="1199" w:firstLine="258"/>
        <w:spacing w:after="0" w:line="261" w:lineRule="auto"/>
        <w:rPr>
          <w:sz w:val="20"/>
          <w:szCs w:val="20"/>
          <w:color w:val="auto"/>
        </w:rPr>
      </w:pPr>
      <w:r>
        <w:rPr>
          <w:rFonts w:ascii="Times New Roman" w:cs="Times New Roman" w:eastAsia="Times New Roman" w:hAnsi="Times New Roman"/>
          <w:sz w:val="14"/>
          <w:szCs w:val="14"/>
          <w:color w:val="auto"/>
        </w:rPr>
        <w:t>These factors also make it difficult for us to forecast our financial performance and growth, and such forecasts are subject to a number of uncertainties, including our ability to successfully develop additional products that add functionality, reduce the cost of products sold, and broaden our commercial portfolio offerings and our ability to obtain the required regulatory approvals and clearances under applicable law both domestically and internationally, including FDA 510(k) clearance or pre-market approval, or PMA, for, and successfully commercialize, market and sell, our planned or future products in the United States or in international markets. If our assumptions regarding the risks and uncertainties we face, which we use to plan our business, are incorrect or change due to circumstances in our business or our markets, or if we do not address these risks successfully, our operating and financial results could differ materially from our expectations and our business could suffer.</w:t>
      </w:r>
    </w:p>
    <w:p>
      <w:pPr>
        <w:spacing w:after="0" w:line="56" w:lineRule="exact"/>
        <w:rPr>
          <w:sz w:val="20"/>
          <w:szCs w:val="20"/>
          <w:color w:val="auto"/>
        </w:rPr>
      </w:pPr>
    </w:p>
    <w:p>
      <w:pPr>
        <w:ind w:left="1140" w:right="16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net losses, and we expect to continue to incur losses in the future. If we ever achieve profitability, we may not be able to sustain it.</w:t>
      </w:r>
    </w:p>
    <w:p>
      <w:pPr>
        <w:spacing w:after="0" w:line="33" w:lineRule="exact"/>
        <w:rPr>
          <w:sz w:val="20"/>
          <w:szCs w:val="20"/>
          <w:color w:val="auto"/>
        </w:rPr>
      </w:pPr>
    </w:p>
    <w:p>
      <w:pPr>
        <w:ind w:left="1140" w:right="1159" w:firstLine="258"/>
        <w:spacing w:after="0" w:line="261" w:lineRule="auto"/>
        <w:rPr>
          <w:sz w:val="20"/>
          <w:szCs w:val="20"/>
          <w:color w:val="auto"/>
        </w:rPr>
      </w:pPr>
      <w:r>
        <w:rPr>
          <w:rFonts w:ascii="Times New Roman" w:cs="Times New Roman" w:eastAsia="Times New Roman" w:hAnsi="Times New Roman"/>
          <w:sz w:val="14"/>
          <w:szCs w:val="14"/>
          <w:color w:val="auto"/>
        </w:rPr>
        <w:t>We have incurred losses from operations since our inception and expect to continue to incur losses from operations in the future. We reported losses from operations of $50.1 million and $63.3 million for the years ended December 31, 2023 and 2022, respectively, and $8.3 million for the three months ended June 30, 2024. As a result of these losses, as of June 30, 2024, we had an accumulated deficit of $609.8 million. We expect to continue to incur significant sales and marketing, research and development, regulatory and other expenses as we expand our marketing efforts to increase adoption of our products, expand existing relationships with our customers, obtain regulatory clearances or approvals for our planned or future products, conduct clinical trials on our existing and planned or future products and develop new products or add new features to our existing products. In addition, we expect our general and administrative expenses to increase due to the costs associated with being a public company.</w:t>
      </w:r>
    </w:p>
    <w:p>
      <w:pPr>
        <w:spacing w:after="0" w:line="60" w:lineRule="exact"/>
        <w:rPr>
          <w:sz w:val="20"/>
          <w:szCs w:val="20"/>
          <w:color w:val="auto"/>
        </w:rPr>
      </w:pPr>
    </w:p>
    <w:p>
      <w:pPr>
        <w:jc w:val="both"/>
        <w:ind w:left="1140" w:right="1179" w:firstLine="258"/>
        <w:spacing w:after="0" w:line="275" w:lineRule="auto"/>
        <w:rPr>
          <w:sz w:val="20"/>
          <w:szCs w:val="20"/>
          <w:color w:val="auto"/>
        </w:rPr>
      </w:pPr>
      <w:r>
        <w:rPr>
          <w:rFonts w:ascii="Times New Roman" w:cs="Times New Roman" w:eastAsia="Times New Roman" w:hAnsi="Times New Roman"/>
          <w:sz w:val="14"/>
          <w:szCs w:val="14"/>
          <w:color w:val="auto"/>
        </w:rPr>
        <w:t>The net losses that we incur may fluctuate from period to period. We will need to generate significant additional revenue in order to achieve and sustain profitability. Even if we achieve profitability, we cannot be sure that we will remain profitable for any substantial period of time.</w:t>
      </w:r>
    </w:p>
    <w:p>
      <w:pPr>
        <w:spacing w:after="0" w:line="45" w:lineRule="exact"/>
        <w:rPr>
          <w:sz w:val="20"/>
          <w:szCs w:val="20"/>
          <w:color w:val="auto"/>
        </w:rPr>
      </w:pPr>
    </w:p>
    <w:p>
      <w:pPr>
        <w:ind w:left="1140" w:right="14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In order to support our continued operations and the growth of our business, we may seek to raise additional capital, which may not be available to us on acceptable terms, or at all.</w:t>
      </w:r>
    </w:p>
    <w:p>
      <w:pPr>
        <w:spacing w:after="0" w:line="33" w:lineRule="exact"/>
        <w:rPr>
          <w:sz w:val="20"/>
          <w:szCs w:val="20"/>
          <w:color w:val="auto"/>
        </w:rPr>
      </w:pPr>
    </w:p>
    <w:p>
      <w:pPr>
        <w:ind w:left="1140" w:right="1199" w:firstLine="258"/>
        <w:spacing w:after="0" w:line="268" w:lineRule="auto"/>
        <w:rPr>
          <w:sz w:val="20"/>
          <w:szCs w:val="20"/>
          <w:color w:val="auto"/>
        </w:rPr>
      </w:pPr>
      <w:r>
        <w:rPr>
          <w:rFonts w:ascii="Times New Roman" w:cs="Times New Roman" w:eastAsia="Times New Roman" w:hAnsi="Times New Roman"/>
          <w:sz w:val="14"/>
          <w:szCs w:val="14"/>
          <w:color w:val="auto"/>
        </w:rPr>
        <w:t>We expect capital expenditures and operating expenses to increase over the next several years as we continue to operate our business and expand our infrastructure, commercial operations and research and development activities. Our primary uses of capital are, and we expect will continue to be, investment in our commercial organization and related expenses, clinical research and development services, laboratory and related supplies, legal and other</w:t>
      </w:r>
    </w:p>
    <w:p>
      <w:pPr>
        <w:spacing w:after="0" w:line="2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37" w:name="page38"/>
    <w:bookmarkEnd w:id="37"/>
    <w:p>
      <w:pPr>
        <w:ind w:left="1140" w:right="1339"/>
        <w:spacing w:after="0" w:line="275" w:lineRule="auto"/>
        <w:rPr>
          <w:sz w:val="20"/>
          <w:szCs w:val="20"/>
          <w:color w:val="auto"/>
        </w:rPr>
      </w:pPr>
      <w:r>
        <w:rPr>
          <w:rFonts w:ascii="Times New Roman" w:cs="Times New Roman" w:eastAsia="Times New Roman" w:hAnsi="Times New Roman"/>
          <w:sz w:val="14"/>
          <w:szCs w:val="14"/>
          <w:color w:val="auto"/>
        </w:rPr>
        <w:t>regulatory expenses, general administrative costs and working capital. In addition, we may in the future seek to acquire or invest in additional businesses, products, services or technologies that we believe could complement or expand our product portfolio, enhance our technical capabilities or otherwise offer growth opportunities.</w:t>
      </w:r>
    </w:p>
    <w:p>
      <w:pPr>
        <w:spacing w:after="0" w:line="49" w:lineRule="exact"/>
        <w:rPr>
          <w:sz w:val="20"/>
          <w:szCs w:val="20"/>
          <w:color w:val="auto"/>
        </w:rPr>
      </w:pPr>
    </w:p>
    <w:p>
      <w:pPr>
        <w:jc w:val="both"/>
        <w:ind w:left="1140" w:right="1459" w:firstLine="258"/>
        <w:spacing w:after="0" w:line="275" w:lineRule="auto"/>
        <w:rPr>
          <w:sz w:val="20"/>
          <w:szCs w:val="20"/>
          <w:color w:val="auto"/>
        </w:rPr>
      </w:pPr>
      <w:r>
        <w:rPr>
          <w:rFonts w:ascii="Times New Roman" w:cs="Times New Roman" w:eastAsia="Times New Roman" w:hAnsi="Times New Roman"/>
          <w:sz w:val="14"/>
          <w:szCs w:val="14"/>
          <w:color w:val="auto"/>
        </w:rPr>
        <w:t>Because of these and other factors, we expect to continue to incur net losses and negative cash flows from operations in the future. Our future liquidity and capital funding requirements will depend on numerous factors, including:</w:t>
      </w:r>
    </w:p>
    <w:p>
      <w:pPr>
        <w:spacing w:after="0" w:line="49" w:lineRule="exact"/>
        <w:rPr>
          <w:sz w:val="20"/>
          <w:szCs w:val="20"/>
          <w:color w:val="auto"/>
        </w:rPr>
      </w:pPr>
    </w:p>
    <w:p>
      <w:pPr>
        <w:ind w:left="1840" w:hanging="342"/>
        <w:spacing w:after="0"/>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growth;</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research and development efforts;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and marketing activities;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in leveraging future strategic partnerships;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working capital investments, primarily in inventories and accounts receivable;</w:t>
      </w:r>
    </w:p>
    <w:p>
      <w:pPr>
        <w:spacing w:after="0" w:line="97" w:lineRule="exact"/>
        <w:rPr>
          <w:rFonts w:ascii="Times New Roman" w:cs="Times New Roman" w:eastAsia="Times New Roman" w:hAnsi="Times New Roman"/>
          <w:sz w:val="14"/>
          <w:szCs w:val="14"/>
          <w:color w:val="auto"/>
        </w:rPr>
      </w:pPr>
    </w:p>
    <w:p>
      <w:pPr>
        <w:ind w:left="1840" w:right="1479" w:hanging="342"/>
        <w:spacing w:after="0" w:line="293" w:lineRule="auto"/>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borrow or raise additional funds through future debt or equity offerings to finance our operations;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any clinical trial results for our current or future products;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and effect of competing or complementary products;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and amount of reimbursement for procedures using our products;</w:t>
      </w:r>
    </w:p>
    <w:p>
      <w:pPr>
        <w:spacing w:after="0" w:line="97" w:lineRule="exact"/>
        <w:rPr>
          <w:rFonts w:ascii="Times New Roman" w:cs="Times New Roman" w:eastAsia="Times New Roman" w:hAnsi="Times New Roman"/>
          <w:sz w:val="14"/>
          <w:szCs w:val="14"/>
          <w:color w:val="auto"/>
        </w:rPr>
      </w:pPr>
    </w:p>
    <w:p>
      <w:pPr>
        <w:ind w:left="1840" w:right="1219" w:hanging="342"/>
        <w:spacing w:after="0" w:line="268" w:lineRule="auto"/>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enforce and defend our intellectual property portfolio, including the amount and timing of any payments we may be required to make, or that we may receive, in connection with the licensing, filing, prosecution, maintenance, defense and enforcement of any patents or other intellectual property rights;</w:t>
      </w:r>
    </w:p>
    <w:p>
      <w:pPr>
        <w:spacing w:after="0" w:line="55" w:lineRule="exact"/>
        <w:rPr>
          <w:rFonts w:ascii="Times New Roman" w:cs="Times New Roman" w:eastAsia="Times New Roman" w:hAnsi="Times New Roman"/>
          <w:sz w:val="14"/>
          <w:szCs w:val="14"/>
          <w:color w:val="auto"/>
        </w:rPr>
      </w:pPr>
    </w:p>
    <w:p>
      <w:pPr>
        <w:ind w:left="1840" w:right="1179" w:hanging="342"/>
        <w:spacing w:after="0" w:line="293" w:lineRule="auto"/>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our current employees and the need and ability to hire additional management, sales, research and development, scientific and customer support personnel;</w:t>
      </w:r>
    </w:p>
    <w:p>
      <w:pPr>
        <w:spacing w:after="0" w:line="37" w:lineRule="exact"/>
        <w:rPr>
          <w:rFonts w:ascii="Times New Roman" w:cs="Times New Roman" w:eastAsia="Times New Roman" w:hAnsi="Times New Roman"/>
          <w:sz w:val="14"/>
          <w:szCs w:val="14"/>
          <w:color w:val="auto"/>
        </w:rPr>
      </w:pPr>
    </w:p>
    <w:p>
      <w:pPr>
        <w:ind w:left="1840" w:right="1719" w:hanging="342"/>
        <w:spacing w:after="0" w:line="293" w:lineRule="auto"/>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timing of any collaborative, licensing or other arrangements that we have or may establish;</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finance lease payments for our facilities; and</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acquire or invest in businesses, products or technologies.</w:t>
      </w:r>
    </w:p>
    <w:p>
      <w:pPr>
        <w:spacing w:after="0" w:line="269"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If we determine that we need to raise additional funds, we may do so through equity or debt financings, which may not be available to us when needed or on terms that we deem to be favorable. To the extent that we raise additional capital through the sale of equity or convertible debt securities, the ownership interests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are unable to maintain sufficient financial resources, our business, financial condition and results of operations will be materially and adversely affected, including potentially requiring us to delay, limit, reduce or terminate certain of our product discovery and development activities or future commercialization efforts.</w:t>
      </w:r>
    </w:p>
    <w:p>
      <w:pPr>
        <w:spacing w:after="0" w:line="64" w:lineRule="exact"/>
        <w:rPr>
          <w:sz w:val="20"/>
          <w:szCs w:val="20"/>
          <w:color w:val="auto"/>
        </w:rPr>
      </w:pPr>
    </w:p>
    <w:p>
      <w:pPr>
        <w:ind w:left="1140" w:right="1219" w:firstLine="258"/>
        <w:spacing w:after="0" w:line="261" w:lineRule="auto"/>
        <w:rPr>
          <w:sz w:val="20"/>
          <w:szCs w:val="20"/>
          <w:color w:val="auto"/>
        </w:rPr>
      </w:pPr>
      <w:r>
        <w:rPr>
          <w:rFonts w:ascii="Times New Roman" w:cs="Times New Roman" w:eastAsia="Times New Roman" w:hAnsi="Times New Roman"/>
          <w:sz w:val="14"/>
          <w:szCs w:val="14"/>
          <w:color w:val="auto"/>
        </w:rPr>
        <w:t>Moreover, in the event that we enter into collaborations or licensing arrangements to raise capital, we may be required to accept unfavorable terms. These agreements may require that we relinquish or license to a third party on unfavorable terms our rights to products or technologies we otherwise would seek to develop or commercialize ourselves, or reserve certain opportunities for future potential arrangements when we might be able to achieve more favorable terms.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conflicts in Eastern Europe, the Middle East and otherwise.</w:t>
      </w:r>
    </w:p>
    <w:p>
      <w:pPr>
        <w:spacing w:after="0" w:line="2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38" w:name="page39"/>
    <w:bookmarkEnd w:id="38"/>
    <w:p>
      <w:pPr>
        <w:ind w:left="1140" w:right="1159" w:firstLine="258"/>
        <w:spacing w:after="0" w:line="259" w:lineRule="auto"/>
        <w:rPr>
          <w:sz w:val="20"/>
          <w:szCs w:val="20"/>
          <w:color w:val="auto"/>
        </w:rPr>
      </w:pPr>
      <w:r>
        <w:rPr>
          <w:rFonts w:ascii="Times New Roman" w:cs="Times New Roman" w:eastAsia="Times New Roman" w:hAnsi="Times New Roman"/>
          <w:sz w:val="14"/>
          <w:szCs w:val="14"/>
          <w:color w:val="auto"/>
        </w:rPr>
        <w:t>As of June 30, 2024 and December 31, 2023, we had $233.2 million and $127.2 million, respectively, in cash, cash equivalents and short-term investments. While we believe that our existing cash, cash equivalents and short-term investments and anticipated cash generated from sales of our products will be sufficient to meet our anticipated cash needs for at least 12 months following the date of this report, we cannot assure you that we will be able to generate sufficient liquidity as and when needed. Further, although we do not anticipate the need to raise additional capital or incur additional debt in order to reach profit from operations, as such metric may be disclosed in the Company’s future Annual Reports on Form 10-K or Quarterly Reports on Form 10-Q filed with the SEC, though we may opportunistically seek to raise capital under advantageous circumstances from time to time in order to support the expansion of our sales and operations in the U.S. and internationally and to pursue other business opportunities. We have based this estimate on assumptions that may prove to be wrong, and we could use our capital resources sooner than we currently expect. Changing circumstances, some of which may be beyond our control, could cause us to consume capital significantly faster than we currently anticipate, and we may need to seek additional funds sooner than planned. We cannot assure you that we will be able to generate sufficient liquidity as and when needed.</w:t>
      </w:r>
    </w:p>
    <w:p>
      <w:pPr>
        <w:spacing w:after="0" w:line="62" w:lineRule="exact"/>
        <w:rPr>
          <w:sz w:val="20"/>
          <w:szCs w:val="20"/>
          <w:color w:val="auto"/>
        </w:rPr>
      </w:pPr>
    </w:p>
    <w:p>
      <w:pPr>
        <w:jc w:val="both"/>
        <w:ind w:left="1140" w:right="11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Global economic, political and market conditions, including downgrades of the U.S. credit rating, may adversely affect our business, results of operations and financial condition, including our revenue growth and profitability.</w:t>
      </w:r>
    </w:p>
    <w:p>
      <w:pPr>
        <w:spacing w:after="0" w:line="33"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The current worldwide economic and financial environment, as well as various social and political tensions in the U.S. and around the world, may contribute to increased market volatility, may have long-term effects on the U.S. and worldwide financial markets and may cause economic uncertainties or deterioration in the U.S. and worldwide. The impact of downgrades by rating agencies to the U.S. government’s sovereign credit rating or its perceived creditworthiness as well as potential government shutdowns could adversely affect the U.S. and global financial markets and economic conditions. U.S. debt ceiling and budget deficit concerns have increased the possibility of additional credit-rating downgrades and economic slowdowns, or a recession in the U.S. In addition, disagreement over the federal budget has caused the U.S. federal government to shut down for periods of time. Continued adverse political and economic conditions could have a material adverse effect on our business, financial condition, results of operations and prospects.</w:t>
      </w:r>
    </w:p>
    <w:p>
      <w:pPr>
        <w:spacing w:after="0" w:line="64" w:lineRule="exact"/>
        <w:rPr>
          <w:sz w:val="20"/>
          <w:szCs w:val="20"/>
          <w:color w:val="auto"/>
        </w:rPr>
      </w:pPr>
    </w:p>
    <w:p>
      <w:pPr>
        <w:ind w:left="1140" w:right="1219" w:firstLine="258"/>
        <w:spacing w:after="0" w:line="265" w:lineRule="auto"/>
        <w:rPr>
          <w:sz w:val="20"/>
          <w:szCs w:val="20"/>
          <w:color w:val="auto"/>
        </w:rPr>
      </w:pPr>
      <w:r>
        <w:rPr>
          <w:rFonts w:ascii="Times New Roman" w:cs="Times New Roman" w:eastAsia="Times New Roman" w:hAnsi="Times New Roman"/>
          <w:sz w:val="14"/>
          <w:szCs w:val="14"/>
          <w:color w:val="auto"/>
        </w:rPr>
        <w:t>Deterioration in the economic conditions globally resulting in instability in global financial markets, including the following, may pose a risk to our business: inflation and rising interest rates, large sovereign debts and fiscal deficits of several countries in Europe and in emerging markets’ jurisdictions, levels of non-performing loans on the balance sheets of European banks, the effect of the United Kingdom leaving the European Union, and instability in the capital markets.</w:t>
      </w:r>
    </w:p>
    <w:p>
      <w:pPr>
        <w:spacing w:after="0" w:line="58" w:lineRule="exact"/>
        <w:rPr>
          <w:sz w:val="20"/>
          <w:szCs w:val="20"/>
          <w:color w:val="auto"/>
        </w:rPr>
      </w:pPr>
    </w:p>
    <w:p>
      <w:pPr>
        <w:ind w:left="1140" w:right="1179" w:firstLine="258"/>
        <w:spacing w:after="0" w:line="265" w:lineRule="auto"/>
        <w:rPr>
          <w:sz w:val="20"/>
          <w:szCs w:val="20"/>
          <w:color w:val="auto"/>
        </w:rPr>
      </w:pPr>
      <w:r>
        <w:rPr>
          <w:rFonts w:ascii="Times New Roman" w:cs="Times New Roman" w:eastAsia="Times New Roman" w:hAnsi="Times New Roman"/>
          <w:sz w:val="14"/>
          <w:szCs w:val="14"/>
          <w:color w:val="auto"/>
        </w:rPr>
        <w:t>Various social and political circumstances in the U.S. and around the world (including wars and other forms of conflict, terrorist acts, security operations and catastrophic events such as fires, floods, earthquakes, tornadoes, hurricanes and global health epidemics) may also contribute to increased market volatility and economic uncertainties or deterioration in the U.S. and worldwide and have a material adverse effect on our business, financial conditions, results of operations and prospects.</w:t>
      </w:r>
    </w:p>
    <w:p>
      <w:pPr>
        <w:spacing w:after="0" w:line="54" w:lineRule="exact"/>
        <w:rPr>
          <w:sz w:val="20"/>
          <w:szCs w:val="20"/>
          <w:color w:val="auto"/>
        </w:rPr>
      </w:pPr>
    </w:p>
    <w:p>
      <w:pPr>
        <w:ind w:left="1140" w:right="121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currently maintain all of our cash, cash equivalents and short-term investments in one financial institution and, therefore, our cash, cash equivalents and short-term investments could be adversely affected if the financial institution in which we hold our cash, cash equivalents and short-term investments fails.</w:t>
      </w:r>
    </w:p>
    <w:p>
      <w:pPr>
        <w:spacing w:after="0" w:line="47" w:lineRule="exact"/>
        <w:rPr>
          <w:sz w:val="20"/>
          <w:szCs w:val="20"/>
          <w:color w:val="auto"/>
        </w:rPr>
      </w:pPr>
    </w:p>
    <w:p>
      <w:pPr>
        <w:ind w:left="1140" w:right="1199" w:firstLine="258"/>
        <w:spacing w:after="0" w:line="261" w:lineRule="auto"/>
        <w:rPr>
          <w:sz w:val="20"/>
          <w:szCs w:val="20"/>
          <w:color w:val="auto"/>
        </w:rPr>
      </w:pPr>
      <w:r>
        <w:rPr>
          <w:rFonts w:ascii="Times New Roman" w:cs="Times New Roman" w:eastAsia="Times New Roman" w:hAnsi="Times New Roman"/>
          <w:sz w:val="14"/>
          <w:szCs w:val="14"/>
          <w:color w:val="auto"/>
        </w:rPr>
        <w:t>We currently maintain all of our cash, cash equivalents and short-term investments with one financial institution. At the current time, our cash, cash equivalents and short-term investment balances with such financial institution are held primarily in U.S. treasury bills with a duration of less than 12 months. A portion of our operating cash is held in accounts in excess of the Federal Deposit Insurance Corporation (“FDIC”) insurance limits. The failure of the financial institution in which our cash, cash equivalents and short-term-investments are held, the resulting inability for us to obtain the return of our funds from that financial institution, or any other adverse condition suffered by the financial institution, could impact access to our operating cash and a temporary inability to access our short-term investments in U.S. treasury bills which could have an adverse effect on our business, financial condition and results of operations.</w:t>
      </w:r>
    </w:p>
    <w:p>
      <w:pPr>
        <w:spacing w:after="0" w:line="200" w:lineRule="exact"/>
        <w:rPr>
          <w:sz w:val="20"/>
          <w:szCs w:val="20"/>
          <w:color w:val="auto"/>
        </w:rPr>
      </w:pPr>
    </w:p>
    <w:p>
      <w:pPr>
        <w:spacing w:after="0" w:line="2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39" w:name="page40"/>
    <w:bookmarkEnd w:id="39"/>
    <w:p>
      <w:pPr>
        <w:jc w:val="both"/>
        <w:ind w:left="1140" w:right="135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Our success depends in large part on our RxSight system. If we are unable to successfully market and sell our RxSight system, our business prospects will be significantly harmed, and we may be unable to achieve revenue growth.</w:t>
      </w:r>
    </w:p>
    <w:p>
      <w:pPr>
        <w:spacing w:after="0" w:line="47" w:lineRule="exact"/>
        <w:rPr>
          <w:sz w:val="20"/>
          <w:szCs w:val="20"/>
          <w:color w:val="auto"/>
        </w:rPr>
      </w:pPr>
    </w:p>
    <w:p>
      <w:pPr>
        <w:jc w:val="both"/>
        <w:ind w:left="1140" w:right="1179" w:firstLine="258"/>
        <w:spacing w:after="0" w:line="275" w:lineRule="auto"/>
        <w:rPr>
          <w:sz w:val="20"/>
          <w:szCs w:val="20"/>
          <w:color w:val="auto"/>
        </w:rPr>
      </w:pPr>
      <w:r>
        <w:rPr>
          <w:rFonts w:ascii="Times New Roman" w:cs="Times New Roman" w:eastAsia="Times New Roman" w:hAnsi="Times New Roman"/>
          <w:sz w:val="14"/>
          <w:szCs w:val="14"/>
          <w:color w:val="auto"/>
        </w:rPr>
        <w:t>Our future financial success will depend substantially on our ability to effectively and profitably market and sell our RxSight system to ophthalmic practices. The commercial success of our RxSight system and any of our planned or future products will depend on a number of factors, including the following:</w:t>
      </w:r>
    </w:p>
    <w:p>
      <w:pPr>
        <w:spacing w:after="0" w:line="49" w:lineRule="exact"/>
        <w:rPr>
          <w:sz w:val="20"/>
          <w:szCs w:val="20"/>
          <w:color w:val="auto"/>
        </w:rPr>
      </w:pPr>
    </w:p>
    <w:p>
      <w:pPr>
        <w:ind w:left="1840" w:right="1579" w:hanging="342"/>
        <w:spacing w:after="0" w:line="293"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and perceived effectiveness and reliability of our RxSight system, especially relative to alternative products;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adverse patient events involving our RxSight system;</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studies and trials relating to our RxSight system;</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sustain meaningful clinical benefits for our patients;</w:t>
      </w:r>
    </w:p>
    <w:p>
      <w:pPr>
        <w:spacing w:after="0" w:line="97" w:lineRule="exact"/>
        <w:rPr>
          <w:rFonts w:ascii="Times New Roman" w:cs="Times New Roman" w:eastAsia="Times New Roman" w:hAnsi="Times New Roman"/>
          <w:sz w:val="14"/>
          <w:szCs w:val="14"/>
          <w:color w:val="auto"/>
        </w:rPr>
      </w:pPr>
    </w:p>
    <w:p>
      <w:pPr>
        <w:ind w:left="1840" w:right="1299" w:hanging="342"/>
        <w:spacing w:after="0" w:line="293"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regulatory approval to market our planned or future products for use in the United States or internationally;</w:t>
      </w:r>
    </w:p>
    <w:p>
      <w:pPr>
        <w:spacing w:after="0" w:line="37" w:lineRule="exact"/>
        <w:rPr>
          <w:rFonts w:ascii="Times New Roman" w:cs="Times New Roman" w:eastAsia="Times New Roman" w:hAnsi="Times New Roman"/>
          <w:sz w:val="14"/>
          <w:szCs w:val="14"/>
          <w:color w:val="auto"/>
        </w:rPr>
      </w:pPr>
    </w:p>
    <w:p>
      <w:pPr>
        <w:ind w:left="1840" w:right="1259" w:hanging="342"/>
        <w:spacing w:after="0" w:line="293"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relative cost and perceived advantages and disadvantages of alternative technologies or treatment methods for conditions treated by our products;</w:t>
      </w:r>
    </w:p>
    <w:p>
      <w:pPr>
        <w:spacing w:after="0" w:line="37" w:lineRule="exact"/>
        <w:rPr>
          <w:rFonts w:ascii="Times New Roman" w:cs="Times New Roman" w:eastAsia="Times New Roman" w:hAnsi="Times New Roman"/>
          <w:sz w:val="14"/>
          <w:szCs w:val="14"/>
          <w:color w:val="auto"/>
        </w:rPr>
      </w:pPr>
    </w:p>
    <w:p>
      <w:pPr>
        <w:ind w:left="1840" w:right="1219" w:hanging="342"/>
        <w:spacing w:after="0" w:line="293"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of patient willingness to pay for the additional costs associated with our premium intraocular lens out of pocket;</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to which doctors adopt our RxSight system;</w:t>
      </w:r>
    </w:p>
    <w:p>
      <w:pPr>
        <w:spacing w:after="0" w:line="97" w:lineRule="exact"/>
        <w:rPr>
          <w:rFonts w:ascii="Times New Roman" w:cs="Times New Roman" w:eastAsia="Times New Roman" w:hAnsi="Times New Roman"/>
          <w:sz w:val="14"/>
          <w:szCs w:val="14"/>
          <w:color w:val="auto"/>
        </w:rPr>
      </w:pPr>
    </w:p>
    <w:p>
      <w:pPr>
        <w:ind w:left="1840" w:right="1259" w:hanging="342"/>
        <w:spacing w:after="0" w:line="265"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that governmental and private health care providers and payors around the world are increasingly utilizing managed care for the delivery of health care services, centralizing purchasing, limiting the number of vendors that may participate in purchasing programs, forming group purchasing organizations and integrated health delivery networks and pursuing consolidation to improve their purchasing leverage and using competitive bid processes to procure health care products and services;</w:t>
      </w:r>
    </w:p>
    <w:p>
      <w:pPr>
        <w:spacing w:after="0" w:line="58" w:lineRule="exact"/>
        <w:rPr>
          <w:rFonts w:ascii="Times New Roman" w:cs="Times New Roman" w:eastAsia="Times New Roman" w:hAnsi="Times New Roman"/>
          <w:sz w:val="14"/>
          <w:szCs w:val="14"/>
          <w:color w:val="auto"/>
        </w:rPr>
      </w:pPr>
    </w:p>
    <w:p>
      <w:pPr>
        <w:ind w:left="1840" w:right="1219" w:hanging="342"/>
        <w:spacing w:after="0" w:line="293"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our intellectual property rights in and to our RxSight system;</w:t>
      </w:r>
    </w:p>
    <w:p>
      <w:pPr>
        <w:spacing w:after="0" w:line="37" w:lineRule="exact"/>
        <w:rPr>
          <w:rFonts w:ascii="Times New Roman" w:cs="Times New Roman" w:eastAsia="Times New Roman" w:hAnsi="Times New Roman"/>
          <w:sz w:val="14"/>
          <w:szCs w:val="14"/>
          <w:color w:val="auto"/>
        </w:rPr>
      </w:pPr>
    </w:p>
    <w:p>
      <w:pPr>
        <w:ind w:left="1840" w:right="1579" w:hanging="342"/>
        <w:spacing w:after="0" w:line="293"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to which patients value the customized vision delivered by the RxSight system and are satisfied with their results;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achieving and maintaining compliance with regulatory requirements applicable to our products;</w:t>
      </w:r>
    </w:p>
    <w:p>
      <w:pPr>
        <w:spacing w:after="0" w:line="97" w:lineRule="exact"/>
        <w:rPr>
          <w:rFonts w:ascii="Times New Roman" w:cs="Times New Roman" w:eastAsia="Times New Roman" w:hAnsi="Times New Roman"/>
          <w:sz w:val="14"/>
          <w:szCs w:val="14"/>
          <w:color w:val="auto"/>
        </w:rPr>
      </w:pPr>
    </w:p>
    <w:p>
      <w:pPr>
        <w:ind w:left="1840" w:right="1179" w:hanging="342"/>
        <w:spacing w:after="0" w:line="293"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are successful in educating doctors about IOLs in general, and the benefits of our RxSight system;</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among doctors;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our marketing and commercial organization;</w:t>
      </w:r>
    </w:p>
    <w:p>
      <w:pPr>
        <w:spacing w:after="0" w:line="97" w:lineRule="exact"/>
        <w:rPr>
          <w:rFonts w:ascii="Times New Roman" w:cs="Times New Roman" w:eastAsia="Times New Roman" w:hAnsi="Times New Roman"/>
          <w:sz w:val="14"/>
          <w:szCs w:val="14"/>
          <w:color w:val="auto"/>
        </w:rPr>
      </w:pPr>
    </w:p>
    <w:p>
      <w:pPr>
        <w:ind w:left="1840" w:right="1359" w:hanging="342"/>
        <w:spacing w:after="0" w:line="293"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our marketing and sales efforts in the United States, including our efforts to build out our sales team;</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the commercialization of our products into international markets;</w:t>
      </w:r>
    </w:p>
    <w:p>
      <w:pPr>
        <w:spacing w:after="0" w:line="97" w:lineRule="exact"/>
        <w:rPr>
          <w:rFonts w:ascii="Times New Roman" w:cs="Times New Roman" w:eastAsia="Times New Roman" w:hAnsi="Times New Roman"/>
          <w:sz w:val="14"/>
          <w:szCs w:val="14"/>
          <w:color w:val="auto"/>
        </w:rPr>
      </w:pPr>
    </w:p>
    <w:p>
      <w:pPr>
        <w:jc w:val="both"/>
        <w:ind w:left="1840" w:right="1299" w:hanging="342"/>
        <w:spacing w:after="0" w:line="275"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develop, validate and maintain a commercially viable manufacturing process that is compliant with the Quality Systems Regulations (“QSR”), or QSMR when it goes into effect in February 2026, and other applicable foreign, federal and state regulatory requirements;</w:t>
      </w:r>
    </w:p>
    <w:p>
      <w:pPr>
        <w:spacing w:after="0" w:line="49"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ongoing or future clinical trials; and</w:t>
      </w:r>
    </w:p>
    <w:p>
      <w:pPr>
        <w:spacing w:after="0" w:line="97" w:lineRule="exact"/>
        <w:rPr>
          <w:rFonts w:ascii="Times New Roman" w:cs="Times New Roman" w:eastAsia="Times New Roman" w:hAnsi="Times New Roman"/>
          <w:sz w:val="14"/>
          <w:szCs w:val="14"/>
          <w:color w:val="auto"/>
        </w:rPr>
      </w:pPr>
    </w:p>
    <w:p>
      <w:pPr>
        <w:ind w:left="1840" w:right="1759" w:hanging="342"/>
        <w:spacing w:after="0" w:line="293" w:lineRule="auto"/>
        <w:tabs>
          <w:tab w:leader="none" w:pos="18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are required by the FDA or comparable non-U.S. regulatory authorities to conduct additional clinical trials for current or future indications.</w:t>
      </w:r>
    </w:p>
    <w:p>
      <w:pPr>
        <w:spacing w:after="0" w:line="37" w:lineRule="exact"/>
        <w:rPr>
          <w:sz w:val="20"/>
          <w:szCs w:val="20"/>
          <w:color w:val="auto"/>
        </w:rPr>
      </w:pPr>
    </w:p>
    <w:p>
      <w:pPr>
        <w:ind w:left="1140" w:right="1219" w:firstLine="258"/>
        <w:spacing w:after="0" w:line="293" w:lineRule="auto"/>
        <w:rPr>
          <w:sz w:val="20"/>
          <w:szCs w:val="20"/>
          <w:color w:val="auto"/>
        </w:rPr>
      </w:pPr>
      <w:r>
        <w:rPr>
          <w:rFonts w:ascii="Times New Roman" w:cs="Times New Roman" w:eastAsia="Times New Roman" w:hAnsi="Times New Roman"/>
          <w:sz w:val="14"/>
          <w:szCs w:val="14"/>
          <w:color w:val="auto"/>
        </w:rPr>
        <w:t>If we fail to successfully market and sell our products, we will not be able to grow our revenue or achieve profitability, which will have a material adverse effect on our business, financial condition and results of operations.</w:t>
      </w:r>
    </w:p>
    <w:p>
      <w:pPr>
        <w:spacing w:after="0" w:line="2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40" w:name="page41"/>
    <w:bookmarkEnd w:id="40"/>
    <w:p>
      <w:pPr>
        <w:ind w:left="1140" w:right="1219"/>
        <w:spacing w:after="0" w:line="262" w:lineRule="auto"/>
        <w:rPr>
          <w:sz w:val="20"/>
          <w:szCs w:val="20"/>
          <w:color w:val="auto"/>
        </w:rPr>
      </w:pPr>
      <w:r>
        <w:rPr>
          <w:rFonts w:ascii="Times New Roman" w:cs="Times New Roman" w:eastAsia="Times New Roman" w:hAnsi="Times New Roman"/>
          <w:sz w:val="14"/>
          <w:szCs w:val="14"/>
          <w:color w:val="auto"/>
        </w:rPr>
        <w:t>Our ability to grow our revenue in future periods will depend on our ability to successfully penetrate our target markets and increase sales of our RxSight system and any new product or product indications that we introduce, which will, in turn, depend in part on our success in growing our user base and driving increased use of our products. New products or product indications will also need to be approved or cleared by the FDA and comparable non-U.S. regulatory agencies in any international markets we target in order to commercialize them. If we cannot achieve revenue growth or achieve or sustain profitability, it could have a material adverse effect on our business, financial condition and results of operations.</w:t>
      </w:r>
    </w:p>
    <w:p>
      <w:pPr>
        <w:spacing w:after="0" w:line="57" w:lineRule="exact"/>
        <w:rPr>
          <w:sz w:val="20"/>
          <w:szCs w:val="20"/>
          <w:color w:val="auto"/>
        </w:rPr>
      </w:pPr>
    </w:p>
    <w:p>
      <w:pPr>
        <w:ind w:left="1140" w:right="14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Adoption of our products depends upon appropriate training for doctors, and inadequate training may lead to negative patient outcomes, affect adoption of our products and adversely affect our business.</w:t>
      </w:r>
    </w:p>
    <w:p>
      <w:pPr>
        <w:spacing w:after="0" w:line="33"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The success of our products depends in part on our customers’ adherence to appropriate patient selection and proper techniques provided in training sessions conducted by our training faculty. For example, we train our customers to ensure correct use of our RxSight system. However, doctors rely on their previous medical training and experience, and we cannot guarantee that all such doctors will have the necessary skills or training to effectively utilize our products. We do not control which doctors use our products or how much training they receive, and doctors who have not completed our training sessions may nonetheless attempt to use our products. In addition, doctors may use our products in a manner that is not consistent with their labeled indications for which no training is available. If doctors use our products in a manner that is inconsistent with their labeled indications, with components that are not compatible with our products or otherwise without adhering to or completing our training sessions, their patient outcomes may not be consistent with the outcomes achieved by other doctors or in our clinical trials. This result may negatively impact the perception of patient benefit and safety and limit adoption of our products, which would have a material adverse effect on our business, financial condition and results of operations.</w:t>
      </w:r>
    </w:p>
    <w:p>
      <w:pPr>
        <w:spacing w:after="0" w:line="59" w:lineRule="exact"/>
        <w:rPr>
          <w:sz w:val="20"/>
          <w:szCs w:val="20"/>
          <w:color w:val="auto"/>
        </w:rPr>
      </w:pPr>
    </w:p>
    <w:p>
      <w:pPr>
        <w:ind w:left="1140" w:right="1219" w:firstLine="258"/>
        <w:spacing w:after="0" w:line="265" w:lineRule="auto"/>
        <w:rPr>
          <w:sz w:val="20"/>
          <w:szCs w:val="20"/>
          <w:color w:val="auto"/>
        </w:rPr>
      </w:pPr>
      <w:r>
        <w:rPr>
          <w:rFonts w:ascii="Times New Roman" w:cs="Times New Roman" w:eastAsia="Times New Roman" w:hAnsi="Times New Roman"/>
          <w:sz w:val="14"/>
          <w:szCs w:val="14"/>
          <w:color w:val="auto"/>
        </w:rPr>
        <w:t>We currently require limited training in the use of our products because we market primarily to doctors who are experienced in the specific techniques required to use our devices. If demand for our products continues to grow, less experienced doctors will likely use our products, potentially leading to more injury and an increased risk of product liability claims. The use or misuse of our products may in the future result in complications and potentially lead to product liability claims.</w:t>
      </w:r>
    </w:p>
    <w:p>
      <w:pPr>
        <w:spacing w:after="0" w:line="58" w:lineRule="exact"/>
        <w:rPr>
          <w:sz w:val="20"/>
          <w:szCs w:val="20"/>
          <w:color w:val="auto"/>
        </w:rPr>
      </w:pPr>
    </w:p>
    <w:p>
      <w:pPr>
        <w:ind w:left="1140" w:right="1419" w:firstLine="258"/>
        <w:spacing w:after="0" w:line="293" w:lineRule="auto"/>
        <w:rPr>
          <w:sz w:val="20"/>
          <w:szCs w:val="20"/>
          <w:color w:val="auto"/>
        </w:rPr>
      </w:pPr>
      <w:r>
        <w:rPr>
          <w:rFonts w:ascii="Times New Roman" w:cs="Times New Roman" w:eastAsia="Times New Roman" w:hAnsi="Times New Roman"/>
          <w:sz w:val="14"/>
          <w:szCs w:val="14"/>
          <w:color w:val="auto"/>
        </w:rPr>
        <w:t>The commercial success of our RxSight system will depend upon attaining significant market acceptance of these products among patients and doctors.</w:t>
      </w:r>
    </w:p>
    <w:p>
      <w:pPr>
        <w:spacing w:after="0" w:line="37" w:lineRule="exact"/>
        <w:rPr>
          <w:sz w:val="20"/>
          <w:szCs w:val="20"/>
          <w:color w:val="auto"/>
        </w:rPr>
      </w:pPr>
    </w:p>
    <w:p>
      <w:pPr>
        <w:ind w:left="1140" w:right="1179" w:firstLine="258"/>
        <w:spacing w:after="0" w:line="259" w:lineRule="auto"/>
        <w:rPr>
          <w:sz w:val="20"/>
          <w:szCs w:val="20"/>
          <w:color w:val="auto"/>
        </w:rPr>
      </w:pPr>
      <w:r>
        <w:rPr>
          <w:rFonts w:ascii="Times New Roman" w:cs="Times New Roman" w:eastAsia="Times New Roman" w:hAnsi="Times New Roman"/>
          <w:sz w:val="14"/>
          <w:szCs w:val="14"/>
          <w:color w:val="auto"/>
        </w:rPr>
        <w:t>Our success will depend, in part, on the acceptance of our RxSight system as safe, effective and, with respect to doctors, cost-effective. We cannot predict how quickly, if at all, patients, doctors, or payors will accept our RxSight system or, if accepted, how frequently it will be used. Our RxSight system and planned or future products we may develop or market may never gain broad market acceptance for some or all of our targeted indications. Patients and doctors must believe that our products offer benefits over alternative treatment methods. To date, a substantial majority of our product sales and revenue have been derived from a limited number of customers who have adopted our RxSight system. Our future growth and profitability largely depend on our ability to increase doctors’ awareness of our RxSight system and our products and on the willingness of patients and doctors to adopt them. These parties may not adopt our products unless they are able to determine, based on experience, clinical data, medical society recommendations and other analyses, that our products are safe, effective and, with respect to providers, cost-effective, on a stand-alone basis and relative to competitors’ products. Patients and doctors must believe that our products offer benefits over alternative treatment methods. Even if we are able to raise awareness, doctors tend to be slow in changing their medical treatment practices and may be hesitant to select our products for recommendation to their patients for a variety of reasons, including:</w:t>
      </w:r>
    </w:p>
    <w:p>
      <w:pPr>
        <w:spacing w:after="0" w:line="64" w:lineRule="exact"/>
        <w:rPr>
          <w:sz w:val="20"/>
          <w:szCs w:val="20"/>
          <w:color w:val="auto"/>
        </w:rPr>
      </w:pPr>
    </w:p>
    <w:p>
      <w:pPr>
        <w:ind w:left="1840" w:hanging="342"/>
        <w:spacing w:after="0"/>
        <w:tabs>
          <w:tab w:leader="none" w:pos="1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long-standing relationships with competing companies and distributors that sell other products;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response and negative selling efforts from providers of alternative products;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of experience with our products and concerns that we are relatively new to market;</w:t>
      </w:r>
    </w:p>
    <w:p>
      <w:pPr>
        <w:spacing w:after="0" w:line="97" w:lineRule="exact"/>
        <w:rPr>
          <w:rFonts w:ascii="Times New Roman" w:cs="Times New Roman" w:eastAsia="Times New Roman" w:hAnsi="Times New Roman"/>
          <w:sz w:val="14"/>
          <w:szCs w:val="14"/>
          <w:color w:val="auto"/>
        </w:rPr>
      </w:pPr>
    </w:p>
    <w:p>
      <w:pPr>
        <w:ind w:left="1840" w:right="1459" w:hanging="342"/>
        <w:spacing w:after="0" w:line="293" w:lineRule="auto"/>
        <w:tabs>
          <w:tab w:leader="none" w:pos="1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lack or perceived lack of sufficient clinical evidence, including long-term data, supporting safety or clinical benefits;</w:t>
      </w:r>
    </w:p>
    <w:p>
      <w:pPr>
        <w:spacing w:after="0" w:line="37" w:lineRule="exact"/>
        <w:rPr>
          <w:rFonts w:ascii="Times New Roman" w:cs="Times New Roman" w:eastAsia="Times New Roman" w:hAnsi="Times New Roman"/>
          <w:sz w:val="14"/>
          <w:szCs w:val="14"/>
          <w:color w:val="auto"/>
        </w:rPr>
      </w:pPr>
    </w:p>
    <w:p>
      <w:pPr>
        <w:ind w:left="1840" w:right="1339" w:hanging="342"/>
        <w:spacing w:after="0" w:line="293" w:lineRule="auto"/>
        <w:tabs>
          <w:tab w:leader="none" w:pos="18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 commitment and skill development that may be required to gain familiarity and proficiency with our products;</w:t>
      </w:r>
    </w:p>
    <w:p>
      <w:pPr>
        <w:spacing w:after="0" w:line="2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41" w:name="page42"/>
    <w:bookmarkEnd w:id="41"/>
    <w:p>
      <w:pPr>
        <w:ind w:left="1840" w:right="1259" w:hanging="342"/>
        <w:spacing w:after="0" w:line="293" w:lineRule="auto"/>
        <w:tabs>
          <w:tab w:leader="none" w:pos="1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confusion regarding the wide range of commercially available premium IOL offerings and their ability to deliver promised results at near, middle and far distances without reliance on glasses;</w:t>
      </w:r>
    </w:p>
    <w:p>
      <w:pPr>
        <w:spacing w:after="0" w:line="37" w:lineRule="exact"/>
        <w:rPr>
          <w:rFonts w:ascii="Times New Roman" w:cs="Times New Roman" w:eastAsia="Times New Roman" w:hAnsi="Times New Roman"/>
          <w:sz w:val="14"/>
          <w:szCs w:val="14"/>
          <w:color w:val="auto"/>
        </w:rPr>
      </w:pPr>
    </w:p>
    <w:p>
      <w:pPr>
        <w:ind w:left="1840" w:right="1399" w:hanging="342"/>
        <w:spacing w:after="0" w:line="293" w:lineRule="auto"/>
        <w:tabs>
          <w:tab w:leader="none" w:pos="1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reticence to select a premium IOL due to nonperformance and adverse side effects associated with competing products in the market;</w:t>
      </w:r>
    </w:p>
    <w:p>
      <w:pPr>
        <w:spacing w:after="0" w:line="37" w:lineRule="exact"/>
        <w:rPr>
          <w:rFonts w:ascii="Times New Roman" w:cs="Times New Roman" w:eastAsia="Times New Roman" w:hAnsi="Times New Roman"/>
          <w:sz w:val="14"/>
          <w:szCs w:val="14"/>
          <w:color w:val="auto"/>
        </w:rPr>
      </w:pPr>
    </w:p>
    <w:p>
      <w:pPr>
        <w:ind w:left="1840" w:right="1299" w:hanging="342"/>
        <w:spacing w:after="0" w:line="275" w:lineRule="auto"/>
        <w:tabs>
          <w:tab w:leader="none" w:pos="1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non-compliance with the RxSight system requirement to wear protective glasses following surgery until the LAL is locked to avoid UV exposure and an unintended change to the LAL, resulting in patient dissatisfaction with the results and possible need to remove the LAL; and</w:t>
      </w:r>
    </w:p>
    <w:p>
      <w:pPr>
        <w:spacing w:after="0" w:line="49" w:lineRule="exact"/>
        <w:rPr>
          <w:rFonts w:ascii="Times New Roman" w:cs="Times New Roman" w:eastAsia="Times New Roman" w:hAnsi="Times New Roman"/>
          <w:sz w:val="14"/>
          <w:szCs w:val="14"/>
          <w:color w:val="auto"/>
        </w:rPr>
      </w:pPr>
    </w:p>
    <w:p>
      <w:pPr>
        <w:ind w:left="1840" w:right="1439" w:hanging="342"/>
        <w:spacing w:after="0" w:line="293" w:lineRule="auto"/>
        <w:tabs>
          <w:tab w:leader="none" w:pos="18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inability to generate patient referral due to dissatisfaction with results obtained through treatment with our products, the out-of-pocket cost of treatments using our products or otherwise.</w:t>
      </w:r>
    </w:p>
    <w:p>
      <w:pPr>
        <w:spacing w:after="0" w:line="37" w:lineRule="exact"/>
        <w:rPr>
          <w:sz w:val="20"/>
          <w:szCs w:val="20"/>
          <w:color w:val="auto"/>
        </w:rPr>
      </w:pPr>
    </w:p>
    <w:p>
      <w:pPr>
        <w:ind w:left="1140" w:right="1159" w:firstLine="258"/>
        <w:spacing w:after="0" w:line="275" w:lineRule="auto"/>
        <w:rPr>
          <w:sz w:val="20"/>
          <w:szCs w:val="20"/>
          <w:color w:val="auto"/>
        </w:rPr>
      </w:pPr>
      <w:r>
        <w:rPr>
          <w:rFonts w:ascii="Times New Roman" w:cs="Times New Roman" w:eastAsia="Times New Roman" w:hAnsi="Times New Roman"/>
          <w:sz w:val="14"/>
          <w:szCs w:val="14"/>
          <w:color w:val="auto"/>
        </w:rPr>
        <w:t>In order for doctors to use our RxSight system, they must make a significant up-front investment to purchase the LDD. This can result in a lengthy sales cycle and require extensive negotiations and management time. If we are unsuccessful in placing LDDs with providers, our sales may decrease, and our operating results may be harmed.</w:t>
      </w:r>
    </w:p>
    <w:p>
      <w:pPr>
        <w:spacing w:after="0" w:line="49" w:lineRule="exact"/>
        <w:rPr>
          <w:sz w:val="20"/>
          <w:szCs w:val="20"/>
          <w:color w:val="auto"/>
        </w:rPr>
      </w:pPr>
    </w:p>
    <w:p>
      <w:pPr>
        <w:ind w:left="1140" w:right="1419" w:firstLine="258"/>
        <w:spacing w:after="0" w:line="268" w:lineRule="auto"/>
        <w:rPr>
          <w:sz w:val="20"/>
          <w:szCs w:val="20"/>
          <w:color w:val="auto"/>
        </w:rPr>
      </w:pPr>
      <w:r>
        <w:rPr>
          <w:rFonts w:ascii="Times New Roman" w:cs="Times New Roman" w:eastAsia="Times New Roman" w:hAnsi="Times New Roman"/>
          <w:sz w:val="14"/>
          <w:szCs w:val="14"/>
          <w:color w:val="auto"/>
        </w:rPr>
        <w:t>Doctors play a significant role in determining the course of a patient’s treatment, and, as a result, the type of treatment that will be utilized and provided to a patient. We focus our sales, marketing and education efforts primarily on doctors, and aim to educate referring doctors on the patient population that would benefit from our products. However, we cannot assure you that we will achieve broad market acceptance among doctors.</w:t>
      </w:r>
    </w:p>
    <w:p>
      <w:pPr>
        <w:spacing w:after="0" w:line="56" w:lineRule="exact"/>
        <w:rPr>
          <w:sz w:val="20"/>
          <w:szCs w:val="20"/>
          <w:color w:val="auto"/>
        </w:rPr>
      </w:pPr>
    </w:p>
    <w:p>
      <w:pPr>
        <w:ind w:left="1140" w:right="1259" w:firstLine="258"/>
        <w:spacing w:after="0" w:line="260" w:lineRule="auto"/>
        <w:rPr>
          <w:sz w:val="20"/>
          <w:szCs w:val="20"/>
          <w:color w:val="auto"/>
        </w:rPr>
      </w:pPr>
      <w:r>
        <w:rPr>
          <w:rFonts w:ascii="Times New Roman" w:cs="Times New Roman" w:eastAsia="Times New Roman" w:hAnsi="Times New Roman"/>
          <w:sz w:val="14"/>
          <w:szCs w:val="14"/>
          <w:color w:val="auto"/>
        </w:rPr>
        <w:t>For example, some doctors may choose to utilize our RxSight system on only a subset of their total patient population or may not adopt our RxSight system at all. If we are not able to effectively demonstrate that the use of our RxSight system is beneficial in a broad range of patients, adoption of our product will be limited and may not occur as rapidly as we anticipate or at all, which would have a material adverse effect on our business, financial condition and results of operations. We cannot assure you that our products will achieve broad market acceptance among doctors. Additionally, even if our products achieve market acceptance, they may not maintain that market acceptance over time if competing products, procedures or technologies are considered safer or more cost-effective or otherwise superior. Any failure of our products to generate sufficient demand or to achieve meaningful market acceptance and penetration will harm our future prospects and have a material adverse effect on our business, financial condition and results of operations.</w:t>
      </w:r>
    </w:p>
    <w:p>
      <w:pPr>
        <w:spacing w:after="0" w:line="64" w:lineRule="exact"/>
        <w:rPr>
          <w:sz w:val="20"/>
          <w:szCs w:val="20"/>
          <w:color w:val="auto"/>
        </w:rPr>
      </w:pPr>
    </w:p>
    <w:p>
      <w:pPr>
        <w:ind w:left="1140" w:right="1339" w:firstLine="258"/>
        <w:spacing w:after="0" w:line="265" w:lineRule="auto"/>
        <w:rPr>
          <w:sz w:val="20"/>
          <w:szCs w:val="20"/>
          <w:color w:val="auto"/>
        </w:rPr>
      </w:pPr>
      <w:r>
        <w:rPr>
          <w:rFonts w:ascii="Times New Roman" w:cs="Times New Roman" w:eastAsia="Times New Roman" w:hAnsi="Times New Roman"/>
          <w:sz w:val="14"/>
          <w:szCs w:val="14"/>
          <w:color w:val="auto"/>
        </w:rPr>
        <w:t>Our reputation among our current or potential customers, as well as among doctors, could also be negatively affected by safety or customer satisfaction issues involving us or our products, including product recalls. Future product recalls or other safety or customer satisfaction issues relating to our reputation could negatively affect our ability to establish or maintain broad adoption of our products, which would harm our future prospects and have a material adverse effect on our business, financial condition and results of operations.</w:t>
      </w:r>
    </w:p>
    <w:p>
      <w:pPr>
        <w:spacing w:after="0" w:line="5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Our RxSight system involves surgical risks and is contraindicated in certain patients, which may limit adoption.</w:t>
      </w:r>
    </w:p>
    <w:p>
      <w:pPr>
        <w:spacing w:after="0" w:line="97" w:lineRule="exact"/>
        <w:rPr>
          <w:sz w:val="20"/>
          <w:szCs w:val="20"/>
          <w:color w:val="auto"/>
        </w:rPr>
      </w:pPr>
    </w:p>
    <w:p>
      <w:pPr>
        <w:ind w:left="1140" w:right="1219" w:firstLine="258"/>
        <w:spacing w:after="0" w:line="265" w:lineRule="auto"/>
        <w:rPr>
          <w:sz w:val="20"/>
          <w:szCs w:val="20"/>
          <w:color w:val="auto"/>
        </w:rPr>
      </w:pPr>
      <w:r>
        <w:rPr>
          <w:rFonts w:ascii="Times New Roman" w:cs="Times New Roman" w:eastAsia="Times New Roman" w:hAnsi="Times New Roman"/>
          <w:sz w:val="14"/>
          <w:szCs w:val="14"/>
          <w:color w:val="auto"/>
        </w:rPr>
        <w:t>Risks of using our products include those associated with cataract surgery and IOL implantation. There are also possible, but rare, complications due to the use of UV light from the LDD, including a temporary or long-lasting change to vision. We are aware of certain characteristics and features of our RxSight system that may prevent widespread market adoption, including the fact that doctors would need to adopt a new procedure, and training for doctors will be required to enable them to effectively operate our products.</w:t>
      </w:r>
    </w:p>
    <w:p>
      <w:pPr>
        <w:spacing w:after="0" w:line="54" w:lineRule="exact"/>
        <w:rPr>
          <w:sz w:val="20"/>
          <w:szCs w:val="20"/>
          <w:color w:val="auto"/>
        </w:rPr>
      </w:pPr>
    </w:p>
    <w:p>
      <w:pPr>
        <w:ind w:left="1140" w:right="14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face significant competition, and if we are unable to compete effectively, we may not be able to achieve or maintain significant market penetration or improve our results of operations.</w:t>
      </w:r>
    </w:p>
    <w:p>
      <w:pPr>
        <w:spacing w:after="0" w:line="33"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The medical device industry is intensely competitive, subject to rapid change and significantly affected by new product introductions and other market activities of industry participants. We compete with manufacturers and distributors of premium and conventional IOLs. Our most significant competitors in the IOL field include Alcon, Johnson &amp; Johnson Vision and Bausch + Lomb. Many of our competitors are large, well-capitalized companies with significantly greater market share and resources than we have. Therefore, they can spend more on product development, marketing, sales and other product initiatives than we can. We also compete with smaller medical device companies that have a single product or a limited range of products. In addition, patients who receive an LAL will be required to wear UV protective glasses until final lock-in which is approximately four to five weeks after surgery. They will also be required to return for an additional two to three clinic visits compared to traditional monofocal cataract surgery. The additional clinic visits are non-surgical but do require the patient’s eyes to be</w:t>
      </w: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42" w:name="page43"/>
    <w:bookmarkEnd w:id="42"/>
    <w:p>
      <w:pPr>
        <w:ind w:left="1140" w:right="1539"/>
        <w:spacing w:after="0" w:line="293" w:lineRule="auto"/>
        <w:rPr>
          <w:sz w:val="20"/>
          <w:szCs w:val="20"/>
          <w:color w:val="auto"/>
        </w:rPr>
      </w:pPr>
      <w:r>
        <w:rPr>
          <w:rFonts w:ascii="Times New Roman" w:cs="Times New Roman" w:eastAsia="Times New Roman" w:hAnsi="Times New Roman"/>
          <w:sz w:val="14"/>
          <w:szCs w:val="14"/>
          <w:color w:val="auto"/>
        </w:rPr>
        <w:t>dilated. Due to these additional requirements, market acceptance of the LAL may be impacted. We believe the principal competitive factors in our markets include:</w:t>
      </w:r>
    </w:p>
    <w:p>
      <w:pPr>
        <w:spacing w:after="0" w:line="37" w:lineRule="exact"/>
        <w:rPr>
          <w:sz w:val="20"/>
          <w:szCs w:val="20"/>
          <w:color w:val="auto"/>
        </w:rPr>
      </w:pPr>
    </w:p>
    <w:p>
      <w:pPr>
        <w:ind w:left="1840" w:hanging="342"/>
        <w:spacing w:after="0"/>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quality of patient outcomes, oftentimes measured by visual acuity, and adverse event rates;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Patient experience, including patient recovery time and level of discomfort;</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by treating doctors and referral sources;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Doctor learning curves and willingness to adopt new technologies;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Ease-of-use and reliability;</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benefits and cost savings;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 of clinical evidence;</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distribution and marketing to surgeons and potential patients; and</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price and qualification for coverage and reimbursement.</w:t>
      </w:r>
    </w:p>
    <w:p>
      <w:pPr>
        <w:spacing w:after="0" w:line="97" w:lineRule="exact"/>
        <w:rPr>
          <w:sz w:val="20"/>
          <w:szCs w:val="20"/>
          <w:color w:val="auto"/>
        </w:rPr>
      </w:pPr>
    </w:p>
    <w:p>
      <w:pPr>
        <w:ind w:left="1140" w:right="1259" w:firstLine="258"/>
        <w:spacing w:after="0" w:line="293" w:lineRule="auto"/>
        <w:rPr>
          <w:sz w:val="20"/>
          <w:szCs w:val="20"/>
          <w:color w:val="auto"/>
        </w:rPr>
      </w:pPr>
      <w:r>
        <w:rPr>
          <w:rFonts w:ascii="Times New Roman" w:cs="Times New Roman" w:eastAsia="Times New Roman" w:hAnsi="Times New Roman"/>
          <w:sz w:val="14"/>
          <w:szCs w:val="14"/>
          <w:color w:val="auto"/>
        </w:rPr>
        <w:t>We compete primarily on the basis that our products are designed to enable more doctors to treat more patients more efficiently and effectively. Our continued success depends on our ability to:</w:t>
      </w:r>
    </w:p>
    <w:p>
      <w:pPr>
        <w:spacing w:after="0" w:line="37" w:lineRule="exact"/>
        <w:rPr>
          <w:sz w:val="20"/>
          <w:szCs w:val="20"/>
          <w:color w:val="auto"/>
        </w:rPr>
      </w:pPr>
    </w:p>
    <w:p>
      <w:pPr>
        <w:ind w:left="1840" w:right="1259" w:hanging="342"/>
        <w:spacing w:after="0" w:line="293" w:lineRule="auto"/>
        <w:tabs>
          <w:tab w:leader="none" w:pos="1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innovative, proprietary products that address significant clinical needs in a manner that is safe and effective for patients and easy-to-use for doctors;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regulatory clearances or approvals;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demonstrate safety and effectiveness in our sponsored and third-party clinical trials;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expand our sales force across key markets to increase doctors’ awareness;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and maintain coverage and adequate reimbursement for procedures using our products;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and retain skilled research, development, sales and clinical personnel;</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cost-effectively manufacture, market and sell our products;</w:t>
      </w:r>
    </w:p>
    <w:p>
      <w:pPr>
        <w:spacing w:after="0" w:line="97" w:lineRule="exact"/>
        <w:rPr>
          <w:rFonts w:ascii="Times New Roman" w:cs="Times New Roman" w:eastAsia="Times New Roman" w:hAnsi="Times New Roman"/>
          <w:sz w:val="14"/>
          <w:szCs w:val="14"/>
          <w:color w:val="auto"/>
        </w:rPr>
      </w:pPr>
    </w:p>
    <w:p>
      <w:pPr>
        <w:ind w:left="1840" w:right="1719" w:hanging="342"/>
        <w:spacing w:after="0" w:line="293" w:lineRule="auto"/>
        <w:tabs>
          <w:tab w:leader="none" w:pos="1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doctors with a sufficient return on investment as compared to alternative premium IOL procedures that justifies the upfront cost of our LDD; and</w:t>
      </w:r>
    </w:p>
    <w:p>
      <w:pPr>
        <w:spacing w:after="0" w:line="37" w:lineRule="exact"/>
        <w:rPr>
          <w:rFonts w:ascii="Times New Roman" w:cs="Times New Roman" w:eastAsia="Times New Roman" w:hAnsi="Times New Roman"/>
          <w:sz w:val="14"/>
          <w:szCs w:val="14"/>
          <w:color w:val="auto"/>
        </w:rPr>
      </w:pPr>
    </w:p>
    <w:p>
      <w:pPr>
        <w:ind w:left="1840" w:right="1359" w:hanging="342"/>
        <w:spacing w:after="0" w:line="293" w:lineRule="auto"/>
        <w:tabs>
          <w:tab w:leader="none" w:pos="1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maintain, enforce and defend our intellectual property rights and operate our business without infringing, misappropriating or otherwise violating the intellectual property rights of others.</w:t>
      </w:r>
    </w:p>
    <w:p>
      <w:pPr>
        <w:spacing w:after="0" w:line="37" w:lineRule="exact"/>
        <w:rPr>
          <w:sz w:val="20"/>
          <w:szCs w:val="20"/>
          <w:color w:val="auto"/>
        </w:rPr>
      </w:pPr>
    </w:p>
    <w:p>
      <w:pPr>
        <w:ind w:left="1140" w:right="1179" w:firstLine="258"/>
        <w:spacing w:after="0" w:line="262" w:lineRule="auto"/>
        <w:rPr>
          <w:sz w:val="20"/>
          <w:szCs w:val="20"/>
          <w:color w:val="auto"/>
        </w:rPr>
      </w:pPr>
      <w:r>
        <w:rPr>
          <w:rFonts w:ascii="Times New Roman" w:cs="Times New Roman" w:eastAsia="Times New Roman" w:hAnsi="Times New Roman"/>
          <w:sz w:val="14"/>
          <w:szCs w:val="14"/>
          <w:color w:val="auto"/>
        </w:rPr>
        <w:t>We can provide no assurance that we will be successful in developing new products or commercializing them in ways that achieve market acceptance. If we develop new products, sales of those products may reduce revenue generated from our existing products. Moreover, any significant delays in our product launches may significantly impede our ability to enter or compete in a given market and may reduce the sales that we are able to generate from these products. We may experience delays in any phase of a product development, including during research and development, clinical trials, regulatory review, manufacturing and marketing. Delays in product introductions could have a material adverse effect on our business, financial condition and results of operations.</w:t>
      </w:r>
    </w:p>
    <w:p>
      <w:pPr>
        <w:spacing w:after="0" w:line="61" w:lineRule="exact"/>
        <w:rPr>
          <w:sz w:val="20"/>
          <w:szCs w:val="20"/>
          <w:color w:val="auto"/>
        </w:rPr>
      </w:pPr>
    </w:p>
    <w:p>
      <w:pPr>
        <w:ind w:left="1140" w:right="1239" w:firstLine="258"/>
        <w:spacing w:after="0" w:line="264" w:lineRule="auto"/>
        <w:rPr>
          <w:sz w:val="20"/>
          <w:szCs w:val="20"/>
          <w:color w:val="auto"/>
        </w:rPr>
      </w:pPr>
      <w:r>
        <w:rPr>
          <w:rFonts w:ascii="Times New Roman" w:cs="Times New Roman" w:eastAsia="Times New Roman" w:hAnsi="Times New Roman"/>
          <w:sz w:val="14"/>
          <w:szCs w:val="14"/>
          <w:color w:val="auto"/>
        </w:rPr>
        <w:t>In addition, many medical device companies are consolidating to create new companies with greater market power. As the medical device industry consolidates, competition to provide goods and services to industry participants will become more intense. These industry participants may try to use their market power to negotiate price concessions or reductions for our products. If we reduce our prices because of consolidation in the healthcare industry, our revenue may decrease, which could have a material adverse effect on our business, financial condition and results of operations.</w:t>
      </w:r>
    </w:p>
    <w:p>
      <w:pPr>
        <w:spacing w:after="0" w:line="52" w:lineRule="exact"/>
        <w:rPr>
          <w:sz w:val="20"/>
          <w:szCs w:val="20"/>
          <w:color w:val="auto"/>
        </w:rPr>
      </w:pPr>
    </w:p>
    <w:p>
      <w:pPr>
        <w:ind w:left="1140" w:right="143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If our facilities become damaged or inoperable, or if we are required to vacate a facility, we may be unable to manufacture our products or we may experience delays in production or an increase in costs, which could adversely affect our results of operations.</w:t>
      </w:r>
    </w:p>
    <w:p>
      <w:pPr>
        <w:spacing w:after="0" w:line="47" w:lineRule="exact"/>
        <w:rPr>
          <w:sz w:val="20"/>
          <w:szCs w:val="20"/>
          <w:color w:val="auto"/>
        </w:rPr>
      </w:pPr>
    </w:p>
    <w:p>
      <w:pPr>
        <w:ind w:left="1140" w:right="1439" w:firstLine="258"/>
        <w:spacing w:after="0" w:line="293" w:lineRule="auto"/>
        <w:rPr>
          <w:sz w:val="20"/>
          <w:szCs w:val="20"/>
          <w:color w:val="auto"/>
        </w:rPr>
      </w:pPr>
      <w:r>
        <w:rPr>
          <w:rFonts w:ascii="Times New Roman" w:cs="Times New Roman" w:eastAsia="Times New Roman" w:hAnsi="Times New Roman"/>
          <w:sz w:val="14"/>
          <w:szCs w:val="14"/>
          <w:color w:val="auto"/>
        </w:rPr>
        <w:t>We currently maintain our research and development, manufacturing and administrative operations in Aliso Viejo, California, and we do not have redundant facilities. We operate in four separate facilities, designated as a</w:t>
      </w:r>
    </w:p>
    <w:p>
      <w:pPr>
        <w:spacing w:after="0" w:line="3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43" w:name="page44"/>
    <w:bookmarkEnd w:id="43"/>
    <w:p>
      <w:pPr>
        <w:ind w:left="1140" w:right="1179"/>
        <w:spacing w:after="0" w:line="259" w:lineRule="auto"/>
        <w:rPr>
          <w:sz w:val="20"/>
          <w:szCs w:val="20"/>
          <w:color w:val="auto"/>
        </w:rPr>
      </w:pPr>
      <w:r>
        <w:rPr>
          <w:rFonts w:ascii="Times New Roman" w:cs="Times New Roman" w:eastAsia="Times New Roman" w:hAnsi="Times New Roman"/>
          <w:sz w:val="14"/>
          <w:szCs w:val="14"/>
          <w:color w:val="auto"/>
        </w:rPr>
        <w:t>single manufacturing facility, and should any one of these facilities be significantly damaged or destroyed by natural or man-made disasters, such as earthquakes, fires (both of which are prevalent in California) or other events, it could take months to relocate or rebuild, during which time our employees may seek other positions, our research, development and manufacturing would cease or be delayed and our products may be unavailable. A major interruption in the manufacturing operations at this facility would materially impact our ability to operate. Because of the time required to authorize manufacturing in a new facility under federal, state and non-U.S. regulatory requirements, we may not be able to resume production on a timely basis even if we are able to replace production capacity. While we maintain property and business interruption insurance, such insurance has limits and would not cover all damages, including losses caused by earthquakes or losses we may suffer due to our products being replaced by competitors’ products. The inability to perform our research, development and manufacturing activities if our facilities become inoperable, combined with our limited inventory of materials and components and manufactured products, may cause doctors to discontinue using our products or harm our reputation, and we may be unable to re-establish relationships with such doctors in the future. Consequently, a catastrophic event at our current facility or any future facilities could have a material adverse effect on our business, financial condition and results of operations.</w:t>
      </w:r>
    </w:p>
    <w:p>
      <w:pPr>
        <w:spacing w:after="0" w:line="236" w:lineRule="exact"/>
        <w:rPr>
          <w:sz w:val="20"/>
          <w:szCs w:val="20"/>
          <w:color w:val="auto"/>
        </w:rPr>
      </w:pPr>
    </w:p>
    <w:p>
      <w:pPr>
        <w:ind w:left="1140" w:right="1279" w:firstLine="258"/>
        <w:spacing w:after="0" w:line="261" w:lineRule="auto"/>
        <w:rPr>
          <w:sz w:val="20"/>
          <w:szCs w:val="20"/>
          <w:color w:val="auto"/>
        </w:rPr>
      </w:pPr>
      <w:r>
        <w:rPr>
          <w:rFonts w:ascii="Times New Roman" w:cs="Times New Roman" w:eastAsia="Times New Roman" w:hAnsi="Times New Roman"/>
          <w:sz w:val="14"/>
          <w:szCs w:val="14"/>
          <w:color w:val="auto"/>
        </w:rPr>
        <w:t>Furthermore, the current leases on our four facilities expire or have options to extend until January 31, 2031, with two options to extend for five years each. We may be unable to renew our leases or find a new facility on commercially reasonable terms, or at all. If we were unable or unwilling to renew at the proposed rates, relocating our manufacturing facility would involve significant expense in connection with the movement and installation of key manufacturing equipment and any necessary recertification with regulatory bodies, and we cannot assure you that such a move would not delay or otherwise adversely affect our manufacturing activities or operating results. If our manufacturing capabilities were impaired by any such move, we may not be able to manufacture and ship our products in a timely manner, which would adversely impact our business.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Technological change may adversely affect sales of our products and may cause our products to become obsolete.</w:t>
      </w:r>
    </w:p>
    <w:p>
      <w:pPr>
        <w:spacing w:after="0" w:line="101"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The medical device market is characterized by extensive research and development and rapid technological change. There can be no assurance that other companies, including current competitors or new entrants, will not succeed in developing or marketing products that are more effective than our products or that would render our products obsolete or noncompetitive. Additionally, new surgical procedures, medications and other therapies could be developed that replace or reduce the importance of our products. If we are unable to innovate successfully, our products could become obsolete and our revenue would decline as our customers purchase our competitors’ products. Our failure to develop new products, applications or features could result from insufficient cash resources, high employee turnover, inability to hire personnel with sufficient technical skills, a lack of other research and development resources or other constraints. Our failure or inability to devote adequate research and development resources or compete effectively with the research and development programs of our current or future competitors could have a material adverse effect on our business, financial condition and results of operations.</w:t>
      </w:r>
    </w:p>
    <w:p>
      <w:pPr>
        <w:spacing w:after="0" w:line="57" w:lineRule="exact"/>
        <w:rPr>
          <w:sz w:val="20"/>
          <w:szCs w:val="20"/>
          <w:color w:val="auto"/>
        </w:rPr>
      </w:pPr>
    </w:p>
    <w:p>
      <w:pPr>
        <w:ind w:left="1140" w:right="11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limited data and experience regarding the safety and efficacy of our RxSight system. Results of earlier studies may not be predictive of future clinical trial results, and planned studies may not establish an adequate safety or efficacy profile for our RxSight system and other planned or future products, which would affect market acceptance of our RxSight system.</w:t>
      </w:r>
    </w:p>
    <w:p>
      <w:pPr>
        <w:spacing w:after="0" w:line="54" w:lineRule="exact"/>
        <w:rPr>
          <w:sz w:val="20"/>
          <w:szCs w:val="20"/>
          <w:color w:val="auto"/>
        </w:rPr>
      </w:pPr>
    </w:p>
    <w:p>
      <w:pPr>
        <w:ind w:left="1140" w:right="1219" w:firstLine="258"/>
        <w:spacing w:after="0" w:line="259" w:lineRule="auto"/>
        <w:rPr>
          <w:sz w:val="20"/>
          <w:szCs w:val="20"/>
          <w:color w:val="auto"/>
        </w:rPr>
      </w:pPr>
      <w:r>
        <w:rPr>
          <w:rFonts w:ascii="Times New Roman" w:cs="Times New Roman" w:eastAsia="Times New Roman" w:hAnsi="Times New Roman"/>
          <w:sz w:val="14"/>
          <w:szCs w:val="14"/>
          <w:color w:val="auto"/>
        </w:rPr>
        <w:t>Because our RxSight system technology is a relatively new treatment to optimize vision after cataract surgery, we have performed clinical trials only with limited patient populations. The long-term effects of using our products in a large number of patients have not been studied and the results of short-term clinical use of such products do not necessarily predict long-term clinical benefits or reveal long-term adverse effects.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other patient populations.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and subsequently failed to obtain marketing approval. Products in later stages of clinical trials may fail to show the desired safety and efficacy despite having progressed through nonclinical studies and earlier clinical trials.</w:t>
      </w:r>
    </w:p>
    <w:p>
      <w:pPr>
        <w:spacing w:after="0" w:line="3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44" w:name="page45"/>
    <w:bookmarkEnd w:id="44"/>
    <w:p>
      <w:pPr>
        <w:ind w:left="1140" w:right="14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our clinical trials are unsuccessful or significantly delayed, or if we do not complete our clinical trials, our business may be harmed.</w:t>
      </w:r>
    </w:p>
    <w:p>
      <w:pPr>
        <w:spacing w:after="0" w:line="33"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color w:val="auto"/>
        </w:rPr>
        <w:t>Clinical development is a long, expensive and uncertain process and is subject to delays and the risk that products may ultimately prove unsafe or ineffective in treating the indications for which they are designed. We are currently engaged in post-market clinical trials of our RxSight system. Completion of clinical trials may take several years or more. Clinical trials can be delayed for a variety of reasons, including delays in obtaining regulatory approval to commence a trial, in reaching an agreement on acceptable clinical trial terms with prospective sites, in obtaining institutional review board approval at each site, in recruiting patients to participate in a trial or in obtaining sufficient supplies of clinical trial materials. We cannot provide any assurance that we will successfully, or in a timely manner, enroll our clinical trials, that our clinical trials will meet their primary endpoints or that such trials or their results will be accepted by the FDA or foreign regulatory authorities.</w:t>
      </w:r>
    </w:p>
    <w:p>
      <w:pPr>
        <w:spacing w:after="0" w:line="60" w:lineRule="exact"/>
        <w:rPr>
          <w:sz w:val="20"/>
          <w:szCs w:val="20"/>
          <w:color w:val="auto"/>
        </w:rPr>
      </w:pPr>
    </w:p>
    <w:p>
      <w:pPr>
        <w:ind w:left="1140" w:right="1179" w:firstLine="258"/>
        <w:spacing w:after="0" w:line="275" w:lineRule="auto"/>
        <w:rPr>
          <w:sz w:val="20"/>
          <w:szCs w:val="20"/>
          <w:color w:val="auto"/>
        </w:rPr>
      </w:pPr>
      <w:r>
        <w:rPr>
          <w:rFonts w:ascii="Times New Roman" w:cs="Times New Roman" w:eastAsia="Times New Roman" w:hAnsi="Times New Roman"/>
          <w:sz w:val="14"/>
          <w:szCs w:val="14"/>
          <w:color w:val="auto"/>
        </w:rPr>
        <w:t>We may experience numerous unforeseen events during, or because of, the clinical trial process that could delay or prevent us from receiving regulatory clearance or approval for new products, modifications of existing products, or new indications for existing products, including:</w:t>
      </w:r>
    </w:p>
    <w:p>
      <w:pPr>
        <w:spacing w:after="0" w:line="49" w:lineRule="exact"/>
        <w:rPr>
          <w:sz w:val="20"/>
          <w:szCs w:val="20"/>
          <w:color w:val="auto"/>
        </w:rPr>
      </w:pPr>
    </w:p>
    <w:p>
      <w:pPr>
        <w:ind w:left="1840" w:right="1219" w:hanging="342"/>
        <w:spacing w:after="0" w:line="293"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and timely completion of nonclinical studies or clinical development of our products, as well as the associated costs, including any unforeseen costs we may incur as a result of clinical trial delays;</w:t>
      </w:r>
    </w:p>
    <w:p>
      <w:pPr>
        <w:spacing w:after="0" w:line="37" w:lineRule="exact"/>
        <w:rPr>
          <w:rFonts w:ascii="Times New Roman" w:cs="Times New Roman" w:eastAsia="Times New Roman" w:hAnsi="Times New Roman"/>
          <w:sz w:val="14"/>
          <w:szCs w:val="14"/>
          <w:color w:val="auto"/>
        </w:rPr>
      </w:pPr>
    </w:p>
    <w:p>
      <w:pPr>
        <w:ind w:left="1840" w:right="1419" w:hanging="342"/>
        <w:spacing w:after="0" w:line="293"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enrollment in our clinical trials may be slower than we anticipate, or we may experience high screen failure rates in our clinical trials, resulting in significant delays;</w:t>
      </w:r>
    </w:p>
    <w:p>
      <w:pPr>
        <w:spacing w:after="0" w:line="37" w:lineRule="exact"/>
        <w:rPr>
          <w:rFonts w:ascii="Times New Roman" w:cs="Times New Roman" w:eastAsia="Times New Roman" w:hAnsi="Times New Roman"/>
          <w:sz w:val="14"/>
          <w:szCs w:val="14"/>
          <w:color w:val="auto"/>
        </w:rPr>
      </w:pPr>
    </w:p>
    <w:p>
      <w:pPr>
        <w:ind w:left="1840" w:right="1319" w:hanging="342"/>
        <w:spacing w:after="0" w:line="275"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clinical trials may produce negative or inconclusive results, and we may decide, or regulators may require us, to conduct additional clinical and/or preclinical testing which may be expensive and time-consuming;</w:t>
      </w:r>
    </w:p>
    <w:p>
      <w:pPr>
        <w:spacing w:after="0" w:line="49" w:lineRule="exact"/>
        <w:rPr>
          <w:rFonts w:ascii="Times New Roman" w:cs="Times New Roman" w:eastAsia="Times New Roman" w:hAnsi="Times New Roman"/>
          <w:sz w:val="14"/>
          <w:szCs w:val="14"/>
          <w:color w:val="auto"/>
        </w:rPr>
      </w:pPr>
    </w:p>
    <w:p>
      <w:pPr>
        <w:ind w:left="1840" w:right="1379" w:hanging="342"/>
        <w:spacing w:after="0" w:line="293"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trial results may not meet the level of statistical significance required by the FDA or other regulatory authorities;</w:t>
      </w:r>
    </w:p>
    <w:p>
      <w:pPr>
        <w:spacing w:after="0" w:line="37" w:lineRule="exact"/>
        <w:rPr>
          <w:rFonts w:ascii="Times New Roman" w:cs="Times New Roman" w:eastAsia="Times New Roman" w:hAnsi="Times New Roman"/>
          <w:sz w:val="14"/>
          <w:szCs w:val="14"/>
          <w:color w:val="auto"/>
        </w:rPr>
      </w:pPr>
    </w:p>
    <w:p>
      <w:pPr>
        <w:ind w:left="1840" w:right="1579" w:hanging="342"/>
        <w:spacing w:after="0" w:line="293"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find that one or more of our products is not sufficiently safe for investigational use in humans;</w:t>
      </w:r>
    </w:p>
    <w:p>
      <w:pPr>
        <w:spacing w:after="0" w:line="37" w:lineRule="exact"/>
        <w:rPr>
          <w:rFonts w:ascii="Times New Roman" w:cs="Times New Roman" w:eastAsia="Times New Roman" w:hAnsi="Times New Roman"/>
          <w:sz w:val="14"/>
          <w:szCs w:val="14"/>
          <w:color w:val="auto"/>
        </w:rPr>
      </w:pPr>
    </w:p>
    <w:p>
      <w:pPr>
        <w:ind w:left="1840" w:right="1219" w:hanging="342"/>
        <w:spacing w:after="0" w:line="293"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interpret data from preclinical testing and clinical trials in different ways than we do;</w:t>
      </w:r>
    </w:p>
    <w:p>
      <w:pPr>
        <w:spacing w:after="0" w:line="37" w:lineRule="exact"/>
        <w:rPr>
          <w:rFonts w:ascii="Times New Roman" w:cs="Times New Roman" w:eastAsia="Times New Roman" w:hAnsi="Times New Roman"/>
          <w:sz w:val="14"/>
          <w:szCs w:val="14"/>
          <w:color w:val="auto"/>
        </w:rPr>
      </w:pPr>
    </w:p>
    <w:p>
      <w:pPr>
        <w:ind w:left="1840" w:right="1179" w:hanging="342"/>
        <w:spacing w:after="0" w:line="293"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delays or failure in obtaining approval of our clinical trial protocols from the FDA or other regulatory authorities;</w:t>
      </w:r>
    </w:p>
    <w:p>
      <w:pPr>
        <w:spacing w:after="0" w:line="37" w:lineRule="exact"/>
        <w:rPr>
          <w:rFonts w:ascii="Times New Roman" w:cs="Times New Roman" w:eastAsia="Times New Roman" w:hAnsi="Times New Roman"/>
          <w:sz w:val="14"/>
          <w:szCs w:val="14"/>
          <w:color w:val="auto"/>
        </w:rPr>
      </w:pPr>
    </w:p>
    <w:p>
      <w:pPr>
        <w:ind w:left="1840" w:right="1479" w:hanging="342"/>
        <w:spacing w:after="0" w:line="293"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may be delays in obtaining institutional review board approvals or governmental approvals to conduct clinical trials at prospective sites;</w:t>
      </w:r>
    </w:p>
    <w:p>
      <w:pPr>
        <w:spacing w:after="0" w:line="37" w:lineRule="exact"/>
        <w:rPr>
          <w:rFonts w:ascii="Times New Roman" w:cs="Times New Roman" w:eastAsia="Times New Roman" w:hAnsi="Times New Roman"/>
          <w:sz w:val="14"/>
          <w:szCs w:val="14"/>
          <w:color w:val="auto"/>
        </w:rPr>
      </w:pPr>
    </w:p>
    <w:p>
      <w:pPr>
        <w:ind w:left="1840" w:right="1739" w:hanging="342"/>
        <w:spacing w:after="0" w:line="293"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find our or our suppliers’ manufacturing processes or facilities unsatisfactory;</w:t>
      </w:r>
    </w:p>
    <w:p>
      <w:pPr>
        <w:spacing w:after="0" w:line="37" w:lineRule="exact"/>
        <w:rPr>
          <w:rFonts w:ascii="Times New Roman" w:cs="Times New Roman" w:eastAsia="Times New Roman" w:hAnsi="Times New Roman"/>
          <w:sz w:val="14"/>
          <w:szCs w:val="14"/>
          <w:color w:val="auto"/>
        </w:rPr>
      </w:pPr>
    </w:p>
    <w:p>
      <w:pPr>
        <w:jc w:val="both"/>
        <w:ind w:left="1840" w:right="1639" w:hanging="342"/>
        <w:spacing w:after="0" w:line="275"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similar foreign regulatory authorities may change their review policies or adopt new regulations that may negatively affect or delay our ability to bring a product to market or receive approvals or clearances to treat new indications;</w:t>
      </w:r>
    </w:p>
    <w:p>
      <w:pPr>
        <w:spacing w:after="0" w:line="49"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trouble in managing multiple clinical sites;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have trouble finding patients to enroll in our trials;</w:t>
      </w:r>
    </w:p>
    <w:p>
      <w:pPr>
        <w:spacing w:after="0" w:line="97" w:lineRule="exact"/>
        <w:rPr>
          <w:rFonts w:ascii="Times New Roman" w:cs="Times New Roman" w:eastAsia="Times New Roman" w:hAnsi="Times New Roman"/>
          <w:sz w:val="14"/>
          <w:szCs w:val="14"/>
          <w:color w:val="auto"/>
        </w:rPr>
      </w:pPr>
    </w:p>
    <w:p>
      <w:pPr>
        <w:ind w:left="1840" w:right="1299" w:hanging="342"/>
        <w:spacing w:after="0" w:line="293"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delays in agreeing on acceptable terms with third-party research organizations and trial sites that may help us conduct the clinical trials; and</w:t>
      </w:r>
    </w:p>
    <w:p>
      <w:pPr>
        <w:spacing w:after="0" w:line="37" w:lineRule="exact"/>
        <w:rPr>
          <w:rFonts w:ascii="Times New Roman" w:cs="Times New Roman" w:eastAsia="Times New Roman" w:hAnsi="Times New Roman"/>
          <w:sz w:val="14"/>
          <w:szCs w:val="14"/>
          <w:color w:val="auto"/>
        </w:rPr>
      </w:pPr>
    </w:p>
    <w:p>
      <w:pPr>
        <w:ind w:left="1840" w:right="1499" w:hanging="342"/>
        <w:spacing w:after="0" w:line="293" w:lineRule="auto"/>
        <w:tabs>
          <w:tab w:leader="none" w:pos="1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regulators, may suspend or terminate our clinical trials because the participating patients are being exposed to unacceptable health risks.</w:t>
      </w:r>
    </w:p>
    <w:p>
      <w:pPr>
        <w:spacing w:after="0" w:line="37" w:lineRule="exact"/>
        <w:rPr>
          <w:sz w:val="20"/>
          <w:szCs w:val="20"/>
          <w:color w:val="auto"/>
        </w:rPr>
      </w:pPr>
    </w:p>
    <w:p>
      <w:pPr>
        <w:jc w:val="both"/>
        <w:ind w:left="1140" w:right="1399" w:firstLine="258"/>
        <w:spacing w:after="0" w:line="275" w:lineRule="auto"/>
        <w:rPr>
          <w:sz w:val="20"/>
          <w:szCs w:val="20"/>
          <w:color w:val="auto"/>
        </w:rPr>
      </w:pPr>
      <w:r>
        <w:rPr>
          <w:rFonts w:ascii="Times New Roman" w:cs="Times New Roman" w:eastAsia="Times New Roman" w:hAnsi="Times New Roman"/>
          <w:sz w:val="14"/>
          <w:szCs w:val="14"/>
          <w:color w:val="auto"/>
        </w:rPr>
        <w:t>Failures or perceived failures in our clinical trials will delay and may prevent our product development and regulatory approval process, damage our business prospects and negatively affect our reputation and competitive position.</w:t>
      </w:r>
    </w:p>
    <w:p>
      <w:pPr>
        <w:spacing w:after="0" w:line="3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45" w:name="page46"/>
    <w:bookmarkEnd w:id="45"/>
    <w:p>
      <w:pPr>
        <w:ind w:left="1140" w:right="139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Unauthorized third parties may seek to access our devices or other products and services, or related devices, products, and services, and modify or use them in a way inconsistent with our FDA clearances and approvals, which may create risks to users.</w:t>
      </w:r>
    </w:p>
    <w:p>
      <w:pPr>
        <w:spacing w:after="0" w:line="47" w:lineRule="exact"/>
        <w:rPr>
          <w:sz w:val="20"/>
          <w:szCs w:val="20"/>
          <w:color w:val="auto"/>
        </w:rPr>
      </w:pPr>
    </w:p>
    <w:p>
      <w:pPr>
        <w:ind w:left="1140" w:right="1199" w:firstLine="258"/>
        <w:spacing w:after="0" w:line="261" w:lineRule="auto"/>
        <w:rPr>
          <w:sz w:val="20"/>
          <w:szCs w:val="20"/>
          <w:color w:val="auto"/>
        </w:rPr>
      </w:pPr>
      <w:r>
        <w:rPr>
          <w:rFonts w:ascii="Times New Roman" w:cs="Times New Roman" w:eastAsia="Times New Roman" w:hAnsi="Times New Roman"/>
          <w:sz w:val="14"/>
          <w:szCs w:val="14"/>
          <w:color w:val="auto"/>
        </w:rPr>
        <w:t>Medical devices are increasingly connected to the internet, hospital networks, and other medical devices to provide features that improve healthcare and increase the ability of healthcare providers to treat patients and patients to manage their conditions. While currently bidirectional connectivity and interoperability of our RxSight system with other devices, local networks and the internet is not enabled, this may change in the future. Enablement of such features may increase cybersecurity risks and the risks of unauthorized access and use by third parties. For example, unauthorized third parties may seek to access our devices or other products and services, or related devices, products, and services, and modify or use them in a way inconsistent with our FDA clearances and approvals, which may create risks to users and potential exposure to the company.</w:t>
      </w:r>
    </w:p>
    <w:p>
      <w:pPr>
        <w:spacing w:after="0" w:line="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a significant disruption in our information technology systems or breaches of data security.</w:t>
      </w:r>
    </w:p>
    <w:p>
      <w:pPr>
        <w:spacing w:after="0" w:line="101"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color w:val="auto"/>
        </w:rPr>
        <w:t>We rely upon the capacity, reliability and security of our information technology infrastructure and our ability to expand and continually update this infrastructure in response to our business needs. In some cases, we rely upon third-party hosting and support services to meet these needs. The internet has experienced increasingly sophisticated and damaging threats in the form of phishing emails, malware, malicious websites, ransomware, exploitation of application vulnerabilities, and nation-state attacks. It is also becoming more common for these attacks to leverage previously unknown vulnerabilities. The growing and evolving cyber-risk environment means that individuals, companies, and organizations of all sizes, including ourselves, our customers, suppliers and our hosting and support partners, are increasingly vulnerable to attacks and disruptions on their networks and systems by a wide range of actors on an ongoing and regular basis.</w:t>
      </w:r>
    </w:p>
    <w:p>
      <w:pPr>
        <w:spacing w:after="0" w:line="60"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For example, as previously disclosed, on May 2, 2024, an unauthorized actor targeted the personal cell phone number of an RxSight employee. On May 3, 2024, the unauthorized actor obtained unauthorized access to the employee’s cloud-based work account and to e-mails and files that were accessible from that account. We discovered the incident on the same day, May 3, 2024, promptly disabled the employee’s account, initiated response and investigation procedures, contacted our insurance provider, and retained external cybersecurity experts to assist in our response and investigation. While the unauthorized actor accessed and acquired copies of e-mail messages and other materials that were accessible from the employee’s cloud-based work account, our information systems were never interrupted and remained operational during this unauthorized access, and we have not observed any aspect of this incident will have a material impact on our operations, financial systems, or financial condition. However, there can be no assurance as to whether the incident will have a future material impact on our operations, financial systems, or financial condition and we remain subject to various risks due to the incident.</w:t>
      </w:r>
    </w:p>
    <w:p>
      <w:pPr>
        <w:spacing w:after="0" w:line="61" w:lineRule="exact"/>
        <w:rPr>
          <w:sz w:val="20"/>
          <w:szCs w:val="20"/>
          <w:color w:val="auto"/>
        </w:rPr>
      </w:pPr>
    </w:p>
    <w:p>
      <w:pPr>
        <w:ind w:left="1140" w:right="1179" w:firstLine="258"/>
        <w:spacing w:after="0" w:line="258" w:lineRule="auto"/>
        <w:rPr>
          <w:sz w:val="20"/>
          <w:szCs w:val="20"/>
          <w:color w:val="auto"/>
        </w:rPr>
      </w:pPr>
      <w:r>
        <w:rPr>
          <w:rFonts w:ascii="Times New Roman" w:cs="Times New Roman" w:eastAsia="Times New Roman" w:hAnsi="Times New Roman"/>
          <w:sz w:val="14"/>
          <w:szCs w:val="14"/>
          <w:color w:val="auto"/>
        </w:rPr>
        <w:t>We maintain information security tools and technologies, staff, policies and procedures for managing risk to our networks and information systems, and conduct employee training on cybersecurity designed to mitigate persistent and continuously evolving cybersecurity threats. Our network security controls are comprised of administrative, physical and technical controls, which include, but are not limited to, the implementation of firewalls, anti-virus protection, patches, log monitors, routine backups, off-site storage, network audits and other routine updates and modifications. We also routinely monitor and develop our internal information technology systems to address risks to our information systems. Any system failure, accident or security breach could result in disruptions to our business processes, network degradation, and system down time, along with the potential that a third-party will gain unauthorized access to, or acquire intellectual property, proprietary business information, and data related to our employees, customers, suppliers, and business partners, including personal data. To the extent that any disruption, degradation, downtime or other security event results in a loss or damage to our data or systems, or in inappropriate disclosure of confidential or personal data, it could adversely impact us and our customers, potentially resulting in, among other things, financial losses, loss of customers or business, our inability to transact business, adverse impact on our reputation, violations of applicable privacy, data protection, security and other laws, regulatory fines, penalties, litigation, reputational damage, reimbursement, or additional compliance and regulatory costs. We may also incur additional costs related to cybersecurity risk management and remediation. There can be no assurance that we or our service providers, if applicable, will not suffer losses relating to cyber-attacks or security breaches or incidents in the future or that our insurance coverage will be adequate to cover all the costs resulting from such events. No assurances can be given that our efforts to reduce the risk of such attacks or to detect attacks that occur will be successful and our failure to do so could have a material adverse effect on our business, financial condition and results of operations.</w:t>
      </w:r>
    </w:p>
    <w:p>
      <w:pPr>
        <w:spacing w:after="0" w:line="200" w:lineRule="exact"/>
        <w:rPr>
          <w:sz w:val="20"/>
          <w:szCs w:val="20"/>
          <w:color w:val="auto"/>
        </w:rPr>
      </w:pPr>
    </w:p>
    <w:p>
      <w:pPr>
        <w:spacing w:after="0" w:line="3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46" w:name="page47"/>
    <w:bookmarkEnd w:id="46"/>
    <w:p>
      <w:pPr>
        <w:ind w:left="1140" w:right="16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may expend our limited resources to pursue a particular product or indication and fail to capitalize on products or indications that may be more profitable or for which there is a greater likelihood of success.</w:t>
      </w:r>
    </w:p>
    <w:p>
      <w:pPr>
        <w:spacing w:after="0" w:line="33" w:lineRule="exact"/>
        <w:rPr>
          <w:sz w:val="20"/>
          <w:szCs w:val="20"/>
          <w:color w:val="auto"/>
        </w:rPr>
      </w:pPr>
    </w:p>
    <w:p>
      <w:pPr>
        <w:ind w:left="1140" w:right="1199" w:firstLine="258"/>
        <w:spacing w:after="0" w:line="261" w:lineRule="auto"/>
        <w:rPr>
          <w:sz w:val="20"/>
          <w:szCs w:val="20"/>
          <w:color w:val="auto"/>
        </w:rPr>
      </w:pPr>
      <w:r>
        <w:rPr>
          <w:rFonts w:ascii="Times New Roman" w:cs="Times New Roman" w:eastAsia="Times New Roman" w:hAnsi="Times New Roman"/>
          <w:sz w:val="14"/>
          <w:szCs w:val="14"/>
          <w:color w:val="auto"/>
        </w:rPr>
        <w:t>Because we have limited financial and managerial resources, we focus on specific products and indications. As a result, we may forgo or delay pursuit of other opportunities with others that could have had greater commercial potential. Our resource allocation decisions may cause us to fail to capitalize on viable commercial products or profitable market opportunities. Our spending on current and future research and development programs for specific indications or enhancements may not yield any commercially viable products. If we do not accurately evaluate the commercial potential or target market for a particular potential product, we may relinquish valuable rights to that potential product through future collaborations, licenses and other similar arrangements in cases in which it would have been more advantageous for us to retain sole development and commercialization rights to such potential product.</w:t>
      </w:r>
    </w:p>
    <w:p>
      <w:pPr>
        <w:spacing w:after="0" w:line="56" w:lineRule="exact"/>
        <w:rPr>
          <w:sz w:val="20"/>
          <w:szCs w:val="20"/>
          <w:color w:val="auto"/>
        </w:rPr>
      </w:pPr>
    </w:p>
    <w:p>
      <w:pPr>
        <w:jc w:val="both"/>
        <w:ind w:left="1140" w:right="1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develop, license or acquire new products, enhance the capabilities of our existing products to keep pace with rapidly changing technology and customer requirements or successfully manage the transition to new product offerings, any of which could have a material adverse effect on our business, financial condition and results of operations.</w:t>
      </w:r>
    </w:p>
    <w:p>
      <w:pPr>
        <w:spacing w:after="0" w:line="54" w:lineRule="exact"/>
        <w:rPr>
          <w:sz w:val="20"/>
          <w:szCs w:val="20"/>
          <w:color w:val="auto"/>
        </w:rPr>
      </w:pPr>
    </w:p>
    <w:p>
      <w:pPr>
        <w:ind w:left="1140" w:right="1239" w:firstLine="258"/>
        <w:spacing w:after="0" w:line="261" w:lineRule="auto"/>
        <w:rPr>
          <w:sz w:val="20"/>
          <w:szCs w:val="20"/>
          <w:color w:val="auto"/>
        </w:rPr>
      </w:pPr>
      <w:r>
        <w:rPr>
          <w:rFonts w:ascii="Times New Roman" w:cs="Times New Roman" w:eastAsia="Times New Roman" w:hAnsi="Times New Roman"/>
          <w:sz w:val="14"/>
          <w:szCs w:val="14"/>
          <w:color w:val="auto"/>
        </w:rPr>
        <w:t>Our success depends on our ability to develop, license or acquire and commercialize additional products and to develop new applications for our technologies in existing and new markets, while improving the performance and cost-effectiveness of our existing products, in each case in ways that address current and anticipated customer requirements. We intend to develop and commercialize additional products through our research and development program and by licensing or acquiring additional products and technologies from third parties. Our success is dependent upon several factors, including functionality, competitive pricing, ease of use, the safety and efficacy of our products and our ability to identify, select and acquire the rights to products and technologies on terms that are acceptable to us.</w:t>
      </w:r>
    </w:p>
    <w:p>
      <w:pPr>
        <w:spacing w:after="0" w:line="63" w:lineRule="exact"/>
        <w:rPr>
          <w:sz w:val="20"/>
          <w:szCs w:val="20"/>
          <w:color w:val="auto"/>
        </w:rPr>
      </w:pPr>
    </w:p>
    <w:p>
      <w:pPr>
        <w:ind w:left="1140" w:right="1199" w:firstLine="258"/>
        <w:spacing w:after="0" w:line="258" w:lineRule="auto"/>
        <w:rPr>
          <w:sz w:val="20"/>
          <w:szCs w:val="20"/>
          <w:color w:val="auto"/>
        </w:rPr>
      </w:pPr>
      <w:r>
        <w:rPr>
          <w:rFonts w:ascii="Times New Roman" w:cs="Times New Roman" w:eastAsia="Times New Roman" w:hAnsi="Times New Roman"/>
          <w:sz w:val="14"/>
          <w:szCs w:val="14"/>
          <w:color w:val="auto"/>
        </w:rPr>
        <w:t>The medical device industry is characterized by rapid technological change and innovation. New technologies, techniques or products could emerge that might offer better combinations of price and performance or better address customer requirements as compared to our current or future products. Competitors, who may have greater financial, marketing and sales resources than we do, may be able to respond more quickly and effectively than we can to new or changing opportunities, technologies, standards or customer requirements. Any new product we identify for internal development, licensing or acquisition may require additional development efforts prior to commercial sale, including extensive clinical testing and approval or clearance by the FDA and applicable foreign regulatory authorities. Due to the significant lead time and complexity involved in bringing a new product to market, we are required to make a number of assumptions and estimates regarding the commercial feasibility of a new product. These assumptions and estimates may prove incorrect, resulting in our introduction of a product that is not competitive at the time of launch. We anticipate that we will face increased competition in the future as existing companies and competitors develop new or improved products and as new companies enter the market with new technologies. Our ability to mitigate downward pressure on our selling prices will be dependent upon our ability to maintain or increase the value we offer to doctors as well as payors. All new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 The expenses or losses associated with unsuccessful product development or launch activities, or a lack of market acceptance of our new products, could adversely affect our business, financial condition and results of operations.</w:t>
      </w:r>
    </w:p>
    <w:p>
      <w:pPr>
        <w:spacing w:after="0" w:line="68" w:lineRule="exact"/>
        <w:rPr>
          <w:sz w:val="20"/>
          <w:szCs w:val="20"/>
          <w:color w:val="auto"/>
        </w:rPr>
      </w:pPr>
    </w:p>
    <w:p>
      <w:pPr>
        <w:ind w:left="1140" w:right="1179" w:firstLine="258"/>
        <w:spacing w:after="0" w:line="262" w:lineRule="auto"/>
        <w:rPr>
          <w:sz w:val="20"/>
          <w:szCs w:val="20"/>
          <w:color w:val="auto"/>
        </w:rPr>
      </w:pPr>
      <w:r>
        <w:rPr>
          <w:rFonts w:ascii="Times New Roman" w:cs="Times New Roman" w:eastAsia="Times New Roman" w:hAnsi="Times New Roman"/>
          <w:sz w:val="14"/>
          <w:szCs w:val="14"/>
          <w:color w:val="auto"/>
        </w:rPr>
        <w:t>Our ability to attract new customer accounts depends in large part on our ability to enhance and improve our existing products and to introduce compelling new products. The success of any enhancement to our products depends on several factors, including adoption and continued use by doctors, competitive pricing and overall market acceptance. Any new product that we develop may not be introduced in a timely or cost-effective manner, may contain defects or may not achieve the market acceptance necessary to generate significant revenue. If we are unable to successfully develop, license or acquire new products, enhance our existing products to meet customer requirements or otherwise gain market acceptance, our business, financial condition and results of operations would be harmed.</w:t>
      </w:r>
    </w:p>
    <w:p>
      <w:pPr>
        <w:spacing w:after="0" w:line="233" w:lineRule="exact"/>
        <w:rPr>
          <w:sz w:val="20"/>
          <w:szCs w:val="20"/>
          <w:color w:val="auto"/>
        </w:rPr>
      </w:pPr>
    </w:p>
    <w:p>
      <w:pPr>
        <w:ind w:left="1140" w:right="1179" w:firstLine="258"/>
        <w:spacing w:after="0" w:line="293" w:lineRule="auto"/>
        <w:rPr>
          <w:sz w:val="20"/>
          <w:szCs w:val="20"/>
          <w:color w:val="auto"/>
        </w:rPr>
      </w:pPr>
      <w:r>
        <w:rPr>
          <w:rFonts w:ascii="Times New Roman" w:cs="Times New Roman" w:eastAsia="Times New Roman" w:hAnsi="Times New Roman"/>
          <w:sz w:val="14"/>
          <w:szCs w:val="14"/>
          <w:color w:val="auto"/>
        </w:rPr>
        <w:t>The typical development cycle of new medical device products can be lengthy and complicated and may require complex technology and engineering. Such developments may involve external suppliers and service providers,</w:t>
      </w:r>
    </w:p>
    <w:p>
      <w:pPr>
        <w:spacing w:after="0" w:line="3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47" w:name="page48"/>
    <w:bookmarkEnd w:id="47"/>
    <w:p>
      <w:pPr>
        <w:ind w:left="1140" w:right="1199"/>
        <w:spacing w:after="0" w:line="265" w:lineRule="auto"/>
        <w:rPr>
          <w:sz w:val="20"/>
          <w:szCs w:val="20"/>
          <w:color w:val="auto"/>
        </w:rPr>
      </w:pPr>
      <w:r>
        <w:rPr>
          <w:rFonts w:ascii="Times New Roman" w:cs="Times New Roman" w:eastAsia="Times New Roman" w:hAnsi="Times New Roman"/>
          <w:sz w:val="14"/>
          <w:szCs w:val="14"/>
          <w:color w:val="auto"/>
        </w:rPr>
        <w:t>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and our business and operating results may be harmed.</w:t>
      </w:r>
    </w:p>
    <w:p>
      <w:pPr>
        <w:spacing w:after="0" w:line="5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If we fail to identify, acquire and develop other products, we may be unable to grow our business.</w:t>
      </w:r>
    </w:p>
    <w:p>
      <w:pPr>
        <w:spacing w:after="0" w:line="97" w:lineRule="exact"/>
        <w:rPr>
          <w:sz w:val="20"/>
          <w:szCs w:val="20"/>
          <w:color w:val="auto"/>
        </w:rPr>
      </w:pPr>
    </w:p>
    <w:p>
      <w:pPr>
        <w:ind w:left="1140" w:right="1379" w:firstLine="258"/>
        <w:spacing w:after="0" w:line="268" w:lineRule="auto"/>
        <w:rPr>
          <w:sz w:val="20"/>
          <w:szCs w:val="20"/>
          <w:color w:val="auto"/>
        </w:rPr>
      </w:pPr>
      <w:r>
        <w:rPr>
          <w:rFonts w:ascii="Times New Roman" w:cs="Times New Roman" w:eastAsia="Times New Roman" w:hAnsi="Times New Roman"/>
          <w:sz w:val="14"/>
          <w:szCs w:val="14"/>
          <w:color w:val="auto"/>
        </w:rPr>
        <w:t>As a significant part of our growth strategy, we intend to develop and commercialize additional products through our research and development program or by licensing or acquiring additional products and technologies from third parties. The success of this strategy depends upon our ability to identify, select and acquire the right to products and technologies on terms that are acceptable to us.</w:t>
      </w:r>
    </w:p>
    <w:p>
      <w:pPr>
        <w:spacing w:after="0" w:line="56" w:lineRule="exact"/>
        <w:rPr>
          <w:sz w:val="20"/>
          <w:szCs w:val="20"/>
          <w:color w:val="auto"/>
        </w:rPr>
      </w:pPr>
    </w:p>
    <w:p>
      <w:pPr>
        <w:ind w:left="1140" w:right="1259" w:firstLine="258"/>
        <w:spacing w:after="0" w:line="264" w:lineRule="auto"/>
        <w:rPr>
          <w:sz w:val="20"/>
          <w:szCs w:val="20"/>
          <w:color w:val="auto"/>
        </w:rPr>
      </w:pPr>
      <w:r>
        <w:rPr>
          <w:rFonts w:ascii="Times New Roman" w:cs="Times New Roman" w:eastAsia="Times New Roman" w:hAnsi="Times New Roman"/>
          <w:sz w:val="14"/>
          <w:szCs w:val="14"/>
          <w:color w:val="auto"/>
        </w:rPr>
        <w:t>Any product we identify, license or acquire may require additional development efforts prior to commercial sale, including extensive clinical testing and approval or clearance by the FDA and applicable foreign regulatory authorities. All products are prone to the risks of failure inherent in medical device product development, including the possibility that the product will not be shown to be sufficiently safe and effective for approval or clearance by regulatory authorities. In addition, we cannot assure you that any such products that are approved or cleared will be manufactured or produced economically, successfully commercialized or widely accepted in the marketplace.</w:t>
      </w:r>
    </w:p>
    <w:p>
      <w:pPr>
        <w:spacing w:after="0" w:line="56" w:lineRule="exact"/>
        <w:rPr>
          <w:sz w:val="20"/>
          <w:szCs w:val="20"/>
          <w:color w:val="auto"/>
        </w:rPr>
      </w:pPr>
    </w:p>
    <w:p>
      <w:pPr>
        <w:ind w:left="1140" w:right="1179" w:firstLine="258"/>
        <w:spacing w:after="0" w:line="265" w:lineRule="auto"/>
        <w:rPr>
          <w:sz w:val="20"/>
          <w:szCs w:val="20"/>
          <w:color w:val="auto"/>
        </w:rPr>
      </w:pPr>
      <w:r>
        <w:rPr>
          <w:rFonts w:ascii="Times New Roman" w:cs="Times New Roman" w:eastAsia="Times New Roman" w:hAnsi="Times New Roman"/>
          <w:sz w:val="14"/>
          <w:szCs w:val="14"/>
          <w:color w:val="auto"/>
        </w:rPr>
        <w:t>Proposing, negotiating and implementing an economically viable product or technology acquisition or license is a lengthy and complex process. Other companies, including those with substantially greater financial, marketing and sales resources, may compete with us for the acquisition or license of approved or cleared products. We may not be able to acquire or license the rights to additional approved or cleared products on terms that we find acceptable, or at all.</w:t>
      </w:r>
    </w:p>
    <w:p>
      <w:pPr>
        <w:spacing w:after="0" w:line="58" w:lineRule="exact"/>
        <w:rPr>
          <w:sz w:val="20"/>
          <w:szCs w:val="20"/>
          <w:color w:val="auto"/>
        </w:rPr>
      </w:pPr>
    </w:p>
    <w:p>
      <w:pPr>
        <w:ind w:left="1140" w:right="1179" w:firstLine="258"/>
        <w:spacing w:after="0" w:line="286" w:lineRule="auto"/>
        <w:rPr>
          <w:sz w:val="20"/>
          <w:szCs w:val="20"/>
          <w:color w:val="auto"/>
        </w:rPr>
      </w:pPr>
      <w:r>
        <w:rPr>
          <w:rFonts w:ascii="Times New Roman" w:cs="Times New Roman" w:eastAsia="Times New Roman" w:hAnsi="Times New Roman"/>
          <w:sz w:val="14"/>
          <w:szCs w:val="14"/>
          <w:color w:val="auto"/>
        </w:rPr>
        <w:t>If we are unable to develop suitable potential products through internal research programs or by obtaining rights from third parties, it could have a material adverse effect on our business, financial condition and results of operations.</w:t>
      </w:r>
    </w:p>
    <w:p>
      <w:pPr>
        <w:spacing w:after="0" w:line="215" w:lineRule="exact"/>
        <w:rPr>
          <w:sz w:val="20"/>
          <w:szCs w:val="20"/>
          <w:color w:val="auto"/>
        </w:rPr>
      </w:pPr>
    </w:p>
    <w:p>
      <w:pPr>
        <w:ind w:left="1140" w:right="117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may acquire other companies or technologies, which could fail to result in a commercial product or increased revenue, divert our management’s attention, result in additional dilution to our stockholders and otherwise disrupt our operations and harm our operating results.</w:t>
      </w:r>
    </w:p>
    <w:p>
      <w:pPr>
        <w:spacing w:after="0" w:line="47" w:lineRule="exact"/>
        <w:rPr>
          <w:sz w:val="20"/>
          <w:szCs w:val="20"/>
          <w:color w:val="auto"/>
        </w:rPr>
      </w:pPr>
    </w:p>
    <w:p>
      <w:pPr>
        <w:ind w:left="1140" w:right="1199" w:firstLine="258"/>
        <w:spacing w:after="0" w:line="261" w:lineRule="auto"/>
        <w:rPr>
          <w:sz w:val="20"/>
          <w:szCs w:val="20"/>
          <w:color w:val="auto"/>
        </w:rPr>
      </w:pPr>
      <w:r>
        <w:rPr>
          <w:rFonts w:ascii="Times New Roman" w:cs="Times New Roman" w:eastAsia="Times New Roman" w:hAnsi="Times New Roman"/>
          <w:sz w:val="14"/>
          <w:szCs w:val="14"/>
          <w:color w:val="auto"/>
        </w:rPr>
        <w:t>Although we currently have no agreements or commitments to complete any such transactions, we may in the future seek to acquire or invest in businesses, applications or technologies that we believe could complement or expand our portfolio, enhance our technical capabilities or otherwise offer growth opportunities. However, we cannot assure you that we would be able to successfully complete any acquisition we choose to pursue, or that we would be able to successfully integrate any acquired business, product or technology in a cost-effective and non-disruptive manner. The pursuit of potential acquisitions may divert the attention of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60" w:lineRule="exact"/>
        <w:rPr>
          <w:sz w:val="20"/>
          <w:szCs w:val="20"/>
          <w:color w:val="auto"/>
        </w:rPr>
      </w:pPr>
    </w:p>
    <w:p>
      <w:pPr>
        <w:ind w:left="1140" w:right="1279" w:firstLine="258"/>
        <w:spacing w:after="0" w:line="264" w:lineRule="auto"/>
        <w:rPr>
          <w:sz w:val="20"/>
          <w:szCs w:val="20"/>
          <w:color w:val="auto"/>
        </w:rPr>
      </w:pPr>
      <w:r>
        <w:rPr>
          <w:rFonts w:ascii="Times New Roman" w:cs="Times New Roman" w:eastAsia="Times New Roman" w:hAnsi="Times New Roman"/>
          <w:sz w:val="14"/>
          <w:szCs w:val="14"/>
          <w:color w:val="auto"/>
        </w:rPr>
        <w:t>To date, the growth of our operations has been largely organic, and we have limited experience in acquiring other businesses or technologies. We may not be able to successfully integrate any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52" w:lineRule="exact"/>
        <w:rPr>
          <w:sz w:val="20"/>
          <w:szCs w:val="20"/>
          <w:color w:val="auto"/>
        </w:rPr>
      </w:pPr>
    </w:p>
    <w:p>
      <w:pPr>
        <w:ind w:left="1140" w:right="121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Coverage and adequate reimbursement and/or the ability of patients to pay for the difference between the price charged by practices and the reimbursement amount may not be available for our products in sufficient markets, which could diminish our sales or affect our ability to sell our products.</w:t>
      </w:r>
    </w:p>
    <w:p>
      <w:pPr>
        <w:spacing w:after="0" w:line="47" w:lineRule="exact"/>
        <w:rPr>
          <w:sz w:val="20"/>
          <w:szCs w:val="20"/>
          <w:color w:val="auto"/>
        </w:rPr>
      </w:pPr>
    </w:p>
    <w:p>
      <w:pPr>
        <w:ind w:left="1140" w:right="1219" w:firstLine="258"/>
        <w:spacing w:after="0" w:line="264" w:lineRule="auto"/>
        <w:rPr>
          <w:sz w:val="20"/>
          <w:szCs w:val="20"/>
          <w:color w:val="auto"/>
        </w:rPr>
      </w:pPr>
      <w:r>
        <w:rPr>
          <w:rFonts w:ascii="Times New Roman" w:cs="Times New Roman" w:eastAsia="Times New Roman" w:hAnsi="Times New Roman"/>
          <w:sz w:val="14"/>
          <w:szCs w:val="14"/>
          <w:color w:val="auto"/>
        </w:rPr>
        <w:t>In both U.S. and non-U.S. markets, our ability to successfully commercialize and achieve market acceptance of our products depends, in significant part, on the availability of adequate financial remuneration to doctor practices and surgical centers. This remuneration can come from a combination of sources, including third-party payors, such as Medicare and Medicaid programs in the United States, managed care organizations and private health insurers. Third-party payors decide which treatments they will cover and establish reimbursement rates for those treatments. They also can preclude patients from paying extra to receive additional services, such as those associated with</w:t>
      </w:r>
    </w:p>
    <w:p>
      <w:pPr>
        <w:spacing w:after="0" w:line="3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48" w:name="page49"/>
    <w:bookmarkEnd w:id="48"/>
    <w:p>
      <w:pPr>
        <w:ind w:left="1140" w:right="1259"/>
        <w:spacing w:after="0" w:line="261" w:lineRule="auto"/>
        <w:rPr>
          <w:sz w:val="20"/>
          <w:szCs w:val="20"/>
          <w:color w:val="auto"/>
        </w:rPr>
      </w:pPr>
      <w:r>
        <w:rPr>
          <w:rFonts w:ascii="Times New Roman" w:cs="Times New Roman" w:eastAsia="Times New Roman" w:hAnsi="Times New Roman"/>
          <w:sz w:val="14"/>
          <w:szCs w:val="14"/>
          <w:color w:val="auto"/>
        </w:rPr>
        <w:t>placement of premium IOLs. Our products are purchased by doctors who will then seek reimbursement from third-party payors and patients for the procedures performed using our products. Reimbursement systems and patient billing rules in international markets vary significantly by country and by region within some countries, and reimbursement and/or non-reimbursement approvals must be obtained on a country-by-country basis. In certain international markets, a product must be approved for reimbursement before it can be approved for sale in that country. Furthermore, many international markets have government-managed healthcare systems that control reimbursement for new devices and procedures, as well as the ability to charge patients directly for non-reimbursed devices and procedures. In most markets there are private insurance systems as well as government-managed systems.</w:t>
      </w:r>
    </w:p>
    <w:p>
      <w:pPr>
        <w:spacing w:after="0" w:line="60" w:lineRule="exact"/>
        <w:rPr>
          <w:sz w:val="20"/>
          <w:szCs w:val="20"/>
          <w:color w:val="auto"/>
        </w:rPr>
      </w:pPr>
    </w:p>
    <w:p>
      <w:pPr>
        <w:ind w:left="1140" w:right="1259" w:firstLine="258"/>
        <w:spacing w:after="0" w:line="262" w:lineRule="auto"/>
        <w:rPr>
          <w:sz w:val="20"/>
          <w:szCs w:val="20"/>
          <w:color w:val="auto"/>
        </w:rPr>
      </w:pPr>
      <w:r>
        <w:rPr>
          <w:rFonts w:ascii="Times New Roman" w:cs="Times New Roman" w:eastAsia="Times New Roman" w:hAnsi="Times New Roman"/>
          <w:sz w:val="14"/>
          <w:szCs w:val="14"/>
          <w:color w:val="auto"/>
        </w:rPr>
        <w:t>While third-party payors currently cover and provide reimbursement for a portion of the cost of the procedures performed using our currently cleared or approved products, we can give no assurance that these third-party payors will continue to provide coverage and adequate reimbursement or permit patient payment for the non-reimbursed portion sufficient to permit doctors to offer procedures using our products to patients requiring treatment. If sufficient coverage and reimbursement or flexibility to enable patient payment is not available for the procedures performed using our products, in either the United States or any international markets we enter, the demand for our products and our revenue will be adversely affected.</w:t>
      </w:r>
    </w:p>
    <w:p>
      <w:pPr>
        <w:spacing w:after="0" w:line="61" w:lineRule="exact"/>
        <w:rPr>
          <w:sz w:val="20"/>
          <w:szCs w:val="20"/>
          <w:color w:val="auto"/>
        </w:rPr>
      </w:pPr>
    </w:p>
    <w:p>
      <w:pPr>
        <w:ind w:left="1140" w:right="1319" w:firstLine="258"/>
        <w:spacing w:after="0" w:line="265" w:lineRule="auto"/>
        <w:rPr>
          <w:sz w:val="20"/>
          <w:szCs w:val="20"/>
          <w:color w:val="auto"/>
        </w:rPr>
      </w:pPr>
      <w:r>
        <w:rPr>
          <w:rFonts w:ascii="Times New Roman" w:cs="Times New Roman" w:eastAsia="Times New Roman" w:hAnsi="Times New Roman"/>
          <w:sz w:val="14"/>
          <w:szCs w:val="14"/>
          <w:color w:val="auto"/>
        </w:rPr>
        <w:t>Furthermore, the overall amount of reimbursement available for products and procedures intended to treat cataract and refractive conditions of the eye could remain at current levels or decrease in the future. Failure by doctors to obtain and maintain coverage and adequate reimbursement as well as patient charges for the procedures performed using our products would materially adversely affect our business, financial condition and results of operations.</w:t>
      </w:r>
    </w:p>
    <w:p>
      <w:pPr>
        <w:spacing w:after="0" w:line="58"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Third-party payors are also increasingly examining the cost effectiveness of products, in addition to their safety and efficacy, when making coverage and payment decisions. Third-party payors have also instituted initiatives to limit the growth of healthcare costs using, for example, price regulation or controls and competitive pricing programs. Some third-party payors also require demonstrated superiority, on the basis of randomized clinical trials, or pre-approval of coverage, for new or innovative devices or procedures before they will reimburse healthcare providers who use such devices or procedures. Additionally,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It is uncertain whether our current products or any planned or future products will be viewed (or continue to be viewed) as sufficiently cost effective to warrant coverage and adequate reimbursement levels for procedures using such products in any given jurisdiction.</w:t>
      </w:r>
    </w:p>
    <w:p>
      <w:pPr>
        <w:spacing w:after="0" w:line="229" w:lineRule="exact"/>
        <w:rPr>
          <w:sz w:val="20"/>
          <w:szCs w:val="20"/>
          <w:color w:val="auto"/>
        </w:rPr>
      </w:pPr>
    </w:p>
    <w:p>
      <w:pPr>
        <w:ind w:left="1140" w:right="137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47" w:lineRule="exact"/>
        <w:rPr>
          <w:sz w:val="20"/>
          <w:szCs w:val="20"/>
          <w:color w:val="auto"/>
        </w:rPr>
      </w:pPr>
    </w:p>
    <w:p>
      <w:pPr>
        <w:ind w:left="1140" w:right="1199" w:firstLine="258"/>
        <w:spacing w:after="0" w:line="261" w:lineRule="auto"/>
        <w:rPr>
          <w:sz w:val="20"/>
          <w:szCs w:val="20"/>
          <w:color w:val="auto"/>
        </w:rPr>
      </w:pPr>
      <w:r>
        <w:rPr>
          <w:rFonts w:ascii="Times New Roman" w:cs="Times New Roman" w:eastAsia="Times New Roman" w:hAnsi="Times New Roman"/>
          <w:sz w:val="14"/>
          <w:szCs w:val="14"/>
          <w:color w:val="auto"/>
        </w:rPr>
        <w:t>We face an inherent risk of product liability as a result of the marketing and sale of our products. For example, we may be sued if our products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of the patient. For example, we rely on doctors in connection with the use of our products on patients. If these doctors are not properly trained or are negligent, the capabilities of our products may be diminished, or the patient may suffer critical injury. We may also be subject to claims that are caused by the activities of our suppliers, such as those who provide us with components and sub-assemblies.</w:t>
      </w:r>
    </w:p>
    <w:p>
      <w:pPr>
        <w:spacing w:after="0" w:line="60" w:lineRule="exact"/>
        <w:rPr>
          <w:sz w:val="20"/>
          <w:szCs w:val="20"/>
          <w:color w:val="auto"/>
        </w:rPr>
      </w:pPr>
    </w:p>
    <w:p>
      <w:pPr>
        <w:jc w:val="both"/>
        <w:ind w:left="1140" w:right="1259" w:firstLine="258"/>
        <w:spacing w:after="0" w:line="275" w:lineRule="auto"/>
        <w:rPr>
          <w:sz w:val="20"/>
          <w:szCs w:val="20"/>
          <w:color w:val="auto"/>
        </w:rPr>
      </w:pPr>
      <w:r>
        <w:rPr>
          <w:rFonts w:ascii="Times New Roman" w:cs="Times New Roman" w:eastAsia="Times New Roman" w:hAnsi="Times New Roman"/>
          <w:sz w:val="14"/>
          <w:szCs w:val="14"/>
          <w:color w:val="auto"/>
        </w:rPr>
        <w:t>If we cannot successfully defend ourselves against product liability claims, we may incur substantial liabilities or be required to limit or halt commercialization of our products. Even successful defense would require significant financial and management resources. Regardless of the merits or eventual outcome, liability claims may result in:</w:t>
      </w:r>
    </w:p>
    <w:p>
      <w:pPr>
        <w:spacing w:after="0" w:line="49" w:lineRule="exact"/>
        <w:rPr>
          <w:sz w:val="20"/>
          <w:szCs w:val="20"/>
          <w:color w:val="auto"/>
        </w:rPr>
      </w:pPr>
    </w:p>
    <w:p>
      <w:pPr>
        <w:ind w:left="1840" w:hanging="342"/>
        <w:spacing w:after="0"/>
        <w:tabs>
          <w:tab w:leader="none" w:pos="1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our products;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initiation of investigations by regulators;</w:t>
      </w:r>
    </w:p>
    <w:p>
      <w:pPr>
        <w:spacing w:after="0" w:line="3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49" w:name="page50"/>
    <w:bookmarkEnd w:id="49"/>
    <w:p>
      <w:pPr>
        <w:ind w:left="1840" w:hanging="342"/>
        <w:spacing w:after="0"/>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defend the related litigation;</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diversion of management’s time and our resources;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to trial participants or patients;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withdrawals or labeling, marketing or promotional restrictions;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exhaustion of any available insurance and our capital resources; and</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market and sell our products.</w:t>
      </w:r>
    </w:p>
    <w:p>
      <w:pPr>
        <w:spacing w:after="0" w:line="97"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products we develop.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233" w:lineRule="exact"/>
        <w:rPr>
          <w:sz w:val="20"/>
          <w:szCs w:val="20"/>
          <w:color w:val="auto"/>
        </w:rPr>
      </w:pPr>
    </w:p>
    <w:p>
      <w:pPr>
        <w:ind w:left="1140" w:right="1199" w:firstLine="258"/>
        <w:spacing w:after="0" w:line="265" w:lineRule="auto"/>
        <w:rPr>
          <w:sz w:val="20"/>
          <w:szCs w:val="20"/>
          <w:color w:val="auto"/>
        </w:rPr>
      </w:pPr>
      <w:r>
        <w:rPr>
          <w:rFonts w:ascii="Times New Roman" w:cs="Times New Roman" w:eastAsia="Times New Roman" w:hAnsi="Times New Roman"/>
          <w:sz w:val="14"/>
          <w:szCs w:val="14"/>
          <w:color w:val="auto"/>
        </w:rPr>
        <w:t>Some of our customers and prospective customers may also have difficulty in procuring or maintaining liability insurance to cover their operations and use of our products. Medical malpractice carriers are withdrawing coverage in certain states or substantially increasing premiums. If this trend continues or worsens, our customers may discontinue using our products and potential customers may opt against purchasing our products due to the cost or inability to procure insurance coverage.</w:t>
      </w:r>
    </w:p>
    <w:p>
      <w:pPr>
        <w:spacing w:after="0" w:line="54" w:lineRule="exact"/>
        <w:rPr>
          <w:sz w:val="20"/>
          <w:szCs w:val="20"/>
          <w:color w:val="auto"/>
        </w:rPr>
      </w:pPr>
    </w:p>
    <w:p>
      <w:pPr>
        <w:ind w:left="1140" w:right="13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intend to expand sales of our products internationally in the future, but we may experience difficulties in obtaining regulatory clearance or approval or in successfully marketing our products internationally even if approved. A variety of risks associated with marketing our products internationally could materially adversely affect our business.</w:t>
      </w:r>
    </w:p>
    <w:p>
      <w:pPr>
        <w:spacing w:after="0" w:line="54" w:lineRule="exact"/>
        <w:rPr>
          <w:sz w:val="20"/>
          <w:szCs w:val="20"/>
          <w:color w:val="auto"/>
        </w:rPr>
      </w:pPr>
    </w:p>
    <w:p>
      <w:pPr>
        <w:jc w:val="both"/>
        <w:ind w:left="1140" w:right="1739" w:firstLine="258"/>
        <w:spacing w:after="0" w:line="275" w:lineRule="auto"/>
        <w:rPr>
          <w:sz w:val="20"/>
          <w:szCs w:val="20"/>
          <w:color w:val="auto"/>
        </w:rPr>
      </w:pPr>
      <w:r>
        <w:rPr>
          <w:rFonts w:ascii="Times New Roman" w:cs="Times New Roman" w:eastAsia="Times New Roman" w:hAnsi="Times New Roman"/>
          <w:sz w:val="14"/>
          <w:szCs w:val="14"/>
          <w:color w:val="auto"/>
        </w:rPr>
        <w:t>Sales of our products outside of the United States would be subject to foreign regulatory requirements governing clinical trials and marketing approval. We will incur substantial expenses in connection with our international expansion. Additional risks related to operating in foreign countries include:</w:t>
      </w:r>
    </w:p>
    <w:p>
      <w:pPr>
        <w:spacing w:after="0" w:line="49" w:lineRule="exact"/>
        <w:rPr>
          <w:sz w:val="20"/>
          <w:szCs w:val="20"/>
          <w:color w:val="auto"/>
        </w:rPr>
      </w:pPr>
    </w:p>
    <w:p>
      <w:pPr>
        <w:ind w:left="1840" w:right="1219" w:hanging="342"/>
        <w:spacing w:after="0" w:line="293" w:lineRule="auto"/>
        <w:tabs>
          <w:tab w:leader="none" w:pos="1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regulatory requirements and reimbursement regimes in foreign countries, including changes to regulatory requirements and implementation of new regulations in foreign countries;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compliance with non-U.S. laws and regulations;</w:t>
      </w:r>
    </w:p>
    <w:p>
      <w:pPr>
        <w:spacing w:after="0" w:line="97" w:lineRule="exact"/>
        <w:rPr>
          <w:rFonts w:ascii="Times New Roman" w:cs="Times New Roman" w:eastAsia="Times New Roman" w:hAnsi="Times New Roman"/>
          <w:sz w:val="14"/>
          <w:szCs w:val="14"/>
          <w:color w:val="auto"/>
        </w:rPr>
      </w:pPr>
    </w:p>
    <w:p>
      <w:pPr>
        <w:ind w:left="1840" w:right="1799" w:hanging="342"/>
        <w:spacing w:after="0" w:line="293" w:lineRule="auto"/>
        <w:tabs>
          <w:tab w:leader="none" w:pos="1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unexpected changes in tariffs, trade barriers, price and exchange controls and other regulatory requirements;</w:t>
      </w:r>
    </w:p>
    <w:p>
      <w:pPr>
        <w:spacing w:after="0" w:line="37" w:lineRule="exact"/>
        <w:rPr>
          <w:rFonts w:ascii="Times New Roman" w:cs="Times New Roman" w:eastAsia="Times New Roman" w:hAnsi="Times New Roman"/>
          <w:sz w:val="14"/>
          <w:szCs w:val="14"/>
          <w:color w:val="auto"/>
        </w:rPr>
      </w:pPr>
    </w:p>
    <w:p>
      <w:pPr>
        <w:ind w:left="1840" w:right="1299" w:hanging="342"/>
        <w:spacing w:after="0" w:line="293" w:lineRule="auto"/>
        <w:tabs>
          <w:tab w:leader="none" w:pos="1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 protection measures, import or export licensing requirements, or other restrictive actions by U.S. or non-U.S. governments;</w:t>
      </w:r>
    </w:p>
    <w:p>
      <w:pPr>
        <w:spacing w:after="0" w:line="37" w:lineRule="exact"/>
        <w:rPr>
          <w:rFonts w:ascii="Times New Roman" w:cs="Times New Roman" w:eastAsia="Times New Roman" w:hAnsi="Times New Roman"/>
          <w:sz w:val="14"/>
          <w:szCs w:val="14"/>
          <w:color w:val="auto"/>
        </w:rPr>
      </w:pPr>
    </w:p>
    <w:p>
      <w:pPr>
        <w:ind w:left="1840" w:right="1519" w:hanging="342"/>
        <w:spacing w:after="0" w:line="293" w:lineRule="auto"/>
        <w:tabs>
          <w:tab w:leader="none" w:pos="1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or political instability in particular foreign economies and markets;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tax, employment, immigration and labor laws for employees living or traveling abroad;</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taxes, including withholding of payroll taxes;</w:t>
      </w:r>
    </w:p>
    <w:p>
      <w:pPr>
        <w:spacing w:after="0" w:line="97" w:lineRule="exact"/>
        <w:rPr>
          <w:rFonts w:ascii="Times New Roman" w:cs="Times New Roman" w:eastAsia="Times New Roman" w:hAnsi="Times New Roman"/>
          <w:sz w:val="14"/>
          <w:szCs w:val="14"/>
          <w:color w:val="auto"/>
        </w:rPr>
      </w:pPr>
    </w:p>
    <w:p>
      <w:pPr>
        <w:ind w:left="1840" w:right="1259" w:hanging="342"/>
        <w:spacing w:after="0" w:line="293" w:lineRule="auto"/>
        <w:tabs>
          <w:tab w:leader="none" w:pos="1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fluctuations, which could result in increased operating expenses and reduced revenue, and other obligations incident to doing business in another country;</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staffing and managing foreign operations;</w:t>
      </w:r>
    </w:p>
    <w:p>
      <w:pPr>
        <w:spacing w:after="0" w:line="3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50" w:name="page51"/>
    <w:bookmarkEnd w:id="50"/>
    <w:p>
      <w:pPr>
        <w:ind w:left="1840" w:hanging="342"/>
        <w:spacing w:after="0"/>
        <w:tabs>
          <w:tab w:leader="none" w:pos="18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workforce uncertainty in countries where labor unrest is more common than in the United States;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liability under the FCPA or comparable foreign regulations;</w:t>
      </w:r>
    </w:p>
    <w:p>
      <w:pPr>
        <w:spacing w:after="0" w:line="97" w:lineRule="exact"/>
        <w:rPr>
          <w:rFonts w:ascii="Times New Roman" w:cs="Times New Roman" w:eastAsia="Times New Roman" w:hAnsi="Times New Roman"/>
          <w:sz w:val="14"/>
          <w:szCs w:val="14"/>
          <w:color w:val="auto"/>
        </w:rPr>
      </w:pPr>
    </w:p>
    <w:p>
      <w:pPr>
        <w:ind w:left="1840" w:right="1459" w:hanging="342"/>
        <w:spacing w:after="0" w:line="275" w:lineRule="auto"/>
        <w:tabs>
          <w:tab w:leader="none" w:pos="18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enforcing our contractual and intellectual property rights, especially in those foreign countries that do not respect and protect intellectual property rights to the same extent as the United States;</w:t>
      </w:r>
    </w:p>
    <w:p>
      <w:pPr>
        <w:spacing w:after="0" w:line="49" w:lineRule="exact"/>
        <w:rPr>
          <w:rFonts w:ascii="Times New Roman" w:cs="Times New Roman" w:eastAsia="Times New Roman" w:hAnsi="Times New Roman"/>
          <w:sz w:val="14"/>
          <w:szCs w:val="14"/>
          <w:color w:val="auto"/>
        </w:rPr>
      </w:pPr>
    </w:p>
    <w:p>
      <w:pPr>
        <w:ind w:left="1840" w:right="1719" w:hanging="342"/>
        <w:spacing w:after="0" w:line="293" w:lineRule="auto"/>
        <w:tabs>
          <w:tab w:leader="none" w:pos="18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shortages resulting from any events affecting raw material supply or manufacturing capabilities abroad; and</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interruptions resulting from geo-political actions, including war and terrorism.</w:t>
      </w:r>
    </w:p>
    <w:p>
      <w:pPr>
        <w:spacing w:after="0" w:line="97" w:lineRule="exact"/>
        <w:rPr>
          <w:sz w:val="20"/>
          <w:szCs w:val="20"/>
          <w:color w:val="auto"/>
        </w:rPr>
      </w:pPr>
    </w:p>
    <w:p>
      <w:pPr>
        <w:ind w:left="1140" w:right="1259" w:firstLine="258"/>
        <w:spacing w:after="0" w:line="275" w:lineRule="auto"/>
        <w:rPr>
          <w:sz w:val="20"/>
          <w:szCs w:val="20"/>
          <w:color w:val="auto"/>
        </w:rPr>
      </w:pPr>
      <w:r>
        <w:rPr>
          <w:rFonts w:ascii="Times New Roman" w:cs="Times New Roman" w:eastAsia="Times New Roman" w:hAnsi="Times New Roman"/>
          <w:sz w:val="14"/>
          <w:szCs w:val="14"/>
          <w:color w:val="auto"/>
        </w:rPr>
        <w:t>These and other risks associated with international operations may materially adversely affect our ability to attain or maintain profitable operations in international markets, which would have a material adverse effect on our business, financial condition and results of operations.</w:t>
      </w:r>
    </w:p>
    <w:p>
      <w:pPr>
        <w:spacing w:after="0" w:line="49" w:lineRule="exact"/>
        <w:rPr>
          <w:sz w:val="20"/>
          <w:szCs w:val="20"/>
          <w:color w:val="auto"/>
        </w:rPr>
      </w:pPr>
    </w:p>
    <w:p>
      <w:pPr>
        <w:ind w:left="1140" w:right="1199" w:firstLine="258"/>
        <w:spacing w:after="0" w:line="259" w:lineRule="auto"/>
        <w:rPr>
          <w:sz w:val="20"/>
          <w:szCs w:val="20"/>
          <w:color w:val="auto"/>
        </w:rPr>
      </w:pPr>
      <w:r>
        <w:rPr>
          <w:rFonts w:ascii="Times New Roman" w:cs="Times New Roman" w:eastAsia="Times New Roman" w:hAnsi="Times New Roman"/>
          <w:sz w:val="14"/>
          <w:szCs w:val="14"/>
          <w:color w:val="auto"/>
        </w:rPr>
        <w:t>Further, our products may be subject to U.S. and foreign export controls, trade sanctions and import laws and regulations. Governmental regulation of the import or export of our products, or our failure to obtain any required import or export authorization for our products, where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66" w:lineRule="exact"/>
        <w:rPr>
          <w:sz w:val="20"/>
          <w:szCs w:val="20"/>
          <w:color w:val="auto"/>
        </w:rPr>
      </w:pPr>
    </w:p>
    <w:p>
      <w:pPr>
        <w:ind w:left="1140" w:right="1199" w:firstLine="258"/>
        <w:spacing w:after="0" w:line="259" w:lineRule="auto"/>
        <w:rPr>
          <w:sz w:val="20"/>
          <w:szCs w:val="20"/>
          <w:color w:val="auto"/>
        </w:rPr>
      </w:pPr>
      <w:r>
        <w:rPr>
          <w:rFonts w:ascii="Times New Roman" w:cs="Times New Roman" w:eastAsia="Times New Roman" w:hAnsi="Times New Roman"/>
          <w:sz w:val="14"/>
          <w:szCs w:val="14"/>
          <w:color w:val="auto"/>
        </w:rPr>
        <w:t>In particular, there is currently significant uncertainty about the future relationship between the United States and various other countries, most significantly China, with respect to trade policies, treaties, tariffs, taxes, and other limitations on cross-border operations. The U.S. government has made and continues to make significant additional changes in U.S. trade policy and may continue to take future actions that could negatively impact U.S. trade. For example, legislation has been introduced in Congress to limit certain U.S. biotechnology companies from using equipment or services produced or provided by select Chinese biotechnology companies, and others in Congress have advocated for the use of existing executive branch authorities to limit those Chinese service providers’ ability to engage in business in the U.S. We cannot predict what actions may ultimately be taken with respect to trade relations between the United States and China or other countries, what products and services may be subject to such actions or what actions may be taken by the other countries in retaliation. If we are unable to obtain or use services from existing service providers or become unable to export or sell our products to any of our customers or service providers, our business, liquidity, financial condition, and/or results of operations would be materially and adversely affected.</w:t>
      </w:r>
    </w:p>
    <w:p>
      <w:pPr>
        <w:spacing w:after="0" w:line="239" w:lineRule="exact"/>
        <w:rPr>
          <w:sz w:val="20"/>
          <w:szCs w:val="20"/>
          <w:color w:val="auto"/>
        </w:rPr>
      </w:pPr>
    </w:p>
    <w:p>
      <w:pPr>
        <w:ind w:left="114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there can be no guarantee that we will receive approval to sell our products in the international markets we target, nor can there be any guarantee that any sales would result even if such approval is received. Even if the FDA grants marketing approval for a product, comparable regulatory authorities of foreign countries must also approve the manufacturing or marketing of the product in those countries. Approval in the United States, or in any other jurisdiction, does not ensure approval in other jurisdictions. Obtaining foreign approvals could result in significant delays, difficulties and costs for us and require additional trials and additional expenses. Regulatory requirements can vary widely from country to country and could delay the introduction of our products in those countries. Clinical trials conducted in one country may not be accepted by other countries, and regulatory approval in one country does not mean that regulatory approval will be obtained in any other country. If we fail to comply with these regulatory requirements or to obtain and maintain required approvals, our target market will be reduced and our ability to generate revenue will be diminished. Our inability to successfully enter all our desired international markets and manage business on a global scale could negatively affect our business, financial results and results of operations.</w:t>
      </w:r>
    </w:p>
    <w:p>
      <w:pPr>
        <w:spacing w:after="0" w:line="200" w:lineRule="exact"/>
        <w:rPr>
          <w:sz w:val="20"/>
          <w:szCs w:val="20"/>
          <w:color w:val="auto"/>
        </w:rPr>
      </w:pPr>
    </w:p>
    <w:p>
      <w:pPr>
        <w:spacing w:after="0" w:line="3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51" w:name="page52"/>
    <w:bookmarkEnd w:id="51"/>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achieve or maintain satisfactory pricing and margins for our products.</w:t>
      </w:r>
    </w:p>
    <w:p>
      <w:pPr>
        <w:spacing w:after="0" w:line="101"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Manufacturers of medical devices have a history of price competition, and we can give no assurance that we will be able to achieve satisfactory prices for our products or maintain prices at the levels we have historically achieved. Any decline in the amount that payors reimburse doctors performing cataract procedures, or any reduction in the flexibility to charge patients for non-reimbursed procedures could make it difficult for us to convince our customers to make the up-front investment in our LDD and could create additional pricing pressure with respect to the patient’s decision to pay the additional cost associated with our LALs and potentially a reduction in the number of procedures performed using the RxSight system and corresponding sales of LDDs, LALs, accessories and services. If we are forced to lower the price we charge for our products, our revenue and gross margins will decrease, which will adversely affect our ability to invest in and grow our business. If we are unable to maintain our prices, or if our costs increase and we are unable to offset such increase with an increase in our prices, our margins could erode. We will continue to be subject to significant pricing pressure, which could harm our business, financial condition and results of operations.</w:t>
      </w:r>
    </w:p>
    <w:p>
      <w:pPr>
        <w:spacing w:after="0" w:line="55" w:lineRule="exact"/>
        <w:rPr>
          <w:sz w:val="20"/>
          <w:szCs w:val="20"/>
          <w:color w:val="auto"/>
        </w:rPr>
      </w:pPr>
    </w:p>
    <w:p>
      <w:pPr>
        <w:ind w:left="1140" w:right="11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sizes of the markets for our current and future products have not been established with precision and may be smaller than we estimate.</w:t>
      </w:r>
    </w:p>
    <w:p>
      <w:pPr>
        <w:spacing w:after="0" w:line="33"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Our estimates of the annual total addressable markets for our current products and products under development are based on a number of internal and third-party estimates, including, without limitation, the number of patients who have undergone cataract surgery, and the assumed prices at which we can sell our RxSight system.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In addition, our estimates of the sizes of the cataract surgery patient population include patients who might never be likely candidates for treatment with our products. As a result, our estimates of the annual total addressable market for our current or future products may prove to be incorrect. If the actual number of patients who would benefit from our products, the price at which we can sell future products, or the annual total addressable market for our products is smaller than we have estimated, it may impair our sales growth and have an adverse impact on our business.</w:t>
      </w:r>
    </w:p>
    <w:p>
      <w:pPr>
        <w:spacing w:after="0" w:line="57" w:lineRule="exact"/>
        <w:rPr>
          <w:sz w:val="20"/>
          <w:szCs w:val="20"/>
          <w:color w:val="auto"/>
        </w:rPr>
      </w:pPr>
    </w:p>
    <w:p>
      <w:pPr>
        <w:ind w:left="1140" w:right="12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To the extent changes to state regulations and interpretation of the practice of optometry, changes to insurance coverage and government reimbursement rates for our products and related procedures and/or changes in medical or professional malpractice insurance coverage for doctors who perform procedures using our products are implemented, such changes could affect the adoption of our products and our future revenue.</w:t>
      </w:r>
    </w:p>
    <w:p>
      <w:pPr>
        <w:spacing w:after="0" w:line="54"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States regulate the practice of optometry, including the types of procedures optometrists are authorized to perform in each state. To the extent states change the scope of optometry with respect to those who are qualified to perform LDD procedures involving our RxSight system, such state regulation or policy can have a material impact on our business. Additionally, payor restrictions on the coverage and/or reimbursement levels for procedures using our RxSight system can negatively impact our business. Changes to medical or professional malpractice insurance coverage policies for doctors who perform procedures using our products, can also impact the adoption of our products and our business operations. We can provide no assurance on the impact of current and future federal and state legislative, executive, and administrative actions, including measures implemented by state boards of examiners in optometry, as well as policies of malpractice insurance carriers and payors on us, our business operations, and the business of our customers. The implementation of cost containment measures or other policy and regulatory changes may prevent us from being able to generate revenue, attain profitability, or commercialize our products.</w:t>
      </w:r>
    </w:p>
    <w:p>
      <w:pPr>
        <w:spacing w:after="0" w:line="233"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The federal government is considering ways to change, and has changed, the manner in which healthcare services are paid for in the United States. Individual states may also enact legislation that impacts Medicaid payments to doctors. In addition, CMS establishes Medicare payment levels for doctors on an annual basis, which can increase or decrease payment to such entities.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In addition, the ability to charge patients directly for premium IOLs and associated services also varies widely across different countries and could become more restricted. Even if we succeed in bringing our products to market internationally, uncertainties regarding future healthcare policy, legislation and regulation, as well as private market practices, could affect our ability to sell our products in commercially acceptable quantities at acceptable prices.</w:t>
      </w:r>
    </w:p>
    <w:p>
      <w:pPr>
        <w:spacing w:after="0" w:line="200" w:lineRule="exact"/>
        <w:rPr>
          <w:sz w:val="20"/>
          <w:szCs w:val="20"/>
          <w:color w:val="auto"/>
        </w:rPr>
      </w:pPr>
    </w:p>
    <w:p>
      <w:pPr>
        <w:spacing w:after="0" w:line="32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52" w:name="page53"/>
    <w:bookmarkEnd w:id="52"/>
    <w:p>
      <w:pPr>
        <w:ind w:left="1140" w:right="19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quarterly and annual results may fluctuate significantly and may not fully reflect the underlying performance of our business.</w:t>
      </w:r>
    </w:p>
    <w:p>
      <w:pPr>
        <w:spacing w:after="0" w:line="33" w:lineRule="exact"/>
        <w:rPr>
          <w:sz w:val="20"/>
          <w:szCs w:val="20"/>
          <w:color w:val="auto"/>
        </w:rPr>
      </w:pPr>
    </w:p>
    <w:p>
      <w:pPr>
        <w:ind w:left="1140" w:right="1319" w:firstLine="258"/>
        <w:spacing w:after="0" w:line="261" w:lineRule="auto"/>
        <w:rPr>
          <w:sz w:val="20"/>
          <w:szCs w:val="20"/>
          <w:color w:val="auto"/>
        </w:rPr>
      </w:pPr>
      <w:r>
        <w:rPr>
          <w:rFonts w:ascii="Times New Roman" w:cs="Times New Roman" w:eastAsia="Times New Roman" w:hAnsi="Times New Roman"/>
          <w:sz w:val="14"/>
          <w:szCs w:val="14"/>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Fluctuations in quarterly and annual results may decrease the value of our common stock. Because our quarterly results may fluctuate, period-to-period comparisons may not be the best indication of the underlying results of our business and should only be relied upon as one factor in determining how our business is performing.</w:t>
      </w:r>
    </w:p>
    <w:p>
      <w:pPr>
        <w:spacing w:after="0" w:line="59" w:lineRule="exact"/>
        <w:rPr>
          <w:sz w:val="20"/>
          <w:szCs w:val="20"/>
          <w:color w:val="auto"/>
        </w:rPr>
      </w:pPr>
    </w:p>
    <w:p>
      <w:pPr>
        <w:ind w:left="1140" w:right="131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have expanded, and expect to continue to expand, our organization, including expanding our sales and marketing capability and creating additional infrastructure to support our operations as a public company, and as a result, we may encounter difficulties in managing our growth, which could disrupt our operations.</w:t>
      </w:r>
    </w:p>
    <w:p>
      <w:pPr>
        <w:spacing w:after="0" w:line="47" w:lineRule="exact"/>
        <w:rPr>
          <w:sz w:val="20"/>
          <w:szCs w:val="20"/>
          <w:color w:val="auto"/>
        </w:rPr>
      </w:pPr>
    </w:p>
    <w:p>
      <w:pPr>
        <w:ind w:left="1140" w:right="1319" w:firstLine="258"/>
        <w:spacing w:after="0" w:line="261" w:lineRule="auto"/>
        <w:rPr>
          <w:sz w:val="20"/>
          <w:szCs w:val="20"/>
          <w:color w:val="auto"/>
        </w:rPr>
      </w:pPr>
      <w:r>
        <w:rPr>
          <w:rFonts w:ascii="Times New Roman" w:cs="Times New Roman" w:eastAsia="Times New Roman" w:hAnsi="Times New Roman"/>
          <w:sz w:val="14"/>
          <w:szCs w:val="14"/>
          <w:color w:val="auto"/>
        </w:rPr>
        <w:t>We have and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5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Certain of our operating results and financial metrics may be difficult to predict as a result of seasonality.</w:t>
      </w:r>
    </w:p>
    <w:p>
      <w:pPr>
        <w:spacing w:after="0" w:line="101" w:lineRule="exact"/>
        <w:rPr>
          <w:sz w:val="20"/>
          <w:szCs w:val="20"/>
          <w:color w:val="auto"/>
        </w:rPr>
      </w:pPr>
    </w:p>
    <w:p>
      <w:pPr>
        <w:ind w:left="1140" w:right="1199" w:firstLine="258"/>
        <w:spacing w:after="0" w:line="264" w:lineRule="auto"/>
        <w:rPr>
          <w:sz w:val="20"/>
          <w:szCs w:val="20"/>
          <w:color w:val="auto"/>
        </w:rPr>
      </w:pPr>
      <w:r>
        <w:rPr>
          <w:rFonts w:ascii="Times New Roman" w:cs="Times New Roman" w:eastAsia="Times New Roman" w:hAnsi="Times New Roman"/>
          <w:sz w:val="14"/>
          <w:szCs w:val="14"/>
          <w:color w:val="auto"/>
        </w:rPr>
        <w:t>It is not uncommon in our industry to experience seasonally weaker revenue during the summer months and end-of-year holiday season. We may be affected by other seasonal trends in the future, including severe weather (which can impact the number of elective procedures performed), particularly as our business matures. Additionally, this seasonality may be reflected to a much lesser extent, and sometimes may not be immediately apparent, in our revenue. To the extent we experience this seasonality, it may cause fluctuations in our operating results and financial metrics and make forecasting our future operating results and financial metrics more difficult.</w:t>
      </w:r>
    </w:p>
    <w:p>
      <w:pPr>
        <w:spacing w:after="0" w:line="52" w:lineRule="exact"/>
        <w:rPr>
          <w:sz w:val="20"/>
          <w:szCs w:val="20"/>
          <w:color w:val="auto"/>
        </w:rPr>
      </w:pPr>
    </w:p>
    <w:p>
      <w:pPr>
        <w:ind w:left="1140" w:right="13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other tax attributes to offset future taxable income may be subject to certain limitations.</w:t>
      </w:r>
    </w:p>
    <w:p>
      <w:pPr>
        <w:spacing w:after="0" w:line="33" w:lineRule="exact"/>
        <w:rPr>
          <w:sz w:val="20"/>
          <w:szCs w:val="20"/>
          <w:color w:val="auto"/>
        </w:rPr>
      </w:pPr>
    </w:p>
    <w:p>
      <w:pPr>
        <w:ind w:left="1140" w:right="1219" w:firstLine="258"/>
        <w:spacing w:after="0" w:line="261" w:lineRule="auto"/>
        <w:rPr>
          <w:sz w:val="20"/>
          <w:szCs w:val="20"/>
          <w:color w:val="auto"/>
        </w:rPr>
      </w:pPr>
      <w:r>
        <w:rPr>
          <w:rFonts w:ascii="Times New Roman" w:cs="Times New Roman" w:eastAsia="Times New Roman" w:hAnsi="Times New Roman"/>
          <w:sz w:val="14"/>
          <w:szCs w:val="14"/>
          <w:color w:val="auto"/>
        </w:rPr>
        <w:t>As of December 31, 2023, we had federal net operating loss carryforwards (“NOLs”) of approximately $311.2 million, some of which will begin to expire in various years ranging from 2024 to 2037. Our NOLs could expire unused and be unavailable to offset future income tax liabilities because of their limited duration or because of restrictions under U.S. tax law. Under the Tax Cuts and Jobs Act (“Tax Act”), as modified by the Coronavirus Aid, Relief, and Economic Security Act, or the CARES Act, our federal NOLs generated in tax years ending after December 31, 2017 may be carried forward indefinitely, but the deductibility of such federal NOLs in tax years beginning after December 31, 2020 is limited to 80% of taxable income. It is uncertain if and to what extent various states will conform to the Tax Act, as modified by the CARES Act.</w:t>
      </w:r>
    </w:p>
    <w:p>
      <w:pPr>
        <w:spacing w:after="0" w:line="63"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In addition, under Sections 382 and 383 of the Internal Revenue Code of 1986, as amended (the “Code”),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an ownership change in the future as a result of subsequent shifts in our stock ownership, some of which are outside our control. We have not conducted any studies to determine annual limitations, if any, that could result from such changes in our stock ownership. Our ability to utilize those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3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53" w:name="page54"/>
    <w:bookmarkEnd w:id="53"/>
    <w:p>
      <w:pPr>
        <w:ind w:left="1140"/>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w:t>
      </w:r>
    </w:p>
    <w:p>
      <w:pPr>
        <w:spacing w:after="0" w:line="95" w:lineRule="exact"/>
        <w:rPr>
          <w:sz w:val="20"/>
          <w:szCs w:val="20"/>
          <w:color w:val="auto"/>
        </w:rPr>
      </w:pPr>
    </w:p>
    <w:p>
      <w:pPr>
        <w:ind w:left="1140" w:right="119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maintain, protect and enforce patent and other intellectual property protection for our technology and products, or if the scope of the patent and other intellectual property protection obtained is not sufficiently broad, we may not be able to compete effectively in our markets.</w:t>
      </w:r>
    </w:p>
    <w:p>
      <w:pPr>
        <w:spacing w:after="0" w:line="47" w:lineRule="exact"/>
        <w:rPr>
          <w:sz w:val="20"/>
          <w:szCs w:val="20"/>
          <w:color w:val="auto"/>
        </w:rPr>
      </w:pPr>
    </w:p>
    <w:p>
      <w:pPr>
        <w:ind w:left="1140" w:right="1239" w:firstLine="258"/>
        <w:spacing w:after="0" w:line="265" w:lineRule="auto"/>
        <w:rPr>
          <w:sz w:val="20"/>
          <w:szCs w:val="20"/>
          <w:color w:val="auto"/>
        </w:rPr>
      </w:pPr>
      <w:r>
        <w:rPr>
          <w:rFonts w:ascii="Times New Roman" w:cs="Times New Roman" w:eastAsia="Times New Roman" w:hAnsi="Times New Roman"/>
          <w:sz w:val="14"/>
          <w:szCs w:val="14"/>
          <w:color w:val="auto"/>
        </w:rPr>
        <w:t>Our success depends in large part on our ability to obtain, maintain, protect and enforce patent and other intellectual property protection in the United States and other countries with respect to our products and technology we develop. If we fail to obtain, maintain, protect and enforce our intellectual property, third parties may be able to compete more effectively against us, we may lose our technological or competitive advantage, or we may incur substantial litigation costs in our attempts to recover or restrict use of our intellectual property.</w:t>
      </w:r>
    </w:p>
    <w:p>
      <w:pPr>
        <w:spacing w:after="0" w:line="58" w:lineRule="exact"/>
        <w:rPr>
          <w:sz w:val="20"/>
          <w:szCs w:val="20"/>
          <w:color w:val="auto"/>
        </w:rPr>
      </w:pPr>
    </w:p>
    <w:p>
      <w:pPr>
        <w:ind w:left="1140" w:right="1219" w:firstLine="258"/>
        <w:spacing w:after="0" w:line="262" w:lineRule="auto"/>
        <w:rPr>
          <w:sz w:val="20"/>
          <w:szCs w:val="20"/>
          <w:color w:val="auto"/>
        </w:rPr>
      </w:pPr>
      <w:r>
        <w:rPr>
          <w:rFonts w:ascii="Times New Roman" w:cs="Times New Roman" w:eastAsia="Times New Roman" w:hAnsi="Times New Roman"/>
          <w:sz w:val="14"/>
          <w:szCs w:val="14"/>
          <w:color w:val="auto"/>
        </w:rPr>
        <w:t>We seek to protect our position by in-licensing intellectual property relating to our products and filing patent applications in the United States and abroad related to our technologies and products that are important to our business. We also rely on a combination of contractual provisions, confidentiality procedures and copyright, trademark, trade secret and other intellectual property rights to protect the proprietary aspects of our brands, products, technologies and data. These legal measures afford only limited protection, and competitors or others may gain access to or use our intellectual property and proprietary information. Our success will depend, in part, on obtaining and maintaining patents, copyrights, trademarks, trade secrets, data and know-how and other intellectual property rights.</w:t>
      </w:r>
    </w:p>
    <w:p>
      <w:pPr>
        <w:spacing w:after="0" w:line="233"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We may not be able to obtain and maintain intellectual property or other proprietary rights necessary to our business or in a form that provides us with a competitive advantage. For example, our trade secrets, data and know-how could be subject to unauthorized use, misappropriation or disclosure to unauthorized parties, despite our efforts to enter into confidentiality agreements with our employees, consultants, contractors, clients and other vendors who have access to such information, and could otherwise become known or be independently discovered by third parties. In addition, the patent prosecution process is expensive, time-consuming and complex, and we may not be able to file, prosecute, maintain, enforce or license all necessary or desirable patent applications at a reasonable cost, in a timely manner, or in all jurisdictions where protection may be commercially advantageous, or we may not be able to protect our intellectual property at all. Despite our efforts to protect our intellectual property, unauthorized parties may be able to obtain and use information that we regard as proprietary.</w:t>
      </w:r>
    </w:p>
    <w:p>
      <w:pPr>
        <w:spacing w:after="0" w:line="64" w:lineRule="exact"/>
        <w:rPr>
          <w:sz w:val="20"/>
          <w:szCs w:val="20"/>
          <w:color w:val="auto"/>
        </w:rPr>
      </w:pPr>
    </w:p>
    <w:p>
      <w:pPr>
        <w:ind w:left="1140" w:right="1199" w:firstLine="258"/>
        <w:spacing w:after="0" w:line="265" w:lineRule="auto"/>
        <w:rPr>
          <w:sz w:val="20"/>
          <w:szCs w:val="20"/>
          <w:color w:val="auto"/>
        </w:rPr>
      </w:pPr>
      <w:r>
        <w:rPr>
          <w:rFonts w:ascii="Times New Roman" w:cs="Times New Roman" w:eastAsia="Times New Roman" w:hAnsi="Times New Roman"/>
          <w:sz w:val="14"/>
          <w:szCs w:val="14"/>
          <w:color w:val="auto"/>
        </w:rPr>
        <w:t>The issuance of a patent is not conclusive as to its inventorship, scope, validity or enforceability and our owned and in-licensed issued patents may be challenged in courts or patent offices in the United States and abroad. For example, we may be subject to a third-party submission of prior art to the USPTO, challenging the validity of one or more claims of our owned or in-licensed issued patents. Such submissions may also be made prior to a patent’s issuance, precluding the granting of a patent based on one of our owned or in-licensed pending patent applications.</w:t>
      </w:r>
    </w:p>
    <w:p>
      <w:pPr>
        <w:spacing w:after="0" w:line="58" w:lineRule="exact"/>
        <w:rPr>
          <w:sz w:val="20"/>
          <w:szCs w:val="20"/>
          <w:color w:val="auto"/>
        </w:rPr>
      </w:pPr>
    </w:p>
    <w:p>
      <w:pPr>
        <w:ind w:left="1140" w:right="1179" w:firstLine="258"/>
        <w:spacing w:after="0" w:line="259" w:lineRule="auto"/>
        <w:rPr>
          <w:sz w:val="20"/>
          <w:szCs w:val="20"/>
          <w:color w:val="auto"/>
        </w:rPr>
      </w:pPr>
      <w:r>
        <w:rPr>
          <w:rFonts w:ascii="Times New Roman" w:cs="Times New Roman" w:eastAsia="Times New Roman" w:hAnsi="Times New Roman"/>
          <w:sz w:val="14"/>
          <w:szCs w:val="14"/>
          <w:color w:val="auto"/>
        </w:rPr>
        <w:t>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consultants, contractors, collaborators, vendors and other third parties, any of these parties may breach the agreements and disclose such output before a patent application is filed, thereby jeopardizing our ability to seek patent protection. We may not be able to obtain or maintain patent applications and issued patents due to the subject matter claimed in such patent applications and issued patents being in disclosures in the public domain, and we may not be able to prevent any third party from using any of our technology that is in the public domain to compete with our technologies.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in-licensed issued patents or pending patent applications, or that we were the first to file for patent protection of such inventions. If a third party can establish that we or our licensors were not the first to make or the first to file for patent protection of such inventions, our owned or in-licensed patent applications may not issue as patents and even if issued, may be challenged and invalidated or rendered unenforceable.</w:t>
      </w:r>
    </w:p>
    <w:p>
      <w:pPr>
        <w:spacing w:after="0" w:line="62" w:lineRule="exact"/>
        <w:rPr>
          <w:sz w:val="20"/>
          <w:szCs w:val="20"/>
          <w:color w:val="auto"/>
        </w:rPr>
      </w:pPr>
    </w:p>
    <w:p>
      <w:pPr>
        <w:ind w:left="1140" w:right="1259" w:firstLine="258"/>
        <w:spacing w:after="0" w:line="265" w:lineRule="auto"/>
        <w:rPr>
          <w:sz w:val="20"/>
          <w:szCs w:val="20"/>
          <w:color w:val="auto"/>
        </w:rPr>
      </w:pPr>
      <w:r>
        <w:rPr>
          <w:rFonts w:ascii="Times New Roman" w:cs="Times New Roman" w:eastAsia="Times New Roman" w:hAnsi="Times New Roman"/>
          <w:sz w:val="14"/>
          <w:szCs w:val="14"/>
          <w:color w:val="auto"/>
        </w:rPr>
        <w:t>The patent position of medical device companies generally is highly uncertain, involves complex legal and factual questions, and has been the subject of much litigation in recent years. 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owned and in-licensed patents. With respect to both in-licensed and</w:t>
      </w:r>
    </w:p>
    <w:p>
      <w:pPr>
        <w:spacing w:after="0" w:line="3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54" w:name="page55"/>
    <w:bookmarkEnd w:id="54"/>
    <w:p>
      <w:pPr>
        <w:ind w:left="1140" w:right="1159"/>
        <w:spacing w:after="0" w:line="268" w:lineRule="auto"/>
        <w:rPr>
          <w:sz w:val="20"/>
          <w:szCs w:val="20"/>
          <w:color w:val="auto"/>
        </w:rPr>
      </w:pPr>
      <w:r>
        <w:rPr>
          <w:rFonts w:ascii="Times New Roman" w:cs="Times New Roman" w:eastAsia="Times New Roman" w:hAnsi="Times New Roman"/>
          <w:sz w:val="14"/>
          <w:szCs w:val="14"/>
          <w:color w:val="auto"/>
        </w:rPr>
        <w:t>owned intellectual property, we cannot predict whether the patent applications we and our licensors are currently pursuing will issue as patents in any particular jurisdiction or whether the claims of any issued patents will provide sufficient protection from competitors. As a result, the issuance, scope, validity, enforceability and commercial value of our patent rights are highly uncertain.</w:t>
      </w:r>
    </w:p>
    <w:p>
      <w:pPr>
        <w:spacing w:after="0" w:line="56" w:lineRule="exact"/>
        <w:rPr>
          <w:sz w:val="20"/>
          <w:szCs w:val="20"/>
          <w:color w:val="auto"/>
        </w:rPr>
      </w:pPr>
    </w:p>
    <w:p>
      <w:pPr>
        <w:ind w:left="1140" w:right="1179" w:firstLine="258"/>
        <w:spacing w:after="0" w:line="259" w:lineRule="auto"/>
        <w:rPr>
          <w:sz w:val="20"/>
          <w:szCs w:val="20"/>
          <w:color w:val="auto"/>
        </w:rPr>
      </w:pPr>
      <w:r>
        <w:rPr>
          <w:rFonts w:ascii="Times New Roman" w:cs="Times New Roman" w:eastAsia="Times New Roman" w:hAnsi="Times New Roman"/>
          <w:sz w:val="14"/>
          <w:szCs w:val="14"/>
          <w:color w:val="auto"/>
        </w:rPr>
        <w:t>Moreover, the coverage claimed in a patent application can be significantly reduced before a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 may be challenged, narrowed or invalidated by third parties. Additionally, our competitors or other third parties may be able to circumvent our patents by developing similar or alternative technologies or products in a non-infringing manner. Third parties may also have blocking patents that could prevent us from marketing our own products and practicing our own technology. Alternatively, third parties may seek approval to market their own products similar to or otherwise compete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in which case, our competitors and other third parties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236" w:lineRule="exact"/>
        <w:rPr>
          <w:sz w:val="20"/>
          <w:szCs w:val="20"/>
          <w:color w:val="auto"/>
        </w:rPr>
      </w:pPr>
    </w:p>
    <w:p>
      <w:pPr>
        <w:ind w:left="1140" w:right="1359" w:firstLine="258"/>
        <w:spacing w:after="0" w:line="265" w:lineRule="auto"/>
        <w:rPr>
          <w:sz w:val="20"/>
          <w:szCs w:val="20"/>
          <w:color w:val="auto"/>
        </w:rPr>
      </w:pPr>
      <w:r>
        <w:rPr>
          <w:rFonts w:ascii="Times New Roman" w:cs="Times New Roman" w:eastAsia="Times New Roman" w:hAnsi="Times New Roman"/>
          <w:sz w:val="14"/>
          <w:szCs w:val="14"/>
          <w:color w:val="auto"/>
        </w:rPr>
        <w:t>Given that patent applications are confidential for a period of time after filing, we cannot be certain that we were the first to file any patent application related to our products. Competitors may also contest our patents, if issued, by showing the USPTO, or the applicable other foreign patent agency that the invention was not original, was not novel or was obvious. In litigation, a competitor could claim that our patents, if issued, are not valid for a number of reasons. If a court agrees, we would lose our rights to those challenged patents.</w:t>
      </w:r>
    </w:p>
    <w:p>
      <w:pPr>
        <w:spacing w:after="0" w:line="58"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color w:val="auto"/>
        </w:rPr>
        <w:t>In addition, given the amount of time required for the development, testing and regulatory review of new products, patents protecting such products might expire before or shortly after such products are commercialized. As a result, our intellectual property may not provide us with sufficient rights to exclude others from commercializing products similar or identical to ours. Moreover, some of our owned and in-licensed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w:t>
      </w:r>
    </w:p>
    <w:p>
      <w:pPr>
        <w:spacing w:after="0" w:line="60" w:lineRule="exact"/>
        <w:rPr>
          <w:sz w:val="20"/>
          <w:szCs w:val="20"/>
          <w:color w:val="auto"/>
        </w:rPr>
      </w:pPr>
    </w:p>
    <w:p>
      <w:pPr>
        <w:ind w:left="1140" w:right="1179" w:firstLine="258"/>
        <w:spacing w:after="0" w:line="265" w:lineRule="auto"/>
        <w:rPr>
          <w:sz w:val="20"/>
          <w:szCs w:val="20"/>
          <w:color w:val="auto"/>
        </w:rPr>
      </w:pPr>
      <w:r>
        <w:rPr>
          <w:rFonts w:ascii="Times New Roman" w:cs="Times New Roman" w:eastAsia="Times New Roman" w:hAnsi="Times New Roman"/>
          <w:sz w:val="14"/>
          <w:szCs w:val="14"/>
          <w:color w:val="auto"/>
        </w:rPr>
        <w:t>Our other intellectual property, including our trademarks, could also be challenged, invalidated, infringed and circumvented by third parties, and our trademarks could also be diluted, declared generic or found to be infringing on other marks, in which case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w:t>
      </w:r>
    </w:p>
    <w:p>
      <w:pPr>
        <w:spacing w:after="0" w:line="230" w:lineRule="exact"/>
        <w:rPr>
          <w:sz w:val="20"/>
          <w:szCs w:val="20"/>
          <w:color w:val="auto"/>
        </w:rPr>
      </w:pPr>
    </w:p>
    <w:p>
      <w:pPr>
        <w:ind w:left="1140" w:right="1199" w:firstLine="258"/>
        <w:spacing w:after="0" w:line="262" w:lineRule="auto"/>
        <w:rPr>
          <w:sz w:val="20"/>
          <w:szCs w:val="20"/>
          <w:color w:val="auto"/>
        </w:rPr>
      </w:pPr>
      <w:r>
        <w:rPr>
          <w:rFonts w:ascii="Times New Roman" w:cs="Times New Roman" w:eastAsia="Times New Roman" w:hAnsi="Times New Roman"/>
          <w:sz w:val="14"/>
          <w:szCs w:val="14"/>
          <w:color w:val="auto"/>
        </w:rPr>
        <w:t>We may in the future also be subject to claims by our former employees, consultants or contractors asserting an ownership right in our patents or patent applications, as a result of the work they performed on our behalf. Although we generally require all of our employees, consultants, contractors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61" w:lineRule="exact"/>
        <w:rPr>
          <w:sz w:val="20"/>
          <w:szCs w:val="20"/>
          <w:color w:val="auto"/>
        </w:rPr>
      </w:pPr>
    </w:p>
    <w:p>
      <w:pPr>
        <w:ind w:left="1140" w:right="1219" w:firstLine="258"/>
        <w:spacing w:after="0" w:line="262" w:lineRule="auto"/>
        <w:rPr>
          <w:sz w:val="20"/>
          <w:szCs w:val="20"/>
          <w:color w:val="auto"/>
        </w:rPr>
      </w:pPr>
      <w:r>
        <w:rPr>
          <w:rFonts w:ascii="Times New Roman" w:cs="Times New Roman" w:eastAsia="Times New Roman" w:hAnsi="Times New Roman"/>
          <w:sz w:val="14"/>
          <w:szCs w:val="14"/>
          <w:color w:val="auto"/>
        </w:rPr>
        <w:t>Failure to obtain and maintain patents, trademarks and other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and may not provide an adequate remedy if our intellectual property rights are infringed, misappropriated or otherwise violated. Any of the foregoing could have a</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55" w:name="page56"/>
    <w:bookmarkEnd w:id="55"/>
    <w:p>
      <w:pPr>
        <w:ind w:left="1140" w:right="1719"/>
        <w:spacing w:after="0" w:line="293" w:lineRule="auto"/>
        <w:rPr>
          <w:sz w:val="20"/>
          <w:szCs w:val="20"/>
          <w:color w:val="auto"/>
        </w:rPr>
      </w:pPr>
      <w:r>
        <w:rPr>
          <w:rFonts w:ascii="Times New Roman" w:cs="Times New Roman" w:eastAsia="Times New Roman" w:hAnsi="Times New Roman"/>
          <w:sz w:val="14"/>
          <w:szCs w:val="14"/>
          <w:color w:val="auto"/>
        </w:rPr>
        <w:t>material adverse effect on our competitive position, business, financial conditions, results of operations and prospects.</w:t>
      </w:r>
    </w:p>
    <w:p>
      <w:pPr>
        <w:spacing w:after="0" w:line="37" w:lineRule="exact"/>
        <w:rPr>
          <w:sz w:val="20"/>
          <w:szCs w:val="20"/>
          <w:color w:val="auto"/>
        </w:rPr>
      </w:pPr>
    </w:p>
    <w:p>
      <w:pPr>
        <w:ind w:left="1140" w:right="1179" w:firstLine="258"/>
        <w:spacing w:after="0" w:line="259" w:lineRule="auto"/>
        <w:rPr>
          <w:sz w:val="20"/>
          <w:szCs w:val="20"/>
          <w:color w:val="auto"/>
        </w:rPr>
      </w:pPr>
      <w:r>
        <w:rPr>
          <w:rFonts w:ascii="Times New Roman" w:cs="Times New Roman" w:eastAsia="Times New Roman" w:hAnsi="Times New Roman"/>
          <w:sz w:val="14"/>
          <w:szCs w:val="14"/>
          <w:color w:val="auto"/>
        </w:rPr>
        <w:t>Furthermore, our owned and in-licensed patents may be subject to a reservation of rights by one or more third parties. For example, this could arise if the research resulting in certain of our owned or in-licensed patent rights and technology was funded in part by the United States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United States industry. In addition, our rights in such inventions may be subject to certain requirements to manufacture products embodying such inventions in the United States. Recently, the government released a draft framework that may be used by an agency when deciding to exercise its march-in rights for public comments, and as such, the framework for deciding when march-in rights are exercised may change. Any exercise by the government of such rights could harm our competitive position, business, financial condition, results of operations and prospects.</w:t>
      </w:r>
    </w:p>
    <w:p>
      <w:pPr>
        <w:spacing w:after="0" w:line="235" w:lineRule="exact"/>
        <w:rPr>
          <w:sz w:val="20"/>
          <w:szCs w:val="20"/>
          <w:color w:val="auto"/>
        </w:rPr>
      </w:pPr>
    </w:p>
    <w:p>
      <w:pPr>
        <w:ind w:left="1140" w:right="1219" w:firstLine="258"/>
        <w:spacing w:after="0" w:line="264" w:lineRule="auto"/>
        <w:rPr>
          <w:sz w:val="20"/>
          <w:szCs w:val="20"/>
          <w:color w:val="auto"/>
        </w:rPr>
      </w:pPr>
      <w:r>
        <w:rPr>
          <w:rFonts w:ascii="Times New Roman" w:cs="Times New Roman" w:eastAsia="Times New Roman" w:hAnsi="Times New Roman"/>
          <w:sz w:val="14"/>
          <w:szCs w:val="14"/>
          <w:color w:val="auto"/>
        </w:rPr>
        <w:t>Moreover, a portion of our intellectual property has been acquired from one or more third parties. While we have conducted diligence with respect to such acquisitions, because we did not participate in the development or prosecution of much of the acquired intellectual property, we cannot guarantee that our diligence efforts identified and/or remedied all issues related to such intellectual property, including potential ownership errors, potential errors during prosecution of such intellectual property, and potential encumbrances that could limit our ability to enforce such intellectual property rights.</w:t>
      </w:r>
    </w:p>
    <w:p>
      <w:pPr>
        <w:spacing w:after="0" w:line="52" w:lineRule="exact"/>
        <w:rPr>
          <w:sz w:val="20"/>
          <w:szCs w:val="20"/>
          <w:color w:val="auto"/>
        </w:rPr>
      </w:pPr>
    </w:p>
    <w:p>
      <w:pPr>
        <w:ind w:left="1140" w:right="14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technology for an adequate amount of time.</w:t>
      </w:r>
    </w:p>
    <w:p>
      <w:pPr>
        <w:spacing w:after="0" w:line="33" w:lineRule="exact"/>
        <w:rPr>
          <w:sz w:val="20"/>
          <w:szCs w:val="20"/>
          <w:color w:val="auto"/>
        </w:rPr>
      </w:pPr>
    </w:p>
    <w:p>
      <w:pPr>
        <w:ind w:left="1140" w:right="1219" w:firstLine="258"/>
        <w:spacing w:after="0" w:line="261"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claimed U.S. non-provisional or Patent Cooperation Treaty application filing date. Various extensions may be available, but the life of a patent, and the protection it affords, is limited. Even if patents covering our products are obtained, once the patent life has expired for a product, we may be open to competition. Given the amount of time required for the development, testing and regulatory review of new products, patents protecting such products might expire before or shortly after such products are commercialized. As a result, our patent portfolio may not provide us with sufficient rights to exclude others from commercializing products similar or identical to ours for a meaningful amount of time, or at all.</w:t>
      </w:r>
    </w:p>
    <w:p>
      <w:pPr>
        <w:spacing w:after="0" w:line="59" w:lineRule="exact"/>
        <w:rPr>
          <w:sz w:val="20"/>
          <w:szCs w:val="20"/>
          <w:color w:val="auto"/>
        </w:rPr>
      </w:pPr>
    </w:p>
    <w:p>
      <w:pPr>
        <w:ind w:left="1140" w:right="145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7" w:lineRule="exact"/>
        <w:rPr>
          <w:sz w:val="20"/>
          <w:szCs w:val="20"/>
          <w:color w:val="auto"/>
        </w:rPr>
      </w:pPr>
    </w:p>
    <w:p>
      <w:pPr>
        <w:ind w:left="1140" w:right="1219" w:firstLine="258"/>
        <w:spacing w:after="0" w:line="259" w:lineRule="auto"/>
        <w:rPr>
          <w:sz w:val="20"/>
          <w:szCs w:val="20"/>
          <w:color w:val="auto"/>
        </w:rPr>
      </w:pPr>
      <w:r>
        <w:rPr>
          <w:rFonts w:ascii="Times New Roman" w:cs="Times New Roman" w:eastAsia="Times New Roman" w:hAnsi="Times New Roman"/>
          <w:sz w:val="14"/>
          <w:szCs w:val="14"/>
          <w:color w:val="auto"/>
        </w:rPr>
        <w:t>Periodic maintenance fees, renewal fees, annuity fees and various other government fees on any issued patents and patent applications are due to be paid to the USPTO and other foreign patent agencies in several stages over the lifetime of such issued patents and patent applications. The USPTO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We are dependent on our licensors to take the necessary action to comply with these requirements with respect to certain of our in-licensed intellectual property, and if we or any of our current or future licensors fail to maintain the patents and patent applications covering our RxSight system or any future products, our competitors may be able to enter the market, which would have a material adverse effect on our business, financial condition, results of operations and prospects.</w:t>
      </w:r>
    </w:p>
    <w:p>
      <w:pPr>
        <w:spacing w:after="0" w:line="3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56" w:name="page57"/>
    <w:bookmarkEnd w:id="56"/>
    <w:p>
      <w:pPr>
        <w:jc w:val="both"/>
        <w:ind w:left="1140" w:right="12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33" w:lineRule="exact"/>
        <w:rPr>
          <w:sz w:val="20"/>
          <w:szCs w:val="20"/>
          <w:color w:val="auto"/>
        </w:rPr>
      </w:pPr>
    </w:p>
    <w:p>
      <w:pPr>
        <w:jc w:val="both"/>
        <w:ind w:left="1140" w:right="1199" w:firstLine="258"/>
        <w:spacing w:after="0" w:line="268" w:lineRule="auto"/>
        <w:rPr>
          <w:sz w:val="20"/>
          <w:szCs w:val="20"/>
          <w:color w:val="auto"/>
        </w:rPr>
      </w:pPr>
      <w:r>
        <w:rPr>
          <w:rFonts w:ascii="Times New Roman" w:cs="Times New Roman" w:eastAsia="Times New Roman" w:hAnsi="Times New Roman"/>
          <w:sz w:val="14"/>
          <w:szCs w:val="14"/>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current and future products in any jurisdiction.</w:t>
      </w:r>
    </w:p>
    <w:p>
      <w:pPr>
        <w:spacing w:after="0" w:line="56" w:lineRule="exact"/>
        <w:rPr>
          <w:sz w:val="20"/>
          <w:szCs w:val="20"/>
          <w:color w:val="auto"/>
        </w:rPr>
      </w:pPr>
    </w:p>
    <w:p>
      <w:pPr>
        <w:ind w:left="1140" w:right="1199" w:firstLine="258"/>
        <w:spacing w:after="0" w:line="262" w:lineRule="auto"/>
        <w:rPr>
          <w:sz w:val="20"/>
          <w:szCs w:val="20"/>
          <w:color w:val="auto"/>
        </w:rPr>
      </w:pPr>
      <w:r>
        <w:rPr>
          <w:rFonts w:ascii="Times New Roman" w:cs="Times New Roman" w:eastAsia="Times New Roman" w:hAnsi="Times New Roman"/>
          <w:sz w:val="14"/>
          <w:szCs w:val="14"/>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w:t>
      </w:r>
    </w:p>
    <w:p>
      <w:pPr>
        <w:spacing w:after="0" w:line="57" w:lineRule="exact"/>
        <w:rPr>
          <w:sz w:val="20"/>
          <w:szCs w:val="20"/>
          <w:color w:val="auto"/>
        </w:rPr>
      </w:pPr>
    </w:p>
    <w:p>
      <w:pPr>
        <w:ind w:left="1140" w:right="11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future reliance on third parties may require us to share our trade secrets, which increases the possibility that a competitor will discover them or that our trade secrets will be misappropriated or disclosed.</w:t>
      </w:r>
    </w:p>
    <w:p>
      <w:pPr>
        <w:spacing w:after="0" w:line="33" w:lineRule="exact"/>
        <w:rPr>
          <w:sz w:val="20"/>
          <w:szCs w:val="20"/>
          <w:color w:val="auto"/>
        </w:rPr>
      </w:pPr>
    </w:p>
    <w:p>
      <w:pPr>
        <w:ind w:left="1140" w:right="1159" w:firstLine="258"/>
        <w:spacing w:after="0" w:line="259" w:lineRule="auto"/>
        <w:rPr>
          <w:sz w:val="20"/>
          <w:szCs w:val="20"/>
          <w:color w:val="auto"/>
        </w:rPr>
      </w:pPr>
      <w:r>
        <w:rPr>
          <w:rFonts w:ascii="Times New Roman" w:cs="Times New Roman" w:eastAsia="Times New Roman" w:hAnsi="Times New Roman"/>
          <w:sz w:val="14"/>
          <w:szCs w:val="14"/>
          <w:color w:val="auto"/>
        </w:rPr>
        <w:t>Because we expect to rely on a third party to manufacture our RxSight system, and any future products, and we expect to collaborate with third parties on the continuing development of our RxSight system, and any future products, we must, at times, share trade secrets with them. We also expect to conduct R&amp;D programs that may require us to share trade secrets under the terms of our partnerships or agreements with CROs. We seek to protect our proprietary technology in part by entering into agreements containing confidentiality and use restrictions and obligations with our advisors, employees, contractors, CMOs, CROs, other service providers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w:t>
      </w:r>
    </w:p>
    <w:p>
      <w:pPr>
        <w:spacing w:after="0" w:line="66" w:lineRule="exact"/>
        <w:rPr>
          <w:sz w:val="20"/>
          <w:szCs w:val="20"/>
          <w:color w:val="auto"/>
        </w:rPr>
      </w:pPr>
    </w:p>
    <w:p>
      <w:pPr>
        <w:ind w:left="1140" w:right="1299" w:firstLine="258"/>
        <w:spacing w:after="0" w:line="264" w:lineRule="auto"/>
        <w:rPr>
          <w:sz w:val="20"/>
          <w:szCs w:val="20"/>
          <w:color w:val="auto"/>
        </w:rPr>
      </w:pPr>
      <w:r>
        <w:rPr>
          <w:rFonts w:ascii="Times New Roman" w:cs="Times New Roman" w:eastAsia="Times New Roman" w:hAnsi="Times New Roman"/>
          <w:sz w:val="14"/>
          <w:szCs w:val="14"/>
          <w:color w:val="auto"/>
        </w:rPr>
        <w:t>In addition, these agreements typically restrict the ability of our advisors, employees, third-party contractors, CMOs, CROs, other service providers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52" w:lineRule="exact"/>
        <w:rPr>
          <w:sz w:val="20"/>
          <w:szCs w:val="20"/>
          <w:color w:val="auto"/>
        </w:rPr>
      </w:pPr>
    </w:p>
    <w:p>
      <w:pPr>
        <w:jc w:val="both"/>
        <w:ind w:left="1140" w:right="12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54"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 Litigation may be necessary to defend against these claims, and if we fail in defending any such claims, in addition to paying monetary damages, we may lose valuable intellectual property rights. In addition, we may lose personnel as a result of such claims. Any such litigation, or the threat thereof, may adversely affect our ability to hire employees or contract with independent contractors. A loss of key personnel or</w:t>
      </w:r>
    </w:p>
    <w:p>
      <w:pPr>
        <w:spacing w:after="0" w:line="3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57" w:name="page58"/>
    <w:bookmarkEnd w:id="57"/>
    <w:p>
      <w:pPr>
        <w:ind w:left="1140" w:right="1219"/>
        <w:spacing w:after="0" w:line="293" w:lineRule="auto"/>
        <w:rPr>
          <w:sz w:val="20"/>
          <w:szCs w:val="20"/>
          <w:color w:val="auto"/>
        </w:rPr>
      </w:pPr>
      <w:r>
        <w:rPr>
          <w:rFonts w:ascii="Times New Roman" w:cs="Times New Roman" w:eastAsia="Times New Roman" w:hAnsi="Times New Roman"/>
          <w:sz w:val="14"/>
          <w:szCs w:val="14"/>
          <w:color w:val="auto"/>
        </w:rPr>
        <w:t>their work product could hamper or prevent our ability to commercialize our products, which would have a material adverse effect on our business, results of operations, financial condition and prospects.</w:t>
      </w:r>
    </w:p>
    <w:p>
      <w:pPr>
        <w:spacing w:after="0" w:line="37"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products, if such technologies or features are found to incorporate or be derived from the trade secrets or other proprietary information of the former employers.</w:t>
      </w:r>
    </w:p>
    <w:p>
      <w:pPr>
        <w:spacing w:after="0" w:line="63"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In addition, we or our licensors may in the future be subject to claims by former employees, consultants or other third parties asserting an ownership right in our owned or in-licensed issued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technology. Such challenges may also result in our inability to develop, manufacture or commercialize our technology without infringing third-party patent rights. In addition, if the breadth or strength of protection provided by our owned or in-licensed issued patents and patent applications is threatened, it could dissuade companies from collaborating with us to license, develop or commercialize current or future products. Any of the foregoing could have a material adverse effect on our business, financial condition, results of operations and prospects.</w:t>
      </w:r>
    </w:p>
    <w:p>
      <w:pPr>
        <w:spacing w:after="0" w:line="61" w:lineRule="exact"/>
        <w:rPr>
          <w:sz w:val="20"/>
          <w:szCs w:val="20"/>
          <w:color w:val="auto"/>
        </w:rPr>
      </w:pPr>
    </w:p>
    <w:p>
      <w:pPr>
        <w:ind w:left="1140" w:right="1199" w:firstLine="258"/>
        <w:spacing w:after="0" w:line="261" w:lineRule="auto"/>
        <w:rPr>
          <w:sz w:val="20"/>
          <w:szCs w:val="20"/>
          <w:color w:val="auto"/>
        </w:rPr>
      </w:pPr>
      <w:r>
        <w:rPr>
          <w:rFonts w:ascii="Times New Roman" w:cs="Times New Roman" w:eastAsia="Times New Roman" w:hAnsi="Times New Roman"/>
          <w:sz w:val="14"/>
          <w:szCs w:val="14"/>
          <w:color w:val="auto"/>
        </w:rPr>
        <w:t>An inability to incorporate technologies or features that are important or essential to our products could have a material adverse effect on our business, financial condition and results of operations, and may prevent us from selling our products.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financial condition and results of operations.</w:t>
      </w:r>
    </w:p>
    <w:p>
      <w:pPr>
        <w:spacing w:after="0" w:line="59" w:lineRule="exact"/>
        <w:rPr>
          <w:sz w:val="20"/>
          <w:szCs w:val="20"/>
          <w:color w:val="auto"/>
        </w:rPr>
      </w:pPr>
    </w:p>
    <w:p>
      <w:pPr>
        <w:ind w:left="1140" w:right="13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may become a party to intellectual property litigation or administrative proceedings that could be costly and could interfere with our ability to sell and market our products.</w:t>
      </w:r>
    </w:p>
    <w:p>
      <w:pPr>
        <w:spacing w:after="0" w:line="33" w:lineRule="exact"/>
        <w:rPr>
          <w:sz w:val="20"/>
          <w:szCs w:val="20"/>
          <w:color w:val="auto"/>
        </w:rPr>
      </w:pPr>
    </w:p>
    <w:p>
      <w:pPr>
        <w:ind w:left="1140" w:right="1179" w:firstLine="258"/>
        <w:spacing w:after="0" w:line="258" w:lineRule="auto"/>
        <w:rPr>
          <w:sz w:val="20"/>
          <w:szCs w:val="20"/>
          <w:color w:val="auto"/>
        </w:rPr>
      </w:pPr>
      <w:r>
        <w:rPr>
          <w:rFonts w:ascii="Times New Roman" w:cs="Times New Roman" w:eastAsia="Times New Roman" w:hAnsi="Times New Roman"/>
          <w:sz w:val="14"/>
          <w:szCs w:val="14"/>
          <w:color w:val="auto"/>
        </w:rPr>
        <w:t>The medical device industry has been characterized by extensive litigation regarding patents, trademarks, trade secrets and other intellectual property rights, and companies in the industry have used intellectual property litigation to gain a competitive advantage. It is possible that U.S. and foreign patents and pending patent applications, copyrights,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copyrights, trademarks and competing technologies, may have applied for or obtained, or may in the future apply for or obtain, patents, copyrights, or trademarks that will prevent, limit or otherwise interfere with our ability to make, use, sell and/or export our products or to use product names. Because patent applications can take years to issue and are often afforded confidentiality for some period of time, there may currently be pending applications, unknown to us, that later result in issued patents that could cover one or more of our products.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may face patent infringement claims from non-practicing entities that have no relevant product revenue and against whom our owned or in-licensed patent portfolio may therefore have no deterrent effect. We may in the future become party to adversarial proceedings or litigation where our competitors or other third parties may assert claims against us, alleging that our products or services infringe, misappropriate or otherwise violate their intellectual property rights, including patents and trade secrets. The defense of these matters can be time consuming, be costly, divert management’s attention and resources, damage our reputation and brand and cause us to incur</w:t>
      </w:r>
    </w:p>
    <w:p>
      <w:pPr>
        <w:spacing w:after="0" w:line="35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58" w:name="page59"/>
    <w:bookmarkEnd w:id="58"/>
    <w:p>
      <w:pPr>
        <w:ind w:left="1140" w:right="1219"/>
        <w:spacing w:after="0" w:line="264" w:lineRule="auto"/>
        <w:rPr>
          <w:sz w:val="20"/>
          <w:szCs w:val="20"/>
          <w:color w:val="auto"/>
        </w:rPr>
      </w:pPr>
      <w:r>
        <w:rPr>
          <w:rFonts w:ascii="Times New Roman" w:cs="Times New Roman" w:eastAsia="Times New Roman" w:hAnsi="Times New Roman"/>
          <w:sz w:val="14"/>
          <w:szCs w:val="14"/>
          <w:color w:val="auto"/>
        </w:rPr>
        <w:t>significant expenses or make substantial payments. Vendors from whom we purchase hardware or software may not indemnify us in the event that such hardware or software is accused of infringing a third party’s patent or trademark or of misappropriating a third party’s trade secret, or any indemnification granted by such vendors may not be sufficient to address any liability and costs we incur as a result of such claims. Additionally, we may be obligated to indemnify our customers or business partners in connection with litigation and to obtain licenses or refund subscription fees, which could further exhaust our resources.</w:t>
      </w:r>
    </w:p>
    <w:p>
      <w:pPr>
        <w:spacing w:after="0" w:line="56"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Even if we believe a third party’s intellectual property claims are without merit, there is no assurance that a court would find in our favor, including on questions of infringement, validity, enforceability or priority of patents. The strength of our defenses will depend on the patents asserted, the interpretation of these patents, and our ability to invalidate the asserted patents. A court of competent jurisdiction could hold that these third-party patents are valid, enforceable and infringed, which could materially and adversely affect our ability to commercialize any products or technology we may develop, and any other products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 Conversely, the patent owner need only prove infringement by a preponderance of the evidence, which is a lower burden of proof.</w:t>
      </w:r>
    </w:p>
    <w:p>
      <w:pPr>
        <w:spacing w:after="0" w:line="61" w:lineRule="exact"/>
        <w:rPr>
          <w:sz w:val="20"/>
          <w:szCs w:val="20"/>
          <w:color w:val="auto"/>
        </w:rPr>
      </w:pPr>
    </w:p>
    <w:p>
      <w:pPr>
        <w:ind w:left="1140" w:right="1319" w:firstLine="258"/>
        <w:spacing w:after="0" w:line="265" w:lineRule="auto"/>
        <w:rPr>
          <w:sz w:val="20"/>
          <w:szCs w:val="20"/>
          <w:color w:val="auto"/>
        </w:rPr>
      </w:pPr>
      <w:r>
        <w:rPr>
          <w:rFonts w:ascii="Times New Roman" w:cs="Times New Roman" w:eastAsia="Times New Roman" w:hAnsi="Times New Roman"/>
          <w:sz w:val="14"/>
          <w:szCs w:val="14"/>
          <w:color w:val="auto"/>
        </w:rPr>
        <w:t>Further, if patents, trademarks, copyrights, or trade secrets are successfully asserted against us, this may harm our business and result in injunctions preventing us from developing, manufacturing, marketing or selling our products, or result in obligations to pay license fees, damages, attorney fees and court costs, which could be significant. In addition, if we are found to willfully infringe third-party patents or trademarks or to have misappropriated trade secrets, we could be required to pay treble damages in addition to other penalties.</w:t>
      </w:r>
    </w:p>
    <w:p>
      <w:pPr>
        <w:spacing w:after="0" w:line="58" w:lineRule="exact"/>
        <w:rPr>
          <w:sz w:val="20"/>
          <w:szCs w:val="20"/>
          <w:color w:val="auto"/>
        </w:rPr>
      </w:pPr>
    </w:p>
    <w:p>
      <w:pPr>
        <w:ind w:left="1140" w:right="1259" w:firstLine="258"/>
        <w:spacing w:after="0" w:line="262" w:lineRule="auto"/>
        <w:rPr>
          <w:sz w:val="20"/>
          <w:szCs w:val="20"/>
          <w:color w:val="auto"/>
        </w:rPr>
      </w:pPr>
      <w:r>
        <w:rPr>
          <w:rFonts w:ascii="Times New Roman" w:cs="Times New Roman" w:eastAsia="Times New Roman" w:hAnsi="Times New Roman"/>
          <w:sz w:val="14"/>
          <w:szCs w:val="14"/>
          <w:color w:val="auto"/>
        </w:rPr>
        <w:t>Although patent, copyright, trademark, trade secret and other intellectual property disputes in the medical device area have often been settled through licensing or similar arrangements, costs associated with such arrangements may be substantial and could include ongoing royalties. We may be unable to obtain necessary licenses on satisfactory terms, if at all. In addition, if any license we obtain is non-exclusive, we may not be able to prevent our competitors and other third parties from using the intellectual property or technology covered by such license to compete with us. If we do not obtain necessary licenses, we may not be able to redesign our products to avoid infringement. Any of these events could materially and adversely affect our business, financial condition and results of operations.</w:t>
      </w:r>
    </w:p>
    <w:p>
      <w:pPr>
        <w:spacing w:after="0" w:line="233" w:lineRule="exact"/>
        <w:rPr>
          <w:sz w:val="20"/>
          <w:szCs w:val="20"/>
          <w:color w:val="auto"/>
        </w:rPr>
      </w:pPr>
    </w:p>
    <w:p>
      <w:pPr>
        <w:ind w:left="1140" w:right="1339" w:firstLine="258"/>
        <w:spacing w:after="0" w:line="261" w:lineRule="auto"/>
        <w:rPr>
          <w:sz w:val="20"/>
          <w:szCs w:val="20"/>
          <w:color w:val="auto"/>
        </w:rPr>
      </w:pPr>
      <w:r>
        <w:rPr>
          <w:rFonts w:ascii="Times New Roman" w:cs="Times New Roman" w:eastAsia="Times New Roman" w:hAnsi="Times New Roman"/>
          <w:sz w:val="14"/>
          <w:szCs w:val="14"/>
          <w:color w:val="auto"/>
        </w:rPr>
        <w:t>Similarly, interference or derivation proceedings provoked by third parties or brought by the USPTO, may be necessary to determine priority with respect to our patents, patent applications, trademarks or trademark applications. We may also become involved in other proceedings, such as reexamination, inter partes review, derivation or opposition proceedings before the USPTO or other jurisdictional body relating to our intellectual property rights or the intellectual property rights of others. Adverse determinations in a judicial or administrative proceeding or failure to obtain necessary licenses could prevent us from manufacturing our products or using product names, which would have a significant adverse impact on our business, financial condition and results of operations.</w:t>
      </w:r>
    </w:p>
    <w:p>
      <w:pPr>
        <w:spacing w:after="0" w:line="63" w:lineRule="exact"/>
        <w:rPr>
          <w:sz w:val="20"/>
          <w:szCs w:val="20"/>
          <w:color w:val="auto"/>
        </w:rPr>
      </w:pPr>
    </w:p>
    <w:p>
      <w:pPr>
        <w:ind w:left="1140" w:right="1159" w:firstLine="258"/>
        <w:spacing w:after="0" w:line="259" w:lineRule="auto"/>
        <w:rPr>
          <w:sz w:val="20"/>
          <w:szCs w:val="20"/>
          <w:color w:val="auto"/>
        </w:rPr>
      </w:pPr>
      <w:r>
        <w:rPr>
          <w:rFonts w:ascii="Times New Roman" w:cs="Times New Roman" w:eastAsia="Times New Roman" w:hAnsi="Times New Roman"/>
          <w:sz w:val="14"/>
          <w:szCs w:val="14"/>
          <w:color w:val="auto"/>
        </w:rPr>
        <w:t>Additionally, we may file lawsuits or initiate other proceedings to protect or enforce our patents or other intellectual property rights, which could be expensive, time consuming and unsuccessful. Competitors may infringe our issued patents or other intellectual property, which we may not always be able to detect. To counter infringement or unauthorized use, we may be required to file infringement claims, which can be expensive and time-consuming. Any claims we assert against perceived infringers could provoke these parties to assert counterclaims against us alleging that we infringe their intellectual property or alleging that our intellectual property is invalid or unenforceable.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raise challenges to the validity of certain of our owned or in-licensed patent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In any such lawsuit or other proceedings, a court or other administrative body may decide that a patent of ours is invalid or unenforceable, in whole or in part, construe the patent’s claims narrowly or refuse to stop the</w:t>
      </w:r>
    </w:p>
    <w:p>
      <w:pPr>
        <w:spacing w:after="0" w:line="3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59" w:name="page60"/>
    <w:bookmarkEnd w:id="59"/>
    <w:p>
      <w:pPr>
        <w:ind w:left="1140" w:right="1639"/>
        <w:spacing w:after="0" w:line="293" w:lineRule="auto"/>
        <w:rPr>
          <w:sz w:val="20"/>
          <w:szCs w:val="20"/>
          <w:color w:val="auto"/>
        </w:rPr>
      </w:pPr>
      <w:r>
        <w:rPr>
          <w:rFonts w:ascii="Times New Roman" w:cs="Times New Roman" w:eastAsia="Times New Roman" w:hAnsi="Times New Roman"/>
          <w:sz w:val="14"/>
          <w:szCs w:val="14"/>
          <w:color w:val="auto"/>
        </w:rPr>
        <w:t>other party from using the technology at issue on the grounds that our patents do not cover the technology in question.</w:t>
      </w:r>
    </w:p>
    <w:p>
      <w:pPr>
        <w:spacing w:after="0" w:line="37" w:lineRule="exact"/>
        <w:rPr>
          <w:sz w:val="20"/>
          <w:szCs w:val="20"/>
          <w:color w:val="auto"/>
        </w:rPr>
      </w:pPr>
    </w:p>
    <w:p>
      <w:pPr>
        <w:ind w:left="1140" w:right="1159" w:firstLine="258"/>
        <w:spacing w:after="0" w:line="261" w:lineRule="auto"/>
        <w:rPr>
          <w:sz w:val="20"/>
          <w:szCs w:val="20"/>
          <w:color w:val="auto"/>
        </w:rPr>
      </w:pPr>
      <w:r>
        <w:rPr>
          <w:rFonts w:ascii="Times New Roman" w:cs="Times New Roman" w:eastAsia="Times New Roman" w:hAnsi="Times New Roman"/>
          <w:sz w:val="14"/>
          <w:szCs w:val="14"/>
          <w:color w:val="auto"/>
        </w:rPr>
        <w:t>The outcome following legal assertions of invalidity and unenforceability is unpredictable. If a third party were to prevail on a legal assertion of invalidity or unenforceability, we would lose at least part, and perhaps all, of the patent protection on our products or products that we may develop.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other proceeding could put one or more of our patents at risk of being invalidated or interpreted narrowly. Any of these events could materially and adversely affect our business, financial condition and results of operations.</w:t>
      </w:r>
    </w:p>
    <w:p>
      <w:pPr>
        <w:spacing w:after="0" w:line="63" w:lineRule="exact"/>
        <w:rPr>
          <w:sz w:val="20"/>
          <w:szCs w:val="20"/>
          <w:color w:val="auto"/>
        </w:rPr>
      </w:pPr>
    </w:p>
    <w:p>
      <w:pPr>
        <w:ind w:left="1140" w:right="1179" w:firstLine="258"/>
        <w:spacing w:after="0" w:line="259" w:lineRule="auto"/>
        <w:rPr>
          <w:sz w:val="20"/>
          <w:szCs w:val="20"/>
          <w:color w:val="auto"/>
        </w:rPr>
      </w:pPr>
      <w:r>
        <w:rPr>
          <w:rFonts w:ascii="Times New Roman" w:cs="Times New Roman" w:eastAsia="Times New Roman" w:hAnsi="Times New Roman"/>
          <w:sz w:val="14"/>
          <w:szCs w:val="14"/>
          <w:color w:val="auto"/>
        </w:rPr>
        <w:t>Even if resolved in our favor, litigation or other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Furthermore, because of the substantial amount of discovery required in connection with intellectual property litigation, there is a risk that some of our confidential or sensitive information could be compromised by disclosure in the event of litigation. Uncertainties resulting from the initiation and continuation of patent and other intellectual property litigation or other proceedings could have a material adverse effect on our business, financial condition and results of operations.</w:t>
      </w:r>
    </w:p>
    <w:p>
      <w:pPr>
        <w:spacing w:after="0" w:line="234" w:lineRule="exact"/>
        <w:rPr>
          <w:sz w:val="20"/>
          <w:szCs w:val="20"/>
          <w:color w:val="auto"/>
        </w:rPr>
      </w:pPr>
    </w:p>
    <w:p>
      <w:pPr>
        <w:ind w:left="1140" w:right="15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Because of the expense and uncertainty of litigation, we may not be in a position to enforce our intellectual property rights against third parties.</w:t>
      </w:r>
    </w:p>
    <w:p>
      <w:pPr>
        <w:spacing w:after="0" w:line="33" w:lineRule="exact"/>
        <w:rPr>
          <w:sz w:val="20"/>
          <w:szCs w:val="20"/>
          <w:color w:val="auto"/>
        </w:rPr>
      </w:pPr>
    </w:p>
    <w:p>
      <w:pPr>
        <w:ind w:left="1140" w:right="1159" w:firstLine="258"/>
        <w:spacing w:after="0" w:line="264" w:lineRule="auto"/>
        <w:rPr>
          <w:sz w:val="20"/>
          <w:szCs w:val="20"/>
          <w:color w:val="auto"/>
        </w:rPr>
      </w:pPr>
      <w:r>
        <w:rPr>
          <w:rFonts w:ascii="Times New Roman" w:cs="Times New Roman" w:eastAsia="Times New Roman" w:hAnsi="Times New Roman"/>
          <w:sz w:val="14"/>
          <w:szCs w:val="14"/>
          <w:color w:val="auto"/>
        </w:rPr>
        <w:t>Because of the expense and uncertainty of litigation, we may conclude that even if a third party is infringing, misappropriating or otherwise violating our owned or in-licensed patents, any patents that may be issued as a result of our future patent applications, or other intellectual property rights, the risk-adjusted cost of bringing and enforcing such a claim or action may be too high or not in the best interest of our company or our shareholders. In such cases, we may decide that the more prudent course of action is to simply monitor the situation or initiate or seek some other non-litigious action or solution.</w:t>
      </w:r>
    </w:p>
    <w:p>
      <w:pPr>
        <w:spacing w:after="0" w:line="52" w:lineRule="exact"/>
        <w:rPr>
          <w:sz w:val="20"/>
          <w:szCs w:val="20"/>
          <w:color w:val="auto"/>
        </w:rPr>
      </w:pPr>
    </w:p>
    <w:p>
      <w:pPr>
        <w:ind w:left="1140" w:right="12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rights to develop and commercialize our products are subject, in part, to the terms and conditions of licenses granted to us by others.</w:t>
      </w:r>
    </w:p>
    <w:p>
      <w:pPr>
        <w:spacing w:after="0" w:line="33"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Although we do not currently rely upon any material licenses to any patent rights, proprietary technology, or other intellectual property from any third parties for the development of our products and technology, we may in the future rely, in part, upon licenses to certain patent rights, proprietary technology and other intellectual property from third parties that are important or necessary to the development of our products and technology, including future products and technology. Further development and commercialization of our current products, and development of any future products, may require us to enter into license or collaboration agreements.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w:t>
      </w:r>
    </w:p>
    <w:p>
      <w:pPr>
        <w:spacing w:after="0" w:line="64" w:lineRule="exact"/>
        <w:rPr>
          <w:sz w:val="20"/>
          <w:szCs w:val="20"/>
          <w:color w:val="auto"/>
        </w:rPr>
      </w:pPr>
    </w:p>
    <w:p>
      <w:pPr>
        <w:ind w:left="1140" w:right="1219" w:firstLine="258"/>
        <w:spacing w:after="0" w:line="261" w:lineRule="auto"/>
        <w:rPr>
          <w:sz w:val="20"/>
          <w:szCs w:val="20"/>
          <w:color w:val="auto"/>
        </w:rPr>
      </w:pPr>
      <w:r>
        <w:rPr>
          <w:rFonts w:ascii="Times New Roman" w:cs="Times New Roman" w:eastAsia="Times New Roman" w:hAnsi="Times New Roman"/>
          <w:sz w:val="14"/>
          <w:szCs w:val="14"/>
          <w:color w:val="auto"/>
        </w:rPr>
        <w:t>In addition, and as such, in the future we may not have the right to control the preparation, filing, prosecution, maintenance, enforcement and defense of patents and patent applications covering the technology that we license from third parties. Therefore, we cannot be certain that these patents and patent applications will be prepared, filed, prosecuted, maintained, enforced and defended in a manner consistent with the best interests of our business. Additionally, patents that may be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If our potential licensors fail to prosecute, maintain, enforce and defend such patents, or lose rights to those patents or patent applications, the rights</w:t>
      </w:r>
    </w:p>
    <w:p>
      <w:pPr>
        <w:spacing w:after="0" w:line="3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60" w:name="page61"/>
    <w:bookmarkEnd w:id="60"/>
    <w:p>
      <w:pPr>
        <w:ind w:left="1140" w:right="1179"/>
        <w:spacing w:after="0" w:line="293" w:lineRule="auto"/>
        <w:rPr>
          <w:sz w:val="20"/>
          <w:szCs w:val="20"/>
          <w:color w:val="auto"/>
        </w:rPr>
      </w:pPr>
      <w:r>
        <w:rPr>
          <w:rFonts w:ascii="Times New Roman" w:cs="Times New Roman" w:eastAsia="Times New Roman" w:hAnsi="Times New Roman"/>
          <w:sz w:val="14"/>
          <w:szCs w:val="14"/>
          <w:color w:val="auto"/>
        </w:rPr>
        <w:t>we have licensed may be reduced or eliminated, and our right to develop and commercialize any of our products that are subject of such licensed rights could be adversely affected.</w:t>
      </w:r>
    </w:p>
    <w:p>
      <w:pPr>
        <w:spacing w:after="0" w:line="37" w:lineRule="exact"/>
        <w:rPr>
          <w:sz w:val="20"/>
          <w:szCs w:val="20"/>
          <w:color w:val="auto"/>
        </w:rPr>
      </w:pPr>
    </w:p>
    <w:p>
      <w:pPr>
        <w:ind w:left="1140" w:right="1179" w:firstLine="258"/>
        <w:spacing w:after="0" w:line="275" w:lineRule="auto"/>
        <w:rPr>
          <w:sz w:val="20"/>
          <w:szCs w:val="20"/>
          <w:color w:val="auto"/>
        </w:rPr>
      </w:pPr>
      <w:r>
        <w:rPr>
          <w:rFonts w:ascii="Times New Roman" w:cs="Times New Roman" w:eastAsia="Times New Roman" w:hAnsi="Times New Roman"/>
          <w:sz w:val="14"/>
          <w:szCs w:val="14"/>
          <w:color w:val="auto"/>
        </w:rPr>
        <w:t>Our potential licensors may have relied on third-party consultants or collaborators or on funds from third parties such that our licensors are not the sole and exclusive owners of the patents we in-license. This could materially and adversely affect our business, financial condition and results of operations.</w:t>
      </w:r>
    </w:p>
    <w:p>
      <w:pPr>
        <w:spacing w:after="0" w:line="49" w:lineRule="exact"/>
        <w:rPr>
          <w:sz w:val="20"/>
          <w:szCs w:val="20"/>
          <w:color w:val="auto"/>
        </w:rPr>
      </w:pPr>
    </w:p>
    <w:p>
      <w:pPr>
        <w:ind w:left="1140" w:right="1179" w:firstLine="258"/>
        <w:spacing w:after="0" w:line="259" w:lineRule="auto"/>
        <w:rPr>
          <w:sz w:val="20"/>
          <w:szCs w:val="20"/>
          <w:color w:val="auto"/>
        </w:rPr>
      </w:pPr>
      <w:r>
        <w:rPr>
          <w:rFonts w:ascii="Times New Roman" w:cs="Times New Roman" w:eastAsia="Times New Roman" w:hAnsi="Times New Roman"/>
          <w:sz w:val="14"/>
          <w:szCs w:val="14"/>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In spite of our best efforts, our licensors might also conclude that we have materially breached our license agreements and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Moreover, if disputes over intellectual property that we license prevent or impair our ability to maintain other licensing arrangements on commercially acceptable terms, we may be unable to successfully develop and commercialize the affected products. Any of these events could materially and adversely affect our business, financial condition and results of operations.</w:t>
      </w:r>
    </w:p>
    <w:p>
      <w:pPr>
        <w:spacing w:after="0" w:line="57" w:lineRule="exact"/>
        <w:rPr>
          <w:sz w:val="20"/>
          <w:szCs w:val="20"/>
          <w:color w:val="auto"/>
        </w:rPr>
      </w:pPr>
    </w:p>
    <w:p>
      <w:pPr>
        <w:ind w:left="1140" w:right="12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 the future, we may enter agreements involving licenses or collaborations that provide for access or sharing of intellectual property. If we fail to comply with our obligations under any license, collaboration or other agreements, we may be required to pay damages and could lose intellectual property rights that are necessary for developing and protecting our current and future products.</w:t>
      </w:r>
    </w:p>
    <w:p>
      <w:pPr>
        <w:spacing w:after="0" w:line="54" w:lineRule="exact"/>
        <w:rPr>
          <w:sz w:val="20"/>
          <w:szCs w:val="20"/>
          <w:color w:val="auto"/>
        </w:rPr>
      </w:pPr>
    </w:p>
    <w:p>
      <w:pPr>
        <w:ind w:left="1140" w:right="1179" w:firstLine="258"/>
        <w:spacing w:after="0" w:line="264" w:lineRule="auto"/>
        <w:rPr>
          <w:sz w:val="20"/>
          <w:szCs w:val="20"/>
          <w:color w:val="auto"/>
        </w:rPr>
      </w:pPr>
      <w:r>
        <w:rPr>
          <w:rFonts w:ascii="Times New Roman" w:cs="Times New Roman" w:eastAsia="Times New Roman" w:hAnsi="Times New Roman"/>
          <w:sz w:val="14"/>
          <w:szCs w:val="14"/>
          <w:color w:val="auto"/>
        </w:rPr>
        <w:t>We currently, and in the future may continue to, license from third parties certain intellectual property relating to our current and future products. In the event we do so, we may have certain obligations to such licensors. If we breach any material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w:t>
      </w:r>
    </w:p>
    <w:p>
      <w:pPr>
        <w:spacing w:after="0" w:line="56" w:lineRule="exact"/>
        <w:rPr>
          <w:sz w:val="20"/>
          <w:szCs w:val="20"/>
          <w:color w:val="auto"/>
        </w:rPr>
      </w:pPr>
    </w:p>
    <w:p>
      <w:pPr>
        <w:ind w:left="1140" w:right="1559" w:firstLine="258"/>
        <w:spacing w:after="0" w:line="293" w:lineRule="auto"/>
        <w:rPr>
          <w:sz w:val="20"/>
          <w:szCs w:val="20"/>
          <w:color w:val="auto"/>
        </w:rPr>
      </w:pPr>
      <w:r>
        <w:rPr>
          <w:rFonts w:ascii="Times New Roman" w:cs="Times New Roman" w:eastAsia="Times New Roman" w:hAnsi="Times New Roman"/>
          <w:sz w:val="14"/>
          <w:szCs w:val="14"/>
          <w:color w:val="auto"/>
        </w:rPr>
        <w:t>Disputes may arise between us and our future licensors regarding intellectual property subject to a license agreement, including:</w:t>
      </w:r>
    </w:p>
    <w:p>
      <w:pPr>
        <w:spacing w:after="0" w:line="37" w:lineRule="exact"/>
        <w:rPr>
          <w:sz w:val="20"/>
          <w:szCs w:val="20"/>
          <w:color w:val="auto"/>
        </w:rPr>
      </w:pPr>
    </w:p>
    <w:p>
      <w:pPr>
        <w:ind w:left="1840" w:hanging="342"/>
        <w:spacing w:after="0"/>
        <w:tabs>
          <w:tab w:leader="none" w:pos="18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97" w:lineRule="exact"/>
        <w:rPr>
          <w:rFonts w:ascii="Times New Roman" w:cs="Times New Roman" w:eastAsia="Times New Roman" w:hAnsi="Times New Roman"/>
          <w:sz w:val="14"/>
          <w:szCs w:val="14"/>
          <w:color w:val="auto"/>
        </w:rPr>
      </w:pPr>
    </w:p>
    <w:p>
      <w:pPr>
        <w:ind w:left="1840" w:right="1379" w:hanging="342"/>
        <w:spacing w:after="0" w:line="293" w:lineRule="auto"/>
        <w:tabs>
          <w:tab w:leader="none" w:pos="18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technology and processes infringe on intellectual property of the licensor that is not subject to the licensing agreement;</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patents and other rights to third parties;</w:t>
      </w:r>
    </w:p>
    <w:p>
      <w:pPr>
        <w:spacing w:after="0" w:line="97" w:lineRule="exact"/>
        <w:rPr>
          <w:rFonts w:ascii="Times New Roman" w:cs="Times New Roman" w:eastAsia="Times New Roman" w:hAnsi="Times New Roman"/>
          <w:sz w:val="14"/>
          <w:szCs w:val="14"/>
          <w:color w:val="auto"/>
        </w:rPr>
      </w:pPr>
    </w:p>
    <w:p>
      <w:pPr>
        <w:ind w:left="1840" w:right="1719" w:hanging="342"/>
        <w:spacing w:after="0" w:line="275" w:lineRule="auto"/>
        <w:tabs>
          <w:tab w:leader="none" w:pos="18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technology in relation to our development and commercialization of our products, and what activities satisfy those diligence obligations;</w:t>
      </w:r>
    </w:p>
    <w:p>
      <w:pPr>
        <w:spacing w:after="0" w:line="49"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transfer or assign the license; and</w:t>
      </w:r>
    </w:p>
    <w:p>
      <w:pPr>
        <w:spacing w:after="0" w:line="97" w:lineRule="exact"/>
        <w:rPr>
          <w:rFonts w:ascii="Times New Roman" w:cs="Times New Roman" w:eastAsia="Times New Roman" w:hAnsi="Times New Roman"/>
          <w:sz w:val="14"/>
          <w:szCs w:val="14"/>
          <w:color w:val="auto"/>
        </w:rPr>
      </w:pPr>
    </w:p>
    <w:p>
      <w:pPr>
        <w:ind w:left="1840" w:right="1619" w:hanging="342"/>
        <w:spacing w:after="0" w:line="293" w:lineRule="auto"/>
        <w:tabs>
          <w:tab w:leader="none" w:pos="18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any of our future licensors and us and our partners.</w:t>
      </w:r>
    </w:p>
    <w:p>
      <w:pPr>
        <w:spacing w:after="0" w:line="37" w:lineRule="exact"/>
        <w:rPr>
          <w:sz w:val="20"/>
          <w:szCs w:val="20"/>
          <w:color w:val="auto"/>
        </w:rPr>
      </w:pPr>
    </w:p>
    <w:p>
      <w:pPr>
        <w:ind w:left="1140" w:right="1339" w:firstLine="258"/>
        <w:spacing w:after="0" w:line="275" w:lineRule="auto"/>
        <w:rPr>
          <w:sz w:val="20"/>
          <w:szCs w:val="20"/>
          <w:color w:val="auto"/>
        </w:rPr>
      </w:pPr>
      <w:r>
        <w:rPr>
          <w:rFonts w:ascii="Times New Roman" w:cs="Times New Roman" w:eastAsia="Times New Roman" w:hAnsi="Times New Roman"/>
          <w:sz w:val="14"/>
          <w:szCs w:val="14"/>
          <w:color w:val="auto"/>
        </w:rPr>
        <w:t>If disputes over intellectual property that we license in the future prevent or impair our ability to maintain our licensing arrangements on acceptable terms, we may not be able to successfully develop and commercialize the affected products, which would have a material adverse effect on our business.</w:t>
      </w:r>
    </w:p>
    <w:p>
      <w:pPr>
        <w:spacing w:after="0" w:line="49" w:lineRule="exact"/>
        <w:rPr>
          <w:sz w:val="20"/>
          <w:szCs w:val="20"/>
          <w:color w:val="auto"/>
        </w:rPr>
      </w:pPr>
    </w:p>
    <w:p>
      <w:pPr>
        <w:ind w:left="1140" w:right="1259" w:firstLine="258"/>
        <w:spacing w:after="0" w:line="293" w:lineRule="auto"/>
        <w:rPr>
          <w:sz w:val="20"/>
          <w:szCs w:val="20"/>
          <w:color w:val="auto"/>
        </w:rPr>
      </w:pPr>
      <w:r>
        <w:rPr>
          <w:rFonts w:ascii="Times New Roman" w:cs="Times New Roman" w:eastAsia="Times New Roman" w:hAnsi="Times New Roman"/>
          <w:sz w:val="14"/>
          <w:szCs w:val="14"/>
          <w:color w:val="auto"/>
        </w:rPr>
        <w:t>In addition, certain of our future agreements with third parties may limit or delay our ability to consummate certain transactions, may impact the value of those transactions, or may limit our ability to pursue certain activities.</w:t>
      </w:r>
    </w:p>
    <w:p>
      <w:pPr>
        <w:spacing w:after="0" w:line="3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61" w:name="page62"/>
    <w:bookmarkEnd w:id="61"/>
    <w:p>
      <w:pPr>
        <w:ind w:left="1140" w:right="1559"/>
        <w:spacing w:after="0" w:line="293" w:lineRule="auto"/>
        <w:rPr>
          <w:sz w:val="20"/>
          <w:szCs w:val="20"/>
          <w:color w:val="auto"/>
        </w:rPr>
      </w:pPr>
      <w:r>
        <w:rPr>
          <w:rFonts w:ascii="Times New Roman" w:cs="Times New Roman" w:eastAsia="Times New Roman" w:hAnsi="Times New Roman"/>
          <w:sz w:val="14"/>
          <w:szCs w:val="14"/>
          <w:color w:val="auto"/>
        </w:rPr>
        <w:t>For example, we may in the future enter into license agreements that are not assignable or transferable, or that require the licensor’s express consent in order for an assignment or transfer to take place.</w:t>
      </w:r>
    </w:p>
    <w:p>
      <w:pPr>
        <w:spacing w:after="0" w:line="37" w:lineRule="exact"/>
        <w:rPr>
          <w:sz w:val="20"/>
          <w:szCs w:val="20"/>
          <w:color w:val="auto"/>
        </w:rPr>
      </w:pPr>
    </w:p>
    <w:p>
      <w:pPr>
        <w:ind w:left="1140" w:right="1219" w:firstLine="258"/>
        <w:spacing w:after="0" w:line="260" w:lineRule="auto"/>
        <w:rPr>
          <w:sz w:val="20"/>
          <w:szCs w:val="20"/>
          <w:color w:val="auto"/>
        </w:rPr>
      </w:pPr>
      <w:r>
        <w:rPr>
          <w:rFonts w:ascii="Times New Roman" w:cs="Times New Roman" w:eastAsia="Times New Roman" w:hAnsi="Times New Roman"/>
          <w:sz w:val="14"/>
          <w:szCs w:val="14"/>
          <w:color w:val="auto"/>
        </w:rPr>
        <w:t>Further, we or our future licensors, if any,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of form in the preparation or filing of our patents or patent applications may exist, or may arise in the future, for example with respect to proper priority claims, inventorship, claim scope, or requests for patent term adjustments. If we or our future licensors fail to establish, maintain or protect such patents and other intellectual property rights, such rights may be reduced or eliminated. If our future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59" w:lineRule="exact"/>
        <w:rPr>
          <w:sz w:val="20"/>
          <w:szCs w:val="20"/>
          <w:color w:val="auto"/>
        </w:rPr>
      </w:pPr>
    </w:p>
    <w:p>
      <w:pPr>
        <w:ind w:left="1140" w:right="1239" w:firstLine="258"/>
        <w:spacing w:after="0" w:line="275" w:lineRule="auto"/>
        <w:rPr>
          <w:sz w:val="20"/>
          <w:szCs w:val="20"/>
          <w:color w:val="auto"/>
        </w:rPr>
      </w:pPr>
      <w:r>
        <w:rPr>
          <w:rFonts w:ascii="Times New Roman" w:cs="Times New Roman" w:eastAsia="Times New Roman" w:hAnsi="Times New Roman"/>
          <w:sz w:val="14"/>
          <w:szCs w:val="14"/>
          <w:color w:val="auto"/>
        </w:rPr>
        <w:t>In addition, even where we have the right to control patent prosecution of patents and patent applications under future license from third parties, we may still be adversely affected or prejudiced by actions or inactions of our predecessors or licensors and their counsel that took place prior to us assuming control over patent prosecution.</w:t>
      </w:r>
    </w:p>
    <w:p>
      <w:pPr>
        <w:spacing w:after="0" w:line="49" w:lineRule="exact"/>
        <w:rPr>
          <w:sz w:val="20"/>
          <w:szCs w:val="20"/>
          <w:color w:val="auto"/>
        </w:rPr>
      </w:pPr>
    </w:p>
    <w:p>
      <w:pPr>
        <w:ind w:left="1140" w:right="1159" w:firstLine="258"/>
        <w:spacing w:after="0" w:line="262" w:lineRule="auto"/>
        <w:rPr>
          <w:sz w:val="20"/>
          <w:szCs w:val="20"/>
          <w:color w:val="auto"/>
        </w:rPr>
      </w:pPr>
      <w:r>
        <w:rPr>
          <w:rFonts w:ascii="Times New Roman" w:cs="Times New Roman" w:eastAsia="Times New Roman" w:hAnsi="Times New Roman"/>
          <w:sz w:val="14"/>
          <w:szCs w:val="14"/>
          <w:color w:val="auto"/>
        </w:rPr>
        <w:t>Our technology acquired or licensed in the future from various third parties may be subject to retained rights. Our predecessors or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predecessors or future licensors limit their use of the technology to these uses, and we could incur substantial expenses to enforce our rights to our licensed technology in the event of misuse.</w:t>
      </w:r>
    </w:p>
    <w:p>
      <w:pPr>
        <w:spacing w:after="0" w:line="61" w:lineRule="exact"/>
        <w:rPr>
          <w:sz w:val="20"/>
          <w:szCs w:val="20"/>
          <w:color w:val="auto"/>
        </w:rPr>
      </w:pPr>
    </w:p>
    <w:p>
      <w:pPr>
        <w:ind w:left="1140" w:right="1259" w:firstLine="258"/>
        <w:spacing w:after="0" w:line="264" w:lineRule="auto"/>
        <w:rPr>
          <w:sz w:val="20"/>
          <w:szCs w:val="20"/>
          <w:color w:val="auto"/>
        </w:rPr>
      </w:pPr>
      <w:r>
        <w:rPr>
          <w:rFonts w:ascii="Times New Roman" w:cs="Times New Roman" w:eastAsia="Times New Roman" w:hAnsi="Times New Roman"/>
          <w:sz w:val="14"/>
          <w:szCs w:val="14"/>
          <w:color w:val="auto"/>
        </w:rPr>
        <w:t>If we are limited in our ability to utilize acquired or future licensed technologies, or if we lose our rights to critical future in-licensed technology, we may be unable to successfully develop, out-license, market and sell our products, which could prevent or delay new product introductions. Our business strategy depends on the successful development of acquired technologies, and possibly in the future licensed technology, into commercial products. Therefore, any limitations on our ability to utilize these technologies may impair our ability to develop, out-license or market and sell our products.</w:t>
      </w:r>
    </w:p>
    <w:p>
      <w:pPr>
        <w:spacing w:after="0" w:line="52" w:lineRule="exact"/>
        <w:rPr>
          <w:sz w:val="20"/>
          <w:szCs w:val="20"/>
          <w:color w:val="auto"/>
        </w:rPr>
      </w:pPr>
    </w:p>
    <w:p>
      <w:pPr>
        <w:ind w:left="1140" w:right="11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may not be successful in obtaining necessary rights to any products we may develop through acquisitions and in-licenses.</w:t>
      </w:r>
    </w:p>
    <w:p>
      <w:pPr>
        <w:spacing w:after="0" w:line="33" w:lineRule="exact"/>
        <w:rPr>
          <w:sz w:val="20"/>
          <w:szCs w:val="20"/>
          <w:color w:val="auto"/>
        </w:rPr>
      </w:pPr>
    </w:p>
    <w:p>
      <w:pPr>
        <w:ind w:left="1140" w:right="1199" w:firstLine="258"/>
        <w:spacing w:after="0" w:line="259" w:lineRule="auto"/>
        <w:rPr>
          <w:sz w:val="20"/>
          <w:szCs w:val="20"/>
          <w:color w:val="auto"/>
        </w:rPr>
      </w:pPr>
      <w:r>
        <w:rPr>
          <w:rFonts w:ascii="Times New Roman" w:cs="Times New Roman" w:eastAsia="Times New Roman" w:hAnsi="Times New Roman"/>
          <w:sz w:val="14"/>
          <w:szCs w:val="14"/>
          <w:color w:val="auto"/>
        </w:rPr>
        <w:t>We may need to obtain additional licenses from our existing licensors or otherwise acquire or in-license any intellectual property rights from third parties that we identify as necessary for our products. It is possible that we may be unable to obtain any additional licenses or acquire such intellectual property rights at a reasonable cost or on reasonable terms, if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In that event,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products, which could materially and adversely affect our business, financial condition and results of operations.</w:t>
      </w: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62" w:name="page63"/>
    <w:bookmarkEnd w:id="62"/>
    <w:p>
      <w:pPr>
        <w:ind w:left="1140" w:right="11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Any collaboration or partnership arrangements that we may enter into in the future may not be successful, which could adversely affect our ability to develop and commercialize our products.</w:t>
      </w:r>
    </w:p>
    <w:p>
      <w:pPr>
        <w:spacing w:after="0" w:line="33" w:lineRule="exact"/>
        <w:rPr>
          <w:sz w:val="20"/>
          <w:szCs w:val="20"/>
          <w:color w:val="auto"/>
        </w:rPr>
      </w:pPr>
    </w:p>
    <w:p>
      <w:pPr>
        <w:ind w:left="1140" w:right="1459" w:firstLine="258"/>
        <w:spacing w:after="0" w:line="275" w:lineRule="auto"/>
        <w:rPr>
          <w:sz w:val="20"/>
          <w:szCs w:val="20"/>
          <w:color w:val="auto"/>
        </w:rPr>
      </w:pPr>
      <w:r>
        <w:rPr>
          <w:rFonts w:ascii="Times New Roman" w:cs="Times New Roman" w:eastAsia="Times New Roman" w:hAnsi="Times New Roman"/>
          <w:sz w:val="14"/>
          <w:szCs w:val="14"/>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49" w:lineRule="exact"/>
        <w:rPr>
          <w:sz w:val="20"/>
          <w:szCs w:val="20"/>
          <w:color w:val="auto"/>
        </w:rPr>
      </w:pPr>
    </w:p>
    <w:p>
      <w:pPr>
        <w:ind w:left="1840" w:right="1259" w:hanging="342"/>
        <w:spacing w:after="0" w:line="293" w:lineRule="auto"/>
        <w:tabs>
          <w:tab w:leader="none" w:pos="18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collaborations;</w:t>
      </w:r>
    </w:p>
    <w:p>
      <w:pPr>
        <w:spacing w:after="0" w:line="37" w:lineRule="exact"/>
        <w:rPr>
          <w:rFonts w:ascii="Times New Roman" w:cs="Times New Roman" w:eastAsia="Times New Roman" w:hAnsi="Times New Roman"/>
          <w:sz w:val="14"/>
          <w:szCs w:val="14"/>
          <w:color w:val="auto"/>
        </w:rPr>
      </w:pPr>
    </w:p>
    <w:p>
      <w:pPr>
        <w:ind w:left="1840" w:right="1239" w:hanging="342"/>
        <w:spacing w:after="0" w:line="268" w:lineRule="auto"/>
        <w:tabs>
          <w:tab w:leader="none" w:pos="18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55" w:lineRule="exact"/>
        <w:rPr>
          <w:rFonts w:ascii="Times New Roman" w:cs="Times New Roman" w:eastAsia="Times New Roman" w:hAnsi="Times New Roman"/>
          <w:sz w:val="14"/>
          <w:szCs w:val="14"/>
          <w:color w:val="auto"/>
        </w:rPr>
      </w:pPr>
    </w:p>
    <w:p>
      <w:pPr>
        <w:ind w:left="1840" w:right="1219" w:hanging="342"/>
        <w:spacing w:after="0" w:line="293" w:lineRule="auto"/>
        <w:tabs>
          <w:tab w:leader="none" w:pos="18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current and future products;</w:t>
      </w:r>
    </w:p>
    <w:p>
      <w:pPr>
        <w:spacing w:after="0" w:line="37" w:lineRule="exact"/>
        <w:rPr>
          <w:rFonts w:ascii="Times New Roman" w:cs="Times New Roman" w:eastAsia="Times New Roman" w:hAnsi="Times New Roman"/>
          <w:sz w:val="14"/>
          <w:szCs w:val="14"/>
          <w:color w:val="auto"/>
        </w:rPr>
      </w:pPr>
    </w:p>
    <w:p>
      <w:pPr>
        <w:jc w:val="both"/>
        <w:ind w:left="1840" w:right="1359" w:hanging="342"/>
        <w:spacing w:after="0" w:line="293" w:lineRule="auto"/>
        <w:tabs>
          <w:tab w:leader="none" w:pos="18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manufacturing and distribution rights to one or more products may not commit sufficient resources to or otherwise not perform satisfactorily in carrying out these activities;</w:t>
      </w:r>
    </w:p>
    <w:p>
      <w:pPr>
        <w:spacing w:after="0" w:line="37" w:lineRule="exact"/>
        <w:rPr>
          <w:rFonts w:ascii="Times New Roman" w:cs="Times New Roman" w:eastAsia="Times New Roman" w:hAnsi="Times New Roman"/>
          <w:sz w:val="14"/>
          <w:szCs w:val="14"/>
          <w:color w:val="auto"/>
        </w:rPr>
      </w:pPr>
    </w:p>
    <w:p>
      <w:pPr>
        <w:ind w:left="1840" w:right="1539" w:hanging="342"/>
        <w:spacing w:after="0" w:line="293" w:lineRule="auto"/>
        <w:tabs>
          <w:tab w:leader="none" w:pos="18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grant exclusive rights to our collaborators that would prevent us from collaborating with others;</w:t>
      </w:r>
    </w:p>
    <w:p>
      <w:pPr>
        <w:spacing w:after="0" w:line="37" w:lineRule="exact"/>
        <w:rPr>
          <w:rFonts w:ascii="Times New Roman" w:cs="Times New Roman" w:eastAsia="Times New Roman" w:hAnsi="Times New Roman"/>
          <w:sz w:val="14"/>
          <w:szCs w:val="14"/>
          <w:color w:val="auto"/>
        </w:rPr>
      </w:pPr>
    </w:p>
    <w:p>
      <w:pPr>
        <w:ind w:left="1840" w:right="1239" w:hanging="342"/>
        <w:spacing w:after="0" w:line="268" w:lineRule="auto"/>
        <w:tabs>
          <w:tab w:leader="none" w:pos="18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55" w:lineRule="exact"/>
        <w:rPr>
          <w:rFonts w:ascii="Times New Roman" w:cs="Times New Roman" w:eastAsia="Times New Roman" w:hAnsi="Times New Roman"/>
          <w:sz w:val="14"/>
          <w:szCs w:val="14"/>
          <w:color w:val="auto"/>
        </w:rPr>
      </w:pPr>
    </w:p>
    <w:p>
      <w:pPr>
        <w:ind w:left="1840" w:right="1239" w:hanging="342"/>
        <w:spacing w:after="0" w:line="275" w:lineRule="auto"/>
        <w:tabs>
          <w:tab w:leader="none" w:pos="18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49" w:lineRule="exact"/>
        <w:rPr>
          <w:rFonts w:ascii="Times New Roman" w:cs="Times New Roman" w:eastAsia="Times New Roman" w:hAnsi="Times New Roman"/>
          <w:sz w:val="14"/>
          <w:szCs w:val="14"/>
          <w:color w:val="auto"/>
        </w:rPr>
      </w:pPr>
    </w:p>
    <w:p>
      <w:pPr>
        <w:ind w:left="1840" w:right="1559" w:hanging="342"/>
        <w:spacing w:after="0" w:line="293" w:lineRule="auto"/>
        <w:tabs>
          <w:tab w:leader="none" w:pos="18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and, if terminated, may result in a need for additional capital to pursue further development or commercialization of the applicable current or future products;</w:t>
      </w:r>
    </w:p>
    <w:p>
      <w:pPr>
        <w:spacing w:after="0" w:line="37" w:lineRule="exact"/>
        <w:rPr>
          <w:rFonts w:ascii="Times New Roman" w:cs="Times New Roman" w:eastAsia="Times New Roman" w:hAnsi="Times New Roman"/>
          <w:sz w:val="14"/>
          <w:szCs w:val="14"/>
          <w:color w:val="auto"/>
        </w:rPr>
      </w:pPr>
    </w:p>
    <w:p>
      <w:pPr>
        <w:ind w:left="1840" w:right="1539" w:hanging="342"/>
        <w:spacing w:after="0" w:line="275" w:lineRule="auto"/>
        <w:tabs>
          <w:tab w:leader="none" w:pos="18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49" w:lineRule="exact"/>
        <w:rPr>
          <w:rFonts w:ascii="Times New Roman" w:cs="Times New Roman" w:eastAsia="Times New Roman" w:hAnsi="Times New Roman"/>
          <w:sz w:val="14"/>
          <w:szCs w:val="14"/>
          <w:color w:val="auto"/>
        </w:rPr>
      </w:pPr>
    </w:p>
    <w:p>
      <w:pPr>
        <w:ind w:left="1840" w:right="1619" w:hanging="342"/>
        <w:spacing w:after="0" w:line="293" w:lineRule="auto"/>
        <w:tabs>
          <w:tab w:leader="none" w:pos="18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collaborator’s sales and marketing activities or other operations may not be in compliance with applicable laws resulting in civil or criminal proceedings.</w:t>
      </w:r>
    </w:p>
    <w:p>
      <w:pPr>
        <w:spacing w:after="0" w:line="3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We may be subject to claims challenging the inventorship of our patents and other intellectual property.</w:t>
      </w:r>
    </w:p>
    <w:p>
      <w:pPr>
        <w:spacing w:after="0" w:line="101" w:lineRule="exact"/>
        <w:rPr>
          <w:sz w:val="20"/>
          <w:szCs w:val="20"/>
          <w:color w:val="auto"/>
        </w:rPr>
      </w:pPr>
    </w:p>
    <w:p>
      <w:pPr>
        <w:ind w:left="1140" w:right="1159" w:firstLine="258"/>
        <w:spacing w:after="0" w:line="259" w:lineRule="auto"/>
        <w:rPr>
          <w:sz w:val="20"/>
          <w:szCs w:val="20"/>
          <w:color w:val="auto"/>
        </w:rPr>
      </w:pPr>
      <w:r>
        <w:rPr>
          <w:rFonts w:ascii="Times New Roman" w:cs="Times New Roman" w:eastAsia="Times New Roman" w:hAnsi="Times New Roman"/>
          <w:sz w:val="14"/>
          <w:szCs w:val="14"/>
          <w:color w:val="auto"/>
        </w:rPr>
        <w:t>We or our licensors may be subject to claims that former consultants, contractors or other third parties have an interest in our owned or in-licensed patents, trade secrets or other intellectual property as an inventor or co-inventor.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If we or our licensors fail in defending any such claims, in addition to paying monetary damages, we may lose valuable intellectual property rights, such as exclusive ownership of, or right to use, intellectual property that is important to our products. Furthermore, individuals executing invention assignment agreements with us may have preexisting or competing obligations to a third party, such as an academic institution, and thus an agreement with us may be ineffective in perfecting ownership of inventions developed by that individual. Any such events could have a material adverse effect on our business, financial condition and results of operations.</w:t>
      </w: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63" w:name="page64"/>
    <w:bookmarkEnd w:id="63"/>
    <w:p>
      <w:pPr>
        <w:ind w:left="1140" w:right="11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and other proprietary information, our business and competitive position may be harmed.</w:t>
      </w:r>
    </w:p>
    <w:p>
      <w:pPr>
        <w:spacing w:after="0" w:line="33" w:lineRule="exact"/>
        <w:rPr>
          <w:sz w:val="20"/>
          <w:szCs w:val="20"/>
          <w:color w:val="auto"/>
        </w:rPr>
      </w:pPr>
    </w:p>
    <w:p>
      <w:pPr>
        <w:ind w:left="1140" w:right="1219" w:firstLine="258"/>
        <w:spacing w:after="0" w:line="258" w:lineRule="auto"/>
        <w:rPr>
          <w:sz w:val="20"/>
          <w:szCs w:val="20"/>
          <w:color w:val="auto"/>
        </w:rPr>
      </w:pPr>
      <w:r>
        <w:rPr>
          <w:rFonts w:ascii="Times New Roman" w:cs="Times New Roman" w:eastAsia="Times New Roman" w:hAnsi="Times New Roman"/>
          <w:sz w:val="14"/>
          <w:szCs w:val="14"/>
          <w:color w:val="auto"/>
        </w:rPr>
        <w:t>In addition to patent protection, we also rely on other proprietary rights, including protection of trade secrets, and other proprietary information that is not patentable or that we elect not to patent. However, trade secrets can be difficult to protect and some courts inside and outside the United States are less willing or unwilling to protect trade secrets. To maintain the confidentiality of our trade secrets and proprietary information, we rely heavily on confidentiality provisions that we have in contracts with our employees, consultants, collaborators and others upon the commencement of their relationship with us. We cannot guarantee that we have entered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proprietary information. There can be no assurance that such third parties will not breach their agreements with us, that we will have adequate remedies for any breach, or that our trade secrets will not otherwise become known or independently developed by competitors. Despite the protections we do place on our intellectual property or other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68"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To the extent our intellectual property or other proprietary information protection is incomplete, we are exposed to a greater risk of direct competition. A third 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development or business acquisitions could be reduced and third parties might make claims against us related to losses of their confidential or proprietary information. Any of the foregoing could materially and adversely affect our business, financial condition and results of operations.</w:t>
      </w:r>
    </w:p>
    <w:p>
      <w:pPr>
        <w:spacing w:after="0" w:line="64" w:lineRule="exact"/>
        <w:rPr>
          <w:sz w:val="20"/>
          <w:szCs w:val="20"/>
          <w:color w:val="auto"/>
        </w:rPr>
      </w:pPr>
    </w:p>
    <w:p>
      <w:pPr>
        <w:ind w:left="1140" w:right="1219" w:firstLine="258"/>
        <w:spacing w:after="0" w:line="261" w:lineRule="auto"/>
        <w:rPr>
          <w:sz w:val="20"/>
          <w:szCs w:val="20"/>
          <w:color w:val="auto"/>
        </w:rPr>
      </w:pPr>
      <w:r>
        <w:rPr>
          <w:rFonts w:ascii="Times New Roman" w:cs="Times New Roman" w:eastAsia="Times New Roman" w:hAnsi="Times New Roman"/>
          <w:sz w:val="14"/>
          <w:szCs w:val="14"/>
          <w:color w:val="auto"/>
        </w:rPr>
        <w:t>Further, it is possible that others will independently develop the same or similar technology or otherwise obtain access to our unpatented technology, and in such cases we could not assert any trade secret rights against such parties or those to whom they communicate such trade secrets.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w:t>
      </w:r>
    </w:p>
    <w:p>
      <w:pPr>
        <w:spacing w:after="0" w:line="60" w:lineRule="exact"/>
        <w:rPr>
          <w:sz w:val="20"/>
          <w:szCs w:val="20"/>
          <w:color w:val="auto"/>
        </w:rPr>
      </w:pPr>
    </w:p>
    <w:p>
      <w:pPr>
        <w:ind w:left="1140" w:right="1219" w:firstLine="258"/>
        <w:spacing w:after="0" w:line="263" w:lineRule="auto"/>
        <w:rPr>
          <w:sz w:val="20"/>
          <w:szCs w:val="20"/>
          <w:color w:val="auto"/>
        </w:rPr>
      </w:pPr>
      <w:r>
        <w:rPr>
          <w:rFonts w:ascii="Times New Roman" w:cs="Times New Roman" w:eastAsia="Times New Roman" w:hAnsi="Times New Roman"/>
          <w:sz w:val="14"/>
          <w:szCs w:val="14"/>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w:t>
      </w:r>
    </w:p>
    <w:p>
      <w:pPr>
        <w:spacing w:after="0" w:line="229" w:lineRule="exact"/>
        <w:rPr>
          <w:sz w:val="20"/>
          <w:szCs w:val="20"/>
          <w:color w:val="auto"/>
        </w:rPr>
      </w:pPr>
    </w:p>
    <w:p>
      <w:pPr>
        <w:ind w:left="1140" w:right="11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Changes in United States patent law or the patent law of other countries or jurisdictions could diminish the value of patents in general, thereby impairing our ability to protect our products.</w:t>
      </w:r>
    </w:p>
    <w:p>
      <w:pPr>
        <w:spacing w:after="0" w:line="33" w:lineRule="exact"/>
        <w:rPr>
          <w:sz w:val="20"/>
          <w:szCs w:val="20"/>
          <w:color w:val="auto"/>
        </w:rPr>
      </w:pPr>
    </w:p>
    <w:p>
      <w:pPr>
        <w:ind w:left="1140" w:right="1279" w:firstLine="258"/>
        <w:spacing w:after="0" w:line="275" w:lineRule="auto"/>
        <w:rPr>
          <w:sz w:val="20"/>
          <w:szCs w:val="20"/>
          <w:color w:val="auto"/>
        </w:rPr>
      </w:pPr>
      <w:r>
        <w:rPr>
          <w:rFonts w:ascii="Times New Roman" w:cs="Times New Roman" w:eastAsia="Times New Roman" w:hAnsi="Times New Roman"/>
          <w:sz w:val="14"/>
          <w:szCs w:val="14"/>
          <w:color w:val="auto"/>
        </w:rPr>
        <w:t>Changes in either the patent laws or interpretation of the patent laws in the United States could increase the uncertainties and costs surrounding the prosecution of patent applications and the enforcement or defense of issued patents. The United States has enacted and implemented wide-ranging patent reform legislation. Assuming that</w:t>
      </w:r>
    </w:p>
    <w:p>
      <w:pPr>
        <w:spacing w:after="0" w:line="3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64" w:name="page65"/>
    <w:bookmarkEnd w:id="64"/>
    <w:p>
      <w:pPr>
        <w:ind w:left="1140" w:right="1199"/>
        <w:spacing w:after="0" w:line="259" w:lineRule="auto"/>
        <w:rPr>
          <w:sz w:val="20"/>
          <w:szCs w:val="20"/>
          <w:color w:val="auto"/>
        </w:rPr>
      </w:pPr>
      <w:r>
        <w:rPr>
          <w:rFonts w:ascii="Times New Roman" w:cs="Times New Roman" w:eastAsia="Times New Roman" w:hAnsi="Times New Roman"/>
          <w:sz w:val="14"/>
          <w:szCs w:val="14"/>
          <w:color w:val="auto"/>
        </w:rPr>
        <w:t>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66"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We cannot predict how decisions or actions by the courts, the U.S. Congress or the USPTO may impact the value of our patents.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Any of the foregoing could have a material adverse effect on our business, financial condition, results of operations and prospects.</w:t>
      </w:r>
    </w:p>
    <w:p>
      <w:pPr>
        <w:spacing w:after="0" w:line="55" w:lineRule="exact"/>
        <w:rPr>
          <w:sz w:val="20"/>
          <w:szCs w:val="20"/>
          <w:color w:val="auto"/>
        </w:rPr>
      </w:pPr>
    </w:p>
    <w:p>
      <w:pPr>
        <w:ind w:left="1140" w:right="15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 which could impair our business.</w:t>
      </w:r>
    </w:p>
    <w:p>
      <w:pPr>
        <w:spacing w:after="0" w:line="33" w:lineRule="exact"/>
        <w:rPr>
          <w:sz w:val="20"/>
          <w:szCs w:val="20"/>
          <w:color w:val="auto"/>
        </w:rPr>
      </w:pPr>
    </w:p>
    <w:p>
      <w:pPr>
        <w:ind w:left="1140" w:right="1199" w:firstLine="258"/>
        <w:spacing w:after="0" w:line="259" w:lineRule="auto"/>
        <w:rPr>
          <w:sz w:val="20"/>
          <w:szCs w:val="20"/>
          <w:color w:val="auto"/>
        </w:rPr>
      </w:pPr>
      <w:r>
        <w:rPr>
          <w:rFonts w:ascii="Times New Roman" w:cs="Times New Roman" w:eastAsia="Times New Roman" w:hAnsi="Times New Roman"/>
          <w:sz w:val="14"/>
          <w:szCs w:val="14"/>
          <w:color w:val="auto"/>
        </w:rPr>
        <w:t>Filing, prosecuting, and defending patents covering our RxSight system, and any of our future products throughout the world would be prohibitively expensive, and our intellectual property rights in some countries outside the United States are less extensive than those in the United States. In some cases, we or our licensors may not be able to obtain patent protection for certain technology outside the United States. In addition, the laws of some foreign countries do not protect intellectual property rights to the same extent as federal and state laws in the United States. Consequently, we may not be able to prevent third parties from practicing our or our licensors’ inventions in all countries outside the United States, even in jurisdictions where we or our licensors do pursue patent protection, or from selling or importing products made using our or our licensors’ inventions in and into the United States or other jurisdictions. Competitors may use our technologies in jurisdictions where we or our licensors have not obtained patent protection to develop their own products and, further, may export otherwise infringing products to territories where we may have or obtain patent protection, but where patent enforcement is not as strong as that in the United States. These unauthorized products may compete with our products in such jurisdictions and take away our market share where we do not have any issued or in-licensed patents and any future patent claims or other intellectual property rights may not be effective or sufficient to prevent them from so competing.</w:t>
      </w:r>
    </w:p>
    <w:p>
      <w:pPr>
        <w:spacing w:after="0" w:line="64"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Many companies have encountered significant problems in enforcing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65" w:name="page66"/>
    <w:bookmarkEnd w:id="65"/>
    <w:p>
      <w:pPr>
        <w:ind w:left="1140" w:right="1159" w:firstLine="258"/>
        <w:spacing w:after="0" w:line="264" w:lineRule="auto"/>
        <w:rPr>
          <w:sz w:val="20"/>
          <w:szCs w:val="20"/>
          <w:color w:val="auto"/>
        </w:rPr>
      </w:pPr>
      <w:r>
        <w:rPr>
          <w:rFonts w:ascii="Times New Roman" w:cs="Times New Roman" w:eastAsia="Times New Roman" w:hAnsi="Times New Roman"/>
          <w:sz w:val="14"/>
          <w:szCs w:val="14"/>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business, financial condition, results of operations and prospects could be materially and adversely affected.</w:t>
      </w:r>
    </w:p>
    <w:p>
      <w:pPr>
        <w:spacing w:after="0" w:line="56" w:lineRule="exact"/>
        <w:rPr>
          <w:sz w:val="20"/>
          <w:szCs w:val="20"/>
          <w:color w:val="auto"/>
        </w:rPr>
      </w:pPr>
    </w:p>
    <w:p>
      <w:pPr>
        <w:ind w:left="1140" w:right="1179" w:firstLine="258"/>
        <w:spacing w:after="0" w:line="268" w:lineRule="auto"/>
        <w:rPr>
          <w:sz w:val="20"/>
          <w:szCs w:val="20"/>
          <w:color w:val="auto"/>
        </w:rPr>
      </w:pPr>
      <w:r>
        <w:rPr>
          <w:rFonts w:ascii="Times New Roman" w:cs="Times New Roman" w:eastAsia="Times New Roman" w:hAnsi="Times New Roman"/>
          <w:sz w:val="14"/>
          <w:szCs w:val="14"/>
          <w:color w:val="auto"/>
        </w:rPr>
        <w:t>Since June 1, 2023, European applications have the option, upon grant of a patent, of becoming a Unitary Patent which will be subject to the jurisdiction of the Unitary Patent Court (“UPC”). This is a significant change in European patent practice. As the UPC is a new court system, there is no precedent for the court, increasing the uncertainty of any litigation.</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 to our competitive advantage.</w:t>
      </w:r>
    </w:p>
    <w:p>
      <w:pPr>
        <w:spacing w:after="0" w:line="101" w:lineRule="exact"/>
        <w:rPr>
          <w:sz w:val="20"/>
          <w:szCs w:val="20"/>
          <w:color w:val="auto"/>
        </w:rPr>
      </w:pPr>
    </w:p>
    <w:p>
      <w:pPr>
        <w:ind w:left="1140" w:right="1479" w:firstLine="258"/>
        <w:spacing w:after="0" w:line="275"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49" w:lineRule="exact"/>
        <w:rPr>
          <w:sz w:val="20"/>
          <w:szCs w:val="20"/>
          <w:color w:val="auto"/>
        </w:rPr>
      </w:pPr>
    </w:p>
    <w:p>
      <w:pPr>
        <w:ind w:left="1840" w:right="1199" w:hanging="342"/>
        <w:spacing w:after="0" w:line="275" w:lineRule="auto"/>
        <w:tabs>
          <w:tab w:leader="none" w:pos="18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a product that is similar to our current products and future products we intend to commercialize and that is not covered by the patents that we own or exclusively in-license and have the right to enforce;</w:t>
      </w:r>
    </w:p>
    <w:p>
      <w:pPr>
        <w:spacing w:after="0" w:line="49" w:lineRule="exact"/>
        <w:rPr>
          <w:rFonts w:ascii="Times New Roman" w:cs="Times New Roman" w:eastAsia="Times New Roman" w:hAnsi="Times New Roman"/>
          <w:sz w:val="14"/>
          <w:szCs w:val="14"/>
          <w:color w:val="auto"/>
        </w:rPr>
      </w:pPr>
    </w:p>
    <w:p>
      <w:pPr>
        <w:ind w:left="1840" w:right="1159" w:hanging="342"/>
        <w:spacing w:after="0" w:line="275" w:lineRule="auto"/>
        <w:tabs>
          <w:tab w:leader="none" w:pos="18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and any of our current or future licensors or collaborators might not have been the first to make the inventions covered by the issued patents or pending patent applications that we own, license or may own or license in the future;</w:t>
      </w:r>
    </w:p>
    <w:p>
      <w:pPr>
        <w:spacing w:after="0" w:line="49" w:lineRule="exact"/>
        <w:rPr>
          <w:rFonts w:ascii="Times New Roman" w:cs="Times New Roman" w:eastAsia="Times New Roman" w:hAnsi="Times New Roman"/>
          <w:sz w:val="14"/>
          <w:szCs w:val="14"/>
          <w:color w:val="auto"/>
        </w:rPr>
      </w:pPr>
    </w:p>
    <w:p>
      <w:pPr>
        <w:ind w:left="1840" w:right="1319" w:hanging="342"/>
        <w:spacing w:after="0" w:line="293" w:lineRule="auto"/>
        <w:tabs>
          <w:tab w:leader="none" w:pos="18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any of our current or future licensors or collaborators might not have been the first to file patent applications covering certain of our inventions;</w:t>
      </w:r>
    </w:p>
    <w:p>
      <w:pPr>
        <w:spacing w:after="0" w:line="37" w:lineRule="exact"/>
        <w:rPr>
          <w:rFonts w:ascii="Times New Roman" w:cs="Times New Roman" w:eastAsia="Times New Roman" w:hAnsi="Times New Roman"/>
          <w:sz w:val="14"/>
          <w:szCs w:val="14"/>
          <w:color w:val="auto"/>
        </w:rPr>
      </w:pPr>
    </w:p>
    <w:p>
      <w:pPr>
        <w:ind w:left="1840" w:right="1199" w:hanging="342"/>
        <w:spacing w:after="0" w:line="293" w:lineRule="auto"/>
        <w:tabs>
          <w:tab w:leader="none" w:pos="18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misappropriating or otherwise violating our intellectual property rights;</w:t>
      </w:r>
    </w:p>
    <w:p>
      <w:pPr>
        <w:spacing w:after="0" w:line="37" w:lineRule="exact"/>
        <w:rPr>
          <w:rFonts w:ascii="Times New Roman" w:cs="Times New Roman" w:eastAsia="Times New Roman" w:hAnsi="Times New Roman"/>
          <w:sz w:val="14"/>
          <w:szCs w:val="14"/>
          <w:color w:val="auto"/>
        </w:rPr>
      </w:pPr>
    </w:p>
    <w:p>
      <w:pPr>
        <w:ind w:left="1840" w:right="1359" w:hanging="342"/>
        <w:spacing w:after="0" w:line="293" w:lineRule="auto"/>
        <w:tabs>
          <w:tab w:leader="none" w:pos="18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current or future owned or in-licensed patent applications will not lead to issued patents;</w:t>
      </w:r>
    </w:p>
    <w:p>
      <w:pPr>
        <w:spacing w:after="0" w:line="37" w:lineRule="exact"/>
        <w:rPr>
          <w:rFonts w:ascii="Times New Roman" w:cs="Times New Roman" w:eastAsia="Times New Roman" w:hAnsi="Times New Roman"/>
          <w:sz w:val="14"/>
          <w:szCs w:val="14"/>
          <w:color w:val="auto"/>
        </w:rPr>
      </w:pPr>
    </w:p>
    <w:p>
      <w:pPr>
        <w:ind w:left="1840" w:right="1179" w:hanging="342"/>
        <w:spacing w:after="0" w:line="275" w:lineRule="auto"/>
        <w:tabs>
          <w:tab w:leader="none" w:pos="18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own or in-license may not provide us with any competitive advantages, or may be held invalid or unenforceable as a result of legal challenges, including as a result of legal challenges by our competitors;</w:t>
      </w:r>
    </w:p>
    <w:p>
      <w:pPr>
        <w:spacing w:after="0" w:line="49" w:lineRule="exact"/>
        <w:rPr>
          <w:rFonts w:ascii="Times New Roman" w:cs="Times New Roman" w:eastAsia="Times New Roman" w:hAnsi="Times New Roman"/>
          <w:sz w:val="14"/>
          <w:szCs w:val="14"/>
          <w:color w:val="auto"/>
        </w:rPr>
      </w:pPr>
    </w:p>
    <w:p>
      <w:pPr>
        <w:ind w:left="1840" w:right="1499" w:hanging="342"/>
        <w:spacing w:after="0" w:line="265" w:lineRule="auto"/>
        <w:tabs>
          <w:tab w:leader="none" w:pos="18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8"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patentable; and</w:t>
      </w:r>
    </w:p>
    <w:p>
      <w:pPr>
        <w:spacing w:after="0" w:line="97" w:lineRule="exact"/>
        <w:rPr>
          <w:rFonts w:ascii="Times New Roman" w:cs="Times New Roman" w:eastAsia="Times New Roman" w:hAnsi="Times New Roman"/>
          <w:sz w:val="14"/>
          <w:szCs w:val="14"/>
          <w:color w:val="auto"/>
        </w:rPr>
      </w:pPr>
    </w:p>
    <w:p>
      <w:pPr>
        <w:ind w:left="1840" w:right="1739" w:hanging="342"/>
        <w:spacing w:after="0" w:line="293" w:lineRule="auto"/>
        <w:tabs>
          <w:tab w:leader="none" w:pos="18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choose not to file a patent for certain trade secrets or know-how, and a third party may subsequently file a patent covering such intellectual property.</w:t>
      </w:r>
    </w:p>
    <w:p>
      <w:pPr>
        <w:spacing w:after="0" w:line="33" w:lineRule="exact"/>
        <w:rPr>
          <w:sz w:val="20"/>
          <w:szCs w:val="20"/>
          <w:color w:val="auto"/>
        </w:rPr>
      </w:pPr>
    </w:p>
    <w:p>
      <w:pPr>
        <w:ind w:left="1140" w:right="14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future use of “open source” software could subject our proprietary software to general release, adversely affect our ability to sell our products and subject us to possible litigation.</w:t>
      </w:r>
    </w:p>
    <w:p>
      <w:pPr>
        <w:spacing w:after="0" w:line="33"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color w:val="auto"/>
        </w:rPr>
        <w:t>We intend to incorporate open source software in future products or technologies licensed, developed and/or distributed by us.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source code in that software, as well as distribute our products that use particular open source software at no cost to the user. We intend to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w:t>
      </w:r>
    </w:p>
    <w:p>
      <w:pPr>
        <w:spacing w:after="0" w:line="3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66" w:name="page67"/>
    <w:bookmarkEnd w:id="66"/>
    <w:p>
      <w:pPr>
        <w:ind w:left="1140" w:right="1219"/>
        <w:spacing w:after="0" w:line="259" w:lineRule="auto"/>
        <w:rPr>
          <w:sz w:val="20"/>
          <w:szCs w:val="20"/>
          <w:color w:val="auto"/>
        </w:rPr>
      </w:pPr>
      <w:r>
        <w:rPr>
          <w:rFonts w:ascii="Times New Roman" w:cs="Times New Roman" w:eastAsia="Times New Roman" w:hAnsi="Times New Roman"/>
          <w:sz w:val="14"/>
          <w:szCs w:val="14"/>
          <w:color w:val="auto"/>
        </w:rPr>
        <w:t>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62" w:lineRule="exact"/>
        <w:rPr>
          <w:sz w:val="20"/>
          <w:szCs w:val="20"/>
          <w:color w:val="auto"/>
        </w:rPr>
      </w:pPr>
    </w:p>
    <w:p>
      <w:pPr>
        <w:ind w:left="1140" w:right="12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our trademarks, service marks and tradenames are not adequately protected, then we may not be able to build name recognition in our markets and our business may be adversely affected.</w:t>
      </w:r>
    </w:p>
    <w:p>
      <w:pPr>
        <w:spacing w:after="0" w:line="33" w:lineRule="exact"/>
        <w:rPr>
          <w:sz w:val="20"/>
          <w:szCs w:val="20"/>
          <w:color w:val="auto"/>
        </w:rPr>
      </w:pPr>
    </w:p>
    <w:p>
      <w:pPr>
        <w:ind w:left="1140" w:right="1199" w:firstLine="258"/>
        <w:spacing w:after="0" w:line="258" w:lineRule="auto"/>
        <w:rPr>
          <w:sz w:val="20"/>
          <w:szCs w:val="20"/>
          <w:color w:val="auto"/>
        </w:rPr>
      </w:pPr>
      <w:r>
        <w:rPr>
          <w:rFonts w:ascii="Times New Roman" w:cs="Times New Roman" w:eastAsia="Times New Roman" w:hAnsi="Times New Roman"/>
          <w:sz w:val="14"/>
          <w:szCs w:val="14"/>
          <w:color w:val="auto"/>
        </w:rPr>
        <w:t>We rely on trademarks, service marks, tradenames and brand names to distinguish our products from the products of our competitors and have registered or applied to register these trademarks. We cannot assure you that our trademark and service mark applications will be approved. During trademark and service 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are given an opportunity to oppose pending trademark and service mark applications and to seek to cancel registered trademarks and service marks. Opposition or cancellation proceedings may be filed against our trademarks and service marks, and our trademarks and service marks may not survive such proceedings. In the event that our trademarks and service marks are successfully challenged, we could be forced to rebrand our products, which could result in loss of brand recognition and could require us to devote resources towards advertising and marketing new brands. At times, competitors may adopt trade names, trademarks or service marks similar to ours, thereby impeding our ability to build brand identity and possibly leading to market confusion. As a means to enforce our trademark and service mark rights and prevent infringement and other violations, we may be required to file claims against third parties or initiate opposition proceedings. This can be expensive and time-consuming. In addition, there could be potential trademark or service mark infringement claims brought by owners of other registered trademarks, service marks, or trademarks or service marks that incorporate variations of our registered or unregistered trademarks or service marks. Certain of our current or future trademarks or service marks may become so well known by the public that their use becomes generic and they lose trademark or service mark protection. Over the long term, if we are unable to establish name recognition based on our trademarks, service marks and trade names, then we may not be able to compete effectively and our business, financial condition and results of operations may be adversely affected.</w:t>
      </w:r>
    </w:p>
    <w:p>
      <w:pPr>
        <w:spacing w:after="0" w:line="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Risks related to government regulation</w:t>
      </w:r>
    </w:p>
    <w:p>
      <w:pPr>
        <w:spacing w:after="0" w:line="95" w:lineRule="exact"/>
        <w:rPr>
          <w:sz w:val="20"/>
          <w:szCs w:val="20"/>
          <w:color w:val="auto"/>
        </w:rPr>
      </w:pPr>
    </w:p>
    <w:p>
      <w:pPr>
        <w:jc w:val="both"/>
        <w:ind w:left="1140" w:right="125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If we fail to obtain and maintain necessary regulatory clearances or approvals for our products, or if clearances or approvals for future products and indications are delayed or not issued, our commercial operations would be harmed.</w:t>
      </w:r>
    </w:p>
    <w:p>
      <w:pPr>
        <w:spacing w:after="0" w:line="47" w:lineRule="exact"/>
        <w:rPr>
          <w:sz w:val="20"/>
          <w:szCs w:val="20"/>
          <w:color w:val="auto"/>
        </w:rPr>
      </w:pPr>
    </w:p>
    <w:p>
      <w:pPr>
        <w:jc w:val="both"/>
        <w:ind w:left="1140" w:right="1259" w:firstLine="258"/>
        <w:spacing w:after="0" w:line="275" w:lineRule="auto"/>
        <w:rPr>
          <w:sz w:val="20"/>
          <w:szCs w:val="20"/>
          <w:color w:val="auto"/>
        </w:rPr>
      </w:pPr>
      <w:r>
        <w:rPr>
          <w:rFonts w:ascii="Times New Roman" w:cs="Times New Roman" w:eastAsia="Times New Roman" w:hAnsi="Times New Roman"/>
          <w:sz w:val="14"/>
          <w:szCs w:val="14"/>
          <w:color w:val="auto"/>
        </w:rPr>
        <w:t>Our products are subject to extensive regulation by the FDA in the United States and by regulatory agencies in other countries where we may choose to do business. Government regulations specific to medical devices are wide ranging and govern, among other things:</w:t>
      </w:r>
    </w:p>
    <w:p>
      <w:pPr>
        <w:spacing w:after="0" w:line="49" w:lineRule="exact"/>
        <w:rPr>
          <w:sz w:val="20"/>
          <w:szCs w:val="20"/>
          <w:color w:val="auto"/>
        </w:rPr>
      </w:pPr>
    </w:p>
    <w:p>
      <w:pPr>
        <w:ind w:left="1840" w:hanging="342"/>
        <w:spacing w:after="0"/>
        <w:tabs>
          <w:tab w:leader="none" w:pos="1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design, development and manufacture;</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laboratory, preclinical and clinical testing, labeling, packaging, storage and distribution;</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premarketing clearance or approval;</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record keeping;</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safety and effective;</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changes;</w:t>
      </w:r>
    </w:p>
    <w:p>
      <w:pPr>
        <w:spacing w:after="0" w:line="3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67" w:name="page68"/>
    <w:bookmarkEnd w:id="67"/>
    <w:p>
      <w:pPr>
        <w:ind w:left="1840" w:hanging="342"/>
        <w:spacing w:after="0"/>
        <w:tabs>
          <w:tab w:leader="none" w:pos="18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marketing, promotion and advertising, sales and distribution; and</w:t>
      </w:r>
    </w:p>
    <w:p>
      <w:pPr>
        <w:spacing w:after="0" w:line="97" w:lineRule="exact"/>
        <w:rPr>
          <w:rFonts w:ascii="Times New Roman" w:cs="Times New Roman" w:eastAsia="Times New Roman" w:hAnsi="Times New Roman"/>
          <w:sz w:val="14"/>
          <w:szCs w:val="14"/>
          <w:color w:val="auto"/>
        </w:rPr>
      </w:pPr>
    </w:p>
    <w:p>
      <w:pPr>
        <w:ind w:left="1840" w:right="1279" w:hanging="342"/>
        <w:spacing w:after="0" w:line="293" w:lineRule="auto"/>
        <w:tabs>
          <w:tab w:leader="none" w:pos="18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 marketing surveillance, including reporting of deaths or serious injuries and recalls and correction and removals.</w:t>
      </w:r>
    </w:p>
    <w:p>
      <w:pPr>
        <w:spacing w:after="0" w:line="37" w:lineRule="exact"/>
        <w:rPr>
          <w:sz w:val="20"/>
          <w:szCs w:val="20"/>
          <w:color w:val="auto"/>
        </w:rPr>
      </w:pPr>
    </w:p>
    <w:p>
      <w:pPr>
        <w:ind w:left="1140" w:right="1239" w:firstLine="258"/>
        <w:spacing w:after="0" w:line="275" w:lineRule="auto"/>
        <w:rPr>
          <w:sz w:val="20"/>
          <w:szCs w:val="20"/>
          <w:color w:val="auto"/>
        </w:rPr>
      </w:pPr>
      <w:r>
        <w:rPr>
          <w:rFonts w:ascii="Times New Roman" w:cs="Times New Roman" w:eastAsia="Times New Roman" w:hAnsi="Times New Roman"/>
          <w:sz w:val="14"/>
          <w:szCs w:val="14"/>
          <w:color w:val="auto"/>
        </w:rPr>
        <w:t>Before a new medical device, or a new intended use for an existing product, can be marketed in the United States, a company must first submit and receive either 510(k) clearance pursuant to Section 510(k) of the FDCA, or approval of a premarket approval, or PMA, application from the FDA, unless an exemption applies.</w:t>
      </w:r>
    </w:p>
    <w:p>
      <w:pPr>
        <w:spacing w:after="0" w:line="49" w:lineRule="exact"/>
        <w:rPr>
          <w:sz w:val="20"/>
          <w:szCs w:val="20"/>
          <w:color w:val="auto"/>
        </w:rPr>
      </w:pPr>
    </w:p>
    <w:p>
      <w:pPr>
        <w:ind w:left="1140" w:right="1279" w:firstLine="258"/>
        <w:spacing w:after="0" w:line="258" w:lineRule="auto"/>
        <w:rPr>
          <w:sz w:val="20"/>
          <w:szCs w:val="20"/>
          <w:color w:val="auto"/>
        </w:rPr>
      </w:pPr>
      <w:r>
        <w:rPr>
          <w:rFonts w:ascii="Times New Roman" w:cs="Times New Roman" w:eastAsia="Times New Roman" w:hAnsi="Times New Roman"/>
          <w:sz w:val="14"/>
          <w:szCs w:val="14"/>
          <w:color w:val="auto"/>
        </w:rPr>
        <w:t>In many cases, the process of obtaining PMA approval is much more rigorous, costly, lengthy and uncertain than the 510(k) clearance process. In the 510(k) clearance process, the FDA must determine that a proposed device is “substantially equivalent” to a device legally on the market, known as a “predicate” device, in order to clear the proposed device for marketing.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is sometimes required to support substantial equivalence. In the PMA approval process, the FDA must determine that a proposed device is safe and effective for its intended use based on extensive data, including technical, pre-clinical, clinical trial, manufacturing and labeling data. The PMA process is typically required for devices for which the 510(k) process cannot be used and that are deemed to pose the greatest risk. Modifications to products that are approved through a PMA application generally need prior FDA approval of a PMA supplement. Similarly, some modifications made to products cleared through a 510(k) may require a new 510(k), or such modification may put the device into class III and require PMA approval. The FDA’s 510(k) clearance process usually takes from three to 12 months but may last longer. The process of obtaining a PMA generally takes from one to three years, or even longer, from the time the PMA is submitted to the FDA until an approval is obtained. Any delay or failure to obtain necessary regulatory approvals or clearances would have a material adverse effect on our business, financial condition and results of operations.</w:t>
      </w:r>
    </w:p>
    <w:p>
      <w:pPr>
        <w:spacing w:after="0" w:line="7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FDA can delay, limit or deny clearance or approval of a device for many reasons, including:</w:t>
      </w:r>
    </w:p>
    <w:p>
      <w:pPr>
        <w:spacing w:after="0" w:line="97" w:lineRule="exact"/>
        <w:rPr>
          <w:sz w:val="20"/>
          <w:szCs w:val="20"/>
          <w:color w:val="auto"/>
        </w:rPr>
      </w:pPr>
    </w:p>
    <w:p>
      <w:pPr>
        <w:ind w:left="1840" w:right="1219" w:hanging="342"/>
        <w:spacing w:after="0" w:line="293" w:lineRule="auto"/>
        <w:tabs>
          <w:tab w:leader="none" w:pos="1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to the satisfaction of the FDA or the applicable regulatory entity or notified body that our products are safe or effective for their intended uses;</w:t>
      </w:r>
    </w:p>
    <w:p>
      <w:pPr>
        <w:spacing w:after="0" w:line="37" w:lineRule="exact"/>
        <w:rPr>
          <w:rFonts w:ascii="Times New Roman" w:cs="Times New Roman" w:eastAsia="Times New Roman" w:hAnsi="Times New Roman"/>
          <w:sz w:val="14"/>
          <w:szCs w:val="14"/>
          <w:color w:val="auto"/>
        </w:rPr>
      </w:pPr>
    </w:p>
    <w:p>
      <w:pPr>
        <w:ind w:left="1840" w:right="1239" w:hanging="342"/>
        <w:spacing w:after="0" w:line="275" w:lineRule="auto"/>
        <w:tabs>
          <w:tab w:leader="none" w:pos="1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disagreement of the FDA or the applicable foreign regulatory body with the design, conduct or implementation of our clinical trials or the analyses or interpretation of data from pre-clinical studies or clinical trials;</w:t>
      </w:r>
    </w:p>
    <w:p>
      <w:pPr>
        <w:spacing w:after="0" w:line="49"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serious and unexpected adverse device effects experienced by participants in our clinical trials;</w:t>
      </w:r>
    </w:p>
    <w:p>
      <w:pPr>
        <w:spacing w:after="0" w:line="97" w:lineRule="exact"/>
        <w:rPr>
          <w:rFonts w:ascii="Times New Roman" w:cs="Times New Roman" w:eastAsia="Times New Roman" w:hAnsi="Times New Roman"/>
          <w:sz w:val="14"/>
          <w:szCs w:val="14"/>
          <w:color w:val="auto"/>
        </w:rPr>
      </w:pPr>
    </w:p>
    <w:p>
      <w:pPr>
        <w:ind w:left="1840" w:right="1539" w:hanging="342"/>
        <w:spacing w:after="0" w:line="293" w:lineRule="auto"/>
        <w:tabs>
          <w:tab w:leader="none" w:pos="1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from our pre-clinical studies and clinical trials may be insufficient to support clearance or approval, where required;</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demonstrate that the clinical and other benefits of the device outweigh the risks;</w:t>
      </w:r>
    </w:p>
    <w:p>
      <w:pPr>
        <w:spacing w:after="0" w:line="97" w:lineRule="exact"/>
        <w:rPr>
          <w:rFonts w:ascii="Times New Roman" w:cs="Times New Roman" w:eastAsia="Times New Roman" w:hAnsi="Times New Roman"/>
          <w:sz w:val="14"/>
          <w:szCs w:val="14"/>
          <w:color w:val="auto"/>
        </w:rPr>
      </w:pPr>
    </w:p>
    <w:p>
      <w:pPr>
        <w:ind w:left="1840" w:right="1199" w:hanging="342"/>
        <w:spacing w:after="0" w:line="265" w:lineRule="auto"/>
        <w:tabs>
          <w:tab w:leader="none" w:pos="1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advisory committee, if convened by the applicable regulatory authority, may recommend against approval of our application or may recommend that the applicable regulatory authority require, as a condition of approval, additional preclinical studies or clinical trials, limitations on approved labeling or distribution and use restrictions, or even if an advisory committee, if convened, makes a favorable recommendation, the respective regulatory authority may still not approve the product;</w:t>
      </w:r>
    </w:p>
    <w:p>
      <w:pPr>
        <w:spacing w:after="0" w:line="58" w:lineRule="exact"/>
        <w:rPr>
          <w:rFonts w:ascii="Times New Roman" w:cs="Times New Roman" w:eastAsia="Times New Roman" w:hAnsi="Times New Roman"/>
          <w:sz w:val="14"/>
          <w:szCs w:val="14"/>
          <w:color w:val="auto"/>
        </w:rPr>
      </w:pPr>
    </w:p>
    <w:p>
      <w:pPr>
        <w:ind w:left="1840" w:right="1199" w:hanging="342"/>
        <w:spacing w:after="0" w:line="293" w:lineRule="auto"/>
        <w:tabs>
          <w:tab w:leader="none" w:pos="1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regulatory authority may identify significant deficiencies in our manufacturing processes, facilities or analytical methods or those of our third-party contract manufacturers;</w:t>
      </w:r>
    </w:p>
    <w:p>
      <w:pPr>
        <w:spacing w:after="0" w:line="37" w:lineRule="exact"/>
        <w:rPr>
          <w:rFonts w:ascii="Times New Roman" w:cs="Times New Roman" w:eastAsia="Times New Roman" w:hAnsi="Times New Roman"/>
          <w:sz w:val="14"/>
          <w:szCs w:val="14"/>
          <w:color w:val="auto"/>
        </w:rPr>
      </w:pPr>
    </w:p>
    <w:p>
      <w:pPr>
        <w:ind w:left="1840" w:right="1299" w:hanging="342"/>
        <w:spacing w:after="0" w:line="275" w:lineRule="auto"/>
        <w:tabs>
          <w:tab w:leader="none" w:pos="1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for approval policies or regulations of the FDA or applicable foreign regulatory bodies to change significantly in a manner rendering our clinical data or regulatory filings insufficient for clearance or approval; and</w:t>
      </w:r>
    </w:p>
    <w:p>
      <w:pPr>
        <w:spacing w:after="0" w:line="49" w:lineRule="exact"/>
        <w:rPr>
          <w:rFonts w:ascii="Times New Roman" w:cs="Times New Roman" w:eastAsia="Times New Roman" w:hAnsi="Times New Roman"/>
          <w:sz w:val="14"/>
          <w:szCs w:val="14"/>
          <w:color w:val="auto"/>
        </w:rPr>
      </w:pPr>
    </w:p>
    <w:p>
      <w:pPr>
        <w:ind w:left="1840" w:right="1299" w:hanging="342"/>
        <w:spacing w:after="0" w:line="293" w:lineRule="auto"/>
        <w:tabs>
          <w:tab w:leader="none" w:pos="18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foreign regulatory authorities may audit our clinical trial data and conclude that the data is not sufficiently reliable to support approval or clearance.</w:t>
      </w:r>
    </w:p>
    <w:p>
      <w:pPr>
        <w:spacing w:after="0" w:line="37" w:lineRule="exact"/>
        <w:rPr>
          <w:sz w:val="20"/>
          <w:szCs w:val="20"/>
          <w:color w:val="auto"/>
        </w:rPr>
      </w:pPr>
    </w:p>
    <w:p>
      <w:pPr>
        <w:ind w:left="1140" w:right="1199" w:firstLine="258"/>
        <w:spacing w:after="0" w:line="275" w:lineRule="auto"/>
        <w:rPr>
          <w:sz w:val="20"/>
          <w:szCs w:val="20"/>
          <w:color w:val="auto"/>
        </w:rPr>
      </w:pPr>
      <w:r>
        <w:rPr>
          <w:rFonts w:ascii="Times New Roman" w:cs="Times New Roman" w:eastAsia="Times New Roman" w:hAnsi="Times New Roman"/>
          <w:sz w:val="14"/>
          <w:szCs w:val="14"/>
          <w:color w:val="auto"/>
        </w:rPr>
        <w:t>Similarly, regulators may determine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Even if we are granted regulatory</w:t>
      </w:r>
    </w:p>
    <w:p>
      <w:pPr>
        <w:spacing w:after="0" w:line="3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68" w:name="page69"/>
    <w:bookmarkEnd w:id="68"/>
    <w:p>
      <w:pPr>
        <w:ind w:left="1140" w:right="1239"/>
        <w:spacing w:after="0" w:line="268" w:lineRule="auto"/>
        <w:rPr>
          <w:sz w:val="20"/>
          <w:szCs w:val="20"/>
          <w:color w:val="auto"/>
        </w:rPr>
      </w:pPr>
      <w:r>
        <w:rPr>
          <w:rFonts w:ascii="Times New Roman" w:cs="Times New Roman" w:eastAsia="Times New Roman" w:hAnsi="Times New Roman"/>
          <w:sz w:val="14"/>
          <w:szCs w:val="14"/>
          <w:color w:val="auto"/>
        </w:rPr>
        <w:t>clearances or approvals, they may include significant limitations on the indicated uses for the product, which may limit the market for the product. Moreover, the FDA and European Union regulatory authorities strictly regulate the labeling, promotion and advertising of medical devices, including comparative and superiority claims vis a vis competitors’ products, that may be made about products.</w:t>
      </w:r>
    </w:p>
    <w:p>
      <w:pPr>
        <w:spacing w:after="0" w:line="56" w:lineRule="exact"/>
        <w:rPr>
          <w:sz w:val="20"/>
          <w:szCs w:val="20"/>
          <w:color w:val="auto"/>
        </w:rPr>
      </w:pPr>
    </w:p>
    <w:p>
      <w:pPr>
        <w:ind w:left="1140" w:right="1199" w:firstLine="258"/>
        <w:spacing w:after="0" w:line="262" w:lineRule="auto"/>
        <w:rPr>
          <w:sz w:val="20"/>
          <w:szCs w:val="20"/>
          <w:color w:val="auto"/>
        </w:rPr>
      </w:pPr>
      <w:r>
        <w:rPr>
          <w:rFonts w:ascii="Times New Roman" w:cs="Times New Roman" w:eastAsia="Times New Roman" w:hAnsi="Times New Roman"/>
          <w:sz w:val="14"/>
          <w:szCs w:val="14"/>
          <w:color w:val="auto"/>
        </w:rPr>
        <w:t>As a condition of approving a PMA application,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safety and effectiveness data for the device. Failure to conduct the post-approval study in compliance with applicable regulations or to timely complete required post-approval studies or comply with other post-approval requirements could result in withdrawal of approval of the PMA, which would harm our business.</w:t>
      </w:r>
    </w:p>
    <w:p>
      <w:pPr>
        <w:spacing w:after="0" w:line="61" w:lineRule="exact"/>
        <w:rPr>
          <w:sz w:val="20"/>
          <w:szCs w:val="20"/>
          <w:color w:val="auto"/>
        </w:rPr>
      </w:pPr>
    </w:p>
    <w:p>
      <w:pPr>
        <w:ind w:left="1140" w:right="1199" w:firstLine="258"/>
        <w:spacing w:after="0" w:line="265" w:lineRule="auto"/>
        <w:rPr>
          <w:sz w:val="20"/>
          <w:szCs w:val="20"/>
          <w:color w:val="auto"/>
        </w:rPr>
      </w:pPr>
      <w:r>
        <w:rPr>
          <w:rFonts w:ascii="Times New Roman" w:cs="Times New Roman" w:eastAsia="Times New Roman" w:hAnsi="Times New Roman"/>
          <w:sz w:val="14"/>
          <w:szCs w:val="14"/>
          <w:color w:val="auto"/>
        </w:rPr>
        <w:t>In addition, we are required to timely file various reports with the FDA, including, Medical Device Reporting (“MDR”), that requires that we report to the regulatory authorities if our products may have caused or contributed to a death or serious injury or malfunctioned in a way that would likely cause or contribute to a death or serious injury if the malfunction were to recur. If these reports are not filed in a timely manner, regulators may impose sanctions and we may be subject to product liability or regulatory enforcement actions, all of which could harm our business.</w:t>
      </w:r>
    </w:p>
    <w:p>
      <w:pPr>
        <w:spacing w:after="0" w:line="58" w:lineRule="exact"/>
        <w:rPr>
          <w:sz w:val="20"/>
          <w:szCs w:val="20"/>
          <w:color w:val="auto"/>
        </w:rPr>
      </w:pPr>
    </w:p>
    <w:p>
      <w:pPr>
        <w:ind w:left="1140" w:right="1239" w:firstLine="258"/>
        <w:spacing w:after="0" w:line="264" w:lineRule="auto"/>
        <w:rPr>
          <w:sz w:val="20"/>
          <w:szCs w:val="20"/>
          <w:color w:val="auto"/>
        </w:rPr>
      </w:pPr>
      <w:r>
        <w:rPr>
          <w:rFonts w:ascii="Times New Roman" w:cs="Times New Roman" w:eastAsia="Times New Roman" w:hAnsi="Times New Roman"/>
          <w:sz w:val="14"/>
          <w:szCs w:val="14"/>
          <w:color w:val="auto"/>
        </w:rPr>
        <w:t>If we initiate a correction or removal action for our products to reduce a significant risk to health posed by our products,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products. Furthermore, the submission of these reports could be used by competitors against us and cause doctors to delay or cancel procedures, which could harm our reputation.</w:t>
      </w:r>
    </w:p>
    <w:p>
      <w:pPr>
        <w:spacing w:after="0" w:line="56" w:lineRule="exact"/>
        <w:rPr>
          <w:sz w:val="20"/>
          <w:szCs w:val="20"/>
          <w:color w:val="auto"/>
        </w:rPr>
      </w:pPr>
    </w:p>
    <w:p>
      <w:pPr>
        <w:ind w:left="1140" w:right="1259" w:firstLine="258"/>
        <w:spacing w:after="0" w:line="262" w:lineRule="auto"/>
        <w:rPr>
          <w:sz w:val="20"/>
          <w:szCs w:val="20"/>
          <w:color w:val="auto"/>
        </w:rPr>
      </w:pPr>
      <w:r>
        <w:rPr>
          <w:rFonts w:ascii="Times New Roman" w:cs="Times New Roman" w:eastAsia="Times New Roman" w:hAnsi="Times New Roman"/>
          <w:sz w:val="14"/>
          <w:szCs w:val="14"/>
          <w:color w:val="auto"/>
        </w:rPr>
        <w:t>The FDA and the Federal Trade Commission, or FTC, also regulate the advertising, promotion and labeling of our products to ensure that the claims we make are consistent with our regulatory clearances and approvals, that there is adequate and reasonable scientific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adverse publicity and warning letters, and we may be required to revise our promotional claims and make other corrections or restitutions.</w:t>
      </w:r>
    </w:p>
    <w:p>
      <w:pPr>
        <w:spacing w:after="0" w:line="61" w:lineRule="exact"/>
        <w:rPr>
          <w:sz w:val="20"/>
          <w:szCs w:val="20"/>
          <w:color w:val="auto"/>
        </w:rPr>
      </w:pPr>
    </w:p>
    <w:p>
      <w:pPr>
        <w:ind w:left="1140" w:right="1239" w:firstLine="258"/>
        <w:spacing w:after="0" w:line="275" w:lineRule="auto"/>
        <w:rPr>
          <w:sz w:val="20"/>
          <w:szCs w:val="20"/>
          <w:color w:val="auto"/>
        </w:rPr>
      </w:pPr>
      <w:r>
        <w:rPr>
          <w:rFonts w:ascii="Times New Roman" w:cs="Times New Roman" w:eastAsia="Times New Roman" w:hAnsi="Times New Roman"/>
          <w:sz w:val="14"/>
          <w:szCs w:val="14"/>
          <w:color w:val="auto"/>
        </w:rPr>
        <w:t>The FDA and state authorities have broad enforcement powers. Our failure to comply with applicable regulatory requirements could result in enforcement action by the FDA or state agencies, which may include any of the following sanctions:</w:t>
      </w:r>
    </w:p>
    <w:p>
      <w:pPr>
        <w:spacing w:after="0" w:line="49" w:lineRule="exact"/>
        <w:rPr>
          <w:sz w:val="20"/>
          <w:szCs w:val="20"/>
          <w:color w:val="auto"/>
        </w:rPr>
      </w:pPr>
    </w:p>
    <w:p>
      <w:pPr>
        <w:ind w:left="1840" w:hanging="342"/>
        <w:spacing w:after="0"/>
        <w:tabs>
          <w:tab w:leader="none" w:pos="18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publicity, warning letters, fines, injunctions, consent decrees and civil penalties;</w:t>
      </w:r>
    </w:p>
    <w:p>
      <w:pPr>
        <w:spacing w:after="0" w:line="97" w:lineRule="exact"/>
        <w:rPr>
          <w:rFonts w:ascii="Times New Roman" w:cs="Times New Roman" w:eastAsia="Times New Roman" w:hAnsi="Times New Roman"/>
          <w:sz w:val="14"/>
          <w:szCs w:val="14"/>
          <w:color w:val="auto"/>
        </w:rPr>
      </w:pPr>
    </w:p>
    <w:p>
      <w:pPr>
        <w:ind w:left="1840" w:right="1319" w:hanging="342"/>
        <w:spacing w:after="0" w:line="293" w:lineRule="auto"/>
        <w:tabs>
          <w:tab w:leader="none" w:pos="18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repair, replacement, refunds, recalls, termination of distribution, administrative detention or seizure of our products;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restrictions, partial suspension or total shutdown of production;</w:t>
      </w:r>
    </w:p>
    <w:p>
      <w:pPr>
        <w:spacing w:after="0" w:line="97" w:lineRule="exact"/>
        <w:rPr>
          <w:rFonts w:ascii="Times New Roman" w:cs="Times New Roman" w:eastAsia="Times New Roman" w:hAnsi="Times New Roman"/>
          <w:sz w:val="14"/>
          <w:szCs w:val="14"/>
          <w:color w:val="auto"/>
        </w:rPr>
      </w:pPr>
    </w:p>
    <w:p>
      <w:pPr>
        <w:ind w:left="1840" w:right="1159" w:hanging="342"/>
        <w:spacing w:after="0" w:line="293" w:lineRule="auto"/>
        <w:tabs>
          <w:tab w:leader="none" w:pos="18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denial of our requests for 510(k) clearance or PMA of new products, new intended uses or modifications to existing products;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510(k) clearance or PMAs that have already been granted; and</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criminal prosecution.</w:t>
      </w:r>
    </w:p>
    <w:p>
      <w:pPr>
        <w:spacing w:after="0" w:line="97" w:lineRule="exact"/>
        <w:rPr>
          <w:sz w:val="20"/>
          <w:szCs w:val="20"/>
          <w:color w:val="auto"/>
        </w:rPr>
      </w:pPr>
    </w:p>
    <w:p>
      <w:pPr>
        <w:ind w:left="1140" w:right="1179" w:firstLine="258"/>
        <w:spacing w:after="0" w:line="264" w:lineRule="auto"/>
        <w:rPr>
          <w:sz w:val="20"/>
          <w:szCs w:val="20"/>
          <w:color w:val="auto"/>
        </w:rPr>
      </w:pPr>
      <w:r>
        <w:rPr>
          <w:rFonts w:ascii="Times New Roman" w:cs="Times New Roman" w:eastAsia="Times New Roman" w:hAnsi="Times New Roman"/>
          <w:sz w:val="14"/>
          <w:szCs w:val="14"/>
          <w:color w:val="auto"/>
        </w:rPr>
        <w:t>If any of these events were to occur, our business and financial condition could be harmed. In addition, the FDA’s and other regulatory authorities’ policies may change and additional government regulations may be enacted that could prevent, limit or delay regulatory approval of our products.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and results of operations.</w:t>
      </w:r>
    </w:p>
    <w:p>
      <w:pPr>
        <w:spacing w:after="0" w:line="3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69" w:name="page70"/>
    <w:bookmarkEnd w:id="69"/>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Our products and operations are subject to extensive government regulation and oversight in the United States.</w:t>
      </w:r>
    </w:p>
    <w:p>
      <w:pPr>
        <w:spacing w:after="0" w:line="101"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Medical devices regulated by the FDA are subject to “general controls” which include: registration with the FDA; listing commercially distributed products with the FDA; complying with all applicable requirements under the QSR, or QSMR when its goes into effect in February 2026; filing reports with the FDA of and keeping records relative to certain types of adverse events associated with devices under the medical device reporting regulation; assuring that device labeling complies with device labeling requirements; reporting certain device field removals and corrections to the FDA; and obtaining pre-market notification 510(k) clearance for devices prior to marketing. Some devices known as “510(k)-exempt” devices can be marketed without prior marketing-clearance or approval from the FDA. In addition to the “general controls,” some Class II medical devices are also subject to “special controls,” including adherence to a particular guidance document and compliance with the performance standard. Instead of obtaining 510(k) clearance, most Class III devices are subject to PMA.</w:t>
      </w:r>
    </w:p>
    <w:p>
      <w:pPr>
        <w:spacing w:after="0" w:line="64" w:lineRule="exact"/>
        <w:rPr>
          <w:sz w:val="20"/>
          <w:szCs w:val="20"/>
          <w:color w:val="auto"/>
        </w:rPr>
      </w:pPr>
    </w:p>
    <w:p>
      <w:pPr>
        <w:ind w:left="1140" w:right="1199" w:firstLine="258"/>
        <w:spacing w:after="0" w:line="264" w:lineRule="auto"/>
        <w:rPr>
          <w:sz w:val="20"/>
          <w:szCs w:val="20"/>
          <w:color w:val="auto"/>
        </w:rPr>
      </w:pPr>
      <w:r>
        <w:rPr>
          <w:rFonts w:ascii="Times New Roman" w:cs="Times New Roman" w:eastAsia="Times New Roman" w:hAnsi="Times New Roman"/>
          <w:sz w:val="14"/>
          <w:szCs w:val="14"/>
          <w:color w:val="auto"/>
        </w:rPr>
        <w:t>Although our products have received regulatory approval or clearance from FDA in the United States for a particular patient population, they will be subject to ongoing regulatory requirements for manufacturing, labeling, packaging, storage, advertising, promotion, sampling, record-keeping, conduct of post-marketing studies and submission of safety, effectiveness and other post-market information, including both federal and state requirements in the United States and requirements of comparable non-U.S. regulatory authorities in any international markets we choose to enter.</w:t>
      </w:r>
    </w:p>
    <w:p>
      <w:pPr>
        <w:spacing w:after="0" w:line="56" w:lineRule="exact"/>
        <w:rPr>
          <w:sz w:val="20"/>
          <w:szCs w:val="20"/>
          <w:color w:val="auto"/>
        </w:rPr>
      </w:pPr>
    </w:p>
    <w:p>
      <w:pPr>
        <w:ind w:left="1140" w:right="1199" w:firstLine="258"/>
        <w:spacing w:after="0" w:line="261" w:lineRule="auto"/>
        <w:rPr>
          <w:sz w:val="20"/>
          <w:szCs w:val="20"/>
          <w:color w:val="auto"/>
        </w:rPr>
      </w:pPr>
      <w:r>
        <w:rPr>
          <w:rFonts w:ascii="Times New Roman" w:cs="Times New Roman" w:eastAsia="Times New Roman" w:hAnsi="Times New Roman"/>
          <w:sz w:val="14"/>
          <w:szCs w:val="14"/>
          <w:color w:val="auto"/>
        </w:rPr>
        <w:t>Any regulatory clearances or approvals that we have received for our products will be subject to limitations on the cleared or approved indicated uses for which the product may be marketed and promoted, will be subject to the conditions of approval, or will contain requirements for potentially costly post-marketing testing. We are required to report certain adverse events and production problems, if any, to the FDA and comparable foreign regulatory authorities. Any new legislation addressing product safety issues could result in increased costs to assure compliance. The FDA and other agencies, including the DOJ, closely regulate and monitor the post-clearance or approval marketing and promotion of products to ensure that they are marketed and distributed only for the cleared or approved indications and in accordance with the provisions of the cleared or approved labeling. We have to comply with requirements concerning advertising and promotion for our products.</w:t>
      </w:r>
    </w:p>
    <w:p>
      <w:pPr>
        <w:spacing w:after="0" w:line="60" w:lineRule="exact"/>
        <w:rPr>
          <w:sz w:val="20"/>
          <w:szCs w:val="20"/>
          <w:color w:val="auto"/>
        </w:rPr>
      </w:pPr>
    </w:p>
    <w:p>
      <w:pPr>
        <w:ind w:left="1140" w:right="1239" w:firstLine="258"/>
        <w:spacing w:after="0" w:line="259" w:lineRule="auto"/>
        <w:rPr>
          <w:sz w:val="20"/>
          <w:szCs w:val="20"/>
          <w:color w:val="auto"/>
        </w:rPr>
      </w:pPr>
      <w:r>
        <w:rPr>
          <w:rFonts w:ascii="Times New Roman" w:cs="Times New Roman" w:eastAsia="Times New Roman" w:hAnsi="Times New Roman"/>
          <w:sz w:val="14"/>
          <w:szCs w:val="14"/>
          <w:color w:val="auto"/>
        </w:rPr>
        <w:t>Promotional communications with respect to devices are subject to a variety of legal and regulatory restrictions and must be consistent with the information in the products’ cleared or approved labeling. As such, we may not promote our products for indications or uses for which they do not have clearance or approval. We received a PMA for the LAL and LDD, which is indicated for the reduction of residual astigmatism to improve uncorrected visual acuity after removal of the cataractous natural lens by phacoemulsification and implantation of the intraocular lens in the capsular bag, in adult patients with pre-existing corneal astigmatism of &gt; 0.75 diopters and without pre-existing macular disease. We also received a 510(k) clearance for our contact lens, which is indicated for visualization and treatment in the anterior segment of the eye. We train our marketing and sales force against promoting our products for uses outside of the cleared or approved indications for use, known as “off-label uses.” However, doctors may use our products for off-label purposes and are allowed to do so when in the doctor’s independent professional medical judgment he or she deems it appropriate. If the FDA determines that our promotional materials or training constitute promotion of an off-label or other improper use, or that our internal policies and procedures are inadequate to prevent such off-label uses, it could subject us to regulatory or enforcement actions as discussed below.</w:t>
      </w:r>
    </w:p>
    <w:p>
      <w:pPr>
        <w:spacing w:after="0" w:line="238" w:lineRule="exact"/>
        <w:rPr>
          <w:sz w:val="20"/>
          <w:szCs w:val="20"/>
          <w:color w:val="auto"/>
        </w:rPr>
      </w:pPr>
    </w:p>
    <w:p>
      <w:pPr>
        <w:ind w:left="1140" w:right="1179" w:firstLine="258"/>
        <w:spacing w:after="0" w:line="259" w:lineRule="auto"/>
        <w:rPr>
          <w:sz w:val="20"/>
          <w:szCs w:val="20"/>
          <w:color w:val="auto"/>
        </w:rPr>
      </w:pPr>
      <w:r>
        <w:rPr>
          <w:rFonts w:ascii="Times New Roman" w:cs="Times New Roman" w:eastAsia="Times New Roman" w:hAnsi="Times New Roman"/>
          <w:sz w:val="14"/>
          <w:szCs w:val="14"/>
          <w:color w:val="auto"/>
        </w:rPr>
        <w:t>In addition, we cannot make comparative claims regarding the use of our products against any alternative treatments without conducting head-to-head comparative clinical studies, which would be expensive and time-consuming. If the FDA determines that our promotional, reimbursement or training materials for sales representatives or doctors constitute promotion of an off-label use, the FDA could request that we modify our training, promotional or reimbursement materials and/or subject us to regulatory or enforcement actions, including the issuance of an untitled letter, a warning letter, injunction, seizure, disgorgement of profits, significant penalties, including civil fines and criminal penalties. Other federal, state or foreign governmental authorities also might take action if they consider our promotion, reimbursement or training materials to constitute promotion of an off-label use, which could result in significant fines or penalties under other statutory authorities, such as laws prohibiting false claims for reimbursement. Although we train our sales force not to promote our products for off-label uses, and our instructions for use in all markets specify that our products are not intended for use outside of those indications cleared or approved for use, the FDA or another regulatory agency could conclude that we have engaged in off-label promotion. For example, the government may take the position that off-label promotion resulted in inappropriate</w:t>
      </w:r>
    </w:p>
    <w:p>
      <w:pPr>
        <w:spacing w:after="0" w:line="3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0" w:right="1440" w:bottom="1440" w:gutter="0" w:footer="0" w:header="0"/>
        </w:sectPr>
      </w:pPr>
    </w:p>
    <w:bookmarkStart w:id="70" w:name="page71"/>
    <w:bookmarkEnd w:id="70"/>
    <w:p>
      <w:pPr>
        <w:ind w:left="1140" w:right="1359"/>
        <w:spacing w:after="0" w:line="275" w:lineRule="auto"/>
        <w:rPr>
          <w:sz w:val="20"/>
          <w:szCs w:val="20"/>
          <w:color w:val="auto"/>
        </w:rPr>
      </w:pPr>
      <w:r>
        <w:rPr>
          <w:rFonts w:ascii="Times New Roman" w:cs="Times New Roman" w:eastAsia="Times New Roman" w:hAnsi="Times New Roman"/>
          <w:sz w:val="14"/>
          <w:szCs w:val="14"/>
          <w:color w:val="auto"/>
        </w:rPr>
        <w:t>reimbursement for an off-label use in violation of the federal civil False Claims Act for which it might impose significant civil fines and even pursue criminal action. In those possible events, our reputation could be damaged, and adoption of the products would be impaired.</w:t>
      </w:r>
    </w:p>
    <w:p>
      <w:pPr>
        <w:spacing w:after="0" w:line="49" w:lineRule="exact"/>
        <w:rPr>
          <w:sz w:val="20"/>
          <w:szCs w:val="20"/>
          <w:color w:val="auto"/>
        </w:rPr>
      </w:pPr>
    </w:p>
    <w:p>
      <w:pPr>
        <w:ind w:left="1140" w:right="1379" w:firstLine="258"/>
        <w:spacing w:after="0" w:line="268" w:lineRule="auto"/>
        <w:rPr>
          <w:sz w:val="20"/>
          <w:szCs w:val="20"/>
          <w:color w:val="auto"/>
        </w:rPr>
      </w:pPr>
      <w:r>
        <w:rPr>
          <w:rFonts w:ascii="Times New Roman" w:cs="Times New Roman" w:eastAsia="Times New Roman" w:hAnsi="Times New Roman"/>
          <w:sz w:val="14"/>
          <w:szCs w:val="14"/>
          <w:color w:val="auto"/>
        </w:rPr>
        <w:t>If a regulatory agency discovers previously unknown problems with a product, such as adverse events of unanticipated severity or frequency, or problems with our facility where the product is manufactured or disagrees with the promotion, marketing or labeling of a product, such regulatory agency may impose restrictions on that product or us, including requiring withdrawal of the product from the market.</w:t>
      </w:r>
    </w:p>
    <w:p>
      <w:pPr>
        <w:spacing w:after="0" w:line="56" w:lineRule="exact"/>
        <w:rPr>
          <w:sz w:val="20"/>
          <w:szCs w:val="20"/>
          <w:color w:val="auto"/>
        </w:rPr>
      </w:pPr>
    </w:p>
    <w:p>
      <w:pPr>
        <w:ind w:left="1140" w:right="1179" w:firstLine="258"/>
        <w:spacing w:after="0" w:line="293" w:lineRule="auto"/>
        <w:rPr>
          <w:sz w:val="20"/>
          <w:szCs w:val="20"/>
          <w:color w:val="auto"/>
        </w:rPr>
      </w:pPr>
      <w:r>
        <w:rPr>
          <w:rFonts w:ascii="Times New Roman" w:cs="Times New Roman" w:eastAsia="Times New Roman" w:hAnsi="Times New Roman"/>
          <w:sz w:val="14"/>
          <w:szCs w:val="14"/>
          <w:color w:val="auto"/>
        </w:rPr>
        <w:t>If we fail to comply with applicable regulatory requirements, a regulatory agency or enforcement authority may, among other things:</w:t>
      </w:r>
    </w:p>
    <w:p>
      <w:pPr>
        <w:spacing w:after="0" w:line="37" w:lineRule="exact"/>
        <w:rPr>
          <w:sz w:val="20"/>
          <w:szCs w:val="20"/>
          <w:color w:val="auto"/>
        </w:rPr>
      </w:pPr>
    </w:p>
    <w:p>
      <w:pPr>
        <w:ind w:left="1840" w:right="1239" w:hanging="342"/>
        <w:spacing w:after="0" w:line="293" w:lineRule="auto"/>
        <w:tabs>
          <w:tab w:leader="none" w:pos="18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our facility to an adverse inspectional finding or Form 483, or other compliance or enforcement notice, communication or correspondence;</w:t>
      </w:r>
    </w:p>
    <w:p>
      <w:pPr>
        <w:spacing w:after="0" w:line="37" w:lineRule="exact"/>
        <w:rPr>
          <w:rFonts w:ascii="Times New Roman" w:cs="Times New Roman" w:eastAsia="Times New Roman" w:hAnsi="Times New Roman"/>
          <w:sz w:val="14"/>
          <w:szCs w:val="14"/>
          <w:color w:val="auto"/>
        </w:rPr>
      </w:pPr>
    </w:p>
    <w:p>
      <w:pPr>
        <w:ind w:left="1840" w:right="1699" w:hanging="342"/>
        <w:spacing w:after="0" w:line="293" w:lineRule="auto"/>
        <w:tabs>
          <w:tab w:leader="none" w:pos="18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warning or untitled letters that would result in adverse publicity or may require corrective advertising;</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civil or criminal penalties;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withdraw regulatory clearances or approvals;</w:t>
      </w:r>
    </w:p>
    <w:p>
      <w:pPr>
        <w:spacing w:after="0" w:line="97" w:lineRule="exact"/>
        <w:rPr>
          <w:rFonts w:ascii="Times New Roman" w:cs="Times New Roman" w:eastAsia="Times New Roman" w:hAnsi="Times New Roman"/>
          <w:sz w:val="14"/>
          <w:szCs w:val="14"/>
          <w:color w:val="auto"/>
        </w:rPr>
      </w:pPr>
    </w:p>
    <w:p>
      <w:pPr>
        <w:ind w:left="1840" w:right="1339" w:hanging="342"/>
        <w:spacing w:after="0" w:line="293" w:lineRule="auto"/>
        <w:tabs>
          <w:tab w:leader="none" w:pos="18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clear or approve pending applications or supplements to approved applications submitted by us;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 restrictions on our operations, including closing our sub-assembly suppliers’ facilities;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seize or detain products; or</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product recall.</w:t>
      </w:r>
    </w:p>
    <w:p>
      <w:pPr>
        <w:spacing w:after="0" w:line="97" w:lineRule="exact"/>
        <w:rPr>
          <w:sz w:val="20"/>
          <w:szCs w:val="20"/>
          <w:color w:val="auto"/>
        </w:rPr>
      </w:pPr>
    </w:p>
    <w:p>
      <w:pPr>
        <w:ind w:left="1140" w:right="1319" w:firstLine="258"/>
        <w:spacing w:after="0" w:line="275" w:lineRule="auto"/>
        <w:rPr>
          <w:sz w:val="20"/>
          <w:szCs w:val="20"/>
          <w:color w:val="auto"/>
        </w:rPr>
      </w:pPr>
      <w:r>
        <w:rPr>
          <w:rFonts w:ascii="Times New Roman" w:cs="Times New Roman" w:eastAsia="Times New Roman" w:hAnsi="Times New Roman"/>
          <w:sz w:val="14"/>
          <w:szCs w:val="14"/>
          <w:color w:val="auto"/>
        </w:rPr>
        <w:t>In addition, violations of the FDCA relating to the promotion of approved products may lead to investigations alleging violations of federal and state healthcare fraud and abuse and other laws, as well as state consumer protection laws.</w:t>
      </w:r>
    </w:p>
    <w:p>
      <w:pPr>
        <w:spacing w:after="0" w:line="49" w:lineRule="exact"/>
        <w:rPr>
          <w:sz w:val="20"/>
          <w:szCs w:val="20"/>
          <w:color w:val="auto"/>
        </w:rPr>
      </w:pPr>
    </w:p>
    <w:p>
      <w:pPr>
        <w:ind w:left="1140" w:right="1439" w:firstLine="258"/>
        <w:spacing w:after="0" w:line="265" w:lineRule="auto"/>
        <w:rPr>
          <w:sz w:val="20"/>
          <w:szCs w:val="20"/>
          <w:color w:val="auto"/>
        </w:rPr>
      </w:pPr>
      <w:r>
        <w:rPr>
          <w:rFonts w:ascii="Times New Roman" w:cs="Times New Roman" w:eastAsia="Times New Roman" w:hAnsi="Times New Roman"/>
          <w:sz w:val="14"/>
          <w:szCs w:val="14"/>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58"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 xml:space="preserve">In addition, the policies of the FDA and of comparable foreign regulatory authorities may change and additional laws, regulations and government actions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Recently, the U.S. Supreme Court overruled the </w:t>
      </w:r>
      <w:r>
        <w:rPr>
          <w:rFonts w:ascii="Times New Roman" w:cs="Times New Roman" w:eastAsia="Times New Roman" w:hAnsi="Times New Roman"/>
          <w:sz w:val="14"/>
          <w:szCs w:val="14"/>
          <w:i w:val="1"/>
          <w:iCs w:val="1"/>
          <w:color w:val="auto"/>
        </w:rPr>
        <w:t>Chevron</w:t>
      </w:r>
      <w:r>
        <w:rPr>
          <w:rFonts w:ascii="Times New Roman" w:cs="Times New Roman" w:eastAsia="Times New Roman" w:hAnsi="Times New Roman"/>
          <w:sz w:val="14"/>
          <w:szCs w:val="14"/>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55" w:lineRule="exact"/>
        <w:rPr>
          <w:sz w:val="20"/>
          <w:szCs w:val="20"/>
          <w:color w:val="auto"/>
        </w:rPr>
      </w:pPr>
    </w:p>
    <w:p>
      <w:pPr>
        <w:ind w:left="1140" w:right="15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Material modifications to our products may require new 510(k) clearances or pre-market approvals or may require us to recall or cease marketing our products until clearances or approvals are obtained.</w:t>
      </w:r>
    </w:p>
    <w:p>
      <w:pPr>
        <w:spacing w:after="0" w:line="33" w:lineRule="exact"/>
        <w:rPr>
          <w:sz w:val="20"/>
          <w:szCs w:val="20"/>
          <w:color w:val="auto"/>
        </w:rPr>
      </w:pPr>
    </w:p>
    <w:p>
      <w:pPr>
        <w:ind w:left="1140" w:right="1359" w:firstLine="258"/>
        <w:spacing w:after="0" w:line="264" w:lineRule="auto"/>
        <w:rPr>
          <w:sz w:val="20"/>
          <w:szCs w:val="20"/>
          <w:color w:val="auto"/>
        </w:rPr>
      </w:pPr>
      <w:r>
        <w:rPr>
          <w:rFonts w:ascii="Times New Roman" w:cs="Times New Roman" w:eastAsia="Times New Roman" w:hAnsi="Times New Roman"/>
          <w:sz w:val="14"/>
          <w:szCs w:val="14"/>
          <w:color w:val="auto"/>
        </w:rPr>
        <w:t>Modifications that could significantly affect the safety and effectiveness of our approved or cleared products, such as changes to the intended use or technological characteristics of our products, will require new 510(k) clearances or PMAs or require us to recall or cease marketing the modified devices until these clearances or approvals are obtained. Based on FDA published guidelines, the FDA requires device manufacturers to initially make and document a determination of whether or not a modification requires a new approval, supplemental approval or clearance; however, the FDA can review a manufacturer’s decision. Any modification to an</w:t>
      </w:r>
    </w:p>
    <w:p>
      <w:pPr>
        <w:spacing w:after="0" w:line="34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71" w:name="page72"/>
    <w:bookmarkEnd w:id="71"/>
    <w:p>
      <w:pPr>
        <w:ind w:left="1140" w:right="1179"/>
        <w:spacing w:after="0" w:line="260" w:lineRule="auto"/>
        <w:rPr>
          <w:sz w:val="20"/>
          <w:szCs w:val="20"/>
          <w:color w:val="auto"/>
        </w:rPr>
      </w:pPr>
      <w:r>
        <w:rPr>
          <w:rFonts w:ascii="Times New Roman" w:cs="Times New Roman" w:eastAsia="Times New Roman" w:hAnsi="Times New Roman"/>
          <w:sz w:val="14"/>
          <w:szCs w:val="14"/>
          <w:color w:val="auto"/>
        </w:rPr>
        <w:t>FDA-cleared device that could significantly affect its safety or efficacy or that would constitute a major change in its intended use would require a new 510(k) clearance or possibly a PMA. We may not be able to obtain the required 510(k) clearances or PMAs, or PMA supplements, or similar marketing authorization in applicable foreign jurisdictions, for new products or for modifications to, or additional indications for, our products in a timely fashion, or at all. Delays in obtaining required future clearances or approvals would adversely affect our ability to introduce new or enhanced products in a timely manner, which in turn would harm our future growth. We have made modifications to our products in the past and expect to make additional modifications in the future that we believe do not or will not require additional clearances or approvals. If the FDA or a comparable foreign regulatory authority disagrees and requires new clearances or approvals for these modifications, we may be required to recall and to stop selling or marketing such products as modified, which could harm our operating results and require us to redesign such products. In these circumstances, we may be subject to significant enforcement actions.</w:t>
      </w:r>
    </w:p>
    <w:p>
      <w:pPr>
        <w:spacing w:after="0" w:line="57" w:lineRule="exact"/>
        <w:rPr>
          <w:sz w:val="20"/>
          <w:szCs w:val="20"/>
          <w:color w:val="auto"/>
        </w:rPr>
      </w:pPr>
    </w:p>
    <w:p>
      <w:pPr>
        <w:ind w:left="1140" w:right="131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regulatory approval of our current and future products in one jurisdiction does not mean that we will be successful in obtaining regulatory approval of our current and future products in other jurisdictions. The FDA and other comparable foreign regulatory authorities may not accept data from trials conducted in locations outside of their jurisdiction.</w:t>
      </w:r>
    </w:p>
    <w:p>
      <w:pPr>
        <w:spacing w:after="0" w:line="54"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Obtaining and maintaining regulatory approvals or clearances of our current and future products in one jurisdiction does not guarantee that we will be able to obtain or maintain regulatory approval in any other jurisdiction. For example, even if the FDA grants marketing approval or clearance of a current or future product, comparable regulatory authorities in foreign jurisdictions must also approve or clear the manufacturing, marketing and promotion and reimbursement of a current or future product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must be approved for reimbursement before it can be approved for sale in that jurisdiction. In some cases, the price that we intend to charge for our products is also subject to approval.</w:t>
      </w:r>
    </w:p>
    <w:p>
      <w:pPr>
        <w:spacing w:after="0" w:line="61"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The RxSight system is approved for improving uncorrected visual acuity by adjusting the LAL power to correct residual postoperative refractive error, including for -2.0 to + 2.0 diopters of sphere and -3.0 to -0.50 diopters of cylinder and by changing lens curvature to introduce controlled amounts of spherical aberration (+/- 1 micron) and center near add (up to 2.0 diopters) which is also registered with the MHRA in the United Kingdom, in Canada and in Mexico. Obtaining additional foreign regulatory approvals and establishing and ensuring compliance with foreign regulatory requirements in jurisdictions where we conduct business currently or in the future, could be time-consuming and expensive, and could delay the introduction of our products in certain countries. If we or any future collaborator fail to comply with the regulatory requirements in international markets or fail to receive applicable marketing approvals or clearances, our target market will be reduced and our ability to realize the full market potential of our current and future products will be harmed.</w:t>
      </w:r>
    </w:p>
    <w:p>
      <w:pPr>
        <w:spacing w:after="0" w:line="64" w:lineRule="exact"/>
        <w:rPr>
          <w:sz w:val="20"/>
          <w:szCs w:val="20"/>
          <w:color w:val="auto"/>
        </w:rPr>
      </w:pPr>
    </w:p>
    <w:p>
      <w:pPr>
        <w:ind w:left="1140" w:right="1159" w:firstLine="258"/>
        <w:spacing w:after="0" w:line="259" w:lineRule="auto"/>
        <w:rPr>
          <w:sz w:val="20"/>
          <w:szCs w:val="20"/>
          <w:color w:val="auto"/>
        </w:rPr>
      </w:pPr>
      <w:r>
        <w:rPr>
          <w:rFonts w:ascii="Times New Roman" w:cs="Times New Roman" w:eastAsia="Times New Roman" w:hAnsi="Times New Roman"/>
          <w:sz w:val="14"/>
          <w:szCs w:val="14"/>
          <w:color w:val="auto"/>
        </w:rPr>
        <w:t>In addition, we have conducted clinical trials in Mexico and may choose to conduct further international clinical trials. The acceptance of study data by the FDA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(2) the trials are performed by clinical investigators of recognized competence and pursuant to current good clinical practices regulations; and (3) audits by regulatory authorities of the clinical data do not identify significant data integrity issues. Additionally, the FDA’s clinical trial requirements, including the adequacy of the patient population studied and statistical powering, must be met. In addition, such foreign trials are subject to the applicable local laws of the foreign jurisdictions where the trials are conducted. There can be no assurance that the FDA or any applicable foreign regulatory authority will accept data from trials conducted outside of its applicable jurisdiction. If the FDA or any applicable foreign regulatory authority does not accept such data, it would result in the need for additional trials, which would be costly and time-consuming and delay aspects of our business plan, and which may result in our products not receiving approval or clearance for commercialization in the applicable jurisdiction.</w:t>
      </w:r>
    </w:p>
    <w:p>
      <w:pPr>
        <w:spacing w:after="0" w:line="58" w:lineRule="exact"/>
        <w:rPr>
          <w:sz w:val="20"/>
          <w:szCs w:val="20"/>
          <w:color w:val="auto"/>
        </w:rPr>
      </w:pPr>
    </w:p>
    <w:p>
      <w:pPr>
        <w:ind w:left="1140" w:right="12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products may be subject to recalls after receiving FDA or foreign approval or clearance, which could divert managerial and financial resources, harm our reputation and adversely affect our business.</w:t>
      </w:r>
    </w:p>
    <w:p>
      <w:pPr>
        <w:spacing w:after="0" w:line="3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72" w:name="page73"/>
    <w:bookmarkEnd w:id="72"/>
    <w:p>
      <w:pPr>
        <w:ind w:left="1140" w:right="1339" w:firstLine="258"/>
        <w:spacing w:after="0" w:line="264" w:lineRule="auto"/>
        <w:rPr>
          <w:sz w:val="20"/>
          <w:szCs w:val="20"/>
          <w:color w:val="auto"/>
        </w:rPr>
      </w:pPr>
      <w:r>
        <w:rPr>
          <w:rFonts w:ascii="Times New Roman" w:cs="Times New Roman" w:eastAsia="Times New Roman" w:hAnsi="Times New Roman"/>
          <w:sz w:val="14"/>
          <w:szCs w:val="14"/>
          <w:color w:val="auto"/>
        </w:rPr>
        <w:t>The FDA and similar foreign governmental authorities have the authority to require the recall of our products because of any failure to comply with applicable laws and regulations, or defects in design or manufacture. A government mandated or voluntary product recall by us could occur because of, for example, component failures, device malfunctions or other adverse events, such as serious injuries or deaths, or quality-related issues, such as manufacturing errors or design or labeling defects. Any future recalls of our products could divert managerial and financial resources, harm our reputation and adversely affect our business.</w:t>
      </w:r>
    </w:p>
    <w:p>
      <w:pPr>
        <w:spacing w:after="0" w:line="56" w:lineRule="exact"/>
        <w:rPr>
          <w:sz w:val="20"/>
          <w:szCs w:val="20"/>
          <w:color w:val="auto"/>
        </w:rPr>
      </w:pPr>
    </w:p>
    <w:p>
      <w:pPr>
        <w:ind w:left="1140" w:right="1179" w:firstLine="258"/>
        <w:spacing w:after="0" w:line="262" w:lineRule="auto"/>
        <w:rPr>
          <w:sz w:val="20"/>
          <w:szCs w:val="20"/>
          <w:color w:val="auto"/>
        </w:rPr>
      </w:pPr>
      <w:r>
        <w:rPr>
          <w:rFonts w:ascii="Times New Roman" w:cs="Times New Roman" w:eastAsia="Times New Roman" w:hAnsi="Times New Roman"/>
          <w:sz w:val="14"/>
          <w:szCs w:val="14"/>
          <w:color w:val="auto"/>
        </w:rPr>
        <w:t>If we initiate a correction or removal for one of our devices to reduce a risk to health posed by the device, we would be required to submit a publicly available Correction and Removal report to the FDA and, in many cases, similar reports to other regulatory agencies. This report could be classified by the FDA as a device recall which could lead to increased scrutiny by the FDA, other international regulatory agencies and our customers regarding the quality and safety of our devices. Furthermore, the submission of these reports has been and could be used by competitors against us in competitive situations and cause customers to delay purchase decisions or cancel orders and would harm our reputation.</w:t>
      </w:r>
    </w:p>
    <w:p>
      <w:pPr>
        <w:spacing w:after="0" w:line="61" w:lineRule="exact"/>
        <w:rPr>
          <w:sz w:val="20"/>
          <w:szCs w:val="20"/>
          <w:color w:val="auto"/>
        </w:rPr>
      </w:pPr>
    </w:p>
    <w:p>
      <w:pPr>
        <w:ind w:left="1140" w:right="1159" w:firstLine="258"/>
        <w:spacing w:after="0" w:line="264" w:lineRule="auto"/>
        <w:rPr>
          <w:sz w:val="20"/>
          <w:szCs w:val="20"/>
          <w:color w:val="auto"/>
        </w:rPr>
      </w:pPr>
      <w:r>
        <w:rPr>
          <w:rFonts w:ascii="Times New Roman" w:cs="Times New Roman" w:eastAsia="Times New Roman" w:hAnsi="Times New Roman"/>
          <w:sz w:val="14"/>
          <w:szCs w:val="14"/>
          <w:color w:val="auto"/>
        </w:rPr>
        <w:t>In addition, we are subject to medical device reporting regulations that require us to report to the FDA or similar foreign governmental authorities if one of our products may have caused or contributed to a death or serious injury or if we become aware that it has malfunctioned in a way that would likely cause or contribute to a death or serious injury if the malfunction recurred. Failures to properly identify reportable events or to file timely reports, as well as failure to address each of the observations to the FDA’s satisfaction, can subject us to sanctions and penalties, including warning letters and recalls.</w:t>
      </w:r>
    </w:p>
    <w:p>
      <w:pPr>
        <w:spacing w:after="0" w:line="56" w:lineRule="exact"/>
        <w:rPr>
          <w:sz w:val="20"/>
          <w:szCs w:val="20"/>
          <w:color w:val="auto"/>
        </w:rPr>
      </w:pPr>
    </w:p>
    <w:p>
      <w:pPr>
        <w:ind w:left="1140" w:right="1159" w:firstLine="258"/>
        <w:spacing w:after="0" w:line="275" w:lineRule="auto"/>
        <w:rPr>
          <w:sz w:val="20"/>
          <w:szCs w:val="20"/>
          <w:color w:val="auto"/>
        </w:rPr>
      </w:pPr>
      <w:r>
        <w:rPr>
          <w:rFonts w:ascii="Times New Roman" w:cs="Times New Roman" w:eastAsia="Times New Roman" w:hAnsi="Times New Roman"/>
          <w:sz w:val="14"/>
          <w:szCs w:val="14"/>
          <w:color w:val="auto"/>
        </w:rPr>
        <w:t>Doctors may make similar reports to regulatory authorities. Any such reports may trigger an investigation by the FDA or similar foreign regulatory bodies, which could divert managerial and financial resources, harm our reputation and have a material adverse effect on our business, financial condition and results of operations.</w:t>
      </w:r>
    </w:p>
    <w:p>
      <w:pPr>
        <w:spacing w:after="0" w:line="45" w:lineRule="exact"/>
        <w:rPr>
          <w:sz w:val="20"/>
          <w:szCs w:val="20"/>
          <w:color w:val="auto"/>
        </w:rPr>
      </w:pPr>
    </w:p>
    <w:p>
      <w:pPr>
        <w:jc w:val="both"/>
        <w:ind w:left="1140" w:right="117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If we, or our suppliers, fail to comply with the FDA’s QSR or QSMR when it goes into effect in February 2026, or other applicable foreign regulations, our manufacturing or distribution operations could be delayed or shut down and our revenue could suffer.</w:t>
      </w:r>
    </w:p>
    <w:p>
      <w:pPr>
        <w:spacing w:after="0" w:line="47" w:lineRule="exact"/>
        <w:rPr>
          <w:sz w:val="20"/>
          <w:szCs w:val="20"/>
          <w:color w:val="auto"/>
        </w:rPr>
      </w:pPr>
    </w:p>
    <w:p>
      <w:pPr>
        <w:ind w:left="1140" w:right="1239" w:firstLine="258"/>
        <w:spacing w:after="0" w:line="258" w:lineRule="auto"/>
        <w:rPr>
          <w:sz w:val="20"/>
          <w:szCs w:val="20"/>
          <w:color w:val="auto"/>
        </w:rPr>
      </w:pPr>
      <w:r>
        <w:rPr>
          <w:rFonts w:ascii="Times New Roman" w:cs="Times New Roman" w:eastAsia="Times New Roman" w:hAnsi="Times New Roman"/>
          <w:sz w:val="14"/>
          <w:szCs w:val="14"/>
          <w:color w:val="auto"/>
        </w:rPr>
        <w:t>Our manufacturing and design processes and those of our third-party component suppliers are required to comply with the FDA’s QSR, which covers procedures and documentation of the design, testing, production, control, quality assurance, labeling, packaging, storage and shipping of our products in the United States. We are also subject to similar state requirements and licenses, and to ongoing ISO 13485 compliance in our operations, including design, manufacturing, and service, to maintain our CE Mark in Europe. In addition, we must engage in extensive recordkeeping and reporting and must make available our facilities and records for periodic unannounced inspections by governmental agencies, including the FDA, state authorities, EU Notified Bodies, and comparable agencies in other countries. Further, the FDA issued a final rule in February 2024 replacing the QSR with Quality Management System Regulation (“QMSR”), which incorporates by reference the quality management system requirements of ISO 13485:2016. The FDA has stated that the standards contained in ISO 13485:216 are substantially similar to those set forth in the existing QSR. The FDA will begin to enforce the QMSR requirements upon the effective date, February 2, 2026. If we or any of our suppliers or contractors fail to meet the regulatory requirements or a regulatory inspection, our operations could be disrupted and our manufacturing interrupted. Failure to take timely and adequate corrective action in response to an adverse regulatory inspection could result in, among other things, a shutdown of our manufacturing or product distribution operations, significant fines, suspension of marketing clearances and approvals, seizures or recalls of our device, operating restrictions and criminal prosecutions, any of which would cause our business to suffer. Furthermore, our key component suppliers may not currently be or may not continue to be in compliance with applicable regulatory requirements, which may result in manufacturing delays for our products and cause our revenue to decline.</w:t>
      </w:r>
    </w:p>
    <w:p>
      <w:pPr>
        <w:spacing w:after="0" w:line="69" w:lineRule="exact"/>
        <w:rPr>
          <w:sz w:val="20"/>
          <w:szCs w:val="20"/>
          <w:color w:val="auto"/>
        </w:rPr>
      </w:pPr>
    </w:p>
    <w:p>
      <w:pPr>
        <w:ind w:left="1140" w:right="1359" w:firstLine="258"/>
        <w:spacing w:after="0" w:line="268" w:lineRule="auto"/>
        <w:rPr>
          <w:sz w:val="20"/>
          <w:szCs w:val="20"/>
          <w:color w:val="auto"/>
        </w:rPr>
      </w:pPr>
      <w:r>
        <w:rPr>
          <w:rFonts w:ascii="Times New Roman" w:cs="Times New Roman" w:eastAsia="Times New Roman" w:hAnsi="Times New Roman"/>
          <w:sz w:val="14"/>
          <w:szCs w:val="14"/>
          <w:color w:val="auto"/>
        </w:rPr>
        <w:t>The FDA has broad post-market and regulatory enforcement powers. We are subject to unannounced inspections by the FDA and the Food and Drug Branch of the California Department of Public Health (“CDPH”), and our Notified Body to determine our compliance with the QSR and other regulations at both our design and manufacturing facilities, and these inspections may include the manufacturing facilities of our suppliers.</w:t>
      </w:r>
    </w:p>
    <w:p>
      <w:pPr>
        <w:spacing w:after="0" w:line="56" w:lineRule="exact"/>
        <w:rPr>
          <w:sz w:val="20"/>
          <w:szCs w:val="20"/>
          <w:color w:val="auto"/>
        </w:rPr>
      </w:pPr>
    </w:p>
    <w:p>
      <w:pPr>
        <w:ind w:left="1140" w:right="1199" w:firstLine="258"/>
        <w:spacing w:after="0" w:line="268" w:lineRule="auto"/>
        <w:rPr>
          <w:sz w:val="20"/>
          <w:szCs w:val="20"/>
          <w:color w:val="auto"/>
        </w:rPr>
      </w:pPr>
      <w:r>
        <w:rPr>
          <w:rFonts w:ascii="Times New Roman" w:cs="Times New Roman" w:eastAsia="Times New Roman" w:hAnsi="Times New Roman"/>
          <w:sz w:val="14"/>
          <w:szCs w:val="14"/>
          <w:color w:val="auto"/>
        </w:rPr>
        <w:t>We can provide no assurance that we will continue to remain in material compliance with the QSR, or QSMR when it goes into effect in February 2026. If the FDA, CDPH, or any applicable notified body in the European Union or United Kingdom inspects any of our facilities and discover compliance problems, we may have to cease manufacturing and product distribution until we can take the appropriate remedial steps to correct the audit findings.</w:t>
      </w:r>
    </w:p>
    <w:p>
      <w:pPr>
        <w:spacing w:after="0" w:line="200" w:lineRule="exact"/>
        <w:rPr>
          <w:sz w:val="20"/>
          <w:szCs w:val="20"/>
          <w:color w:val="auto"/>
        </w:rPr>
      </w:pPr>
    </w:p>
    <w:p>
      <w:pPr>
        <w:spacing w:after="0" w:line="3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73" w:name="page74"/>
    <w:bookmarkEnd w:id="73"/>
    <w:p>
      <w:pPr>
        <w:ind w:left="1140" w:right="1239"/>
        <w:spacing w:after="0" w:line="293" w:lineRule="auto"/>
        <w:rPr>
          <w:sz w:val="20"/>
          <w:szCs w:val="20"/>
          <w:color w:val="auto"/>
        </w:rPr>
      </w:pPr>
      <w:r>
        <w:rPr>
          <w:rFonts w:ascii="Times New Roman" w:cs="Times New Roman" w:eastAsia="Times New Roman" w:hAnsi="Times New Roman"/>
          <w:sz w:val="14"/>
          <w:szCs w:val="14"/>
          <w:color w:val="auto"/>
        </w:rPr>
        <w:t>Taking corrective action may be expensive, time consuming and a distraction for management and if we experience a delay at our manufacturing facility, we may be unable to produce our products, which would harm our business.</w:t>
      </w:r>
    </w:p>
    <w:p>
      <w:pPr>
        <w:spacing w:after="0" w:line="33" w:lineRule="exact"/>
        <w:rPr>
          <w:sz w:val="20"/>
          <w:szCs w:val="20"/>
          <w:color w:val="auto"/>
        </w:rPr>
      </w:pPr>
    </w:p>
    <w:p>
      <w:pPr>
        <w:ind w:left="1140" w:right="16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Healthcare reform initiatives and other administrative and legislative proposals may adversely affect our business, financial condition, results of operations and cash flows in our key markets.</w:t>
      </w:r>
    </w:p>
    <w:p>
      <w:pPr>
        <w:spacing w:after="0" w:line="33" w:lineRule="exact"/>
        <w:rPr>
          <w:sz w:val="20"/>
          <w:szCs w:val="20"/>
          <w:color w:val="auto"/>
        </w:rPr>
      </w:pPr>
    </w:p>
    <w:p>
      <w:pPr>
        <w:ind w:left="1140" w:right="1299" w:firstLine="258"/>
        <w:spacing w:after="0" w:line="264" w:lineRule="auto"/>
        <w:rPr>
          <w:sz w:val="20"/>
          <w:szCs w:val="20"/>
          <w:color w:val="auto"/>
        </w:rPr>
      </w:pPr>
      <w:r>
        <w:rPr>
          <w:rFonts w:ascii="Times New Roman" w:cs="Times New Roman" w:eastAsia="Times New Roman" w:hAnsi="Times New Roman"/>
          <w:sz w:val="14"/>
          <w:szCs w:val="14"/>
          <w:color w:val="auto"/>
        </w:rPr>
        <w:t>There have been and continue to be proposals by the federal government, state governments, regulators and third-party payors to control or manage the increased costs of healthcare and, more generally, to reform the U.S. healthcare system. Certain of these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financial condition and results of operations.</w:t>
      </w:r>
    </w:p>
    <w:p>
      <w:pPr>
        <w:spacing w:after="0" w:line="56" w:lineRule="exact"/>
        <w:rPr>
          <w:sz w:val="20"/>
          <w:szCs w:val="20"/>
          <w:color w:val="auto"/>
        </w:rPr>
      </w:pPr>
    </w:p>
    <w:p>
      <w:pPr>
        <w:ind w:left="1140" w:right="1179" w:firstLine="258"/>
        <w:spacing w:after="0" w:line="262" w:lineRule="auto"/>
        <w:rPr>
          <w:sz w:val="20"/>
          <w:szCs w:val="20"/>
          <w:color w:val="auto"/>
        </w:rPr>
      </w:pPr>
      <w:r>
        <w:rPr>
          <w:rFonts w:ascii="Times New Roman" w:cs="Times New Roman" w:eastAsia="Times New Roman" w:hAnsi="Times New Roman"/>
          <w:sz w:val="14"/>
          <w:szCs w:val="14"/>
          <w:color w:val="auto"/>
        </w:rPr>
        <w:t>For example, in the United States, in March 2010, the Patient Protection and Affordable Care Act, as amended by the Health Care and Education Reconciliation Act of 2010, together, the Affordable Care Act (“ACA”), was enacted. The ACA is a sweeping measure intended to expand healthcare coverage within the United States, primarily through the imposition of health insurance mandates on employers and individuals, the provision of subsidies to eligible individuals enrolled in plans offered on the health insurance exchanges and the expansion of the Medicaid program. The ACA has impacted existing government healthcare programs and has resulted in the development of new programs.</w:t>
      </w:r>
    </w:p>
    <w:p>
      <w:pPr>
        <w:spacing w:after="0" w:line="61" w:lineRule="exact"/>
        <w:rPr>
          <w:sz w:val="20"/>
          <w:szCs w:val="20"/>
          <w:color w:val="auto"/>
        </w:rPr>
      </w:pPr>
    </w:p>
    <w:p>
      <w:pPr>
        <w:ind w:left="1140" w:right="1159" w:firstLine="258"/>
        <w:spacing w:after="0" w:line="261" w:lineRule="auto"/>
        <w:rPr>
          <w:sz w:val="20"/>
          <w:szCs w:val="20"/>
          <w:color w:val="auto"/>
        </w:rPr>
      </w:pPr>
      <w:r>
        <w:rPr>
          <w:rFonts w:ascii="Times New Roman" w:cs="Times New Roman" w:eastAsia="Times New Roman" w:hAnsi="Times New Roman"/>
          <w:sz w:val="14"/>
          <w:szCs w:val="14"/>
          <w:color w:val="auto"/>
        </w:rPr>
        <w:t>Certain provisions of the ACA have been subject to judicial and Congressional challenges. For example, various portions of the ACA have been the subject of legal and constitutional challenges, including legal proceedings in the Fifth Circuit Court of Appeals. In June 2021, the United States Supreme Court held that Texas and other challengers had no legal standing to challenge the ACA, dismissing the case on procedural grounds without specifically ruling on the constitutionality of the ACA. Thus, the ACA will remain in effect in its current form. It is unclear how this Supreme Court decision, future litigation, and healthcare measures promulgated by the Biden administration will impact the ACA, our business, financial condition and results of operations. Complying with any new legislation or reversing changes implemented under the ACA could be time-intensive and expensive, resulting in a material adverse effect on our business.</w:t>
      </w:r>
    </w:p>
    <w:p>
      <w:pPr>
        <w:spacing w:after="0" w:line="60"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In addition, other legislative changes have been proposed and adopted since the ACA was enacted. On August 2, 2011, the Budget Control Act of 2011 was signed into law, which, among other things, includes reductions to Medicare payments to providers of, on average, 2% per fiscal year, which went into effect on April 1, 2013, which, due to subsequent legislative amendments, will stay in effect through 2032, with the exception of a temporary suspension implemented under various COVID-19 relief legislation.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products, if approved, and accordingly, our financial operations. We cannot assure you that the ACA, as currently enacted or as amended in the future, will not harm our business and financial results, and we cannot predict how future federal or state legislative or administrative changes relating to healthcare reform will affect our business.</w:t>
      </w:r>
    </w:p>
    <w:p>
      <w:pPr>
        <w:spacing w:after="0" w:line="59" w:lineRule="exact"/>
        <w:rPr>
          <w:sz w:val="20"/>
          <w:szCs w:val="20"/>
          <w:color w:val="auto"/>
        </w:rPr>
      </w:pPr>
    </w:p>
    <w:p>
      <w:pPr>
        <w:ind w:left="1140" w:right="1299" w:firstLine="258"/>
        <w:spacing w:after="0" w:line="268" w:lineRule="auto"/>
        <w:rPr>
          <w:sz w:val="20"/>
          <w:szCs w:val="20"/>
          <w:color w:val="auto"/>
        </w:rPr>
      </w:pPr>
      <w:r>
        <w:rPr>
          <w:rFonts w:ascii="Times New Roman" w:cs="Times New Roman" w:eastAsia="Times New Roman" w:hAnsi="Times New Roman"/>
          <w:sz w:val="14"/>
          <w:szCs w:val="14"/>
          <w:color w:val="auto"/>
        </w:rPr>
        <w:t>There likely will continue to be legislative and regulatory proposals at the federal and state levels directed at containing or lowering the cost of healthcare. We cannot predict the initiatives that may be adopted in the future or their full impact. The continuing efforts of the government, insurance companies, managed care organizations and other payors of healthcare services to contain or reduce costs of healthcare may harm:</w:t>
      </w:r>
    </w:p>
    <w:p>
      <w:pPr>
        <w:spacing w:after="0" w:line="56" w:lineRule="exact"/>
        <w:rPr>
          <w:sz w:val="20"/>
          <w:szCs w:val="20"/>
          <w:color w:val="auto"/>
        </w:rPr>
      </w:pPr>
    </w:p>
    <w:p>
      <w:pPr>
        <w:ind w:left="1840" w:hanging="342"/>
        <w:spacing w:after="0"/>
        <w:tabs>
          <w:tab w:leader="none" w:pos="18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set a price that we believe is fair for our products;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revenue and achieve or maintain profitability; and</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capital.</w:t>
      </w:r>
    </w:p>
    <w:p>
      <w:pPr>
        <w:spacing w:after="0" w:line="97" w:lineRule="exact"/>
        <w:rPr>
          <w:sz w:val="20"/>
          <w:szCs w:val="20"/>
          <w:color w:val="auto"/>
        </w:rPr>
      </w:pPr>
    </w:p>
    <w:p>
      <w:pPr>
        <w:jc w:val="both"/>
        <w:ind w:left="1140" w:right="1179" w:firstLine="258"/>
        <w:spacing w:after="0" w:line="265" w:lineRule="auto"/>
        <w:rPr>
          <w:sz w:val="20"/>
          <w:szCs w:val="20"/>
          <w:color w:val="auto"/>
        </w:rPr>
      </w:pPr>
      <w:r>
        <w:rPr>
          <w:rFonts w:ascii="Times New Roman" w:cs="Times New Roman" w:eastAsia="Times New Roman" w:hAnsi="Times New Roman"/>
          <w:sz w:val="14"/>
          <w:szCs w:val="14"/>
          <w:color w:val="auto"/>
        </w:rPr>
        <w:t>Further, recently there has been heightened governmental scrutiny over the manner in which manufacturers set prices for their marketed products, which has resulted in several United States Congressional inquiries and proposed and enacted federal legislation designed to bring transparency to product pricing and reduce the cost of products and services under government healthcare programs. While some of these measures may require additional authorization to become effective, Congress and the federal administration have each indicated that it will continue to seek new</w:t>
      </w:r>
    </w:p>
    <w:p>
      <w:pPr>
        <w:spacing w:after="0" w:line="3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74" w:name="page75"/>
    <w:bookmarkEnd w:id="74"/>
    <w:p>
      <w:pPr>
        <w:ind w:left="1140" w:right="1199"/>
        <w:spacing w:after="0" w:line="260" w:lineRule="auto"/>
        <w:rPr>
          <w:sz w:val="20"/>
          <w:szCs w:val="20"/>
          <w:color w:val="auto"/>
        </w:rPr>
      </w:pPr>
      <w:r>
        <w:rPr>
          <w:rFonts w:ascii="Times New Roman" w:cs="Times New Roman" w:eastAsia="Times New Roman" w:hAnsi="Times New Roman"/>
          <w:sz w:val="14"/>
          <w:szCs w:val="14"/>
          <w:color w:val="auto"/>
        </w:rPr>
        <w:t>legislative and/or administrative measures to control healthcare costs. Additionally, individual states in the United States have also increasingly passed legislation and implemented regulations designed to control product pricing, including price or patient reimbursement constraints, discounts, restrictions on certain product access and marketing cost disclosure and transparency measures. Moreover, regional healthcare authorities and individual hospitals are increasingly using bidding procedures to determine what products to purchase and which suppliers will be included in their healthcare programs. Adoption of price controls and other cost-containment measures, and adoption of more restrictive policies in jurisdictions with existing controls and measures may prevent or limit our ability to generate revenue and attain profitability. Various new healthcare reform proposals are emerging at the federal and state level. Any new federal and state healthcare initiatives that may be adopted could limit the amounts that federal and state governments will pay for healthcare products and services and could have a material adverse effect on our business, financial condition and results of operations.</w:t>
      </w:r>
    </w:p>
    <w:p>
      <w:pPr>
        <w:spacing w:after="0" w:line="57" w:lineRule="exact"/>
        <w:rPr>
          <w:sz w:val="20"/>
          <w:szCs w:val="20"/>
          <w:color w:val="auto"/>
        </w:rPr>
      </w:pPr>
    </w:p>
    <w:p>
      <w:pPr>
        <w:ind w:left="1140" w:right="143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If we fail to comply with United States federal and state fraud and abuse and other healthcare laws and regulations, we could face substantial penalties and our business operations and financial condition could be adversely affected.</w:t>
      </w:r>
    </w:p>
    <w:p>
      <w:pPr>
        <w:spacing w:after="0" w:line="47" w:lineRule="exact"/>
        <w:rPr>
          <w:sz w:val="20"/>
          <w:szCs w:val="20"/>
          <w:color w:val="auto"/>
        </w:rPr>
      </w:pPr>
    </w:p>
    <w:p>
      <w:pPr>
        <w:ind w:left="1140" w:right="1159" w:firstLine="258"/>
        <w:spacing w:after="0" w:line="261" w:lineRule="auto"/>
        <w:rPr>
          <w:sz w:val="20"/>
          <w:szCs w:val="20"/>
          <w:color w:val="auto"/>
        </w:rPr>
      </w:pPr>
      <w:r>
        <w:rPr>
          <w:rFonts w:ascii="Times New Roman" w:cs="Times New Roman" w:eastAsia="Times New Roman" w:hAnsi="Times New Roman"/>
          <w:sz w:val="14"/>
          <w:szCs w:val="14"/>
          <w:color w:val="auto"/>
        </w:rPr>
        <w:t>Healthcare providers and third-party payors play a primary role in the distribution, recommendation, ordering and purchasing of any medical device for which we have or obtain marketing clearance or approval. Through our arrangements with principal investigators, healthcare professionals, third-party payors and customers, we are exposed to broadly applicable anti-fraud and abuse, anti-kickback, false claims and other healthcare laws and regulations that may constrain our business, our arrangements and relationships with customers, and how we market, sell and distribute our marketed medical devices. We have a compliance program, a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w:t>
      </w:r>
    </w:p>
    <w:p>
      <w:pPr>
        <w:spacing w:after="0" w:line="232" w:lineRule="exact"/>
        <w:rPr>
          <w:sz w:val="20"/>
          <w:szCs w:val="20"/>
          <w:color w:val="auto"/>
        </w:rPr>
      </w:pPr>
    </w:p>
    <w:p>
      <w:pPr>
        <w:ind w:left="1140" w:right="1199" w:firstLine="258"/>
        <w:spacing w:after="0" w:line="261" w:lineRule="auto"/>
        <w:rPr>
          <w:sz w:val="20"/>
          <w:szCs w:val="20"/>
          <w:color w:val="auto"/>
        </w:rPr>
      </w:pPr>
      <w:r>
        <w:rPr>
          <w:rFonts w:ascii="Times New Roman" w:cs="Times New Roman" w:eastAsia="Times New Roman" w:hAnsi="Times New Roman"/>
          <w:sz w:val="14"/>
          <w:szCs w:val="14"/>
          <w:color w:val="auto"/>
        </w:rPr>
        <w:t>In the United States, we are subject to various state and federal anti-fraud and abuse laws, including, without limitation, the federal healthcare Anti-Kickback Statute and federal civil False Claims Act. There are similar laws in other countries. 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Healthcare fraud and abuse laws and related regulations are complex, and even minor irregularities can potentially give rise to claims that a statute or prohibition has been violated. The laws that may affect our ability to operate include:</w:t>
      </w:r>
    </w:p>
    <w:p>
      <w:pPr>
        <w:spacing w:after="0" w:line="63" w:lineRule="exact"/>
        <w:rPr>
          <w:sz w:val="20"/>
          <w:szCs w:val="20"/>
          <w:color w:val="auto"/>
        </w:rPr>
      </w:pPr>
    </w:p>
    <w:p>
      <w:pPr>
        <w:ind w:left="1840" w:right="1179" w:hanging="342"/>
        <w:spacing w:after="0" w:line="262" w:lineRule="auto"/>
        <w:tabs>
          <w:tab w:leader="none" w:pos="18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Anti-Kickback Statute, which makes it illegal for any person, including a prescription drug or medical device manufacturer (or a party acting on its behalf), to knowingly and willfully solicit, receive, offer or pay any remuneration that is intended to induce or reward referrals, including the purchase, recommendation, or order of, items or services for which payment may be made, in whole or in part, under a federal healthcare program, such as Medicare or Medicaid. Moreover, the ACA provides that the government may assert that a claim including items or services resulting from a violation of the federal Anti-Kickback Statute constitutes a false or fraudulent claim for purposes of the civil False Claims Act;</w:t>
      </w:r>
    </w:p>
    <w:p>
      <w:pPr>
        <w:spacing w:after="0" w:line="233" w:lineRule="exact"/>
        <w:rPr>
          <w:rFonts w:ascii="Times New Roman" w:cs="Times New Roman" w:eastAsia="Times New Roman" w:hAnsi="Times New Roman"/>
          <w:sz w:val="14"/>
          <w:szCs w:val="14"/>
          <w:color w:val="auto"/>
        </w:rPr>
      </w:pPr>
    </w:p>
    <w:p>
      <w:pPr>
        <w:ind w:left="1840" w:right="1319" w:hanging="342"/>
        <w:spacing w:after="0" w:line="264" w:lineRule="auto"/>
        <w:tabs>
          <w:tab w:leader="none" w:pos="18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Act, including its civil provisions that can be enforced by private citizens through civil whistleblower or qui tam actions, and civil monetary penalties prohibiting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and/or impose exclusions from federal health care programs and/or penalties for parties who engage in such prohibited conduct;</w:t>
      </w:r>
    </w:p>
    <w:p>
      <w:pPr>
        <w:spacing w:after="0" w:line="56" w:lineRule="exact"/>
        <w:rPr>
          <w:rFonts w:ascii="Times New Roman" w:cs="Times New Roman" w:eastAsia="Times New Roman" w:hAnsi="Times New Roman"/>
          <w:sz w:val="14"/>
          <w:szCs w:val="14"/>
          <w:color w:val="auto"/>
        </w:rPr>
      </w:pPr>
    </w:p>
    <w:p>
      <w:pPr>
        <w:ind w:left="1840" w:right="1339" w:hanging="342"/>
        <w:spacing w:after="0" w:line="275" w:lineRule="auto"/>
        <w:tabs>
          <w:tab w:leader="none" w:pos="18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(“HIPAA”), which prohibits, among other things, executing or attempting to execute a scheme to defraud any healthcare benefit program or making false statements relating to healthcare matters;</w:t>
      </w:r>
    </w:p>
    <w:p>
      <w:pPr>
        <w:spacing w:after="0" w:line="49" w:lineRule="exact"/>
        <w:rPr>
          <w:rFonts w:ascii="Times New Roman" w:cs="Times New Roman" w:eastAsia="Times New Roman" w:hAnsi="Times New Roman"/>
          <w:sz w:val="14"/>
          <w:szCs w:val="14"/>
          <w:color w:val="auto"/>
        </w:rPr>
      </w:pPr>
    </w:p>
    <w:p>
      <w:pPr>
        <w:ind w:left="1840" w:right="1259" w:hanging="342"/>
        <w:spacing w:after="0" w:line="275" w:lineRule="auto"/>
        <w:tabs>
          <w:tab w:leader="none" w:pos="18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HIPAA, as amended by the Health Information Technology for Economic and Clinical Health Act, and their implementing regulations also impose obligations on covered entities such as health insurance plans, healthcare clearinghouses, and certain health care providers and their respective business</w:t>
      </w:r>
    </w:p>
    <w:p>
      <w:pPr>
        <w:spacing w:after="0" w:line="2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75" w:name="page76"/>
    <w:bookmarkEnd w:id="75"/>
    <w:p>
      <w:pPr>
        <w:jc w:val="both"/>
        <w:ind w:left="1840" w:right="1479"/>
        <w:spacing w:after="0" w:line="293" w:lineRule="auto"/>
        <w:rPr>
          <w:sz w:val="20"/>
          <w:szCs w:val="20"/>
          <w:color w:val="auto"/>
        </w:rPr>
      </w:pPr>
      <w:r>
        <w:rPr>
          <w:rFonts w:ascii="Times New Roman" w:cs="Times New Roman" w:eastAsia="Times New Roman" w:hAnsi="Times New Roman"/>
          <w:sz w:val="14"/>
          <w:szCs w:val="14"/>
          <w:color w:val="auto"/>
        </w:rPr>
        <w:t>associates and their covered subcontractors, including mandatory contractual terms, with respect to safeguarding the privacy, security and transmission of individually identifiable health information;</w:t>
      </w:r>
    </w:p>
    <w:p>
      <w:pPr>
        <w:spacing w:after="0" w:line="37" w:lineRule="exact"/>
        <w:rPr>
          <w:sz w:val="20"/>
          <w:szCs w:val="20"/>
          <w:color w:val="auto"/>
        </w:rPr>
      </w:pPr>
    </w:p>
    <w:p>
      <w:pPr>
        <w:ind w:left="1840" w:right="1299" w:hanging="342"/>
        <w:spacing w:after="0" w:line="261" w:lineRule="auto"/>
        <w:tabs>
          <w:tab w:leader="none" w:pos="18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Physician Payments Sunshine Act, also referred to as the CMS Open Payments, which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 and</w:t>
      </w:r>
    </w:p>
    <w:p>
      <w:pPr>
        <w:spacing w:after="0" w:line="59" w:lineRule="exact"/>
        <w:rPr>
          <w:rFonts w:ascii="Times New Roman" w:cs="Times New Roman" w:eastAsia="Times New Roman" w:hAnsi="Times New Roman"/>
          <w:sz w:val="14"/>
          <w:szCs w:val="14"/>
          <w:color w:val="auto"/>
        </w:rPr>
      </w:pPr>
    </w:p>
    <w:p>
      <w:pPr>
        <w:ind w:left="1840" w:right="1199" w:hanging="342"/>
        <w:spacing w:after="0" w:line="260" w:lineRule="auto"/>
        <w:tabs>
          <w:tab w:leader="none" w:pos="18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biotechnology companies to comply with the biotechnology industry’s voluntary compliance guidelines and the relevant compliance guidance promulgated by the federal government; state and local laws that require medical device manufacturers to report information related to payments and other transfers of value to doctors or marketing expenditures and require the registration of their sales representatives; state laws that require medical device companies to report information on the pricing of certain medical device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61" w:lineRule="exact"/>
        <w:rPr>
          <w:sz w:val="20"/>
          <w:szCs w:val="20"/>
          <w:color w:val="auto"/>
        </w:rPr>
      </w:pPr>
    </w:p>
    <w:p>
      <w:pPr>
        <w:ind w:left="1140" w:right="1219" w:firstLine="258"/>
        <w:spacing w:after="0" w:line="261" w:lineRule="auto"/>
        <w:rPr>
          <w:sz w:val="20"/>
          <w:szCs w:val="20"/>
          <w:color w:val="auto"/>
        </w:rPr>
      </w:pPr>
      <w:r>
        <w:rPr>
          <w:rFonts w:ascii="Times New Roman" w:cs="Times New Roman" w:eastAsia="Times New Roman" w:hAnsi="Times New Roman"/>
          <w:sz w:val="14"/>
          <w:szCs w:val="14"/>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(“BBA”), increased the criminal and civil penalties that can be imposed for violating certain federal health care laws, including the Anti-Kickback Statute. Enforcement agencies also continue to pursue novel theories of liability under these laws. In particular, government agencies recently have increased regulatory scrutiny and enforcement activity with respect to manufacturer reimbursement support activities and patient support programs, including bringing criminal charges or civil enforcement actions under the Anti-Kickback Statute, federal civil False Claims Act and HIPAA’s healthcare fraud and privacy provisions.</w:t>
      </w:r>
    </w:p>
    <w:p>
      <w:pPr>
        <w:spacing w:after="0" w:line="63" w:lineRule="exact"/>
        <w:rPr>
          <w:sz w:val="20"/>
          <w:szCs w:val="20"/>
          <w:color w:val="auto"/>
        </w:rPr>
      </w:pPr>
    </w:p>
    <w:p>
      <w:pPr>
        <w:ind w:left="1140" w:right="1279" w:firstLine="258"/>
        <w:spacing w:after="0" w:line="262" w:lineRule="auto"/>
        <w:rPr>
          <w:sz w:val="20"/>
          <w:szCs w:val="20"/>
          <w:color w:val="auto"/>
        </w:rPr>
      </w:pPr>
      <w:r>
        <w:rPr>
          <w:rFonts w:ascii="Times New Roman" w:cs="Times New Roman" w:eastAsia="Times New Roman" w:hAnsi="Times New Roman"/>
          <w:sz w:val="14"/>
          <w:szCs w:val="14"/>
          <w:color w:val="auto"/>
        </w:rPr>
        <w:t>Because of the breadth of these laws and the narrowness of available statutory and regulatory exemptions or safe harbors, it is possible that some of our activities, such as stock-option compensation paid to doctors that have entered into consulting agreements with us,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w:t>
      </w:r>
    </w:p>
    <w:p>
      <w:pPr>
        <w:spacing w:after="0" w:line="61"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The growth of our business and sales organization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of individuals, exclusion from participation in government programs, such as Medicare and Medicaid, and we could be required to curtail or cease our operations. Any of the foregoing consequences could seriously harm our business and our financial results.</w:t>
      </w:r>
    </w:p>
    <w:p>
      <w:pPr>
        <w:spacing w:after="0" w:line="59" w:lineRule="exact"/>
        <w:rPr>
          <w:sz w:val="20"/>
          <w:szCs w:val="20"/>
          <w:color w:val="auto"/>
        </w:rPr>
      </w:pPr>
    </w:p>
    <w:p>
      <w:pPr>
        <w:ind w:left="1140" w:right="1279" w:firstLine="258"/>
        <w:spacing w:after="0" w:line="268" w:lineRule="auto"/>
        <w:rPr>
          <w:sz w:val="20"/>
          <w:szCs w:val="20"/>
          <w:color w:val="auto"/>
        </w:rPr>
      </w:pPr>
      <w:r>
        <w:rPr>
          <w:rFonts w:ascii="Times New Roman" w:cs="Times New Roman" w:eastAsia="Times New Roman" w:hAnsi="Times New Roman"/>
          <w:sz w:val="14"/>
          <w:szCs w:val="14"/>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w:t>
      </w:r>
    </w:p>
    <w:p>
      <w:pPr>
        <w:spacing w:after="0" w:line="3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76" w:name="page77"/>
    <w:bookmarkEnd w:id="76"/>
    <w:p>
      <w:pPr>
        <w:ind w:left="1140" w:right="1179"/>
        <w:spacing w:after="0" w:line="260" w:lineRule="auto"/>
        <w:rPr>
          <w:sz w:val="20"/>
          <w:szCs w:val="20"/>
          <w:color w:val="auto"/>
        </w:rPr>
      </w:pPr>
      <w:r>
        <w:rPr>
          <w:rFonts w:ascii="Times New Roman" w:cs="Times New Roman" w:eastAsia="Times New Roman" w:hAnsi="Times New Roman"/>
          <w:sz w:val="14"/>
          <w:szCs w:val="14"/>
          <w:color w:val="auto"/>
        </w:rPr>
        <w:t>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federal civil False Claims Act, Anti-Kickback Statute or civil monetary penalties law cases also may be required to enter into a Corporate Integrity Agreement with the OIG in order to avoid exclusion from participation (i.e.,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have a material adverse effect on our business, financial condition and results of operations.</w:t>
      </w:r>
    </w:p>
    <w:p>
      <w:pPr>
        <w:spacing w:after="0" w:line="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Changes in the CMS fee schedules may harm our revenue and operating results.</w:t>
      </w:r>
    </w:p>
    <w:p>
      <w:pPr>
        <w:spacing w:after="0" w:line="101"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Government payers, such as CMS as well as insurers, have increased their efforts to control the cost, utilization and delivery of healthcare services. From time to time, the United States Congress has considered and implemented changes in the CMS fee schedules in conjunction with budgetary legislation. Reductions of reimbursement by Medicare or Medicaid for procedures that use our products or changes in policy regarding coverage of these procedures, such as adding requirements for payment, or prior authorizations, may be implemented from time to time. Reductions in the reimbursement rates and changes in payment policies of other third-party payers may occur as well. Similar changes in the past have resulted in reduced payments for procedures that use medical device products as well as added costs and have added more complex regulatory and administrative requirements. Further changes in federal, state, local and third-party payer regulations or policies may have a material adverse impact on the demand for our products and on our business. Actions by agencies regulating insurance or changes in other laws, regulations, or policies may also have a material adverse effect on our business, financial condition and results of operations.</w:t>
      </w:r>
    </w:p>
    <w:p>
      <w:pPr>
        <w:spacing w:after="0" w:line="229" w:lineRule="exact"/>
        <w:rPr>
          <w:sz w:val="20"/>
          <w:szCs w:val="20"/>
          <w:color w:val="auto"/>
        </w:rPr>
      </w:pPr>
    </w:p>
    <w:p>
      <w:pPr>
        <w:ind w:left="1140" w:right="133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Legislative or regulatory reforms may make it more difficult and costly for us to obtain regulatory clearance or approval of our planned or future products and to manufacture, market and distribute our products after clearance or approval is obtained.</w:t>
      </w:r>
    </w:p>
    <w:p>
      <w:pPr>
        <w:spacing w:after="0" w:line="47" w:lineRule="exact"/>
        <w:rPr>
          <w:sz w:val="20"/>
          <w:szCs w:val="20"/>
          <w:color w:val="auto"/>
        </w:rPr>
      </w:pPr>
    </w:p>
    <w:p>
      <w:pPr>
        <w:ind w:left="1140" w:right="1179" w:firstLine="258"/>
        <w:spacing w:after="0" w:line="262" w:lineRule="auto"/>
        <w:rPr>
          <w:sz w:val="20"/>
          <w:szCs w:val="20"/>
          <w:color w:val="auto"/>
        </w:rPr>
      </w:pPr>
      <w:r>
        <w:rPr>
          <w:rFonts w:ascii="Times New Roman" w:cs="Times New Roman" w:eastAsia="Times New Roman" w:hAnsi="Times New Roman"/>
          <w:sz w:val="14"/>
          <w:szCs w:val="14"/>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61" w:lineRule="exact"/>
        <w:rPr>
          <w:sz w:val="20"/>
          <w:szCs w:val="20"/>
          <w:color w:val="auto"/>
        </w:rPr>
      </w:pPr>
    </w:p>
    <w:p>
      <w:pPr>
        <w:ind w:left="1140" w:right="1179" w:firstLine="258"/>
        <w:spacing w:after="0" w:line="265" w:lineRule="auto"/>
        <w:rPr>
          <w:sz w:val="20"/>
          <w:szCs w:val="20"/>
          <w:color w:val="auto"/>
        </w:rPr>
      </w:pPr>
      <w:r>
        <w:rPr>
          <w:rFonts w:ascii="Times New Roman" w:cs="Times New Roman" w:eastAsia="Times New Roman" w:hAnsi="Times New Roman"/>
          <w:sz w:val="14"/>
          <w:szCs w:val="14"/>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54" w:lineRule="exact"/>
        <w:rPr>
          <w:sz w:val="20"/>
          <w:szCs w:val="20"/>
          <w:color w:val="auto"/>
        </w:rPr>
      </w:pPr>
    </w:p>
    <w:p>
      <w:pPr>
        <w:ind w:left="1140" w:right="119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Compliance with the EU Medical Device Regulation, applicable regulations in the United Kingdom, and other applicable foreign regulations, as well as any changes to existing regulations, may be costly and disruptive to our business, and expose us to increased liability.</w:t>
      </w:r>
    </w:p>
    <w:p>
      <w:pPr>
        <w:spacing w:after="0" w:line="47"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In 2017, the European Union (“EU”) published the new EU Medical Device Regulation (“EU MDR”) (2017/745), the application of which was postponed until May 26, 2021 for class I devices (lowest risk) and May 26, 2024 for all other class devices (higher risk devices). In February 2023, EU Parliament voted to extend the EU MDR transition timelines, which postpones application until December 2027 for higher-risk Class III and implantable IIb devices and until December 2028 for lower-risk Class I and IIa devices. The new regulations replace predecessor directives and emphasize a global convergence of regulations. With the transition from the Medical Devices Directive (“MDD”), to the EU MDR, notified bodies are required to seek designation to operate as conformity assessment authorities under the new law. While we are currently in compliance with the EU MDR and in process of transferring certification from MDD to EU MDR, compliance with any new or changing regulations in the EU or other jurisdictions where we currently commercialize our products or intend to commercialize in the future is a time</w:t>
      </w: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77" w:name="page78"/>
    <w:bookmarkEnd w:id="77"/>
    <w:p>
      <w:pPr>
        <w:ind w:left="1140" w:right="1779"/>
        <w:spacing w:after="0" w:line="293" w:lineRule="auto"/>
        <w:rPr>
          <w:sz w:val="20"/>
          <w:szCs w:val="20"/>
          <w:color w:val="auto"/>
        </w:rPr>
      </w:pPr>
      <w:r>
        <w:rPr>
          <w:rFonts w:ascii="Times New Roman" w:cs="Times New Roman" w:eastAsia="Times New Roman" w:hAnsi="Times New Roman"/>
          <w:sz w:val="14"/>
          <w:szCs w:val="14"/>
          <w:color w:val="auto"/>
        </w:rPr>
        <w:t>consuming process that may require comprehensive quality system audits and new conformity assessment certifications for our products. Major changes include:</w:t>
      </w:r>
    </w:p>
    <w:p>
      <w:pPr>
        <w:spacing w:after="0" w:line="37" w:lineRule="exact"/>
        <w:rPr>
          <w:sz w:val="20"/>
          <w:szCs w:val="20"/>
          <w:color w:val="auto"/>
        </w:rPr>
      </w:pPr>
    </w:p>
    <w:p>
      <w:pPr>
        <w:ind w:left="1840" w:hanging="342"/>
        <w:spacing w:after="0"/>
        <w:tabs>
          <w:tab w:leader="none" w:pos="18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of some products;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emphasis on clinical data;</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transparency, including publication of clinical trial data and safety summaries;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content and structure for technical files to support registration;</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unique device identification system;</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burden on post-market surveillance and clinical follow-up;</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of adverse event reporting time from 30 to 15 days after the event;</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delayed review times; and</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more power to notified bodies.</w:t>
      </w:r>
    </w:p>
    <w:p>
      <w:pPr>
        <w:spacing w:after="0" w:line="97" w:lineRule="exact"/>
        <w:rPr>
          <w:sz w:val="20"/>
          <w:szCs w:val="20"/>
          <w:color w:val="auto"/>
        </w:rPr>
      </w:pPr>
    </w:p>
    <w:p>
      <w:pPr>
        <w:ind w:left="1140" w:right="1179" w:firstLine="258"/>
        <w:spacing w:after="0" w:line="264" w:lineRule="auto"/>
        <w:rPr>
          <w:sz w:val="20"/>
          <w:szCs w:val="20"/>
          <w:color w:val="auto"/>
        </w:rPr>
      </w:pPr>
      <w:r>
        <w:rPr>
          <w:rFonts w:ascii="Times New Roman" w:cs="Times New Roman" w:eastAsia="Times New Roman" w:hAnsi="Times New Roman"/>
          <w:sz w:val="14"/>
          <w:szCs w:val="14"/>
          <w:color w:val="auto"/>
        </w:rPr>
        <w:t>Implementation of the Medical Device Regulations introduces substantial changes to the obligations with which medical device manufacturers must comply in the EU. High risk medical devices will be subject to additional scrutiny during the conformity assessment procedure. For any products that we may develop in the future, complying with these new regulations may result in Europe being less attractive as a “first market” destination. Marketing authorization timelines will become more protracted and the costs of operating in Europe will increase. A significantly more costly path to regulatory compliance is anticipated.</w:t>
      </w:r>
    </w:p>
    <w:p>
      <w:pPr>
        <w:spacing w:after="0" w:line="52" w:lineRule="exact"/>
        <w:rPr>
          <w:sz w:val="20"/>
          <w:szCs w:val="20"/>
          <w:color w:val="auto"/>
        </w:rPr>
      </w:pPr>
    </w:p>
    <w:p>
      <w:pPr>
        <w:ind w:left="1140" w:right="12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clinical trials may fail to demonstrate competent and reliable evidence of the safety and effectiveness of our products, which would prevent or delay commercialization of our products in development.</w:t>
      </w:r>
    </w:p>
    <w:p>
      <w:pPr>
        <w:spacing w:after="0" w:line="33"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We may be required to conduct clinical studies that demonstrate competent and reliable evidence that our products are safe and effective before we can commercialize our products. Clinical testing is expensive and can take many years to complete, and its outcome is inherently uncertain. We cannot be certain that our planned clinical trials or any other future clinical trials will be successful. In addition, even if such clinical trials are successfully completed, we cannot guarantee that the FDA or foreign regulatory authorities will interpret the results as we do, and more trials could be required before we submit our products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products. Even if regulatory approval is secured for any of our products, the terms of such approval may limit the scope and use of our products, which may also limit their commercial potential.</w:t>
      </w:r>
    </w:p>
    <w:p>
      <w:pPr>
        <w:spacing w:after="0" w:line="60" w:lineRule="exact"/>
        <w:rPr>
          <w:sz w:val="20"/>
          <w:szCs w:val="20"/>
          <w:color w:val="auto"/>
        </w:rPr>
      </w:pPr>
    </w:p>
    <w:p>
      <w:pPr>
        <w:ind w:left="1140" w:right="16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Defects or failures associated with our products could lead to recalls, safety alerts or litigation, as well as significant costs and negative publicity.</w:t>
      </w:r>
    </w:p>
    <w:p>
      <w:pPr>
        <w:spacing w:after="0" w:line="33" w:lineRule="exact"/>
        <w:rPr>
          <w:sz w:val="20"/>
          <w:szCs w:val="20"/>
          <w:color w:val="auto"/>
        </w:rPr>
      </w:pPr>
    </w:p>
    <w:p>
      <w:pPr>
        <w:ind w:left="1140" w:right="1159" w:firstLine="258"/>
        <w:spacing w:after="0" w:line="261" w:lineRule="auto"/>
        <w:rPr>
          <w:sz w:val="20"/>
          <w:szCs w:val="20"/>
          <w:color w:val="auto"/>
        </w:rPr>
      </w:pPr>
      <w:r>
        <w:rPr>
          <w:rFonts w:ascii="Times New Roman" w:cs="Times New Roman" w:eastAsia="Times New Roman" w:hAnsi="Times New Roman"/>
          <w:sz w:val="14"/>
          <w:szCs w:val="14"/>
          <w:color w:val="auto"/>
        </w:rPr>
        <w:t>Our business is subject to significant risks associated with manufacture, distribution and use of medical devices that are placed inside the human body, including the risk that patients may be severely injured by or even die from the misuse or malfunction of our products caused by design flaws or manufacturing defects. In addition, component failures, design defects, off-label uses, or inadequate disclosure of product-related information could also result in an unsafe condition or the injury or death of a patient. These problems could lead to a recall or market withdrawal of, or issuance of a safety alert relating to, our products and result in significant costs, negative publicity and adverse competitive pressure. The circumstances giving rise to recalls are unpredictable, and any recalls of existing or future products could have a material adverse effect on our business, financial condition and results of operations.</w:t>
      </w:r>
    </w:p>
    <w:p>
      <w:pPr>
        <w:spacing w:after="0" w:line="63" w:lineRule="exact"/>
        <w:rPr>
          <w:sz w:val="20"/>
          <w:szCs w:val="20"/>
          <w:color w:val="auto"/>
        </w:rPr>
      </w:pPr>
    </w:p>
    <w:p>
      <w:pPr>
        <w:ind w:left="1140" w:right="1219" w:firstLine="258"/>
        <w:spacing w:after="0" w:line="265" w:lineRule="auto"/>
        <w:rPr>
          <w:sz w:val="20"/>
          <w:szCs w:val="20"/>
          <w:color w:val="auto"/>
        </w:rPr>
      </w:pPr>
      <w:r>
        <w:rPr>
          <w:rFonts w:ascii="Times New Roman" w:cs="Times New Roman" w:eastAsia="Times New Roman" w:hAnsi="Times New Roman"/>
          <w:sz w:val="14"/>
          <w:szCs w:val="14"/>
          <w:color w:val="auto"/>
        </w:rPr>
        <w:t>We provide a limited warranty that our products are free of material defects and conform to specifications and offer to repair the LDD in the event of a defect and replace or refund the purchase price of a defective LAL. As a result, we bear the risk of potential warranty claims on our products. In the event that we attempt to recover some or all of the expenses associated with a warranty claim against us from our suppliers or vendors, we may not be successful in claiming such recovery, or any recovery from such vendor or supplier may be inadequate or unavailable.</w:t>
      </w:r>
    </w:p>
    <w:p>
      <w:pPr>
        <w:spacing w:after="0" w:line="230"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The medical device industry has historically been subject to extensive litigation over product liability claims.</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We may be subject to product liability claims if our products cause, or merely appear to have caused, an injury or</w:t>
      </w:r>
    </w:p>
    <w:p>
      <w:pPr>
        <w:spacing w:after="0" w:line="3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78" w:name="page79"/>
    <w:bookmarkEnd w:id="78"/>
    <w:p>
      <w:pPr>
        <w:ind w:left="1140" w:right="1159"/>
        <w:spacing w:after="0" w:line="260" w:lineRule="auto"/>
        <w:rPr>
          <w:sz w:val="20"/>
          <w:szCs w:val="20"/>
          <w:color w:val="auto"/>
        </w:rPr>
      </w:pPr>
      <w:r>
        <w:rPr>
          <w:rFonts w:ascii="Times New Roman" w:cs="Times New Roman" w:eastAsia="Times New Roman" w:hAnsi="Times New Roman"/>
          <w:sz w:val="14"/>
          <w:szCs w:val="14"/>
          <w:color w:val="auto"/>
        </w:rPr>
        <w:t>death, even if due to doctor error. In addition, an injury or death that is caused by the activities of our suppliers, such as those that provide us with components and raw materials, or by an aspect of a treatment used in combination with our products, such as a complementary drug or anesthesia, may be the basis for a claim against us by patients, doctors or others purchasing or using our products, even if our products were not the actual cause of such injury or death. We may choose to settle any claims to avoid a determination of fault, even if we believe fault was not due to failure of our products. An adverse outcome involving one of our products could result in reduced market acceptance and demand for such products or any or all of our other products and could harm our brand and reputation and our ability to market our products in the future. In some circumstances, adverse events arising from or associated with the design, manufacture or marketing of our products could result in the suspension or delay of regulatory reviews of our premarket notifications or applications for marketing. Any of the foregoing problems could disrupt our business and have a material adverse effect on our business, financial condition and results of operations.</w:t>
      </w:r>
    </w:p>
    <w:p>
      <w:pPr>
        <w:spacing w:after="0" w:line="233"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Although we carry product liability insurance in the United States and in other countries in which we conduct business, including for clinical trials and product marketing, we can give no assurance that such coverage will be available or adequate to satisfy any claims. Product liability insurance is expensive, subject to significant deductibles and exclusions, and may not be available on acceptable terms, if at all. If we are unable to obtain or maintain insurance at an acceptable cost or on acceptable terms with adequate coverage or otherwise protect against potential product liability claims, we could be exposed to significant liabilities. A product liability claim recall or other claim with respect to uninsured liabilities or for amounts in excess of insured liabilities could have a material adverse effect on our business, financial condition and results of operations. Defending a suit, regardless of its merit or eventual outcome, could be costly, could divert management’s attention from our business and might result in adverse publicity, which could result in reduced acceptance of our products in the market, product recalls or market withdrawals.</w:t>
      </w:r>
    </w:p>
    <w:p>
      <w:pPr>
        <w:spacing w:after="0" w:line="236"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We are required to file adverse event reports under MDR, regulations with the FDA that are publicly available on the FDA’s website. We are required to file MDRs if our products may have caused or contributed to a serious injury or death or malfunctioned in a way that could likely cause or contribute to a serious injury or death if it were to recur. Any such MDR that reports a significant adverse event could result in negative publicity, which could harm our reputation and future sales. If we fail to report events required to be reported to the FDA within the required timeframes, or at all, the FDA could take enforcement action and impose sanctions against us. Any such adverse event involving our products also could result in future voluntary corrective actions, such as recalls or customer notifications, or agency action, such as inspection or enforcement action. Any corrective action, whether voluntary or involuntary, as well as defending ourselves in a lawsuit, would require our time and capital, distract management from operating our business and may harm our reputation and have a material adverse effect on our business, financial condition and results of operations.</w:t>
      </w:r>
    </w:p>
    <w:p>
      <w:pPr>
        <w:spacing w:after="0" w:line="57" w:lineRule="exact"/>
        <w:rPr>
          <w:sz w:val="20"/>
          <w:szCs w:val="20"/>
          <w:color w:val="auto"/>
        </w:rPr>
      </w:pPr>
    </w:p>
    <w:p>
      <w:pPr>
        <w:ind w:left="1140" w:right="119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217" w:lineRule="exact"/>
        <w:rPr>
          <w:sz w:val="20"/>
          <w:szCs w:val="20"/>
          <w:color w:val="auto"/>
        </w:rPr>
      </w:pPr>
    </w:p>
    <w:p>
      <w:pPr>
        <w:ind w:left="1140" w:right="1159" w:firstLine="258"/>
        <w:spacing w:after="0" w:line="259" w:lineRule="auto"/>
        <w:rPr>
          <w:sz w:val="20"/>
          <w:szCs w:val="20"/>
          <w:color w:val="auto"/>
        </w:rPr>
      </w:pPr>
      <w:r>
        <w:rPr>
          <w:rFonts w:ascii="Times New Roman" w:cs="Times New Roman" w:eastAsia="Times New Roman" w:hAnsi="Times New Roman"/>
          <w:sz w:val="14"/>
          <w:szCs w:val="14"/>
          <w:color w:val="auto"/>
        </w:rPr>
        <w:t>We are exposed to the risk that our employees, independent contractors, consultants, commercial partners, distributors and vendors may engage in fraudulent or illegal activity. Misconduct by these parties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(iii) healthcare fraud and abuse laws in the United States and similar foreign fraudulent misconduct laws; or (iv)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66" w:lineRule="exact"/>
        <w:rPr>
          <w:sz w:val="20"/>
          <w:szCs w:val="20"/>
          <w:color w:val="auto"/>
        </w:rPr>
      </w:pPr>
    </w:p>
    <w:p>
      <w:pPr>
        <w:jc w:val="both"/>
        <w:ind w:left="1140" w:right="1579" w:firstLine="258"/>
        <w:spacing w:after="0" w:line="275" w:lineRule="auto"/>
        <w:rPr>
          <w:sz w:val="20"/>
          <w:szCs w:val="20"/>
          <w:color w:val="auto"/>
        </w:rPr>
      </w:pPr>
      <w:r>
        <w:rPr>
          <w:rFonts w:ascii="Times New Roman" w:cs="Times New Roman" w:eastAsia="Times New Roman" w:hAnsi="Times New Roman"/>
          <w:sz w:val="14"/>
          <w:szCs w:val="14"/>
          <w:color w:val="auto"/>
        </w:rPr>
        <w:t>We have adopted a code of business conduct and ethics, but it is not always possible to identify and deter misconduct by our employees and other third parties, and the precautions we take to detect and prevent these activities may not be effective in controlling unknown or unmanaged risks or losses or in protecting us from</w:t>
      </w:r>
    </w:p>
    <w:p>
      <w:pPr>
        <w:spacing w:after="0" w:line="3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79" w:name="page80"/>
    <w:bookmarkEnd w:id="79"/>
    <w:p>
      <w:pPr>
        <w:ind w:left="1140" w:right="1179"/>
        <w:spacing w:after="0" w:line="260" w:lineRule="auto"/>
        <w:rPr>
          <w:sz w:val="20"/>
          <w:szCs w:val="20"/>
          <w:color w:val="auto"/>
        </w:rPr>
      </w:pPr>
      <w:r>
        <w:rPr>
          <w:rFonts w:ascii="Times New Roman" w:cs="Times New Roman" w:eastAsia="Times New Roman" w:hAnsi="Times New Roman"/>
          <w:sz w:val="14"/>
          <w:szCs w:val="14"/>
          <w:color w:val="auto"/>
        </w:rPr>
        <w:t>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financial condition and results of operations.</w:t>
      </w:r>
    </w:p>
    <w:p>
      <w:pPr>
        <w:spacing w:after="0" w:line="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Environmental health and safety laws may result in liabilities, expenses and restrictions on our operations.</w:t>
      </w:r>
    </w:p>
    <w:p>
      <w:pPr>
        <w:spacing w:after="0" w:line="2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environmental laws and regulations could subject us to significant liability.</w:t>
      </w:r>
    </w:p>
    <w:p>
      <w:pPr>
        <w:spacing w:after="0" w:line="84"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Our research and development and manufacturing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59" w:lineRule="exact"/>
        <w:rPr>
          <w:sz w:val="20"/>
          <w:szCs w:val="20"/>
          <w:color w:val="auto"/>
        </w:rPr>
      </w:pPr>
    </w:p>
    <w:p>
      <w:pPr>
        <w:ind w:left="1140" w:right="1179" w:firstLine="258"/>
        <w:spacing w:after="0" w:line="258" w:lineRule="auto"/>
        <w:rPr>
          <w:sz w:val="20"/>
          <w:szCs w:val="20"/>
          <w:color w:val="auto"/>
        </w:rPr>
      </w:pPr>
      <w:r>
        <w:rPr>
          <w:rFonts w:ascii="Times New Roman" w:cs="Times New Roman" w:eastAsia="Times New Roman" w:hAnsi="Times New Roman"/>
          <w:sz w:val="14"/>
          <w:szCs w:val="14"/>
          <w:color w:val="auto"/>
        </w:rPr>
        <w:t>Federal, state, local and foreign laws regarding environmental protection, hazardous substances and human health and safety may adversely affect our business. Our research and development and manufacturing operations involve the use of hazardous substances and are subject to a variety of federal, state, local and foreign environmental laws and regulations relating to the storage, use, discharge, disposal and remediation of, as well as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our or our suppliers’ operations result in the contamination of the environment or expose individuals to hazardous substances, we could be liable for damages and fines, and any liability could significantly exceed our insurance coverage and have a material adverse effect on our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business, financial condition and results of operation.</w:t>
      </w:r>
    </w:p>
    <w:p>
      <w:pPr>
        <w:spacing w:after="0" w:line="237" w:lineRule="exact"/>
        <w:rPr>
          <w:sz w:val="20"/>
          <w:szCs w:val="20"/>
          <w:color w:val="auto"/>
        </w:rPr>
      </w:pPr>
    </w:p>
    <w:p>
      <w:pPr>
        <w:ind w:left="1140" w:right="129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face risks related to our collection and use of data, which could result in investigations, inquiries, litigation, fines, legislative and regulatory action and negative press about our privacy and data and security protection practices.</w:t>
      </w:r>
    </w:p>
    <w:p>
      <w:pPr>
        <w:spacing w:after="0" w:line="47" w:lineRule="exact"/>
        <w:rPr>
          <w:sz w:val="20"/>
          <w:szCs w:val="20"/>
          <w:color w:val="auto"/>
        </w:rPr>
      </w:pPr>
    </w:p>
    <w:p>
      <w:pPr>
        <w:ind w:left="1140" w:right="1199" w:firstLine="258"/>
        <w:spacing w:after="0" w:line="265" w:lineRule="auto"/>
        <w:rPr>
          <w:sz w:val="20"/>
          <w:szCs w:val="20"/>
          <w:color w:val="auto"/>
        </w:rPr>
      </w:pPr>
      <w:r>
        <w:rPr>
          <w:rFonts w:ascii="Times New Roman" w:cs="Times New Roman" w:eastAsia="Times New Roman" w:hAnsi="Times New Roman"/>
          <w:sz w:val="14"/>
          <w:szCs w:val="14"/>
          <w:color w:val="auto"/>
        </w:rPr>
        <w:t>Our business processes personal data, including some data related to health. When conducting clinical trials, we face risks associated with collecting trial participants’ data, especially health data, in a manner consistent with applicable laws and regulations, such as the Common Rule (“GCP”) guidelines, or FDA human subject protection regulations. We also face risks inherent in handling large volumes of data and in protecting the security of such data. We have been and could again be subject to attacks on our systems by outside parties, or by fraudulent or</w:t>
      </w:r>
    </w:p>
    <w:p>
      <w:pPr>
        <w:spacing w:after="0" w:line="3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80" w:name="page81"/>
    <w:bookmarkEnd w:id="80"/>
    <w:p>
      <w:pPr>
        <w:ind w:left="1140" w:right="1179"/>
        <w:spacing w:after="0" w:line="261" w:lineRule="auto"/>
        <w:rPr>
          <w:sz w:val="20"/>
          <w:szCs w:val="20"/>
          <w:color w:val="auto"/>
        </w:rPr>
      </w:pPr>
      <w:r>
        <w:rPr>
          <w:rFonts w:ascii="Times New Roman" w:cs="Times New Roman" w:eastAsia="Times New Roman" w:hAnsi="Times New Roman"/>
          <w:sz w:val="14"/>
          <w:szCs w:val="14"/>
          <w:color w:val="auto"/>
        </w:rPr>
        <w:t>inappropriate behavior by our service providers or employees. Third parties may also gain access to users’ accounts using stolen or inferred credentials, computer malware, viruses, spamming, sim-swap attacks, phishing attacks or other means, and may use such access to obtain users’ personal data or prevent use of their accounts. Data breaches or other incidents could result in a violation of applicable United States and international privacy, data protection, security and other laws, and subject us to individual or consumer class action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w:t>
      </w:r>
    </w:p>
    <w:p>
      <w:pPr>
        <w:spacing w:after="0" w:line="60" w:lineRule="exact"/>
        <w:rPr>
          <w:sz w:val="20"/>
          <w:szCs w:val="20"/>
          <w:color w:val="auto"/>
        </w:rPr>
      </w:pPr>
    </w:p>
    <w:p>
      <w:pPr>
        <w:ind w:left="1140" w:right="1159" w:firstLine="258"/>
        <w:spacing w:after="0" w:line="258" w:lineRule="auto"/>
        <w:rPr>
          <w:sz w:val="20"/>
          <w:szCs w:val="20"/>
          <w:color w:val="auto"/>
        </w:rPr>
      </w:pPr>
      <w:r>
        <w:rPr>
          <w:rFonts w:ascii="Times New Roman" w:cs="Times New Roman" w:eastAsia="Times New Roman" w:hAnsi="Times New Roman"/>
          <w:sz w:val="14"/>
          <w:szCs w:val="14"/>
          <w:color w:val="auto"/>
        </w:rPr>
        <w:t>This risk is enhanced in certain jurisdictions and, as we expand our operations domestically and internationally, we may be subject to additional laws in other jurisdictions. Any failure, or perceived failure, by us to comply with privacy, data protection or security laws, rules and regulations could result in proceedings or actions against us by governmental entities or others. These proceedings or actions may subject us to significant penalties and negative publicity, require us to change our business practices, increase our costs and severely disrupt our business. In the United States, various federal and state regulators, including governmental agencies like the Consumer Financial Protection Bureau and the Federal Trade Commission, have adopted, or are considering adopting, laws, regulations or rules concerning personal information and data security and have prioritized privacy and security violations for enforcement actions. Additionally, in the United States, California adopted the CCPA in January 2020, which requires certain companies that process information of California consumers to, among other things, provide new disclosures to California consumers and afford such consumers new abilities to exercise certain rights with respect to their personal information and opt out of certain sales of personal information, in addition to severely limiting our ability to use their information. The CCPA provides for civil penalties for violations, as well as a private right of action for certain data breaches that result in the unauthorized access and exfiltration, theft, or disclosure of personal information. Furthermore, in November 2020, California voters passed the CPRA, which became effective January 1, 2023. The CPRA imposes additional obligations on covered companies and significantly modifies the CCPA, including by expanding California residents’ rights with respect to certain sensitive personal information. Other states have proposed or enacted privacy laws that are similar to the CCPA and CPRA, further complicating the legal landscape. Further, other states have enacted laws that cover certain aspects of the collection, use, disclosure, and/or other processing of health information, such as Washington’s My Health, My Data Act, which, among other things, provides for a private right of action. It remains unclear how various provisions of the CCPA and these other new and evolving state laws will be interpreted and enforced. In addition, laws in all 50 states require businesses to provide notice to consumers whose personal information has been accessed or acquired as a result of a data breach (and, in some cases, to regulators). The effects of the CCPA, CPRA and other such privacy laws are potentially significant, and may require us to modify our practices and policies and to incur substantial costs and expenses in an effort to comply.</w:t>
      </w:r>
    </w:p>
    <w:p>
      <w:pPr>
        <w:spacing w:after="0" w:line="235" w:lineRule="exact"/>
        <w:rPr>
          <w:sz w:val="20"/>
          <w:szCs w:val="20"/>
          <w:color w:val="auto"/>
        </w:rPr>
      </w:pPr>
    </w:p>
    <w:p>
      <w:pPr>
        <w:ind w:left="1140" w:right="1219" w:firstLine="258"/>
        <w:spacing w:after="0" w:line="261" w:lineRule="auto"/>
        <w:rPr>
          <w:sz w:val="20"/>
          <w:szCs w:val="20"/>
          <w:color w:val="auto"/>
        </w:rPr>
      </w:pPr>
      <w:r>
        <w:rPr>
          <w:rFonts w:ascii="Times New Roman" w:cs="Times New Roman" w:eastAsia="Times New Roman" w:hAnsi="Times New Roman"/>
          <w:sz w:val="14"/>
          <w:szCs w:val="14"/>
          <w:color w:val="auto"/>
        </w:rPr>
        <w:t>In addition, we are subject to international laws, regulations and standards in many jurisdictions, which apply broadly to the collection, use, retention, security, disclosure, transfer and other processing of personal information. For example, the GDPR, which was adopted by the EU and became effective in May 2018, applies extraterritorially and imposes several stringent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of information, increased requirements pertaining to special categories of personal data and pseudonymized (i.e., key-coded) data and additional obligations when we contract third-party processors in connection with the processing of the personal data.</w:t>
      </w:r>
    </w:p>
    <w:p>
      <w:pPr>
        <w:spacing w:after="0" w:line="60"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The GDPR provides that EU member states may make their own laws and regulations limiting the (i) processing of personal data, including special categories of data (e.g., racial or ethnic origin, political opinions, religious or philosophical beliefs) and (ii) profiling and automated individual decision-making of individuals, which could limit our ability to use and share personal data or other data and could cause our costs to increase, harming our business and financial condition. Non-compliance with the GDPR is subject to significant penalties, including fines of up to €20 million or 4% of total worldwide revenue, whichever is greater. Interpretations of the GDPR by local data protection authorities in EU member states, along with the complexity of the regime itself, create uncertainty regarding the interpretation and enforcement of the law, with potential inconsistencies across EU member states. Other jurisdictions outside the EU are similarly introducing or enhancing laws and regulations relating to privacy, data protection or security, which enhances risks relating to compliance with such laws. Further, the United</w:t>
      </w:r>
    </w:p>
    <w:p>
      <w:pPr>
        <w:spacing w:after="0" w:line="3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81" w:name="page82"/>
    <w:bookmarkEnd w:id="81"/>
    <w:p>
      <w:pPr>
        <w:ind w:left="1140" w:right="1219"/>
        <w:spacing w:after="0" w:line="261" w:lineRule="auto"/>
        <w:rPr>
          <w:sz w:val="20"/>
          <w:szCs w:val="20"/>
          <w:color w:val="auto"/>
        </w:rPr>
      </w:pPr>
      <w:r>
        <w:rPr>
          <w:rFonts w:ascii="Times New Roman" w:cs="Times New Roman" w:eastAsia="Times New Roman" w:hAnsi="Times New Roman"/>
          <w:sz w:val="14"/>
          <w:szCs w:val="14"/>
          <w:color w:val="auto"/>
        </w:rPr>
        <w:t>Kingdom has adopted the UK General Data Protection Regulation and UK Data Protection Act, which retain the GDPR in the United Kingdom’s national law and provide for a penalty structure similar to the GDPR. These recent developments have required us to review and modify the legal means by which we process personal data and may require us to make other modifications. The implementation and enforcement of the GDPR and other evolving legislation may subject us to enforcement risk and requirements to change certain of our data collection, processing and other policies and practices. We could incur significant costs investigating and defending such claims and, if we are found liable, significant damages. If any of these events were to occur, our business and financial results could be adversely affected.</w:t>
      </w:r>
    </w:p>
    <w:p>
      <w:pPr>
        <w:spacing w:after="0" w:line="63" w:lineRule="exact"/>
        <w:rPr>
          <w:sz w:val="20"/>
          <w:szCs w:val="20"/>
          <w:color w:val="auto"/>
        </w:rPr>
      </w:pPr>
    </w:p>
    <w:p>
      <w:pPr>
        <w:ind w:left="1140" w:right="1199" w:firstLine="258"/>
        <w:spacing w:after="0" w:line="258" w:lineRule="auto"/>
        <w:rPr>
          <w:sz w:val="20"/>
          <w:szCs w:val="20"/>
          <w:color w:val="auto"/>
        </w:rPr>
      </w:pPr>
      <w:r>
        <w:rPr>
          <w:rFonts w:ascii="Times New Roman" w:cs="Times New Roman" w:eastAsia="Times New Roman" w:hAnsi="Times New Roman"/>
          <w:sz w:val="14"/>
          <w:szCs w:val="14"/>
          <w:color w:val="auto"/>
        </w:rPr>
        <w:t>Additionally, we are subject to laws and regulations regarding cross-border transfers of personal data, including laws relating to transfer of personal data outside of the European Economic Area (“EEA”), Switzerland, and the United Kingdom. We rely on transfer mechanisms permitted under these laws, including EU Standard Contractual Clauses (“SCCs”). Such mechanisms have received heightened regulatory and judicial scrutiny in recent years. The Court of Justice of the European Union (“CJEU”) issued a decision in 2020 invalidating a transfer of personal data from the EEA and Switzerland to the U.S. and imposing additional obligations on companies using the SCCs. The European Commission has adopted new SCCs that are required to be implemented, and the United Kingdom has adopted new standard contractual clauses that also are required to be implemented. In June 2021, the European Commission issued an adequacy decision in respect of the United Kingdom’s data protection framework, enabling data transfers from EU member states to the United Kingdom to continue without requiring contractual or other additional measures. While it is intended to last for at least four years, the European Commission may revoke the adequacy decision at any point, and if this occurs it could lead to additional costs and increase our overall risk exposure. These developments and other regulatory guidance or developments may impose additional obligations with respect to the transfer of personal data from the EEA, Switzerland, and the United Kingdom,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EEA, Switzerland, and the United Kingdom to the U.S. This could adversely affect the manner in which we provide our services and thus materially affect our operations and financial results.</w:t>
      </w:r>
    </w:p>
    <w:p>
      <w:pPr>
        <w:spacing w:after="0" w:line="69" w:lineRule="exact"/>
        <w:rPr>
          <w:sz w:val="20"/>
          <w:szCs w:val="20"/>
          <w:color w:val="auto"/>
        </w:rPr>
      </w:pPr>
    </w:p>
    <w:p>
      <w:pPr>
        <w:ind w:left="1140" w:right="1199" w:firstLine="258"/>
        <w:spacing w:after="0" w:line="259" w:lineRule="auto"/>
        <w:rPr>
          <w:sz w:val="20"/>
          <w:szCs w:val="20"/>
          <w:color w:val="auto"/>
        </w:rPr>
      </w:pPr>
      <w:r>
        <w:rPr>
          <w:rFonts w:ascii="Times New Roman" w:cs="Times New Roman" w:eastAsia="Times New Roman" w:hAnsi="Times New Roman"/>
          <w:sz w:val="14"/>
          <w:szCs w:val="14"/>
          <w:color w:val="auto"/>
        </w:rPr>
        <w:t>Because the interpretation and application of laws, regulations, standards and other obligations relating to privacy, data protection and security are still uncertain, it is possible that these laws, regulations, standards and other obligations may be interpreted and applied in a manner that is inconsistent with our practices and policies. Any noncompliance, or perceived noncompliance, with laws, regulations, standards and other obligations or changes in interpretations or applications of existing laws, regulations, standards and other obligations, may subject us to fines, audits, inquiries, whistleblower complaints, adverse media coverage, investigations, lawsuits, loss of export privileges, severe criminal or civil sanction or other penalties. Additionally, although we endeavor to comply with our public statements and documentation, we may at times fail to do so or be alleged to have failed to do so. The publication of our privacy policies and other statements that provide notices and representations about privacy, data protection or security can subject us to potential government or legal action if they are found to be deceptive, unfair or misrepresentative of our actual practices. Any concerns about our privacy, data protection or security practices, even if unfounded, could damage the reputation of our businesses and discourage potential users from our products and services. Any of the foregoing could have an adverse effect on our business, financial condition, results of operations and prospects.</w:t>
      </w:r>
    </w:p>
    <w:p>
      <w:pPr>
        <w:spacing w:after="0" w:line="60" w:lineRule="exact"/>
        <w:rPr>
          <w:sz w:val="20"/>
          <w:szCs w:val="20"/>
          <w:color w:val="auto"/>
        </w:rPr>
      </w:pPr>
    </w:p>
    <w:p>
      <w:pPr>
        <w:ind w:left="1140" w:right="12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4" w:lineRule="exact"/>
        <w:rPr>
          <w:sz w:val="20"/>
          <w:szCs w:val="20"/>
          <w:color w:val="auto"/>
        </w:rPr>
      </w:pPr>
    </w:p>
    <w:p>
      <w:pPr>
        <w:ind w:left="1140" w:right="1159" w:firstLine="258"/>
        <w:spacing w:after="0" w:line="268"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56" w:lineRule="exact"/>
        <w:rPr>
          <w:sz w:val="20"/>
          <w:szCs w:val="20"/>
          <w:color w:val="auto"/>
        </w:rPr>
      </w:pPr>
    </w:p>
    <w:p>
      <w:pPr>
        <w:ind w:left="1140" w:right="1159" w:firstLine="258"/>
        <w:spacing w:after="0" w:line="268" w:lineRule="auto"/>
        <w:rPr>
          <w:sz w:val="20"/>
          <w:szCs w:val="20"/>
          <w:color w:val="auto"/>
        </w:rPr>
      </w:pPr>
      <w:r>
        <w:rPr>
          <w:rFonts w:ascii="Times New Roman" w:cs="Times New Roman" w:eastAsia="Times New Roman" w:hAnsi="Times New Roman"/>
          <w:sz w:val="14"/>
          <w:szCs w:val="14"/>
          <w:color w:val="auto"/>
        </w:rPr>
        <w:t>Disruptions at the FDA and other agencies, including delays, travel restrictions, and staffing shortages, may also slow the time necessary for new medical devices to be reviewed and/or approved by necessary government agencies, which would adversely affect our business. For example, in 2018 and 2019, the U.S. government shut down several times and certain regulatory agencies such as the FDA had to furlough critical employees and stop critical activities.</w:t>
      </w:r>
    </w:p>
    <w:p>
      <w:pPr>
        <w:spacing w:after="0" w:line="3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82" w:name="page83"/>
    <w:bookmarkEnd w:id="82"/>
    <w:p>
      <w:pPr>
        <w:ind w:left="1140" w:right="1159"/>
        <w:spacing w:after="0" w:line="259" w:lineRule="auto"/>
        <w:rPr>
          <w:sz w:val="20"/>
          <w:szCs w:val="20"/>
          <w:color w:val="auto"/>
        </w:rPr>
      </w:pPr>
      <w:r>
        <w:rPr>
          <w:rFonts w:ascii="Times New Roman" w:cs="Times New Roman" w:eastAsia="Times New Roman" w:hAnsi="Times New Roman"/>
          <w:sz w:val="14"/>
          <w:szCs w:val="14"/>
          <w:color w:val="auto"/>
        </w:rPr>
        <w:t>In March 2020, in response to the COVID-19 pandemic, foreign and domestic inspections of facilities were largely placed on hold, the FDA worked to resume routine surveillance, bioresearch monitoring and pre-approval inspections on a prioritized basis. During 2020 and 2021 a number of companies announced receipt of complete response letters due to the FDA’s inability to complete required inspections for their applications. While the FDA has largely caught up with domestic preapproval inspections, it continues to work through its backlog of foreign inspections. However, the FDA may not be able to continue its current inspection pace or may be unable to complete required inspections during the review period, which can delay clinical development and result in a complete response letter. On May 11, 2023, the federal government ended the COVID-19 public health emergency, which ended a number of temporary changes made to federally funded programs while some continue to be in effect. The full impact of such policy changes and the wind-down of the public health emergency on the FDA and other regulatory policies and operations is unclear. Disruptions at the FDA could significantly impact the ability of the FDA to timely review and process our regulatory submissions, which could have a material adverse effect on our business.</w:t>
      </w:r>
    </w:p>
    <w:p>
      <w:pPr>
        <w:spacing w:after="0" w:line="235" w:lineRule="exact"/>
        <w:rPr>
          <w:sz w:val="20"/>
          <w:szCs w:val="20"/>
          <w:color w:val="auto"/>
        </w:rPr>
      </w:pPr>
    </w:p>
    <w:p>
      <w:pPr>
        <w:jc w:val="both"/>
        <w:ind w:left="1140" w:right="127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Our global operations can expose us to numerous and sometimes conflicting legal and regulatory requirements, including to anti-bribery and anti-corruption laws, such as the FCPA and the U.K. Bribery Act, and violation of these requirements could result in substantial penalties and prosecution and harm our business.</w:t>
      </w:r>
    </w:p>
    <w:p>
      <w:pPr>
        <w:spacing w:after="0" w:line="47" w:lineRule="exact"/>
        <w:rPr>
          <w:sz w:val="20"/>
          <w:szCs w:val="20"/>
          <w:color w:val="auto"/>
        </w:rPr>
      </w:pPr>
    </w:p>
    <w:p>
      <w:pPr>
        <w:ind w:left="1140" w:right="1179" w:firstLine="258"/>
        <w:spacing w:after="0" w:line="259" w:lineRule="auto"/>
        <w:rPr>
          <w:sz w:val="20"/>
          <w:szCs w:val="20"/>
          <w:color w:val="auto"/>
        </w:rPr>
      </w:pPr>
      <w:r>
        <w:rPr>
          <w:rFonts w:ascii="Times New Roman" w:cs="Times New Roman" w:eastAsia="Times New Roman" w:hAnsi="Times New Roman"/>
          <w:sz w:val="14"/>
          <w:szCs w:val="14"/>
          <w:color w:val="auto"/>
        </w:rPr>
        <w:t>We have commercialized the RxSight system outside of the United States, and each component is registered with the MHRA in the United Kingdom. We are subject to numerous, and sometimes conflicting, legal regimes in the countries in which we operate, including on matters as diverse as health and safety standards, marketing and promotional activities, anticorruption, import/export controls, content requirements, trade restrictions, tariffs, taxation, sanctions, immigration, internal and disclosure control obligations, securities regulation, anti-competition, data protection privacy, security and labor relations. This includes in emerging markets where legal systems may be less familiar to us. We strive to abide by and maintain compliance with these laws and regulations. Compliance with diverse legal requirements is costly, time-consuming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and/or criminal prosecution, unfavorable publicity and other reputational damage, restrictions on our ability to process information and allegations by our customers or distributors that we have not performed our contractual obligations. Due to the varying degrees of development of the legal systems of the countries in which we operate, local laws might be insufficient to protect our rights.</w:t>
      </w:r>
    </w:p>
    <w:p>
      <w:pPr>
        <w:spacing w:after="0" w:line="62" w:lineRule="exact"/>
        <w:rPr>
          <w:sz w:val="20"/>
          <w:szCs w:val="20"/>
          <w:color w:val="auto"/>
        </w:rPr>
      </w:pPr>
    </w:p>
    <w:p>
      <w:pPr>
        <w:ind w:left="1140" w:right="1219" w:firstLine="258"/>
        <w:spacing w:after="0" w:line="260" w:lineRule="auto"/>
        <w:rPr>
          <w:sz w:val="20"/>
          <w:szCs w:val="20"/>
          <w:color w:val="auto"/>
        </w:rPr>
      </w:pPr>
      <w:r>
        <w:rPr>
          <w:rFonts w:ascii="Times New Roman" w:cs="Times New Roman" w:eastAsia="Times New Roman" w:hAnsi="Times New Roman"/>
          <w:sz w:val="14"/>
          <w:szCs w:val="14"/>
          <w:color w:val="auto"/>
        </w:rPr>
        <w:t>Our operations outside of the United States are subject to various heavily enforced anti-bribery and anti-corruption laws, such as the FCPA, U.K. Bribery Act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Responding to any enforcement action or related investigation may result in a materially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business, financial condition and results of operations.</w:t>
      </w:r>
    </w:p>
    <w:p>
      <w:pPr>
        <w:spacing w:after="0" w:line="59" w:lineRule="exact"/>
        <w:rPr>
          <w:sz w:val="20"/>
          <w:szCs w:val="20"/>
          <w:color w:val="auto"/>
        </w:rPr>
      </w:pPr>
    </w:p>
    <w:p>
      <w:pPr>
        <w:ind w:left="1140" w:right="1399" w:firstLine="258"/>
        <w:spacing w:after="0" w:line="262" w:lineRule="auto"/>
        <w:rPr>
          <w:sz w:val="20"/>
          <w:szCs w:val="20"/>
          <w:color w:val="auto"/>
        </w:rPr>
      </w:pPr>
      <w:r>
        <w:rPr>
          <w:rFonts w:ascii="Times New Roman" w:cs="Times New Roman" w:eastAsia="Times New Roman" w:hAnsi="Times New Roman"/>
          <w:sz w:val="14"/>
          <w:szCs w:val="14"/>
          <w:color w:val="auto"/>
        </w:rPr>
        <w:t>Our international operations could be affected by changes in laws, trade regulations, labor and employment regulations, and procedures and actions affecting approval, products and solutions, pricing, reimbursement and marketing of our products and solutions, as well as by inter-governmental disputes. Any of these changes could adversely affect our business. The imposition of new laws or regulations, including potential trade barriers, may increase our operating costs, impose restrictions on our operations or require us to spend additional funds to gain compliance with the new rules, if possible, which could have an adverse impact on our financial condition and results of operations.</w:t>
      </w:r>
    </w:p>
    <w:p>
      <w:pPr>
        <w:spacing w:after="0" w:line="35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83" w:name="page84"/>
    <w:bookmarkEnd w:id="83"/>
    <w:p>
      <w:pPr>
        <w:ind w:left="1140"/>
        <w:spacing w:after="0"/>
        <w:rPr>
          <w:sz w:val="20"/>
          <w:szCs w:val="20"/>
          <w:color w:val="auto"/>
        </w:rPr>
      </w:pPr>
      <w:r>
        <w:rPr>
          <w:rFonts w:ascii="Times New Roman" w:cs="Times New Roman" w:eastAsia="Times New Roman" w:hAnsi="Times New Roman"/>
          <w:sz w:val="14"/>
          <w:szCs w:val="14"/>
          <w:b w:val="1"/>
          <w:bCs w:val="1"/>
          <w:color w:val="auto"/>
        </w:rPr>
        <w:t>Risks related to reliance on third parties</w:t>
      </w:r>
    </w:p>
    <w:p>
      <w:pPr>
        <w:spacing w:after="0" w:line="95" w:lineRule="exact"/>
        <w:rPr>
          <w:sz w:val="20"/>
          <w:szCs w:val="20"/>
          <w:color w:val="auto"/>
        </w:rPr>
      </w:pPr>
    </w:p>
    <w:p>
      <w:pPr>
        <w:ind w:left="1140" w:right="131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From time to time, we engage outside parties to perform services related to certain of our clinical studies and trials. If these third parties do not successfully carry out their contractual duties or meet expected deadlines, we may not be able to obtain regulatory approval for or commercialize our products.</w:t>
      </w:r>
    </w:p>
    <w:p>
      <w:pPr>
        <w:spacing w:after="0" w:line="47"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From time to time, we engage consultants to help design, monitor and analyze the results of certain of our clinical studies and trials. The consultants we engage interact with clinical investigators to enroll patients in our clinical trials. We depend on these consultants and clinical investigators to conduct clinical studies and trials and monitor and analyze data from these studies and trials under the investigational plan and protocol for the study or trial and in compliance with applicable regulations and standards, such as GCP guidelines, the Common Rule, and FDA human subject protection regulations. We may face delays in our regulatory approval process if these parties do not perform their obligations in a timely, compliant or competent manner. If these third parties do not successfully carry out their duties or meet expected deadlines, or if the quality, completeness or accuracy of the data they obtain is compromised due to the failure to adhere to our clinical trial protocols or for other reasons, our clinical studies or trials may be extended, delayed or terminated or may otherwise prove to be unsuccessful, and we may have to conduct additional studies, which would significantly increase our costs, in order to obtain the regulatory clearances or approvals that we need to commercialize our products.</w:t>
      </w:r>
    </w:p>
    <w:p>
      <w:pPr>
        <w:spacing w:after="0" w:line="55" w:lineRule="exact"/>
        <w:rPr>
          <w:sz w:val="20"/>
          <w:szCs w:val="20"/>
          <w:color w:val="auto"/>
        </w:rPr>
      </w:pPr>
    </w:p>
    <w:p>
      <w:pPr>
        <w:jc w:val="both"/>
        <w:ind w:left="1140" w:right="14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and our component suppliers may not meet regulatory quality standards applicable to our manufacturing processes, which could have an adverse effect on our business, financial condition and results of operations.</w:t>
      </w:r>
    </w:p>
    <w:p>
      <w:pPr>
        <w:spacing w:after="0" w:line="33" w:lineRule="exact"/>
        <w:rPr>
          <w:sz w:val="20"/>
          <w:szCs w:val="20"/>
          <w:color w:val="auto"/>
        </w:rPr>
      </w:pPr>
    </w:p>
    <w:p>
      <w:pPr>
        <w:ind w:left="1140" w:right="1259" w:firstLine="258"/>
        <w:spacing w:after="0" w:line="262" w:lineRule="auto"/>
        <w:rPr>
          <w:sz w:val="20"/>
          <w:szCs w:val="20"/>
          <w:color w:val="auto"/>
        </w:rPr>
      </w:pPr>
      <w:r>
        <w:rPr>
          <w:rFonts w:ascii="Times New Roman" w:cs="Times New Roman" w:eastAsia="Times New Roman" w:hAnsi="Times New Roman"/>
          <w:sz w:val="14"/>
          <w:szCs w:val="14"/>
          <w:color w:val="auto"/>
        </w:rPr>
        <w:t>As a medical device manufacturer, we must register with the FDA and non-U.S. regulatory agencies in jurisdictions where we commercialize our products, and we are subject to periodic inspection by the FDA and foreign regulatory agencies, for compliance with certain good manufacturing practices, including design controls, product validation and verification, in process testing, quality control and documentation procedures. Compliance with applicable regulatory requirements is subject to continual review and is rigorously monitored through periodic inspections by the FDA and foreign regulatory agencies. Our manufacturer, component, and sub-component suppliers are also required to meet certain standards applicable to their manufacturing processes.</w:t>
      </w:r>
    </w:p>
    <w:p>
      <w:pPr>
        <w:spacing w:after="0" w:line="61"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We cannot assure you that we or our component suppliers comply or can continue to comply with all regulatory requirements. The failure by us or one of our component suppliers to achieve or maintain compliance with these requirements or quality standards may disrupt our ability to supply products sufficient to meet demand until compliance is achieved or, with a component supplier, until a new supplier has been identified and evaluated. Our or any of our component supplier’s failure to comply with applicable regulations could cause sanctions to be imposed on us, including warning letters, fines, injunctions, civil penalties, failure of regulatory authorities to grant marketing approval of our products, delays, suspension or withdrawal of approvals or clearances, license revocation, seizures or recalls of products, operating restrictions and criminal prosecutions, which could harm our business. We cannot assure you that if we need to engage new suppliers to satisfy our business requirements, we can locate new suppliers in compliance with regulatory requirements at a reasonable cost and in an acceptable timeframe. Our failure to do so could have a material adverse effect on our business, financial condition and results of operations.</w:t>
      </w:r>
    </w:p>
    <w:p>
      <w:pPr>
        <w:spacing w:after="0" w:line="61" w:lineRule="exact"/>
        <w:rPr>
          <w:sz w:val="20"/>
          <w:szCs w:val="20"/>
          <w:color w:val="auto"/>
        </w:rPr>
      </w:pPr>
    </w:p>
    <w:p>
      <w:pPr>
        <w:ind w:left="1140" w:right="1159" w:firstLine="258"/>
        <w:spacing w:after="0" w:line="265" w:lineRule="auto"/>
        <w:rPr>
          <w:sz w:val="20"/>
          <w:szCs w:val="20"/>
          <w:color w:val="auto"/>
        </w:rPr>
      </w:pPr>
      <w:r>
        <w:rPr>
          <w:rFonts w:ascii="Times New Roman" w:cs="Times New Roman" w:eastAsia="Times New Roman" w:hAnsi="Times New Roman"/>
          <w:sz w:val="14"/>
          <w:szCs w:val="14"/>
          <w:color w:val="auto"/>
        </w:rPr>
        <w:t>For products that we currently distribute or market in the EU and the United Kingdom, as well as future products for which we obtain the applicable marketing authorization, we must maintain certain International Organization for Standardization (“ISO”), certifications to sell our products and must undergo periodic inspections by notified bodies, such as BSI, to obtain and maintain these certifications. If we fail these inspections or fail to meet these regulatory standards, it could have a material adverse effect on our business, financial condition and results of operations.</w:t>
      </w:r>
    </w:p>
    <w:p>
      <w:pPr>
        <w:spacing w:after="0" w:line="226" w:lineRule="exact"/>
        <w:rPr>
          <w:sz w:val="20"/>
          <w:szCs w:val="20"/>
          <w:color w:val="auto"/>
        </w:rPr>
      </w:pPr>
    </w:p>
    <w:p>
      <w:pPr>
        <w:jc w:val="both"/>
        <w:ind w:left="1140" w:right="141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We depend upon third parties, including single and sole source suppliers, to manufacture certain components and subcomponents of the RxSight system making us vulnerable to supply disruptions and price fluctuations.</w:t>
      </w:r>
    </w:p>
    <w:p>
      <w:pPr>
        <w:spacing w:after="0" w:line="33" w:lineRule="exact"/>
        <w:rPr>
          <w:sz w:val="20"/>
          <w:szCs w:val="20"/>
          <w:color w:val="auto"/>
        </w:rPr>
      </w:pPr>
    </w:p>
    <w:p>
      <w:pPr>
        <w:ind w:left="1140" w:right="1219" w:firstLine="258"/>
        <w:spacing w:after="0" w:line="261" w:lineRule="auto"/>
        <w:rPr>
          <w:sz w:val="20"/>
          <w:szCs w:val="20"/>
          <w:color w:val="auto"/>
        </w:rPr>
      </w:pPr>
      <w:r>
        <w:rPr>
          <w:rFonts w:ascii="Times New Roman" w:cs="Times New Roman" w:eastAsia="Times New Roman" w:hAnsi="Times New Roman"/>
          <w:sz w:val="14"/>
          <w:szCs w:val="14"/>
          <w:color w:val="auto"/>
        </w:rPr>
        <w:t>We rely on third parties, including single and sole source suppliers, to manufacture certain components and subcomponents of our products and to provide raw materials, primarily chemicals for our LAL. We do not have long-term supply agreements with, or guaranteed commitments from our suppliers, including single and sole source suppliers. We utilize purchase orders or blanket orders covering the medium term of 18–24 months for the majority of our supplier base. While we depend on our suppliers to provide us and our customers with materials in a timely manner that meet our and their quality, quantity and cost requirements, vendors will miss delivery dates, extend delivery dates or in some circumstances cancel purchase orders because these suppliers may encounter problems during manufacturing for a variety of reasons, any of which could delay or impede their ability to meet our demand.</w:t>
      </w:r>
    </w:p>
    <w:p>
      <w:pPr>
        <w:spacing w:after="0" w:line="35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84" w:name="page85"/>
    <w:bookmarkEnd w:id="84"/>
    <w:p>
      <w:pPr>
        <w:ind w:left="1140" w:right="1219"/>
        <w:spacing w:after="0" w:line="259" w:lineRule="auto"/>
        <w:rPr>
          <w:sz w:val="20"/>
          <w:szCs w:val="20"/>
          <w:color w:val="auto"/>
        </w:rPr>
      </w:pPr>
      <w:r>
        <w:rPr>
          <w:rFonts w:ascii="Times New Roman" w:cs="Times New Roman" w:eastAsia="Times New Roman" w:hAnsi="Times New Roman"/>
          <w:sz w:val="14"/>
          <w:szCs w:val="14"/>
          <w:color w:val="auto"/>
        </w:rPr>
        <w:t>The expansion of global lead times has resulted in the lack of availability of raw materials, including semiconductors, computers, monitors electronic parts, metals, packaging, adhesives, chemicals, resins and subcontract painted components. Certain suppliers have passed on higher prices, surcharges and expedited shipping fees to defray the higher commodity prices they are paying due to short supply and pushed out delivery dates. Additionally, we identify and qualify new suppliers to mitigate risk due to single and sole source suppliers and to alleviate supply chain constraints we will identify and qualify new vendors or substitute components which requires testing, validations and documentation adding to internal costs and diverting engineering resources from other projects. While we have taken measures to mitigate business continuity risk, including increasing standard lead times, payment of expedite fees, issuance of a limited number of non-cancelable purchase orders, advance delivery of critical components ahead of normal delivery dates and second sourcing, our suppliers may cease producing the components we purchase from them or otherwise decide to cease doing business with us. Any supply interruption from our suppliers or failure to obtain additional suppliers for any of the components or subcomponents used in our products would limit our ability to manufacture our current and new products and could have a material adverse effect on our business, financial condition and results of operations.</w:t>
      </w:r>
    </w:p>
    <w:p>
      <w:pPr>
        <w:spacing w:after="0" w:line="60" w:lineRule="exact"/>
        <w:rPr>
          <w:sz w:val="20"/>
          <w:szCs w:val="20"/>
          <w:color w:val="auto"/>
        </w:rPr>
      </w:pPr>
    </w:p>
    <w:p>
      <w:pPr>
        <w:ind w:left="1140" w:right="12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The failure of third parties to meet their contractual, regulatory, and other obligations could adversely affect our business.</w:t>
      </w:r>
    </w:p>
    <w:p>
      <w:pPr>
        <w:spacing w:after="0" w:line="33"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We rely on suppliers, vendors, outsourcing partners, consultants, and other third parties to research, develop, manufacture and commercialize our products. Using these third parties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infrastructure problems and natural disasters, in addition to country-specific privacy, data protection and security risk given current legal and regulatory environments. Failure of third parties to meet their contractual, regulatory and other obligations may have a material adverse effect on our business, financial condition and results of operations.</w:t>
      </w:r>
    </w:p>
    <w:p>
      <w:pPr>
        <w:spacing w:after="0" w:line="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Risks related to our common stock</w:t>
      </w:r>
    </w:p>
    <w:p>
      <w:pPr>
        <w:spacing w:after="0" w:line="9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The price of our stock may be volatile, and you could lose all or part of your investment.</w:t>
      </w:r>
    </w:p>
    <w:p>
      <w:pPr>
        <w:spacing w:after="0" w:line="101" w:lineRule="exact"/>
        <w:rPr>
          <w:sz w:val="20"/>
          <w:szCs w:val="20"/>
          <w:color w:val="auto"/>
        </w:rPr>
      </w:pPr>
    </w:p>
    <w:p>
      <w:pPr>
        <w:ind w:left="1140" w:right="1179" w:firstLine="258"/>
        <w:spacing w:after="0" w:line="262" w:lineRule="auto"/>
        <w:rPr>
          <w:sz w:val="20"/>
          <w:szCs w:val="20"/>
          <w:color w:val="auto"/>
        </w:rPr>
      </w:pPr>
      <w:r>
        <w:rPr>
          <w:rFonts w:ascii="Times New Roman" w:cs="Times New Roman" w:eastAsia="Times New Roman" w:hAnsi="Times New Roman"/>
          <w:sz w:val="14"/>
          <w:szCs w:val="14"/>
          <w:color w:val="auto"/>
        </w:rPr>
        <w:t>The trading price of our common stock has been and may continue to be highly volatile and could be subject to wide fluctuations in response to various factors, some of which we cannot control. From the date of our initial public offering through August 1, 2024, our common stock has traded at a low of $8.80 and a high of $66.54 on the Nasdaq Global Market. The stock market in general has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addition to the factors discussed in Part II, Item 1A, “Risk Factors,” and elsewhere in this report, these factors include:</w:t>
      </w:r>
    </w:p>
    <w:p>
      <w:pPr>
        <w:spacing w:after="0" w:line="233" w:lineRule="exact"/>
        <w:rPr>
          <w:sz w:val="20"/>
          <w:szCs w:val="20"/>
          <w:color w:val="auto"/>
        </w:rPr>
      </w:pPr>
    </w:p>
    <w:p>
      <w:pPr>
        <w:ind w:left="1840" w:hanging="342"/>
        <w:spacing w:after="0"/>
        <w:tabs>
          <w:tab w:leader="none" w:pos="18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of our results of operations and updates regarding our business;</w:t>
      </w:r>
    </w:p>
    <w:p>
      <w:pPr>
        <w:spacing w:after="0" w:line="97" w:lineRule="exact"/>
        <w:rPr>
          <w:rFonts w:ascii="Times New Roman" w:cs="Times New Roman" w:eastAsia="Times New Roman" w:hAnsi="Times New Roman"/>
          <w:sz w:val="14"/>
          <w:szCs w:val="14"/>
          <w:color w:val="auto"/>
        </w:rPr>
      </w:pPr>
    </w:p>
    <w:p>
      <w:pPr>
        <w:ind w:left="1840" w:right="1199" w:hanging="342"/>
        <w:spacing w:after="0" w:line="293" w:lineRule="auto"/>
        <w:tabs>
          <w:tab w:leader="none" w:pos="18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results of preclinical studies and clinical trials of our current and future products or those of our competitors;</w:t>
      </w:r>
    </w:p>
    <w:p>
      <w:pPr>
        <w:spacing w:after="0" w:line="37" w:lineRule="exact"/>
        <w:rPr>
          <w:rFonts w:ascii="Times New Roman" w:cs="Times New Roman" w:eastAsia="Times New Roman" w:hAnsi="Times New Roman"/>
          <w:sz w:val="14"/>
          <w:szCs w:val="14"/>
          <w:color w:val="auto"/>
        </w:rPr>
      </w:pPr>
    </w:p>
    <w:p>
      <w:pPr>
        <w:ind w:left="1840" w:right="1699" w:hanging="342"/>
        <w:spacing w:after="0" w:line="293" w:lineRule="auto"/>
        <w:tabs>
          <w:tab w:leader="none" w:pos="18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products or announcements by potential competitors of their product development efforts;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actions with respect to our products or our competitors’ products;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our growth rate relative to our competitors;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United States and other countries;</w:t>
      </w:r>
    </w:p>
    <w:p>
      <w:pPr>
        <w:spacing w:after="0" w:line="97" w:lineRule="exact"/>
        <w:rPr>
          <w:rFonts w:ascii="Times New Roman" w:cs="Times New Roman" w:eastAsia="Times New Roman" w:hAnsi="Times New Roman"/>
          <w:sz w:val="14"/>
          <w:szCs w:val="14"/>
          <w:color w:val="auto"/>
        </w:rPr>
      </w:pPr>
    </w:p>
    <w:p>
      <w:pPr>
        <w:ind w:left="1840" w:right="1219" w:hanging="342"/>
        <w:spacing w:after="0" w:line="293" w:lineRule="auto"/>
        <w:tabs>
          <w:tab w:leader="none" w:pos="18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intellectual property or proprietary rights;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3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85" w:name="page86"/>
    <w:bookmarkEnd w:id="85"/>
    <w:p>
      <w:pPr>
        <w:ind w:left="1840" w:right="1579" w:hanging="342"/>
        <w:spacing w:after="0" w:line="293" w:lineRule="auto"/>
        <w:tabs>
          <w:tab w:leader="none" w:pos="18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acquisitions, strategic collaborations, joint ventures, collaborations or capital commitments;</w:t>
      </w:r>
    </w:p>
    <w:p>
      <w:pPr>
        <w:spacing w:after="0" w:line="37" w:lineRule="exact"/>
        <w:rPr>
          <w:rFonts w:ascii="Times New Roman" w:cs="Times New Roman" w:eastAsia="Times New Roman" w:hAnsi="Times New Roman"/>
          <w:sz w:val="14"/>
          <w:szCs w:val="14"/>
          <w:color w:val="auto"/>
        </w:rPr>
      </w:pPr>
    </w:p>
    <w:p>
      <w:pPr>
        <w:ind w:left="1840" w:right="2019" w:hanging="342"/>
        <w:spacing w:after="0" w:line="293" w:lineRule="auto"/>
        <w:tabs>
          <w:tab w:leader="none" w:pos="18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in estimates as to financial results, development timelines or recommendations by securities analysts;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valuation of companies perceived by investors to be comparable to us;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medical device sector;</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price and volume fluctuations attributable to inconsistent trading volume levels of our shares;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 or expectation of additional financing efforts;</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by us, our insiders or our other stockholders; and</w:t>
      </w:r>
    </w:p>
    <w:p>
      <w:pPr>
        <w:spacing w:after="0" w:line="97" w:lineRule="exact"/>
        <w:rPr>
          <w:rFonts w:ascii="Times New Roman" w:cs="Times New Roman" w:eastAsia="Times New Roman" w:hAnsi="Times New Roman"/>
          <w:sz w:val="14"/>
          <w:szCs w:val="14"/>
          <w:color w:val="auto"/>
        </w:rPr>
      </w:pPr>
    </w:p>
    <w:p>
      <w:pPr>
        <w:ind w:left="1840" w:right="1459" w:hanging="342"/>
        <w:spacing w:after="0" w:line="293" w:lineRule="auto"/>
        <w:tabs>
          <w:tab w:leader="none" w:pos="18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including global and national events, such as the conflicts in Eastern Europe, and general economic downturns.</w:t>
      </w:r>
    </w:p>
    <w:p>
      <w:pPr>
        <w:spacing w:after="0" w:line="37" w:lineRule="exact"/>
        <w:rPr>
          <w:sz w:val="20"/>
          <w:szCs w:val="20"/>
          <w:color w:val="auto"/>
        </w:rPr>
      </w:pPr>
    </w:p>
    <w:p>
      <w:pPr>
        <w:ind w:left="1140" w:right="1219" w:firstLine="258"/>
        <w:spacing w:after="0" w:line="286" w:lineRule="auto"/>
        <w:rPr>
          <w:sz w:val="20"/>
          <w:szCs w:val="20"/>
          <w:color w:val="auto"/>
        </w:rPr>
      </w:pPr>
      <w:r>
        <w:rPr>
          <w:rFonts w:ascii="Times New Roman" w:cs="Times New Roman" w:eastAsia="Times New Roman" w:hAnsi="Times New Roman"/>
          <w:sz w:val="14"/>
          <w:szCs w:val="14"/>
          <w:color w:val="auto"/>
        </w:rPr>
        <w:t>The realization of any of the above risks or any of a broad range of other risks, including those described in this Part II, Item 1A, “Risk Factors,” could have a dramatic and adverse impact on the market price of our common stock.</w:t>
      </w:r>
    </w:p>
    <w:p>
      <w:pPr>
        <w:spacing w:after="0" w:line="219" w:lineRule="exact"/>
        <w:rPr>
          <w:sz w:val="20"/>
          <w:szCs w:val="20"/>
          <w:color w:val="auto"/>
        </w:rPr>
      </w:pPr>
    </w:p>
    <w:p>
      <w:pPr>
        <w:ind w:left="1140" w:right="1359" w:firstLine="258"/>
        <w:spacing w:after="0" w:line="268" w:lineRule="auto"/>
        <w:rPr>
          <w:sz w:val="20"/>
          <w:szCs w:val="20"/>
          <w:color w:val="auto"/>
        </w:rPr>
      </w:pPr>
      <w:r>
        <w:rPr>
          <w:rFonts w:ascii="Times New Roman" w:cs="Times New Roman" w:eastAsia="Times New Roman" w:hAnsi="Times New Roman"/>
          <w:sz w:val="14"/>
          <w:szCs w:val="14"/>
          <w:color w:val="auto"/>
        </w:rPr>
        <w:t>In addition,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52" w:lineRule="exact"/>
        <w:rPr>
          <w:sz w:val="20"/>
          <w:szCs w:val="20"/>
          <w:color w:val="auto"/>
        </w:rPr>
      </w:pPr>
    </w:p>
    <w:p>
      <w:pPr>
        <w:ind w:left="1140" w:right="11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unfavorable research about our business, our stock price and trading volume could decline.</w:t>
      </w:r>
    </w:p>
    <w:p>
      <w:pPr>
        <w:spacing w:after="0" w:line="33" w:lineRule="exact"/>
        <w:rPr>
          <w:sz w:val="20"/>
          <w:szCs w:val="20"/>
          <w:color w:val="auto"/>
        </w:rPr>
      </w:pPr>
    </w:p>
    <w:p>
      <w:pPr>
        <w:ind w:left="1140" w:right="1199" w:firstLine="258"/>
        <w:spacing w:after="0" w:line="264" w:lineRule="auto"/>
        <w:rPr>
          <w:sz w:val="20"/>
          <w:szCs w:val="20"/>
          <w:color w:val="auto"/>
        </w:rPr>
      </w:pPr>
      <w:r>
        <w:rPr>
          <w:rFonts w:ascii="Times New Roman" w:cs="Times New Roman" w:eastAsia="Times New Roman" w:hAnsi="Times New Roman"/>
          <w:sz w:val="14"/>
          <w:szCs w:val="14"/>
          <w:color w:val="auto"/>
        </w:rPr>
        <w:t>The trading market for our common stock will rely in part on the research and reports that equity research analysts publish about us and our business. We will not have any control of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52" w:lineRule="exact"/>
        <w:rPr>
          <w:sz w:val="20"/>
          <w:szCs w:val="20"/>
          <w:color w:val="auto"/>
        </w:rPr>
      </w:pPr>
    </w:p>
    <w:p>
      <w:pPr>
        <w:ind w:left="1140" w:right="1159" w:firstLine="258"/>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We do not know whether an active, liquid and orderly trading market will exist for our common stock or what the market price of our common stock will be and as a result it may be difficult for you to sell your shares of our common stock.</w:t>
      </w:r>
    </w:p>
    <w:p>
      <w:pPr>
        <w:spacing w:after="0" w:line="47"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Our common stock is currently traded on Nasdaq Global Market, but we can provide no assurance that we will be able to maintain an active trading market on Nasdaq Global Market or any other exchange in the future. If an active trading market does not develop, or is not maintained, or if we fail to satisfy the continued listing standards of the Nasdaq Global Market or applicable SEC rules for any reason and our securities are delisted, you may have difficulty selling any of our shares of common stock that you buy. The lack of an active trading market may impair your ability to sell your shares at the time you wish to sell them or at a price that you consider reasonable. The lack of an active trading market may also reduce the fair market value of your shares. Furthermore, an inactive trading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60" w:lineRule="exact"/>
        <w:rPr>
          <w:sz w:val="20"/>
          <w:szCs w:val="20"/>
          <w:color w:val="auto"/>
        </w:rPr>
      </w:pPr>
    </w:p>
    <w:p>
      <w:pPr>
        <w:ind w:left="1140" w:right="123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shares of our common stock in the public market could cause our stock price to fall.</w:t>
      </w:r>
    </w:p>
    <w:p>
      <w:pPr>
        <w:spacing w:after="0" w:line="33" w:lineRule="exact"/>
        <w:rPr>
          <w:sz w:val="20"/>
          <w:szCs w:val="20"/>
          <w:color w:val="auto"/>
        </w:rPr>
      </w:pPr>
    </w:p>
    <w:p>
      <w:pPr>
        <w:ind w:left="1140" w:right="1299" w:firstLine="258"/>
        <w:spacing w:after="0" w:line="275"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34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86" w:name="page87"/>
    <w:bookmarkEnd w:id="86"/>
    <w:p>
      <w:pPr>
        <w:ind w:left="1140" w:right="1179" w:firstLine="258"/>
        <w:spacing w:after="0" w:line="286" w:lineRule="auto"/>
        <w:rPr>
          <w:sz w:val="20"/>
          <w:szCs w:val="20"/>
          <w:color w:val="auto"/>
        </w:rPr>
      </w:pPr>
      <w:r>
        <w:rPr>
          <w:rFonts w:ascii="Times New Roman" w:cs="Times New Roman" w:eastAsia="Times New Roman" w:hAnsi="Times New Roman"/>
          <w:sz w:val="14"/>
          <w:szCs w:val="14"/>
          <w:color w:val="auto"/>
        </w:rPr>
        <w:t>As of June 30, 2024, we had 39,617,334 shares of common stock issued and outstanding. All of these shares are available for sale in the public market, subject to limitations under Rule 144 with respect to affiliates of our company.</w:t>
      </w:r>
    </w:p>
    <w:p>
      <w:pPr>
        <w:spacing w:after="0" w:line="219" w:lineRule="exact"/>
        <w:rPr>
          <w:sz w:val="20"/>
          <w:szCs w:val="20"/>
          <w:color w:val="auto"/>
        </w:rPr>
      </w:pPr>
    </w:p>
    <w:p>
      <w:pPr>
        <w:ind w:left="1140" w:right="1299" w:firstLine="258"/>
        <w:spacing w:after="0" w:line="264" w:lineRule="auto"/>
        <w:rPr>
          <w:sz w:val="20"/>
          <w:szCs w:val="20"/>
          <w:color w:val="auto"/>
        </w:rPr>
      </w:pPr>
      <w:r>
        <w:rPr>
          <w:rFonts w:ascii="Times New Roman" w:cs="Times New Roman" w:eastAsia="Times New Roman" w:hAnsi="Times New Roman"/>
          <w:sz w:val="14"/>
          <w:szCs w:val="14"/>
          <w:color w:val="auto"/>
        </w:rPr>
        <w:t>We have filed registration statements on Form S-8 under the Securities Act registering the offer and sale of up to an aggregate of 10,660,797 shares of common stock pursuant to our Equity Plans and an aggregate of 757,694 shares of common stock pursuant to our 2021 ESPP. Our 2021 Plan and 2021 ESPP each contain an evergreen provision that may increase the number of shares available for issuance pursuant to such plans on the first day of each fiscal year. See Note 6 – Stock-Based Compensation Expense in the Notes to the unaudited condensed consolidated financial statements included in this report.</w:t>
      </w:r>
    </w:p>
    <w:p>
      <w:pPr>
        <w:spacing w:after="0" w:line="5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On August 8, 2022, we filed a $200.0 million shelf registration statement which became effective on August 12,</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2022. The shelf registration statement is effective for three years and permits us to sell, from time to time, up to</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$200.0 million in aggregate value of our common stock, preferred stock, debt securities, warrants, and/or units. The</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shelf registration statement is intended to provide us with flexibility to access additional capital when market</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conditions are appropriate. At the time of filing of the shelf registration statement, we also filed a prospectus</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supplement to sell up to an aggregate value of $50.0 million dollars of our common stock through an “at-the-</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market” (the “ATM”) offering. The shares were offered through BofA Securities, Inc. as sales agent. As of</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December 31, 2023, the full $50 million authorized under the ATM offering was sold. On February 10, 2023, we</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filed a prospectus supplement to sell $50.0 million dollars of our common stock in an underwritten public offering</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“Public Offering”). Pursuant to the Public Offering, we granted the underwriters an option to purchase up to an</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additional $7.5 million of our common stock. On February 10, 2023, we sold $50.0 million of our common stock</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and on February 14, 2023, the underwriters exercised their over-allotment option in full. As of June 30, 2024 $92.5</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million remains available for issuance under the shelf registration statement.</w:t>
      </w:r>
    </w:p>
    <w:p>
      <w:pPr>
        <w:spacing w:after="0" w:line="84" w:lineRule="exact"/>
        <w:rPr>
          <w:sz w:val="20"/>
          <w:szCs w:val="20"/>
          <w:color w:val="auto"/>
        </w:rPr>
      </w:pPr>
    </w:p>
    <w:p>
      <w:pPr>
        <w:ind w:left="1140" w:right="1199" w:firstLine="258"/>
        <w:spacing w:after="0" w:line="268" w:lineRule="auto"/>
        <w:rPr>
          <w:sz w:val="20"/>
          <w:szCs w:val="20"/>
          <w:color w:val="auto"/>
        </w:rPr>
      </w:pPr>
      <w:r>
        <w:rPr>
          <w:rFonts w:ascii="Times New Roman" w:cs="Times New Roman" w:eastAsia="Times New Roman" w:hAnsi="Times New Roman"/>
          <w:sz w:val="14"/>
          <w:szCs w:val="14"/>
          <w:color w:val="auto"/>
        </w:rPr>
        <w:t>On February 28, 2024, we filed a registration statement on Form S-8 under the Securities Act to register the issuance of 1,445,580 shares of common stock subject to options or other equity awards reserved for future issuance under the 2021 Plan. The number of shares registered represents the annual evergreen increase calculated as 4% of the outstanding shares of our common stock on the last day of fiscal year 2023 under our 2021 Plan.</w:t>
      </w:r>
    </w:p>
    <w:p>
      <w:pPr>
        <w:spacing w:after="0" w:line="56" w:lineRule="exact"/>
        <w:rPr>
          <w:sz w:val="20"/>
          <w:szCs w:val="20"/>
          <w:color w:val="auto"/>
        </w:rPr>
      </w:pPr>
    </w:p>
    <w:p>
      <w:pPr>
        <w:ind w:left="1140" w:right="1199" w:firstLine="258"/>
        <w:spacing w:after="0" w:line="259" w:lineRule="auto"/>
        <w:rPr>
          <w:sz w:val="20"/>
          <w:szCs w:val="20"/>
          <w:color w:val="auto"/>
        </w:rPr>
      </w:pPr>
      <w:r>
        <w:rPr>
          <w:rFonts w:ascii="Times New Roman" w:cs="Times New Roman" w:eastAsia="Times New Roman" w:hAnsi="Times New Roman"/>
          <w:sz w:val="14"/>
          <w:szCs w:val="14"/>
          <w:color w:val="auto"/>
        </w:rPr>
        <w:t>On May 8, 2024, we filed an automatic shelf registration statement on Form S-3ASR with the SEC that enables us to offer for sale, from time to time and as the capital markets permit, an unspecified amount of common stock, preferred stock, debt securities, warrants and units. The shelf registration statement became automatically effective upon filing and is valid for three years. Each time we offer to sell securities under the registration statement, we will provide a prospectus supplement that will contain specific information about the terms of that offering and the securities being offered. For example, on May 9, 2024, we filed a prospectus supplement for the offer and sale of up to 1,785,714 shares of our common stock in an underwritten public offering (the “Public Offering”). On May 13, 2024, we issued 2,053,571 shares of our common stock at a price to the public of $56.00 per share, which included the full exercise by the underwriters of their option to purchase up to 267,857 additional shares. Our net proceeds from the offering were $107.5 million, after deducting $6.9 in underwriting discounts and commissions and $0.6 million in other offering costs. We cannot predict what effect, if any, sales of our shares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spacing w:after="0" w:line="64" w:lineRule="exact"/>
        <w:rPr>
          <w:sz w:val="20"/>
          <w:szCs w:val="20"/>
          <w:color w:val="auto"/>
        </w:rPr>
      </w:pPr>
    </w:p>
    <w:p>
      <w:pPr>
        <w:ind w:left="1140" w:right="1199" w:firstLine="258"/>
        <w:spacing w:after="0" w:line="268" w:lineRule="auto"/>
        <w:rPr>
          <w:sz w:val="20"/>
          <w:szCs w:val="20"/>
          <w:color w:val="auto"/>
        </w:rPr>
      </w:pPr>
      <w:r>
        <w:rPr>
          <w:rFonts w:ascii="Times New Roman" w:cs="Times New Roman" w:eastAsia="Times New Roman" w:hAnsi="Times New Roman"/>
          <w:sz w:val="14"/>
          <w:szCs w:val="14"/>
          <w:color w:val="auto"/>
        </w:rPr>
        <w:t>In the future, we may issue additional shares of common stock or other equity or debt securities convertible into common stock in connection with a financing, acquisition, litigation settlement, and employee arrangements or otherwise. Any such issuance could result in substantial dilution to our existing stockholders and could cause our stock price to decline.</w:t>
      </w:r>
    </w:p>
    <w:p>
      <w:pPr>
        <w:spacing w:after="0" w:line="52" w:lineRule="exact"/>
        <w:rPr>
          <w:sz w:val="20"/>
          <w:szCs w:val="20"/>
          <w:color w:val="auto"/>
        </w:rPr>
      </w:pPr>
    </w:p>
    <w:p>
      <w:pPr>
        <w:ind w:left="1140" w:right="12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We have incurred increased costs as a result of operating as a public company, and our management devotes substantial time to new compliance initiatives and corporate governance practices. Additionally, if we fail to maintain proper and effective internal controls, our ability to produce accurate financial statements on a timely basis could be impaired.</w:t>
      </w:r>
    </w:p>
    <w:p>
      <w:pPr>
        <w:spacing w:after="0" w:line="54" w:lineRule="exact"/>
        <w:rPr>
          <w:sz w:val="20"/>
          <w:szCs w:val="20"/>
          <w:color w:val="auto"/>
        </w:rPr>
      </w:pPr>
    </w:p>
    <w:p>
      <w:pPr>
        <w:ind w:left="1140" w:right="1239" w:firstLine="258"/>
        <w:spacing w:after="0" w:line="268" w:lineRule="auto"/>
        <w:rPr>
          <w:sz w:val="20"/>
          <w:szCs w:val="20"/>
          <w:color w:val="auto"/>
        </w:rPr>
      </w:pPr>
      <w:r>
        <w:rPr>
          <w:rFonts w:ascii="Times New Roman" w:cs="Times New Roman" w:eastAsia="Times New Roman" w:hAnsi="Times New Roman"/>
          <w:sz w:val="14"/>
          <w:szCs w:val="14"/>
          <w:color w:val="auto"/>
        </w:rPr>
        <w:t>As a public company we are incurring significant legal, accounting and other expenses and these expenses may increase since after December 31, 2023, we are no longer considered an “emerging growth company.” We are subject to the reporting requirements of the Exchange Act, the Sarbanes-Oxley Act, the Dodd-Frank Wall Street Reform and Protection Act, as well as rules adopted, and to be adopted, by the SEC and Nasdaq. Our management</w:t>
      </w:r>
    </w:p>
    <w:p>
      <w:pPr>
        <w:spacing w:after="0" w:line="34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87" w:name="page88"/>
    <w:bookmarkEnd w:id="87"/>
    <w:p>
      <w:pPr>
        <w:ind w:left="1140" w:right="1159"/>
        <w:spacing w:after="0" w:line="261" w:lineRule="auto"/>
        <w:rPr>
          <w:sz w:val="20"/>
          <w:szCs w:val="20"/>
          <w:color w:val="auto"/>
        </w:rPr>
      </w:pPr>
      <w:r>
        <w:rPr>
          <w:rFonts w:ascii="Times New Roman" w:cs="Times New Roman" w:eastAsia="Times New Roman" w:hAnsi="Times New Roman"/>
          <w:sz w:val="14"/>
          <w:szCs w:val="14"/>
          <w:color w:val="auto"/>
        </w:rPr>
        <w:t>and other personnel will need to devote a substantial amount of time and effort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 and officer liability insurance and we may be required to incur substantial costs to maintain sufficient coverage. We cannot accurately predict or estimate the amount or timing of additional costs we may incur to respond to these requirements. The impact of these requirements could also make it more difficult for us to attract and retain qualified employees and persons to serve on our Board of Directors, our board committees or as executive officers.</w:t>
      </w:r>
    </w:p>
    <w:p>
      <w:pPr>
        <w:spacing w:after="0" w:line="63" w:lineRule="exact"/>
        <w:rPr>
          <w:sz w:val="20"/>
          <w:szCs w:val="20"/>
          <w:color w:val="auto"/>
        </w:rPr>
      </w:pPr>
    </w:p>
    <w:p>
      <w:pPr>
        <w:ind w:left="1140" w:right="1219" w:firstLine="258"/>
        <w:spacing w:after="0" w:line="259" w:lineRule="auto"/>
        <w:rPr>
          <w:sz w:val="20"/>
          <w:szCs w:val="20"/>
          <w:color w:val="auto"/>
        </w:rPr>
      </w:pPr>
      <w:r>
        <w:rPr>
          <w:rFonts w:ascii="Times New Roman" w:cs="Times New Roman" w:eastAsia="Times New Roman" w:hAnsi="Times New Roman"/>
          <w:sz w:val="14"/>
          <w:szCs w:val="14"/>
          <w:color w:val="auto"/>
        </w:rPr>
        <w:t>Because we no longer qualify as an “emerging growth company” we will incur additional expenses and management’s time may be diverted in an effort to comply with compliance-related activities to comply with the increased documentation and reporting requirements under Section 404(b) of the Sarbanes-Oxley Act of 2002. The Sarbanes-Oxley Act requires, among other things, that we assess the effectiveness of our internal control over financial reporting annually and the effectiveness of our disclosure controls and procedures quarterly. In addition, our independent registered public accounting firm will have to attest to the effectiveness of our internal control over financial reporting under Section 404(b). We have implemented improved processes for documenting and evaluating our system of internal controls required under Section 404(b) however, the rules governing the standards that must be met for management to assess our internal control over financial reporting are complex and require significant judgment, documentation, testing and possible remediation to meet the detailed standards. During the course of documenting, evaluating and testing our internal control over financial reporting, our management may identify significant deficiencies or material weaknesses which may not be remedied in time to meet the deadline imposed by the Sarbanes-Oxley Act.</w:t>
      </w:r>
    </w:p>
    <w:p>
      <w:pPr>
        <w:spacing w:after="0" w:line="66" w:lineRule="exact"/>
        <w:rPr>
          <w:sz w:val="20"/>
          <w:szCs w:val="20"/>
          <w:color w:val="auto"/>
        </w:rPr>
      </w:pPr>
    </w:p>
    <w:p>
      <w:pPr>
        <w:ind w:left="1140" w:right="1219" w:firstLine="258"/>
        <w:spacing w:after="0" w:line="265" w:lineRule="auto"/>
        <w:rPr>
          <w:sz w:val="20"/>
          <w:szCs w:val="20"/>
          <w:color w:val="auto"/>
        </w:rPr>
      </w:pPr>
      <w:r>
        <w:rPr>
          <w:rFonts w:ascii="Times New Roman" w:cs="Times New Roman" w:eastAsia="Times New Roman" w:hAnsi="Times New Roman"/>
          <w:sz w:val="14"/>
          <w:szCs w:val="14"/>
          <w:color w:val="auto"/>
        </w:rPr>
        <w:t>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58" w:lineRule="exact"/>
        <w:rPr>
          <w:sz w:val="20"/>
          <w:szCs w:val="20"/>
          <w:color w:val="auto"/>
        </w:rPr>
      </w:pPr>
    </w:p>
    <w:p>
      <w:pPr>
        <w:ind w:left="1140" w:right="1159" w:firstLine="258"/>
        <w:spacing w:after="0" w:line="261" w:lineRule="auto"/>
        <w:rPr>
          <w:sz w:val="20"/>
          <w:szCs w:val="20"/>
          <w:color w:val="auto"/>
        </w:rPr>
      </w:pPr>
      <w:r>
        <w:rPr>
          <w:rFonts w:ascii="Times New Roman" w:cs="Times New Roman" w:eastAsia="Times New Roman" w:hAnsi="Times New Roman"/>
          <w:sz w:val="14"/>
          <w:szCs w:val="14"/>
          <w:color w:val="auto"/>
        </w:rPr>
        <w:t>If we are unable to comply with the requirements of Section 404(b) of the Sarbanes-Oxley Act effectively and if management identifies one or more significant deficiencies or material weaknesses, or if our independent registered public accounting firm is unable to attest that our management’s report is fairly stated or if they are unable to express an opinion on the effectiveness of our internal controls or if we are unable to maintain proper and effective internal controls, we may not be able to produce timely and accurate financial statements any of which could result in a loss of investor confidence or negative investor perceptions. If any of the above were to happen, the market price of our stock could decline significantly and we could be subject to sanctions or investigations by Nasdaq, the SEC or other regulatory authorities.</w:t>
      </w:r>
    </w:p>
    <w:p>
      <w:pPr>
        <w:spacing w:after="0" w:line="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on our common stock so any returns will be limited to the value of our stock.</w:t>
      </w:r>
    </w:p>
    <w:p>
      <w:pPr>
        <w:spacing w:after="0" w:line="101" w:lineRule="exact"/>
        <w:rPr>
          <w:sz w:val="20"/>
          <w:szCs w:val="20"/>
          <w:color w:val="auto"/>
        </w:rPr>
      </w:pPr>
    </w:p>
    <w:p>
      <w:pPr>
        <w:jc w:val="both"/>
        <w:ind w:left="1140" w:right="1279" w:firstLine="258"/>
        <w:spacing w:after="0" w:line="268"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their stock.</w:t>
      </w:r>
    </w:p>
    <w:p>
      <w:pPr>
        <w:spacing w:after="0" w:line="52" w:lineRule="exact"/>
        <w:rPr>
          <w:sz w:val="20"/>
          <w:szCs w:val="20"/>
          <w:color w:val="auto"/>
        </w:rPr>
      </w:pPr>
    </w:p>
    <w:p>
      <w:pPr>
        <w:ind w:left="1140" w:right="119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certificate of incorporation, bylaws and Delaware law might discourage, delay or prevent a change in control of our company or changes in our management and, therefore, depress the market price of our common stock.</w:t>
      </w:r>
    </w:p>
    <w:p>
      <w:pPr>
        <w:spacing w:after="0" w:line="47" w:lineRule="exact"/>
        <w:rPr>
          <w:sz w:val="20"/>
          <w:szCs w:val="20"/>
          <w:color w:val="auto"/>
        </w:rPr>
      </w:pPr>
    </w:p>
    <w:p>
      <w:pPr>
        <w:ind w:left="1140" w:right="1259" w:firstLine="258"/>
        <w:spacing w:after="0" w:line="275" w:lineRule="auto"/>
        <w:rPr>
          <w:sz w:val="20"/>
          <w:szCs w:val="20"/>
          <w:color w:val="auto"/>
        </w:rPr>
      </w:pPr>
      <w:r>
        <w:rPr>
          <w:rFonts w:ascii="Times New Roman" w:cs="Times New Roman" w:eastAsia="Times New Roman" w:hAnsi="Times New Roman"/>
          <w:sz w:val="14"/>
          <w:szCs w:val="14"/>
          <w:color w:val="auto"/>
        </w:rPr>
        <w:t>Our certificate of incorporation and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49" w:lineRule="exact"/>
        <w:rPr>
          <w:sz w:val="20"/>
          <w:szCs w:val="20"/>
          <w:color w:val="auto"/>
        </w:rPr>
      </w:pPr>
    </w:p>
    <w:p>
      <w:pPr>
        <w:ind w:left="1840" w:hanging="342"/>
        <w:spacing w:after="0"/>
        <w:tabs>
          <w:tab w:leader="none" w:pos="18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 classified Board of Directors so that not all members of our board are elected at one time;</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only the Board of Directors to establish the number of directors and fill vacancies on the board;</w:t>
      </w:r>
    </w:p>
    <w:p>
      <w:pPr>
        <w:spacing w:after="0" w:line="97" w:lineRule="exact"/>
        <w:rPr>
          <w:rFonts w:ascii="Times New Roman" w:cs="Times New Roman" w:eastAsia="Times New Roman" w:hAnsi="Times New Roman"/>
          <w:sz w:val="14"/>
          <w:szCs w:val="14"/>
          <w:color w:val="auto"/>
        </w:rPr>
      </w:pPr>
    </w:p>
    <w:p>
      <w:pPr>
        <w:ind w:left="1840" w:right="1239" w:hanging="342"/>
        <w:spacing w:after="0" w:line="293" w:lineRule="auto"/>
        <w:tabs>
          <w:tab w:leader="none" w:pos="18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directors may only be removed “for cause” and only with the approval of two-thirds of our stockholders;</w:t>
      </w:r>
    </w:p>
    <w:p>
      <w:pPr>
        <w:spacing w:after="0" w:line="24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88" w:name="page89"/>
    <w:bookmarkEnd w:id="88"/>
    <w:p>
      <w:pPr>
        <w:ind w:left="1840" w:right="1679" w:hanging="342"/>
        <w:spacing w:after="0" w:line="293" w:lineRule="auto"/>
        <w:tabs>
          <w:tab w:leader="none" w:pos="18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the issuance of “blank check” preferred stock that our board could use to implement a stockholder rights plan (also known as a poison pill);</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eliminate the ability of our stockholders to call special meetings of stockholders;</w:t>
      </w:r>
    </w:p>
    <w:p>
      <w:pPr>
        <w:spacing w:after="0" w:line="97" w:lineRule="exact"/>
        <w:rPr>
          <w:rFonts w:ascii="Times New Roman" w:cs="Times New Roman" w:eastAsia="Times New Roman" w:hAnsi="Times New Roman"/>
          <w:sz w:val="14"/>
          <w:szCs w:val="14"/>
          <w:color w:val="auto"/>
        </w:rPr>
      </w:pPr>
    </w:p>
    <w:p>
      <w:pPr>
        <w:ind w:left="1840" w:right="1379" w:hanging="342"/>
        <w:spacing w:after="0" w:line="293" w:lineRule="auto"/>
        <w:tabs>
          <w:tab w:leader="none" w:pos="18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stockholder action by written consent, which requires all stockholder actions to be taken at a meeting of our stockholders;</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amend the bylaws;</w:t>
      </w:r>
    </w:p>
    <w:p>
      <w:pPr>
        <w:spacing w:after="0" w:line="97" w:lineRule="exact"/>
        <w:rPr>
          <w:rFonts w:ascii="Times New Roman" w:cs="Times New Roman" w:eastAsia="Times New Roman" w:hAnsi="Times New Roman"/>
          <w:sz w:val="14"/>
          <w:szCs w:val="14"/>
          <w:color w:val="auto"/>
        </w:rPr>
      </w:pPr>
    </w:p>
    <w:p>
      <w:pPr>
        <w:ind w:left="1840" w:right="1179" w:hanging="342"/>
        <w:spacing w:after="0" w:line="293" w:lineRule="auto"/>
        <w:tabs>
          <w:tab w:leader="none" w:pos="18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advance notice requirements for nominations for election to our board or for proposing matters that can be acted upon by stockholders at annual stockholder meetings; and</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a super-majority vote of stockholders to amend some provisions described above.</w:t>
      </w:r>
    </w:p>
    <w:p>
      <w:pPr>
        <w:spacing w:after="0" w:line="97" w:lineRule="exact"/>
        <w:rPr>
          <w:sz w:val="20"/>
          <w:szCs w:val="20"/>
          <w:color w:val="auto"/>
        </w:rPr>
      </w:pPr>
    </w:p>
    <w:p>
      <w:pPr>
        <w:ind w:left="1140" w:right="1399" w:firstLine="258"/>
        <w:spacing w:after="0" w:line="265" w:lineRule="auto"/>
        <w:rPr>
          <w:sz w:val="20"/>
          <w:szCs w:val="20"/>
          <w:color w:val="auto"/>
        </w:rPr>
      </w:pPr>
      <w:r>
        <w:rPr>
          <w:rFonts w:ascii="Times New Roman" w:cs="Times New Roman" w:eastAsia="Times New Roman" w:hAnsi="Times New Roman"/>
          <w:sz w:val="14"/>
          <w:szCs w:val="14"/>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58" w:lineRule="exact"/>
        <w:rPr>
          <w:sz w:val="20"/>
          <w:szCs w:val="20"/>
          <w:color w:val="auto"/>
        </w:rPr>
      </w:pPr>
    </w:p>
    <w:p>
      <w:pPr>
        <w:ind w:left="1140" w:right="1399" w:firstLine="258"/>
        <w:spacing w:after="0" w:line="268" w:lineRule="auto"/>
        <w:rPr>
          <w:sz w:val="20"/>
          <w:szCs w:val="20"/>
          <w:color w:val="auto"/>
        </w:rPr>
      </w:pPr>
      <w:r>
        <w:rPr>
          <w:rFonts w:ascii="Times New Roman" w:cs="Times New Roman" w:eastAsia="Times New Roman" w:hAnsi="Times New Roman"/>
          <w:sz w:val="14"/>
          <w:szCs w:val="14"/>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52" w:lineRule="exact"/>
        <w:rPr>
          <w:sz w:val="20"/>
          <w:szCs w:val="20"/>
          <w:color w:val="auto"/>
        </w:rPr>
      </w:pPr>
    </w:p>
    <w:p>
      <w:pPr>
        <w:ind w:left="1140" w:right="123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bylaws provide that, unless the company consents in writing to an alternative forum,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54" w:lineRule="exact"/>
        <w:rPr>
          <w:sz w:val="20"/>
          <w:szCs w:val="20"/>
          <w:color w:val="auto"/>
        </w:rPr>
      </w:pPr>
    </w:p>
    <w:p>
      <w:pPr>
        <w:ind w:left="1140" w:right="1399" w:firstLine="258"/>
        <w:spacing w:after="0" w:line="275"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is the exclusive forum for:</w:t>
      </w:r>
    </w:p>
    <w:p>
      <w:pPr>
        <w:spacing w:after="0" w:line="49" w:lineRule="exact"/>
        <w:rPr>
          <w:sz w:val="20"/>
          <w:szCs w:val="20"/>
          <w:color w:val="auto"/>
        </w:rPr>
      </w:pPr>
    </w:p>
    <w:p>
      <w:pPr>
        <w:ind w:left="1840" w:hanging="342"/>
        <w:spacing w:after="0"/>
        <w:tabs>
          <w:tab w:leader="none" w:pos="18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9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of breach of fiduciary duty;</w:t>
      </w:r>
    </w:p>
    <w:p>
      <w:pPr>
        <w:spacing w:after="0" w:line="97" w:lineRule="exact"/>
        <w:rPr>
          <w:rFonts w:ascii="Times New Roman" w:cs="Times New Roman" w:eastAsia="Times New Roman" w:hAnsi="Times New Roman"/>
          <w:sz w:val="14"/>
          <w:szCs w:val="14"/>
          <w:color w:val="auto"/>
        </w:rPr>
      </w:pPr>
    </w:p>
    <w:p>
      <w:pPr>
        <w:ind w:left="1840" w:right="1239" w:hanging="342"/>
        <w:spacing w:after="0" w:line="293" w:lineRule="auto"/>
        <w:tabs>
          <w:tab w:leader="none" w:pos="18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arising under the DGCL, our amended and restated certificate of incorporation or our bylaws; and</w:t>
      </w:r>
    </w:p>
    <w:p>
      <w:pPr>
        <w:spacing w:after="0" w:line="37" w:lineRule="exact"/>
        <w:rPr>
          <w:rFonts w:ascii="Times New Roman" w:cs="Times New Roman" w:eastAsia="Times New Roman" w:hAnsi="Times New Roman"/>
          <w:sz w:val="14"/>
          <w:szCs w:val="14"/>
          <w:color w:val="auto"/>
        </w:rPr>
      </w:pPr>
    </w:p>
    <w:p>
      <w:pPr>
        <w:ind w:left="1840" w:hanging="342"/>
        <w:spacing w:after="0"/>
        <w:tabs>
          <w:tab w:leader="none" w:pos="18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that is governed by the internal-affairs doctrine.</w:t>
      </w:r>
    </w:p>
    <w:p>
      <w:pPr>
        <w:spacing w:after="0" w:line="97" w:lineRule="exact"/>
        <w:rPr>
          <w:sz w:val="20"/>
          <w:szCs w:val="20"/>
          <w:color w:val="auto"/>
        </w:rPr>
      </w:pPr>
    </w:p>
    <w:p>
      <w:pPr>
        <w:ind w:left="1140" w:right="1219" w:firstLine="258"/>
        <w:spacing w:after="0" w:line="262" w:lineRule="auto"/>
        <w:rPr>
          <w:sz w:val="20"/>
          <w:szCs w:val="20"/>
          <w:color w:val="auto"/>
        </w:rPr>
      </w:pPr>
      <w:r>
        <w:rPr>
          <w:rFonts w:ascii="Times New Roman" w:cs="Times New Roman" w:eastAsia="Times New Roman" w:hAnsi="Times New Roman"/>
          <w:sz w:val="14"/>
          <w:szCs w:val="14"/>
          <w:color w:val="auto"/>
        </w:rPr>
        <w:t>This Delaware forum provision may limit a stockholder’s ability to bring a claim in a judicial forum that the stockholder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this provision. If a court were to find this Delaware forum provision to be inapplicable or unenforceable in an action, we may incur additional costs associated with litigating such disputes in multiple and/or other jurisdictions, which could seriously harm our business.</w:t>
      </w:r>
    </w:p>
    <w:p>
      <w:pPr>
        <w:spacing w:after="0" w:line="61" w:lineRule="exact"/>
        <w:rPr>
          <w:sz w:val="20"/>
          <w:szCs w:val="20"/>
          <w:color w:val="auto"/>
        </w:rPr>
      </w:pPr>
    </w:p>
    <w:p>
      <w:pPr>
        <w:ind w:left="1140" w:right="1199" w:firstLine="258"/>
        <w:spacing w:after="0" w:line="261" w:lineRule="auto"/>
        <w:rPr>
          <w:sz w:val="20"/>
          <w:szCs w:val="20"/>
          <w:color w:val="auto"/>
        </w:rPr>
      </w:pPr>
      <w:r>
        <w:rPr>
          <w:rFonts w:ascii="Times New Roman" w:cs="Times New Roman" w:eastAsia="Times New Roman" w:hAnsi="Times New Roman"/>
          <w:sz w:val="14"/>
          <w:szCs w:val="14"/>
          <w:color w:val="auto"/>
        </w:rPr>
        <w:t>Our bylaws provide that, unless we consent in writing to the selection of an alternative forum, the federal district courts of the United States of America will be the exclusive forum for resolving any complaint asserting a cause of action arising under the Securities Act of 1933, as amended against any person in connection with any offering of the Company’s securities, including but not limited to any auditor, underwriter, expert, control person, or other defendant. This federal forum provision may limit a stockholder’s ability to bring a Securities Act claim in a judicial forum that the stockholder finds favorable, which may discourage lawsuits against us and our directors, officers and other employees. Any person purchasing or otherwise acquiring any interest in any of our securities shall be deemed to have notice of and consented to this provision. While the Delaware Supreme Court has held such provisions to be facially valid as a matter of Delaware law and several state trial courts have enforced such</w:t>
      </w:r>
    </w:p>
    <w:p>
      <w:pPr>
        <w:spacing w:after="0" w:line="35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89" w:name="page90"/>
    <w:bookmarkEnd w:id="89"/>
    <w:p>
      <w:pPr>
        <w:ind w:left="1140" w:right="1199"/>
        <w:spacing w:after="0" w:line="268" w:lineRule="auto"/>
        <w:rPr>
          <w:sz w:val="20"/>
          <w:szCs w:val="20"/>
          <w:color w:val="auto"/>
        </w:rPr>
      </w:pPr>
      <w:r>
        <w:rPr>
          <w:rFonts w:ascii="Times New Roman" w:cs="Times New Roman" w:eastAsia="Times New Roman" w:hAnsi="Times New Roman"/>
          <w:sz w:val="14"/>
          <w:szCs w:val="14"/>
          <w:color w:val="auto"/>
        </w:rPr>
        <w:t>provisions and required that suits asserting Securities Act claims be filed in federal court, there is no guarantee that courts of appeal will affirm the enforceability of such provisions. If a court were to find this federal forum provision to be inapplicable or unenforceable in an action, we may incur additional costs associated with litigating Securities Act claims in state court, or both state and federal court, which could seriously harm our business.</w:t>
      </w:r>
    </w:p>
    <w:p>
      <w:pPr>
        <w:spacing w:after="0" w:line="56" w:lineRule="exact"/>
        <w:rPr>
          <w:sz w:val="20"/>
          <w:szCs w:val="20"/>
          <w:color w:val="auto"/>
        </w:rPr>
      </w:pPr>
    </w:p>
    <w:p>
      <w:pPr>
        <w:ind w:left="1140" w:right="1419" w:firstLine="258"/>
        <w:spacing w:after="0" w:line="293" w:lineRule="auto"/>
        <w:rPr>
          <w:sz w:val="20"/>
          <w:szCs w:val="20"/>
          <w:color w:val="auto"/>
        </w:rPr>
      </w:pPr>
      <w:r>
        <w:rPr>
          <w:rFonts w:ascii="Times New Roman" w:cs="Times New Roman" w:eastAsia="Times New Roman" w:hAnsi="Times New Roman"/>
          <w:sz w:val="14"/>
          <w:szCs w:val="14"/>
          <w:color w:val="auto"/>
        </w:rPr>
        <w:t>This Delaware forum provision does not apply to actions arising under the Securities Exchange Act of 1934 because the federal courts have exclusive jurisdiction over such claims.</w:t>
      </w:r>
    </w:p>
    <w:p>
      <w:pPr>
        <w:spacing w:after="0" w:line="33" w:lineRule="exact"/>
        <w:rPr>
          <w:sz w:val="20"/>
          <w:szCs w:val="20"/>
          <w:color w:val="auto"/>
        </w:rPr>
      </w:pPr>
    </w:p>
    <w:p>
      <w:pPr>
        <w:ind w:left="1140" w:right="1239"/>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47" w:lineRule="exact"/>
        <w:rPr>
          <w:sz w:val="20"/>
          <w:szCs w:val="20"/>
          <w:color w:val="auto"/>
        </w:rPr>
      </w:pPr>
    </w:p>
    <w:p>
      <w:pPr>
        <w:ind w:left="1140" w:right="1179" w:firstLine="258"/>
        <w:spacing w:after="0" w:line="261" w:lineRule="auto"/>
        <w:rPr>
          <w:sz w:val="20"/>
          <w:szCs w:val="20"/>
          <w:color w:val="auto"/>
        </w:rPr>
      </w:pPr>
      <w:r>
        <w:rPr>
          <w:rFonts w:ascii="Times New Roman" w:cs="Times New Roman" w:eastAsia="Times New Roman" w:hAnsi="Times New Roman"/>
          <w:sz w:val="14"/>
          <w:szCs w:val="14"/>
          <w:color w:val="auto"/>
        </w:rPr>
        <w:t>We rely on third party software for state and local tax rates, updated whenever tax rates change. We also rely on state exemptions, when applicable, for medical devices and services, which are determined by management’s review of each state’s sales tax laws and regulations concerning prescribed medical treatments. However, as laws and regulations change from time to time, these exemptions may or may not continue to apply to our products in the various taxing jurisdictions. Certain jurisdictions in which we do not collect such taxes on sales of our products may later assert that such taxes are applicable, which could result in tax assessments, penalties and interest, and we may be required to collect such taxes in the future. Such tax assessments, penalties and interest or future requirements may adversely affect the results of our operations.</w:t>
      </w:r>
    </w:p>
    <w:p>
      <w:pPr>
        <w:spacing w:after="0" w:line="59" w:lineRule="exact"/>
        <w:rPr>
          <w:sz w:val="20"/>
          <w:szCs w:val="20"/>
          <w:color w:val="auto"/>
        </w:rPr>
      </w:pPr>
    </w:p>
    <w:p>
      <w:pPr>
        <w:ind w:left="1140" w:right="13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Board of Directors are authorized to issue and designate shares of our preferred stock in additional series without stockholder approval under our charter documents and Delaware law.</w:t>
      </w:r>
    </w:p>
    <w:p>
      <w:pPr>
        <w:spacing w:after="0" w:line="33" w:lineRule="exact"/>
        <w:rPr>
          <w:sz w:val="20"/>
          <w:szCs w:val="20"/>
          <w:color w:val="auto"/>
        </w:rPr>
      </w:pPr>
    </w:p>
    <w:p>
      <w:pPr>
        <w:ind w:left="1140" w:right="1179" w:firstLine="258"/>
        <w:spacing w:after="0" w:line="262" w:lineRule="auto"/>
        <w:rPr>
          <w:sz w:val="20"/>
          <w:szCs w:val="20"/>
          <w:color w:val="auto"/>
        </w:rPr>
      </w:pPr>
      <w:r>
        <w:rPr>
          <w:rFonts w:ascii="Times New Roman" w:cs="Times New Roman" w:eastAsia="Times New Roman" w:hAnsi="Times New Roman"/>
          <w:sz w:val="14"/>
          <w:szCs w:val="14"/>
          <w:color w:val="auto"/>
        </w:rPr>
        <w:t>Our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57" w:lineRule="exact"/>
        <w:rPr>
          <w:sz w:val="20"/>
          <w:szCs w:val="20"/>
          <w:color w:val="auto"/>
        </w:rPr>
      </w:pPr>
    </w:p>
    <w:p>
      <w:pPr>
        <w:ind w:left="1140" w:right="119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33" w:lineRule="exact"/>
        <w:rPr>
          <w:sz w:val="20"/>
          <w:szCs w:val="20"/>
          <w:color w:val="auto"/>
        </w:rPr>
      </w:pPr>
    </w:p>
    <w:p>
      <w:pPr>
        <w:ind w:left="1140" w:right="1159" w:firstLine="258"/>
        <w:spacing w:after="0" w:line="258" w:lineRule="auto"/>
        <w:rPr>
          <w:sz w:val="20"/>
          <w:szCs w:val="20"/>
          <w:color w:val="auto"/>
        </w:rPr>
      </w:pPr>
      <w:r>
        <w:rPr>
          <w:rFonts w:ascii="Times New Roman" w:cs="Times New Roman" w:eastAsia="Times New Roman" w:hAnsi="Times New Roman"/>
          <w:sz w:val="14"/>
          <w:szCs w:val="14"/>
          <w:color w:val="auto"/>
        </w:rPr>
        <w:t>The Tax Act enacted many significant changes to the U.S. tax laws, the consequences of which have not yet been fully determined. Changes in corporate tax rates, the realization of net deferred tax assets relating to our U.S. operations, the taxation of foreign earnings and the deductibility of expenses contained in the Tax Act or other tax reform legislation could have a material impact on the value of our deferred tax assets, could result in significant one-time charges in the current or future taxable years and could increase our future U.S. tax expense. As an example, for taxable years beginning during or after 2022, the Tax Act eliminated the option to immediately deduct research and development expenditures currently and required taxpayers to capitalize and amortize them over five or fifteen years pursuant to Section 174 of the Code, which may impact our effective tax rate and our cash tax liability. However, recently proposed tax legislation, if enacted, would restore the ability to deduct currently domestic research and development expenditures through 2025 and would retroactively restore this benefit for 2022 and 2023. Regulatory or legislative developments may arise from the proposed U.S. tax reform under the Biden Administration, which has proposed several changes to the corporate income tax regime, which, if adopted, could result in increased taxation of our business operations. There is uncertainty regarding what changes, if any, will be enacted and the effect on our business and financial results. The foregoing items, as well as any future changes in tax laws, could have a material adverse effect on our business, cash flow, financial condition or results of operations. We will also continue to monitor and assess the impact of international tax reform, including but not limited to the 15% global minimal tax proposed by the Organisation for Economic Co-operation and Development. Finally, the Inflation Reduction Act of 2022 (the “IRA”) was effective beginning in fiscal year 2023. We do not currently expect that the IRA will have a material impact on our income tax liability.</w:t>
      </w:r>
    </w:p>
    <w:p>
      <w:pPr>
        <w:spacing w:after="0" w:line="35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90" w:name="page91"/>
    <w:bookmarkEnd w:id="90"/>
    <w:p>
      <w:pPr>
        <w:ind w:left="114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5" w:lineRule="exact"/>
        <w:rPr>
          <w:sz w:val="20"/>
          <w:szCs w:val="20"/>
          <w:color w:val="auto"/>
        </w:rPr>
      </w:pPr>
    </w:p>
    <w:p>
      <w:pPr>
        <w:ind w:left="1140" w:right="17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success is highly dependent on our ability to attract and retain highly skilled executive officers and employees.</w:t>
      </w:r>
    </w:p>
    <w:p>
      <w:pPr>
        <w:spacing w:after="0" w:line="33" w:lineRule="exact"/>
        <w:rPr>
          <w:sz w:val="20"/>
          <w:szCs w:val="20"/>
          <w:color w:val="auto"/>
        </w:rPr>
      </w:pPr>
    </w:p>
    <w:p>
      <w:pPr>
        <w:ind w:left="1140" w:right="1199" w:firstLine="258"/>
        <w:spacing w:after="0" w:line="260" w:lineRule="auto"/>
        <w:rPr>
          <w:sz w:val="20"/>
          <w:szCs w:val="20"/>
          <w:color w:val="auto"/>
        </w:rPr>
      </w:pPr>
      <w:r>
        <w:rPr>
          <w:rFonts w:ascii="Times New Roman" w:cs="Times New Roman" w:eastAsia="Times New Roman" w:hAnsi="Times New Roman"/>
          <w:sz w:val="14"/>
          <w:szCs w:val="14"/>
          <w:color w:val="auto"/>
        </w:rPr>
        <w:t>To succeed, we must recruit, retain, manage and motivate qualified executives as we build out the management team, and we face significant competition for experienced personnel. We are highly dependent on the principal members of our management and need to add executives with operational and commercialization experience as we plan for commercialization of our current and future products and build out a leadership team that can manage our operations as a public company.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medical device and ophthalmology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233" w:lineRule="exact"/>
        <w:rPr>
          <w:sz w:val="20"/>
          <w:szCs w:val="20"/>
          <w:color w:val="auto"/>
        </w:rPr>
      </w:pPr>
    </w:p>
    <w:p>
      <w:pPr>
        <w:ind w:left="1140" w:right="1179" w:firstLine="258"/>
        <w:spacing w:after="0" w:line="262" w:lineRule="auto"/>
        <w:rPr>
          <w:sz w:val="20"/>
          <w:szCs w:val="20"/>
          <w:color w:val="auto"/>
        </w:rPr>
      </w:pPr>
      <w:r>
        <w:rPr>
          <w:rFonts w:ascii="Times New Roman" w:cs="Times New Roman" w:eastAsia="Times New Roman" w:hAnsi="Times New Roman"/>
          <w:sz w:val="14"/>
          <w:szCs w:val="14"/>
          <w:color w:val="auto"/>
        </w:rPr>
        <w:t>Many of the other medical device and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current and future products will be limited and the potential for successfully growing our business will be harmed.</w:t>
      </w:r>
    </w:p>
    <w:p>
      <w:pPr>
        <w:spacing w:after="0" w:line="5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Our business and operations would suffer in the event of system failures or security breaches or incidents.</w:t>
      </w:r>
    </w:p>
    <w:p>
      <w:pPr>
        <w:spacing w:after="0" w:line="101" w:lineRule="exact"/>
        <w:rPr>
          <w:sz w:val="20"/>
          <w:szCs w:val="20"/>
          <w:color w:val="auto"/>
        </w:rPr>
      </w:pPr>
    </w:p>
    <w:p>
      <w:pPr>
        <w:ind w:left="1140" w:right="1159" w:firstLine="258"/>
        <w:spacing w:after="0" w:line="259" w:lineRule="auto"/>
        <w:rPr>
          <w:sz w:val="20"/>
          <w:szCs w:val="20"/>
          <w:color w:val="auto"/>
        </w:rPr>
      </w:pPr>
      <w:r>
        <w:rPr>
          <w:rFonts w:ascii="Times New Roman" w:cs="Times New Roman" w:eastAsia="Times New Roman" w:hAnsi="Times New Roman"/>
          <w:sz w:val="14"/>
          <w:szCs w:val="14"/>
          <w:color w:val="auto"/>
        </w:rPr>
        <w:t>Our computer systems, as well as those of our contractors and other third parties with whom we do business, are vulnerable to damage from computer viruses, ransomware and other malicious code, unauthorized access, natural disasters (including hurricanes), terrorism, war and telecommunication and electrical failures. Any disruption or interruption in our systems, or those of our contractors or other third parties with whom we do business, whether from these or other causes, could cause interruptions in our operations, result in a material disruption of the commercialization of our RxSight system and our future products, and result in significant legal and financial exposure and reputational damages that could potentially have an adverse effect on our business. For example, the loss, corruption, or unavailability of preclinical study or clinical trial data from completed, ongoing, or planned trials could result in delays in our regulatory approval efforts and significantly increase our costs to recover or reproduce the data. Any disruption or security breach or incident resulting in, or believed or perceived to have reported in, the loss or unavailability of or damage to our data or applications, or inappropriate disclosure or other processing of personal, confidential or proprietary information, could cause us to incur liability and cause the commercialization of our RxSight system and the further development of our current and future products to be delayed.</w:t>
      </w:r>
    </w:p>
    <w:p>
      <w:pPr>
        <w:spacing w:after="0" w:line="66" w:lineRule="exact"/>
        <w:rPr>
          <w:sz w:val="20"/>
          <w:szCs w:val="20"/>
          <w:color w:val="auto"/>
        </w:rPr>
      </w:pPr>
    </w:p>
    <w:p>
      <w:pPr>
        <w:ind w:left="1140" w:right="1219" w:firstLine="258"/>
        <w:spacing w:after="0" w:line="259" w:lineRule="auto"/>
        <w:rPr>
          <w:sz w:val="20"/>
          <w:szCs w:val="20"/>
          <w:color w:val="auto"/>
        </w:rPr>
      </w:pPr>
      <w:r>
        <w:rPr>
          <w:rFonts w:ascii="Times New Roman" w:cs="Times New Roman" w:eastAsia="Times New Roman" w:hAnsi="Times New Roman"/>
          <w:sz w:val="14"/>
          <w:szCs w:val="14"/>
          <w:color w:val="auto"/>
        </w:rPr>
        <w:t>The secure processing, maintenance, and transmission of this information is critical to our operations. Despite our security measures, our information technology and infrastructure may be vulnerable to attacks by hackers, internal bad actors, or others, or breached due to technical vulnerabilities, employee error, malfeasance, or other disruptions. Although, to our knowledge, we have not experienced any such material security breach to date, any security breach or security incident could compromise our systems and networks and the information stored or otherwise processed on them could be accessed, publicly disclosed, lost, stolen, rendered unavailable, modified, or otherwise processed without authorization. Any such actual or perceived access, disclosure, or other security breach or incident, loss, or unauthorized processing of information (whether affecting us or one of our third-party service providers or other third parties with whom we do business) could result in legal claims and proceedings, regulatory investigations, and other proceedings and liability under laws that protect the privacy of personal information, significant regulatory penalties or other fines or remedies, and such an event could disrupt our operations, damage our reputation, and cause a loss of confidence in us and our ability to commercialize our products and conduct clinical trials, which could adversely affect our reputation and delay the commercialization of our RxSight system and clinical development of our current and future products.</w:t>
      </w:r>
    </w:p>
    <w:p>
      <w:pPr>
        <w:spacing w:after="0" w:line="64" w:lineRule="exact"/>
        <w:rPr>
          <w:sz w:val="20"/>
          <w:szCs w:val="20"/>
          <w:color w:val="auto"/>
        </w:rPr>
      </w:pPr>
    </w:p>
    <w:p>
      <w:pPr>
        <w:ind w:left="1140" w:right="1459" w:firstLine="258"/>
        <w:spacing w:after="0" w:line="293" w:lineRule="auto"/>
        <w:rPr>
          <w:sz w:val="20"/>
          <w:szCs w:val="20"/>
          <w:color w:val="auto"/>
        </w:rPr>
      </w:pPr>
      <w:r>
        <w:rPr>
          <w:rFonts w:ascii="Times New Roman" w:cs="Times New Roman" w:eastAsia="Times New Roman" w:hAnsi="Times New Roman"/>
          <w:sz w:val="14"/>
          <w:szCs w:val="14"/>
          <w:color w:val="auto"/>
        </w:rPr>
        <w:t>The techniques and sophistication used to conduct cyber-attacks and security breaches or other incidents, including of information technology systems, as well as the sources and targets of these attacks, may take many</w:t>
      </w:r>
    </w:p>
    <w:p>
      <w:pPr>
        <w:spacing w:after="0" w:line="3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91" w:name="page92"/>
    <w:bookmarkEnd w:id="91"/>
    <w:p>
      <w:pPr>
        <w:ind w:left="1140" w:right="1179"/>
        <w:spacing w:after="0" w:line="259" w:lineRule="auto"/>
        <w:rPr>
          <w:sz w:val="20"/>
          <w:szCs w:val="20"/>
          <w:color w:val="auto"/>
        </w:rPr>
      </w:pPr>
      <w:r>
        <w:rPr>
          <w:rFonts w:ascii="Times New Roman" w:cs="Times New Roman" w:eastAsia="Times New Roman" w:hAnsi="Times New Roman"/>
          <w:sz w:val="14"/>
          <w:szCs w:val="14"/>
          <w:color w:val="auto"/>
        </w:rPr>
        <w:t>forms (including phishing, social engineering, denial or degradation of service attacks, sim swaps, ransomware, malware or other malicious code), change frequently and are often not recognized until such attacks are launched or have been in place for a period of time. In addition, our employees, contractors, or third parties with whom we do business may attempt to circumvent our security measures in order to misappropriate information, including confidential, personal, or otherwise regulated or protected information, and may purposefully or inadvertently cause a breach or incident involving, or compromise of, such information. Third parties may have the technology or know-how to breach the security of the information collected, stored, or transmitted by us, our contractors, third-party service providers, or other third parties with whom we do business, and our respective security measures, as well as those of our respective third-party service providers, may not effectively prohibit others from obtaining improper access to this information. Advances in computer and software capabilities and encryption technology, new tools, and other developments may increase the risk of such a breach, incident, or compromise. There is no assurance that any security procedures or controls that we, our contractors, or our third-party service providers or other third parties with whom we do business have implemented will be sufficient to prevent data-security related incidents from occurring.</w:t>
      </w:r>
    </w:p>
    <w:p>
      <w:pPr>
        <w:spacing w:after="0" w:line="238" w:lineRule="exact"/>
        <w:rPr>
          <w:sz w:val="20"/>
          <w:szCs w:val="20"/>
          <w:color w:val="auto"/>
        </w:rPr>
      </w:pPr>
    </w:p>
    <w:p>
      <w:pPr>
        <w:ind w:left="1140" w:right="1159" w:firstLine="258"/>
        <w:spacing w:after="0" w:line="260" w:lineRule="auto"/>
        <w:rPr>
          <w:sz w:val="20"/>
          <w:szCs w:val="20"/>
          <w:color w:val="auto"/>
        </w:rPr>
      </w:pPr>
      <w:r>
        <w:rPr>
          <w:rFonts w:ascii="Times New Roman" w:cs="Times New Roman" w:eastAsia="Times New Roman" w:hAnsi="Times New Roman"/>
          <w:sz w:val="14"/>
          <w:szCs w:val="14"/>
          <w:color w:val="auto"/>
        </w:rPr>
        <w:t>We may be required to expend significant capital and other resources to protect against, respond to, and recover from any potential, attempted or existing security breaches, incidents, or failures and their consequences. As data security-related threats continue to evolve, we may be required to expend significant additional resources to continue to modify or enhance our protective measures or to investigate and remediate any information security vulnerabilities. We could be forced to expend significant financial and operational resources in responding to a security breach or incident, including investigating and remediating any information security vulnerabilities, defending against and resolving legal and regulatory claims and complying with notification obligations, all of which could divert resources and the attention of our management and key personnel away from our business operations and adversely affect our business, financial condition and results of operations. In addition, our remediation efforts may not be successful, and we could be unable to implement, maintain and upgrade adequate safeguards.</w:t>
      </w:r>
    </w:p>
    <w:p>
      <w:pPr>
        <w:spacing w:after="0" w:line="236" w:lineRule="exact"/>
        <w:rPr>
          <w:sz w:val="20"/>
          <w:szCs w:val="20"/>
          <w:color w:val="auto"/>
        </w:rPr>
      </w:pPr>
    </w:p>
    <w:p>
      <w:pPr>
        <w:ind w:left="1140" w:right="1199" w:firstLine="258"/>
        <w:spacing w:after="0" w:line="264" w:lineRule="auto"/>
        <w:rPr>
          <w:sz w:val="20"/>
          <w:szCs w:val="20"/>
          <w:color w:val="auto"/>
        </w:rPr>
      </w:pPr>
      <w:r>
        <w:rPr>
          <w:rFonts w:ascii="Times New Roman" w:cs="Times New Roman" w:eastAsia="Times New Roman" w:hAnsi="Times New Roman"/>
          <w:sz w:val="14"/>
          <w:szCs w:val="14"/>
          <w:color w:val="auto"/>
        </w:rPr>
        <w:t>Our insurance policies may not be adequate to compensate us for the potential losses arising from any such disruption, failure, or security breach of, or security incident of or impacting, our systems or third-party systems where information important to our business operations or commercial development is stored or otherwise processed.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Economic conditions may adversely affect our business.</w:t>
      </w:r>
    </w:p>
    <w:p>
      <w:pPr>
        <w:spacing w:after="0" w:line="101" w:lineRule="exact"/>
        <w:rPr>
          <w:sz w:val="20"/>
          <w:szCs w:val="20"/>
          <w:color w:val="auto"/>
        </w:rPr>
      </w:pPr>
    </w:p>
    <w:p>
      <w:pPr>
        <w:ind w:left="1140" w:right="1179" w:firstLine="258"/>
        <w:spacing w:after="0" w:line="259" w:lineRule="auto"/>
        <w:rPr>
          <w:sz w:val="20"/>
          <w:szCs w:val="20"/>
          <w:color w:val="auto"/>
        </w:rPr>
      </w:pPr>
      <w:r>
        <w:rPr>
          <w:rFonts w:ascii="Times New Roman" w:cs="Times New Roman" w:eastAsia="Times New Roman" w:hAnsi="Times New Roman"/>
          <w:sz w:val="14"/>
          <w:szCs w:val="14"/>
          <w:color w:val="auto"/>
        </w:rPr>
        <w:t>Global economic, political and market conditions, armed conflict, including in Eastern Europe and the Middle East, and general economic downturns, may negatively impact our business. Challenging or uncertain economic conditions including those related to global epidemics, pandemics, or contagious diseases, geopolitical turmoil, and macroeconomic conditions, inflation, fluctuations in foreign exchange rates, instability in the global banking system, disruptions in supply chains and interest rates, could make it difficult for our customers and potential customers to accurately forecast and plan future business activities and may cause our customers and potential customers to slow or reduce spending, or vary order frequency, on our products. Furthermore, during challenging or uncertain economic times, our customers may face difficulties gaining timely access to sufficient credit and experience decreasing cash flow, which could impact their willingness to make purchases and their ability to make timely payments to us. Global economic conditions could have an adverse effect on demand for our products, including on our ability to predict future operating results and on our financial condition and operating results. If global economic conditions remain uncertain or deteriorate, it may materially impact our business, operating results and financial condition.</w:t>
      </w:r>
    </w:p>
    <w:p>
      <w:pPr>
        <w:spacing w:after="0" w:line="239" w:lineRule="exact"/>
        <w:rPr>
          <w:sz w:val="20"/>
          <w:szCs w:val="20"/>
          <w:color w:val="auto"/>
        </w:rPr>
      </w:pPr>
    </w:p>
    <w:p>
      <w:pPr>
        <w:ind w:left="1140" w:right="1299" w:firstLine="258"/>
        <w:spacing w:after="0" w:line="264" w:lineRule="auto"/>
        <w:rPr>
          <w:sz w:val="20"/>
          <w:szCs w:val="20"/>
          <w:color w:val="auto"/>
        </w:rPr>
      </w:pPr>
      <w:r>
        <w:rPr>
          <w:rFonts w:ascii="Times New Roman" w:cs="Times New Roman" w:eastAsia="Times New Roman" w:hAnsi="Times New Roman"/>
          <w:sz w:val="14"/>
          <w:szCs w:val="14"/>
          <w:color w:val="auto"/>
        </w:rPr>
        <w:t>For example, we and other key international economies are currently operating in a period of economic uncertainty and the United States has recently experienced historically high levels of inflation and rising interest rates, which has led to increased costs of labor, capital, employee compensation and other similar effects. If unfavorable conditions in the national and global economy persist, or worsen, our current and potential customers’ operating costs will likely increase, which could result in reduced operating budgets. Our revenue may be disproportionately affected by delays or reductions in spending.</w:t>
      </w:r>
    </w:p>
    <w:p>
      <w:pPr>
        <w:spacing w:after="0" w:line="56" w:lineRule="exact"/>
        <w:rPr>
          <w:sz w:val="20"/>
          <w:szCs w:val="20"/>
          <w:color w:val="auto"/>
        </w:rPr>
      </w:pPr>
    </w:p>
    <w:p>
      <w:pPr>
        <w:ind w:left="1140" w:right="1159" w:firstLine="258"/>
        <w:spacing w:after="0" w:line="293" w:lineRule="auto"/>
        <w:rPr>
          <w:sz w:val="20"/>
          <w:szCs w:val="20"/>
          <w:color w:val="auto"/>
        </w:rPr>
      </w:pPr>
      <w:r>
        <w:rPr>
          <w:rFonts w:ascii="Times New Roman" w:cs="Times New Roman" w:eastAsia="Times New Roman" w:hAnsi="Times New Roman"/>
          <w:sz w:val="14"/>
          <w:szCs w:val="14"/>
          <w:color w:val="auto"/>
        </w:rPr>
        <w:t>The present conditions and state of the U.S. and global economies make it difficult to predict whether, when and to what extent a recession has occurred or will occur in the near future. We cannot predict the timing, strength or</w:t>
      </w:r>
    </w:p>
    <w:p>
      <w:pPr>
        <w:spacing w:after="0" w:line="32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92" w:name="page93"/>
    <w:bookmarkEnd w:id="92"/>
    <w:p>
      <w:pPr>
        <w:jc w:val="both"/>
        <w:ind w:left="1140" w:right="1579"/>
        <w:spacing w:after="0" w:line="275" w:lineRule="auto"/>
        <w:rPr>
          <w:sz w:val="20"/>
          <w:szCs w:val="20"/>
          <w:color w:val="auto"/>
        </w:rPr>
      </w:pPr>
      <w:r>
        <w:rPr>
          <w:rFonts w:ascii="Times New Roman" w:cs="Times New Roman" w:eastAsia="Times New Roman" w:hAnsi="Times New Roman"/>
          <w:sz w:val="14"/>
          <w:szCs w:val="14"/>
          <w:color w:val="auto"/>
        </w:rPr>
        <w:t>duration of any economic slowdown, instability or recovery, generally or within any particular industry. If the economic conditions of the general economy or markets in which we operate do not improve, or worsen from present levels, our business, results of operations, and financial condition could be adversely affected.</w:t>
      </w:r>
    </w:p>
    <w:p>
      <w:pPr>
        <w:spacing w:after="0" w:line="49" w:lineRule="exact"/>
        <w:rPr>
          <w:sz w:val="20"/>
          <w:szCs w:val="20"/>
          <w:color w:val="auto"/>
        </w:rPr>
      </w:pPr>
    </w:p>
    <w:p>
      <w:pPr>
        <w:ind w:left="1140" w:right="1219" w:firstLine="258"/>
        <w:spacing w:after="0" w:line="268" w:lineRule="auto"/>
        <w:rPr>
          <w:sz w:val="20"/>
          <w:szCs w:val="20"/>
          <w:color w:val="auto"/>
        </w:rPr>
      </w:pPr>
      <w:r>
        <w:rPr>
          <w:rFonts w:ascii="Times New Roman" w:cs="Times New Roman" w:eastAsia="Times New Roman" w:hAnsi="Times New Roman"/>
          <w:sz w:val="14"/>
          <w:szCs w:val="14"/>
          <w:color w:val="auto"/>
        </w:rPr>
        <w:t>Additionally, adverse worldwide economic conditions may also adversely impact our suppliers’ ability to provide us with materials and components, cause them to limit or place burdensome conditions upon future transactions with us, or affect their ability to fulfill their respective contractual obligations to us, which could have a material adverse effect on our business, financial condition and results of operations.</w:t>
      </w:r>
    </w:p>
    <w:p>
      <w:pPr>
        <w:spacing w:after="0" w:line="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i w:val="1"/>
          <w:iCs w:val="1"/>
          <w:color w:val="auto"/>
        </w:rPr>
        <w:t>Litigation and other legal proceedings may adversely affect our business.</w:t>
      </w:r>
    </w:p>
    <w:p>
      <w:pPr>
        <w:spacing w:after="0" w:line="101" w:lineRule="exact"/>
        <w:rPr>
          <w:sz w:val="20"/>
          <w:szCs w:val="20"/>
          <w:color w:val="auto"/>
        </w:rPr>
      </w:pPr>
    </w:p>
    <w:p>
      <w:pPr>
        <w:ind w:left="1140" w:right="1179" w:firstLine="258"/>
        <w:spacing w:after="0" w:line="260" w:lineRule="auto"/>
        <w:rPr>
          <w:sz w:val="20"/>
          <w:szCs w:val="20"/>
          <w:color w:val="auto"/>
        </w:rPr>
      </w:pPr>
      <w:r>
        <w:rPr>
          <w:rFonts w:ascii="Times New Roman" w:cs="Times New Roman" w:eastAsia="Times New Roman" w:hAnsi="Times New Roman"/>
          <w:sz w:val="14"/>
          <w:szCs w:val="14"/>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55" w:lineRule="exact"/>
        <w:rPr>
          <w:sz w:val="20"/>
          <w:szCs w:val="20"/>
          <w:color w:val="auto"/>
        </w:rPr>
      </w:pPr>
    </w:p>
    <w:p>
      <w:pPr>
        <w:ind w:left="1140" w:right="117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Business disruptions could seriously harm our future revenue and financial condition and increase our costs and expenses.</w:t>
      </w:r>
    </w:p>
    <w:p>
      <w:pPr>
        <w:spacing w:after="0" w:line="33" w:lineRule="exact"/>
        <w:rPr>
          <w:sz w:val="20"/>
          <w:szCs w:val="20"/>
          <w:color w:val="auto"/>
        </w:rPr>
      </w:pPr>
    </w:p>
    <w:p>
      <w:pPr>
        <w:ind w:left="1140" w:right="1219" w:firstLine="258"/>
        <w:spacing w:after="0" w:line="261" w:lineRule="auto"/>
        <w:rPr>
          <w:sz w:val="20"/>
          <w:szCs w:val="20"/>
          <w:color w:val="auto"/>
        </w:rPr>
      </w:pPr>
      <w:r>
        <w:rPr>
          <w:rFonts w:ascii="Times New Roman" w:cs="Times New Roman" w:eastAsia="Times New Roman" w:hAnsi="Times New Roman"/>
          <w:sz w:val="14"/>
          <w:szCs w:val="14"/>
          <w:color w:val="auto"/>
        </w:rPr>
        <w:t>Our operations could be subject to earthquakes, power shortages, telecommunications failures, water shortages, floods, hurricanes, typhoons, fires, severe weather conditions, medical epidemics and other natural or man-made disasters or business interruptions, for which we are predominantly self-insured. We rely on third-party manufacturers to produce our products. Our ability to obtain clinical supplies of our products could be disrupted if the operations of these suppliers were affected by a man-made or natural disaster or other business interruption. In addition, our corporate headquarters is located in Aliso Viejo, California, near major earthquake faults and fire zones, and the ultimate impact on us for being located near major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56" w:lineRule="exact"/>
        <w:rPr>
          <w:sz w:val="20"/>
          <w:szCs w:val="20"/>
          <w:color w:val="auto"/>
        </w:rPr>
      </w:pPr>
    </w:p>
    <w:p>
      <w:pPr>
        <w:ind w:left="1140" w:right="1359"/>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Our results of operations could be materially harmed if we are unable to accurately forecast customer demand for our products and manage our inventory.</w:t>
      </w:r>
    </w:p>
    <w:p>
      <w:pPr>
        <w:spacing w:after="0" w:line="33" w:lineRule="exact"/>
        <w:rPr>
          <w:sz w:val="20"/>
          <w:szCs w:val="20"/>
          <w:color w:val="auto"/>
        </w:rPr>
      </w:pPr>
    </w:p>
    <w:p>
      <w:pPr>
        <w:ind w:left="1140" w:right="1219" w:firstLine="258"/>
        <w:spacing w:after="0" w:line="259" w:lineRule="auto"/>
        <w:rPr>
          <w:sz w:val="20"/>
          <w:szCs w:val="20"/>
          <w:color w:val="auto"/>
        </w:rPr>
      </w:pPr>
      <w:r>
        <w:rPr>
          <w:rFonts w:ascii="Times New Roman" w:cs="Times New Roman" w:eastAsia="Times New Roman" w:hAnsi="Times New Roman"/>
          <w:sz w:val="14"/>
          <w:szCs w:val="14"/>
          <w:color w:val="auto"/>
        </w:rPr>
        <w:t>We seek to maintain sufficient levels of inventory in order to protect ourselves from supply interruptions, but due to the expansion of global lead times, particularly in Europe and Asia, has resulted in the lack of availability of raw materials, including semiconductors, computers, monitors electronic parts, metals, packaging, adhesives, chemicals, resins and subcontract painted components, limiting our ability to maintain as much inventory of components, sub-assemblies, materials and finished products on hand as would be ideal under normal circumstances. To ensure adequate inventory supply and manage our operations with our third-party manufacturers and suppliers, we forecast anticipated materials requirements and demand for our products in order to predict inventory needs and then place orders with our suppliers based on these predictions. Our ability to accurately forecast demand for our products could be negatively affected by many factors, including our limited historical commercial experience, rapid growth, failure to accurately manage our expansion strategy, the expansion of global lead times, product introductions by competitors, an increase or decrease in customer demand for our products, our failure to accurately forecast customer acceptance of new products, unanticipated changes in general market conditions or regulatory matters and weakening of economic conditions or consumer confidence in future economic conditions.</w:t>
      </w:r>
    </w:p>
    <w:p>
      <w:pPr>
        <w:spacing w:after="0" w:line="238" w:lineRule="exact"/>
        <w:rPr>
          <w:sz w:val="20"/>
          <w:szCs w:val="20"/>
          <w:color w:val="auto"/>
        </w:rPr>
      </w:pPr>
    </w:p>
    <w:p>
      <w:pPr>
        <w:ind w:left="1140" w:right="1339" w:firstLine="258"/>
        <w:spacing w:after="0" w:line="265" w:lineRule="auto"/>
        <w:rPr>
          <w:sz w:val="20"/>
          <w:szCs w:val="20"/>
          <w:color w:val="auto"/>
        </w:rPr>
      </w:pPr>
      <w:r>
        <w:rPr>
          <w:rFonts w:ascii="Times New Roman" w:cs="Times New Roman" w:eastAsia="Times New Roman" w:hAnsi="Times New Roman"/>
          <w:sz w:val="14"/>
          <w:szCs w:val="14"/>
          <w:color w:val="auto"/>
        </w:rPr>
        <w:t>Inventory levels in excess of customer demand, including as a result of our introduction of product enhancements, may result in a portion of our inventory becoming obsolete or expiring, as well as inventory write-downs or write-offs, which could have a material adverse effect on our business, financial condition and results of operations. Conversely, if we underestimate customer demand for our products or our own requirements for components, subassemblies and materials, our third-party manufacturers and suppliers may not be able to deliver</w:t>
      </w:r>
    </w:p>
    <w:p>
      <w:pPr>
        <w:spacing w:after="0" w:line="3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93" w:name="page94"/>
    <w:bookmarkEnd w:id="93"/>
    <w:p>
      <w:pPr>
        <w:ind w:left="1140" w:right="1219"/>
        <w:spacing w:after="0" w:line="262" w:lineRule="auto"/>
        <w:rPr>
          <w:sz w:val="20"/>
          <w:szCs w:val="20"/>
          <w:color w:val="auto"/>
        </w:rPr>
      </w:pPr>
      <w:r>
        <w:rPr>
          <w:rFonts w:ascii="Times New Roman" w:cs="Times New Roman" w:eastAsia="Times New Roman" w:hAnsi="Times New Roman"/>
          <w:sz w:val="14"/>
          <w:szCs w:val="14"/>
          <w:color w:val="auto"/>
        </w:rPr>
        <w:t>components, sub-assemblies and materials to meet our requirements, which could result in inadequate inventory levels or interruptions, delays or cancellations of deliveries to our customers, any of which would damage our reputation, customer relationships and business. In addition, several components, sub-assemblies and materials incorporated into our products require lengthy order lead times, and additional supplies or materials may not be available when required on terms that are acceptable to us, or at all, and our third-party manufacturers and suppliers may not be able to allocate sufficient capacity in order to meet our increased requirements, any of which could have an adverse effect on our ability to meet customer demand for our products and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1" w:lineRule="exact"/>
        <w:rPr>
          <w:sz w:val="20"/>
          <w:szCs w:val="20"/>
          <w:color w:val="auto"/>
        </w:rPr>
      </w:pPr>
    </w:p>
    <w:p>
      <w:pPr>
        <w:ind w:left="1400" w:right="5339" w:hanging="253"/>
        <w:spacing w:after="0" w:line="427" w:lineRule="auto"/>
        <w:tabs>
          <w:tab w:leader="none" w:pos="1345" w:val="left"/>
        </w:tabs>
        <w:numPr>
          <w:ilvl w:val="0"/>
          <w:numId w:val="4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Recent Sales of Unregistered Securities </w:t>
      </w:r>
      <w:r>
        <w:rPr>
          <w:rFonts w:ascii="Times New Roman" w:cs="Times New Roman" w:eastAsia="Times New Roman" w:hAnsi="Times New Roman"/>
          <w:sz w:val="14"/>
          <w:szCs w:val="14"/>
          <w:color w:val="auto"/>
        </w:rPr>
        <w:t>None</w:t>
      </w:r>
    </w:p>
    <w:p>
      <w:pPr>
        <w:spacing w:after="0" w:line="29" w:lineRule="exact"/>
        <w:rPr>
          <w:rFonts w:ascii="Times New Roman" w:cs="Times New Roman" w:eastAsia="Times New Roman" w:hAnsi="Times New Roman"/>
          <w:sz w:val="14"/>
          <w:szCs w:val="14"/>
          <w:b w:val="1"/>
          <w:bCs w:val="1"/>
          <w:i w:val="1"/>
          <w:iCs w:val="1"/>
          <w:color w:val="auto"/>
        </w:rPr>
      </w:pPr>
    </w:p>
    <w:p>
      <w:pPr>
        <w:ind w:left="1400" w:right="5119" w:hanging="253"/>
        <w:spacing w:after="0" w:line="427" w:lineRule="auto"/>
        <w:tabs>
          <w:tab w:leader="none" w:pos="1345" w:val="left"/>
        </w:tabs>
        <w:numPr>
          <w:ilvl w:val="0"/>
          <w:numId w:val="4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Use of Proceeds from Registered Securities </w:t>
      </w:r>
      <w:r>
        <w:rPr>
          <w:rFonts w:ascii="Times New Roman" w:cs="Times New Roman" w:eastAsia="Times New Roman" w:hAnsi="Times New Roman"/>
          <w:sz w:val="14"/>
          <w:szCs w:val="14"/>
          <w:color w:val="auto"/>
        </w:rPr>
        <w:t>None</w:t>
      </w:r>
    </w:p>
    <w:p>
      <w:pPr>
        <w:spacing w:after="0" w:line="115" w:lineRule="exact"/>
        <w:rPr>
          <w:rFonts w:ascii="Times New Roman" w:cs="Times New Roman" w:eastAsia="Times New Roman" w:hAnsi="Times New Roman"/>
          <w:sz w:val="14"/>
          <w:szCs w:val="14"/>
          <w:b w:val="1"/>
          <w:bCs w:val="1"/>
          <w:i w:val="1"/>
          <w:iCs w:val="1"/>
          <w:color w:val="auto"/>
        </w:rPr>
      </w:pPr>
    </w:p>
    <w:p>
      <w:pPr>
        <w:ind w:left="1400" w:right="5459" w:hanging="253"/>
        <w:spacing w:after="0" w:line="402" w:lineRule="auto"/>
        <w:tabs>
          <w:tab w:leader="none" w:pos="1337" w:val="left"/>
        </w:tabs>
        <w:numPr>
          <w:ilvl w:val="0"/>
          <w:numId w:val="4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Issuer Purchases of Equity Securities </w:t>
      </w:r>
      <w:r>
        <w:rPr>
          <w:rFonts w:ascii="Times New Roman" w:cs="Times New Roman" w:eastAsia="Times New Roman" w:hAnsi="Times New Roman"/>
          <w:sz w:val="14"/>
          <w:szCs w:val="14"/>
          <w:color w:val="auto"/>
        </w:rPr>
        <w:t>None</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None.</w:t>
      </w:r>
    </w:p>
    <w:p>
      <w:pPr>
        <w:spacing w:after="0" w:line="1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color w:val="auto"/>
        </w:rPr>
        <w:t>None.</w:t>
      </w:r>
    </w:p>
    <w:p>
      <w:pPr>
        <w:spacing w:after="0" w:line="30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44" w:right="1440" w:bottom="1440" w:gutter="0" w:footer="0" w:header="0"/>
        </w:sectPr>
      </w:pPr>
    </w:p>
    <w:bookmarkStart w:id="94" w:name="page95"/>
    <w:bookmarkEnd w:id="94"/>
    <w:p>
      <w:pPr>
        <w:ind w:left="11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i w:val="1"/>
          <w:iCs w:val="1"/>
          <w:color w:val="auto"/>
        </w:rPr>
        <w:t>Rule 10b5-1 Trading Arrangements</w:t>
      </w:r>
    </w:p>
    <w:p>
      <w:pPr>
        <w:spacing w:after="0" w:line="99" w:lineRule="exact"/>
        <w:rPr>
          <w:sz w:val="20"/>
          <w:szCs w:val="20"/>
          <w:color w:val="auto"/>
        </w:rPr>
      </w:pPr>
    </w:p>
    <w:p>
      <w:pPr>
        <w:ind w:left="1140" w:right="1179" w:firstLine="258"/>
        <w:spacing w:after="0" w:line="265" w:lineRule="auto"/>
        <w:rPr>
          <w:sz w:val="20"/>
          <w:szCs w:val="20"/>
          <w:color w:val="auto"/>
        </w:rPr>
      </w:pPr>
      <w:r>
        <w:rPr>
          <w:rFonts w:ascii="Times New Roman" w:cs="Times New Roman" w:eastAsia="Times New Roman" w:hAnsi="Times New Roman"/>
          <w:sz w:val="14"/>
          <w:szCs w:val="14"/>
          <w:color w:val="auto"/>
        </w:rPr>
        <w:t>On May 15, 2024, J. Andy Corley, a member of our Board of Directors, entered into a Rule 10b5-1 trading arrangement that is intended to satisfy the affirmative defense conditions of Exchange Act Rule 10b5-1(c) (a “Rule 10b5-1 Trading Plan”) for the sale of securities of our common stock. Mr. Corley’s Rule 10b5-1 Trading Plan, which has a term from August 19, 2024 to May 20, 2025, provides for the sale of up to 40,000 shares of common stock at a pre-determined limit price.</w:t>
      </w:r>
    </w:p>
    <w:p>
      <w:pPr>
        <w:spacing w:after="0" w:line="80" w:lineRule="exact"/>
        <w:rPr>
          <w:sz w:val="20"/>
          <w:szCs w:val="20"/>
          <w:color w:val="auto"/>
        </w:rPr>
      </w:pPr>
    </w:p>
    <w:p>
      <w:pPr>
        <w:ind w:left="1140" w:right="1279" w:firstLine="258"/>
        <w:spacing w:after="0" w:line="268" w:lineRule="auto"/>
        <w:rPr>
          <w:sz w:val="20"/>
          <w:szCs w:val="20"/>
          <w:color w:val="auto"/>
        </w:rPr>
      </w:pPr>
      <w:r>
        <w:rPr>
          <w:rFonts w:ascii="Times New Roman" w:cs="Times New Roman" w:eastAsia="Times New Roman" w:hAnsi="Times New Roman"/>
          <w:sz w:val="14"/>
          <w:szCs w:val="14"/>
          <w:color w:val="auto"/>
        </w:rPr>
        <w:t>On May 21, 2024, Ron Kurtz M.D., Chief Executive Officer and President and a member of our Board of Directors, entered into a Rule 10b5-1 Trading Plan for the sale of securities of our common stock. Dr. Kurtz’s Rule 10b5-1 Trading Plan, which has a term from August 20, 2024 to August 15, 2025, provides for the sale of up to 180,000 shares of common stock pursuant to a series of market orders at pre-determined limit prices.</w:t>
      </w:r>
    </w:p>
    <w:p>
      <w:pPr>
        <w:spacing w:after="0" w:line="88" w:lineRule="exact"/>
        <w:rPr>
          <w:sz w:val="20"/>
          <w:szCs w:val="20"/>
          <w:color w:val="auto"/>
        </w:rPr>
      </w:pPr>
    </w:p>
    <w:p>
      <w:pPr>
        <w:ind w:left="1140" w:right="1179" w:firstLine="258"/>
        <w:spacing w:after="0" w:line="268" w:lineRule="auto"/>
        <w:rPr>
          <w:sz w:val="20"/>
          <w:szCs w:val="20"/>
          <w:color w:val="auto"/>
        </w:rPr>
      </w:pPr>
      <w:r>
        <w:rPr>
          <w:rFonts w:ascii="Times New Roman" w:cs="Times New Roman" w:eastAsia="Times New Roman" w:hAnsi="Times New Roman"/>
          <w:sz w:val="14"/>
          <w:szCs w:val="14"/>
          <w:color w:val="auto"/>
        </w:rPr>
        <w:t>On June 3, 2024, Ilya Goldshleger, Ph.D., Co-President and Chief Operating Officer, entered into a Rule 10b5-1 Trading Plan for the sale of securities of our common stock. Dr. Goldshleger’s Rule 10b5-1 Trading Plan, which has a term from September 16, 2024 to September 15, 2025, provides for the exercise and sale of options for up to 295,529 shares of common stock pursuant to a series of market orders at pre-determined limit prices.</w:t>
      </w:r>
    </w:p>
    <w:p>
      <w:pPr>
        <w:spacing w:after="0" w:line="88" w:lineRule="exact"/>
        <w:rPr>
          <w:sz w:val="20"/>
          <w:szCs w:val="20"/>
          <w:color w:val="auto"/>
        </w:rPr>
      </w:pPr>
    </w:p>
    <w:p>
      <w:pPr>
        <w:ind w:left="1140" w:right="1239" w:firstLine="258"/>
        <w:spacing w:after="0" w:line="268" w:lineRule="auto"/>
        <w:rPr>
          <w:sz w:val="20"/>
          <w:szCs w:val="20"/>
          <w:color w:val="auto"/>
        </w:rPr>
      </w:pPr>
      <w:r>
        <w:rPr>
          <w:rFonts w:ascii="Times New Roman" w:cs="Times New Roman" w:eastAsia="Times New Roman" w:hAnsi="Times New Roman"/>
          <w:sz w:val="14"/>
          <w:szCs w:val="14"/>
          <w:color w:val="auto"/>
        </w:rPr>
        <w:t>On June 7, 2024, Eric Weinberg., Co-President and Chief Commercial Officer, entered into a Rule 10b5-1 Trading Plan for the sale of securities of our common stock. Mr. Weinberg’s Rule 10b5-1 Trading Plan, which has a term from September 9, 2024 to September 9, 2025, provides for the sale of up to 100,000 shares of common stock pursuant to a series of market orders at pre-determined limit prices.</w:t>
      </w:r>
    </w:p>
    <w:p>
      <w:pPr>
        <w:spacing w:after="0" w:line="77" w:lineRule="exact"/>
        <w:rPr>
          <w:sz w:val="20"/>
          <w:szCs w:val="20"/>
          <w:color w:val="auto"/>
        </w:rPr>
      </w:pPr>
    </w:p>
    <w:p>
      <w:pPr>
        <w:ind w:left="1140" w:right="1179" w:firstLine="258"/>
        <w:spacing w:after="0" w:line="268" w:lineRule="auto"/>
        <w:rPr>
          <w:sz w:val="20"/>
          <w:szCs w:val="20"/>
          <w:color w:val="auto"/>
        </w:rPr>
      </w:pPr>
      <w:r>
        <w:rPr>
          <w:rFonts w:ascii="Times New Roman" w:cs="Times New Roman" w:eastAsia="Times New Roman" w:hAnsi="Times New Roman"/>
          <w:sz w:val="14"/>
          <w:szCs w:val="14"/>
          <w:color w:val="auto"/>
        </w:rPr>
        <w:t>On March 12, 2024, Julie Andrews, a member of our Board of Directors, entered into a Rule 10b5-1 Trading Plan for the sale of securities of our common stock. Ms. Andrews’ Rule 10b5-1 Trading Plan, which has a term from June 14, 2024 to March 20, 2025, provides for the sale of up to 15,625 shares of common stock at a pre-determined limit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420370</wp:posOffset>
            </wp:positionV>
            <wp:extent cx="4288790"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288790" cy="3937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29845</wp:posOffset>
            </wp:positionV>
            <wp:extent cx="4263390" cy="139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263390" cy="13970"/>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95" w:name="page96"/>
    <w:bookmarkEnd w:id="95"/>
    <w:p>
      <w:pPr>
        <w:spacing w:after="0" w:line="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9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following exhibits are filed as part of, or incorporated by reference into, this report unless otherwise stated.</w:t>
      </w:r>
    </w:p>
    <w:p>
      <w:pPr>
        <w:spacing w:after="0" w:line="95" w:lineRule="exact"/>
        <w:rPr>
          <w:sz w:val="20"/>
          <w:szCs w:val="20"/>
          <w:color w:val="auto"/>
        </w:rPr>
      </w:pPr>
    </w:p>
    <w:tbl>
      <w:tblPr>
        <w:tblLayout w:type="fixed"/>
        <w:tblInd w:w="118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7"/>
        </w:trPr>
        <w:tc>
          <w:tcPr>
            <w:tcW w:w="4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8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5"/>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0" w:type="dxa"/>
            <w:vAlign w:val="bottom"/>
            <w:gridSpan w:val="2"/>
          </w:tcPr>
          <w:p>
            <w:pPr>
              <w:ind w:left="110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1160" w:type="dxa"/>
            <w:vAlign w:val="bottom"/>
          </w:tcPr>
          <w:p>
            <w:pPr>
              <w:spacing w:after="0"/>
              <w:rPr>
                <w:sz w:val="16"/>
                <w:szCs w:val="16"/>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r>
      <w:tr>
        <w:trPr>
          <w:trHeight w:val="20"/>
        </w:trPr>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tcBorders>
              <w:lef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bl>
    <w:p>
      <w:pPr>
        <w:spacing w:after="0" w:line="233"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4"/>
          <w:szCs w:val="14"/>
          <w:color w:val="auto"/>
        </w:rPr>
        <w:t>10.1*</w:t>
      </w:r>
      <w:r>
        <w:rPr>
          <w:sz w:val="20"/>
          <w:szCs w:val="20"/>
          <w:color w:val="auto"/>
        </w:rPr>
        <w:tab/>
      </w:r>
      <w:r>
        <w:rPr>
          <w:rFonts w:ascii="Times New Roman" w:cs="Times New Roman" w:eastAsia="Times New Roman" w:hAnsi="Times New Roman"/>
          <w:sz w:val="14"/>
          <w:szCs w:val="14"/>
          <w:u w:val="single" w:color="auto"/>
          <w:color w:val="0000FF"/>
        </w:rPr>
        <w:t>Lease, dated as of April 18, 2024, by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152209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522095" cy="698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0000FF"/>
        </w:rPr>
        <w:t>between BML Management, LLC,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57289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572895"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Registrant, for premises located at 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42875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2875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Columbia, Aliso Viejo, California 92656.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50939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09395" cy="6985"/>
                    </a:xfrm>
                    <a:prstGeom prst="rect">
                      <a:avLst/>
                    </a:prstGeom>
                    <a:noFill/>
                  </pic:spPr>
                </pic:pic>
              </a:graphicData>
            </a:graphic>
          </wp:anchor>
        </w:drawing>
      </w:r>
    </w:p>
    <w:p>
      <w:pPr>
        <w:spacing w:after="0" w:line="107"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4"/>
          <w:szCs w:val="14"/>
          <w:color w:val="auto"/>
        </w:rPr>
        <w:t>10.2*</w:t>
      </w:r>
      <w:r>
        <w:rPr>
          <w:sz w:val="20"/>
          <w:szCs w:val="20"/>
          <w:color w:val="auto"/>
        </w:rPr>
        <w:tab/>
      </w:r>
      <w:r>
        <w:rPr>
          <w:rFonts w:ascii="Times New Roman" w:cs="Times New Roman" w:eastAsia="Times New Roman" w:hAnsi="Times New Roman"/>
          <w:sz w:val="14"/>
          <w:szCs w:val="14"/>
          <w:u w:val="single" w:color="auto"/>
          <w:color w:val="0000FF"/>
        </w:rPr>
        <w:t>Lease Amendment #2, dated as of April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161353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613535" cy="698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0000FF"/>
        </w:rPr>
        <w:t>2024, by and between the Registrant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50685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506855"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Clifford D. Downs for premises located at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62433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62433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Columbia, Aliso Viejo, California 92656.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50939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509395" cy="6985"/>
                    </a:xfrm>
                    <a:prstGeom prst="rect">
                      <a:avLst/>
                    </a:prstGeom>
                    <a:noFill/>
                  </pic:spPr>
                </pic:pic>
              </a:graphicData>
            </a:graphic>
          </wp:anchor>
        </w:drawing>
      </w:r>
    </w:p>
    <w:p>
      <w:pPr>
        <w:spacing w:after="0" w:line="107"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4"/>
          <w:szCs w:val="14"/>
          <w:color w:val="auto"/>
        </w:rPr>
        <w:t>10.3*</w:t>
      </w:r>
      <w:r>
        <w:rPr>
          <w:sz w:val="20"/>
          <w:szCs w:val="20"/>
          <w:color w:val="auto"/>
        </w:rPr>
        <w:tab/>
      </w:r>
      <w:r>
        <w:rPr>
          <w:rFonts w:ascii="Times New Roman" w:cs="Times New Roman" w:eastAsia="Times New Roman" w:hAnsi="Times New Roman"/>
          <w:sz w:val="14"/>
          <w:szCs w:val="14"/>
          <w:u w:val="single" w:color="auto"/>
          <w:color w:val="0000FF"/>
        </w:rPr>
        <w:t>Lease Amendment #3, dated as of June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1542415"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542415" cy="698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0000FF"/>
        </w:rPr>
        <w:t>2024, by and between the Registrant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50685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506855"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Clifford D. Downs for premises located at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624330"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62433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Columbia, Aliso Viejo, California 92656.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50939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509395" cy="6985"/>
                    </a:xfrm>
                    <a:prstGeom prst="rect">
                      <a:avLst/>
                    </a:prstGeom>
                    <a:noFill/>
                  </pic:spPr>
                </pic:pic>
              </a:graphicData>
            </a:graphic>
          </wp:anchor>
        </w:drawing>
      </w:r>
    </w:p>
    <w:p>
      <w:pPr>
        <w:spacing w:after="0" w:line="107"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u w:val="single" w:color="auto"/>
          <w:color w:val="0000FF"/>
        </w:rPr>
        <w:t>Fifth Amendment (extension to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156019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560195" cy="698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0000FF"/>
        </w:rPr>
        <w:t>dated as of April 18, 2024, by and between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724660"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72466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Registrant and Accuride International Inc.,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709420" cy="698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70942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premises located at 100-200 Columbia, Suites,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71958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71958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Aliso Viejo, California 92656.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10490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104900" cy="6985"/>
                    </a:xfrm>
                    <a:prstGeom prst="rect">
                      <a:avLst/>
                    </a:prstGeom>
                    <a:noFill/>
                  </pic:spPr>
                </pic:pic>
              </a:graphicData>
            </a:graphic>
          </wp:anchor>
        </w:drawing>
      </w:r>
    </w:p>
    <w:p>
      <w:pPr>
        <w:spacing w:after="0" w:line="107"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4"/>
          <w:szCs w:val="14"/>
          <w:color w:val="auto"/>
        </w:rPr>
        <w:t>10.5*</w:t>
      </w:r>
      <w:r>
        <w:rPr>
          <w:sz w:val="20"/>
          <w:szCs w:val="20"/>
          <w:color w:val="auto"/>
        </w:rPr>
        <w:tab/>
      </w:r>
      <w:r>
        <w:rPr>
          <w:rFonts w:ascii="Times New Roman" w:cs="Times New Roman" w:eastAsia="Times New Roman" w:hAnsi="Times New Roman"/>
          <w:sz w:val="14"/>
          <w:szCs w:val="14"/>
          <w:u w:val="single" w:color="auto"/>
          <w:color w:val="0000FF"/>
        </w:rPr>
        <w:t>Sixth Amendment (extension to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1575435"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575435" cy="698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0000FF"/>
        </w:rPr>
        <w:t>dated as of June 3, 2024, by and between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65354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65354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Registrant and Accuride International Inc.,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70942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70942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premises located at 100-200 Columbia, Suites,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71958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71958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Aliso Viejo, California 92656.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10490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104900" cy="6985"/>
                    </a:xfrm>
                    <a:prstGeom prst="rect">
                      <a:avLst/>
                    </a:prstGeom>
                    <a:noFill/>
                  </pic:spPr>
                </pic:pic>
              </a:graphicData>
            </a:graphic>
          </wp:anchor>
        </w:drawing>
      </w:r>
    </w:p>
    <w:p>
      <w:pPr>
        <w:spacing w:after="0" w:line="107"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4"/>
          <w:szCs w:val="14"/>
          <w:color w:val="auto"/>
        </w:rPr>
        <w:t>10.6*</w:t>
      </w:r>
      <w:r>
        <w:rPr>
          <w:sz w:val="20"/>
          <w:szCs w:val="20"/>
          <w:color w:val="auto"/>
        </w:rPr>
        <w:tab/>
      </w:r>
      <w:r>
        <w:rPr>
          <w:rFonts w:ascii="Times New Roman" w:cs="Times New Roman" w:eastAsia="Times New Roman" w:hAnsi="Times New Roman"/>
          <w:sz w:val="14"/>
          <w:szCs w:val="14"/>
          <w:u w:val="single" w:color="auto"/>
          <w:color w:val="0000FF"/>
        </w:rPr>
        <w:t>Amendment #3 to Sublease, dated as of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1735455"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35455" cy="698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0000FF"/>
        </w:rPr>
        <w:t>1, 2024, by and between the Registrant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598295"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598295"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Compass Bible Church for premises located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71704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71704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5 Columbia, Aliso Viejo, California 92656.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577975"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577975" cy="6985"/>
                    </a:xfrm>
                    <a:prstGeom prst="rect">
                      <a:avLst/>
                    </a:prstGeom>
                    <a:noFill/>
                  </pic:spPr>
                </pic:pic>
              </a:graphicData>
            </a:graphic>
          </wp:anchor>
        </w:drawing>
      </w:r>
    </w:p>
    <w:p>
      <w:pPr>
        <w:spacing w:after="0" w:line="107"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4"/>
          <w:szCs w:val="14"/>
          <w:color w:val="auto"/>
        </w:rPr>
        <w:t>31.1*</w:t>
      </w:r>
      <w:r>
        <w:rPr>
          <w:sz w:val="20"/>
          <w:szCs w:val="20"/>
          <w:color w:val="auto"/>
        </w:rPr>
        <w:tab/>
      </w:r>
      <w:r>
        <w:rPr>
          <w:rFonts w:ascii="Times New Roman" w:cs="Times New Roman" w:eastAsia="Times New Roman" w:hAnsi="Times New Roman"/>
          <w:sz w:val="14"/>
          <w:szCs w:val="14"/>
          <w:u w:val="single" w:color="auto"/>
          <w:color w:val="0000FF"/>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160401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604010" cy="698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0000FF"/>
        </w:rPr>
        <w:t>Pursuant to Rules 13a-14(a) and 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57797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577975"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under the Securities Exchange Act of 1934,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706880"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70688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302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459230"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45923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084580"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084580" cy="6985"/>
                    </a:xfrm>
                    <a:prstGeom prst="rect">
                      <a:avLst/>
                    </a:prstGeom>
                    <a:noFill/>
                  </pic:spPr>
                </pic:pic>
              </a:graphicData>
            </a:graphic>
          </wp:anchor>
        </w:drawing>
      </w:r>
    </w:p>
    <w:p>
      <w:pPr>
        <w:spacing w:after="0" w:line="107"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4"/>
          <w:szCs w:val="14"/>
          <w:color w:val="auto"/>
        </w:rPr>
        <w:t>31.2*</w:t>
      </w:r>
      <w:r>
        <w:rPr>
          <w:sz w:val="20"/>
          <w:szCs w:val="20"/>
          <w:color w:val="auto"/>
        </w:rPr>
        <w:tab/>
      </w:r>
      <w:r>
        <w:rPr>
          <w:rFonts w:ascii="Times New Roman" w:cs="Times New Roman" w:eastAsia="Times New Roman" w:hAnsi="Times New Roman"/>
          <w:sz w:val="14"/>
          <w:szCs w:val="14"/>
          <w:u w:val="single" w:color="auto"/>
          <w:color w:val="0000FF"/>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1578610"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578610" cy="698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0000FF"/>
        </w:rPr>
        <w:t>Pursuant to Rules 13a-14(a) and 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577975"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577975"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under the Securities Exchange Act of 1934,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70688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0688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302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45923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5923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08458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084580" cy="6985"/>
                    </a:xfrm>
                    <a:prstGeom prst="rect">
                      <a:avLst/>
                    </a:prstGeom>
                    <a:noFill/>
                  </pic:spPr>
                </pic:pic>
              </a:graphicData>
            </a:graphic>
          </wp:anchor>
        </w:drawing>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461645</wp:posOffset>
            </wp:positionV>
            <wp:extent cx="4288790" cy="393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6" w:name="page97"/>
    <w:bookmarkEnd w:id="96"/>
    <w:p>
      <w:pPr>
        <w:ind w:left="1160"/>
        <w:spacing w:after="0"/>
        <w:tabs>
          <w:tab w:leader="none" w:pos="1720" w:val="left"/>
        </w:tabs>
        <w:rPr>
          <w:sz w:val="20"/>
          <w:szCs w:val="20"/>
          <w:color w:val="auto"/>
        </w:rPr>
      </w:pPr>
      <w:r>
        <w:rPr>
          <w:rFonts w:ascii="Times New Roman" w:cs="Times New Roman" w:eastAsia="Times New Roman" w:hAnsi="Times New Roman"/>
          <w:sz w:val="14"/>
          <w:szCs w:val="14"/>
          <w:color w:val="auto"/>
        </w:rPr>
        <w:t>32.1†</w:t>
      </w:r>
      <w:r>
        <w:rPr>
          <w:sz w:val="20"/>
          <w:szCs w:val="20"/>
          <w:color w:val="auto"/>
        </w:rPr>
        <w:tab/>
      </w:r>
      <w:r>
        <w:rPr>
          <w:rFonts w:ascii="Times New Roman" w:cs="Times New Roman" w:eastAsia="Times New Roman" w:hAnsi="Times New Roman"/>
          <w:sz w:val="14"/>
          <w:szCs w:val="14"/>
          <w:u w:val="single" w:color="auto"/>
          <w:color w:val="0000FF"/>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160401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604010" cy="698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0000FF"/>
        </w:rPr>
        <w:t>Pursuant to 18 U.S.C. Section 1350,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43891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43891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906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45923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5923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06235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62355" cy="6985"/>
                    </a:xfrm>
                    <a:prstGeom prst="rect">
                      <a:avLst/>
                    </a:prstGeom>
                    <a:noFill/>
                  </pic:spPr>
                </pic:pic>
              </a:graphicData>
            </a:graphic>
          </wp:anchor>
        </w:drawing>
      </w:r>
    </w:p>
    <w:p>
      <w:pPr>
        <w:spacing w:after="0" w:line="107" w:lineRule="exact"/>
        <w:rPr>
          <w:sz w:val="20"/>
          <w:szCs w:val="20"/>
          <w:color w:val="auto"/>
        </w:rPr>
      </w:pPr>
    </w:p>
    <w:p>
      <w:pPr>
        <w:ind w:left="1160"/>
        <w:spacing w:after="0"/>
        <w:tabs>
          <w:tab w:leader="none" w:pos="1720" w:val="left"/>
        </w:tabs>
        <w:rPr>
          <w:sz w:val="20"/>
          <w:szCs w:val="20"/>
          <w:color w:val="auto"/>
        </w:rPr>
      </w:pPr>
      <w:r>
        <w:rPr>
          <w:rFonts w:ascii="Times New Roman" w:cs="Times New Roman" w:eastAsia="Times New Roman" w:hAnsi="Times New Roman"/>
          <w:sz w:val="14"/>
          <w:szCs w:val="14"/>
          <w:color w:val="auto"/>
        </w:rPr>
        <w:t>32.2†</w:t>
      </w:r>
      <w:r>
        <w:rPr>
          <w:sz w:val="20"/>
          <w:szCs w:val="20"/>
          <w:color w:val="auto"/>
        </w:rPr>
        <w:tab/>
      </w:r>
      <w:r>
        <w:rPr>
          <w:rFonts w:ascii="Times New Roman" w:cs="Times New Roman" w:eastAsia="Times New Roman" w:hAnsi="Times New Roman"/>
          <w:sz w:val="14"/>
          <w:szCs w:val="14"/>
          <w:u w:val="single" w:color="auto"/>
          <w:color w:val="0000FF"/>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-3175</wp:posOffset>
            </wp:positionV>
            <wp:extent cx="157861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78610" cy="6985"/>
                    </a:xfrm>
                    <a:prstGeom prst="rect">
                      <a:avLst/>
                    </a:prstGeom>
                    <a:noFill/>
                  </pic:spPr>
                </pic:pic>
              </a:graphicData>
            </a:graphic>
          </wp:anchor>
        </w:drawing>
      </w:r>
    </w:p>
    <w:p>
      <w:pPr>
        <w:spacing w:after="0" w:line="5"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4"/>
          <w:szCs w:val="14"/>
          <w:u w:val="single" w:color="auto"/>
          <w:color w:val="0000FF"/>
        </w:rPr>
        <w:t>Pursuant to 18 U.S.C. Section 1350,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43891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43891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Adopted Pursuant to Section 906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45923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459230" cy="6985"/>
                    </a:xfrm>
                    <a:prstGeom prst="rect">
                      <a:avLst/>
                    </a:prstGeom>
                    <a:noFill/>
                  </pic:spPr>
                </pic:pic>
              </a:graphicData>
            </a:graphic>
          </wp:anchor>
        </w:drawing>
      </w:r>
    </w:p>
    <w:p>
      <w:pPr>
        <w:ind w:left="1740"/>
        <w:spacing w:after="0"/>
        <w:rPr>
          <w:sz w:val="20"/>
          <w:szCs w:val="20"/>
          <w:color w:val="auto"/>
        </w:rPr>
      </w:pPr>
      <w:r>
        <w:rPr>
          <w:rFonts w:ascii="Times New Roman" w:cs="Times New Roman" w:eastAsia="Times New Roman" w:hAnsi="Times New Roman"/>
          <w:sz w:val="14"/>
          <w:szCs w:val="14"/>
          <w:u w:val="single" w:color="auto"/>
          <w:color w:val="0000FF"/>
        </w:rPr>
        <w:t>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-12065</wp:posOffset>
            </wp:positionV>
            <wp:extent cx="106235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062355" cy="69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w:t>
            </w:r>
          </w:p>
        </w:tc>
      </w:tr>
      <w:tr>
        <w:trPr>
          <w:trHeight w:val="186"/>
        </w:trPr>
        <w:tc>
          <w:tcPr>
            <w:tcW w:w="760" w:type="dxa"/>
            <w:vAlign w:val="bottom"/>
          </w:tcPr>
          <w:p>
            <w:pPr>
              <w:spacing w:after="0"/>
              <w:rPr>
                <w:sz w:val="16"/>
                <w:szCs w:val="16"/>
                <w:color w:val="auto"/>
              </w:rPr>
            </w:pPr>
          </w:p>
        </w:tc>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File because XBRL tags are embedded within the Inline XBRL document.</w:t>
            </w:r>
          </w:p>
        </w:tc>
      </w:tr>
      <w:tr>
        <w:trPr>
          <w:trHeight w:val="215"/>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5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 documents.</w:t>
            </w:r>
          </w:p>
        </w:tc>
      </w:tr>
    </w:tbl>
    <w:p>
      <w:pPr>
        <w:spacing w:after="0" w:line="137" w:lineRule="exact"/>
        <w:rPr>
          <w:sz w:val="20"/>
          <w:szCs w:val="20"/>
          <w:color w:val="auto"/>
        </w:rPr>
      </w:pPr>
    </w:p>
    <w:p>
      <w:pPr>
        <w:ind w:left="2140" w:hanging="982"/>
        <w:spacing w:after="0"/>
        <w:tabs>
          <w:tab w:leader="none" w:pos="214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 the Inline XBRL document).</w:t>
      </w:r>
    </w:p>
    <w:p>
      <w:pPr>
        <w:spacing w:after="0" w:line="200" w:lineRule="exact"/>
        <w:rPr>
          <w:rFonts w:ascii="Times New Roman" w:cs="Times New Roman" w:eastAsia="Times New Roman" w:hAnsi="Times New Roman"/>
          <w:sz w:val="14"/>
          <w:szCs w:val="14"/>
          <w:color w:val="auto"/>
        </w:rPr>
      </w:pPr>
    </w:p>
    <w:p>
      <w:pPr>
        <w:spacing w:after="0" w:line="338" w:lineRule="exact"/>
        <w:rPr>
          <w:rFonts w:ascii="Times New Roman" w:cs="Times New Roman" w:eastAsia="Times New Roman" w:hAnsi="Times New Roman"/>
          <w:sz w:val="14"/>
          <w:szCs w:val="14"/>
          <w:color w:val="auto"/>
        </w:rPr>
      </w:pPr>
    </w:p>
    <w:p>
      <w:pPr>
        <w:ind w:left="1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-99060</wp:posOffset>
            </wp:positionV>
            <wp:extent cx="65595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55955" cy="6985"/>
                    </a:xfrm>
                    <a:prstGeom prst="rect">
                      <a:avLst/>
                    </a:prstGeom>
                    <a:noFill/>
                  </pic:spPr>
                </pic:pic>
              </a:graphicData>
            </a:graphic>
          </wp:anchor>
        </w:drawing>
      </w:r>
    </w:p>
    <w:p>
      <w:pPr>
        <w:spacing w:after="0" w:line="163" w:lineRule="exact"/>
        <w:rPr>
          <w:sz w:val="20"/>
          <w:szCs w:val="20"/>
          <w:color w:val="auto"/>
        </w:rPr>
      </w:pPr>
    </w:p>
    <w:p>
      <w:pPr>
        <w:jc w:val="both"/>
        <w:ind w:left="1140" w:right="1199" w:firstLine="7"/>
        <w:spacing w:after="0" w:line="267" w:lineRule="auto"/>
        <w:tabs>
          <w:tab w:leader="none" w:pos="124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32.2 that accompany this report are deemed furnished and not filed with the Securities and Exchange Commission and are not to be incorporated by reference into any filing of RxSight Inc. under the Securities Act of 1933, as amended, or the Securities Exchange Act of 1934, as amended, whether made before or after the date of this report, irrespective of any general incorporation language contained in such filing.</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461645</wp:posOffset>
            </wp:positionV>
            <wp:extent cx="4288790"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76" w:right="1440"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1140" w:right="1199" w:firstLine="351"/>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48" w:lineRule="exact"/>
        <w:rPr>
          <w:sz w:val="20"/>
          <w:szCs w:val="20"/>
          <w:color w:val="auto"/>
        </w:rPr>
      </w:pPr>
    </w:p>
    <w:tbl>
      <w:tblPr>
        <w:tblLayout w:type="fixed"/>
        <w:tblInd w:w="1200" w:type="dxa"/>
        <w:tblCellMar>
          <w:top w:w="0" w:type="dxa"/>
          <w:left w:w="0" w:type="dxa"/>
          <w:bottom w:w="0" w:type="dxa"/>
          <w:right w:w="0" w:type="dxa"/>
        </w:tblCellMar>
      </w:tblPr>
      <w:tr>
        <w:trPr>
          <w:trHeight w:val="186"/>
        </w:trPr>
        <w:tc>
          <w:tcPr>
            <w:tcW w:w="2260" w:type="dxa"/>
            <w:vAlign w:val="bottom"/>
          </w:tcPr>
          <w:p>
            <w:pPr>
              <w:spacing w:after="0"/>
              <w:rPr>
                <w:sz w:val="16"/>
                <w:szCs w:val="16"/>
                <w:color w:val="auto"/>
              </w:rPr>
            </w:pPr>
          </w:p>
        </w:tc>
        <w:tc>
          <w:tcPr>
            <w:tcW w:w="18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RxSight, Inc.</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7"/>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Date: August 5, 2024</w:t>
            </w:r>
          </w:p>
        </w:tc>
        <w:tc>
          <w:tcPr>
            <w:tcW w:w="18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By:</w:t>
            </w:r>
          </w:p>
        </w:tc>
        <w:tc>
          <w:tcPr>
            <w:tcW w:w="25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/s/ Ron Kurtz, M.D.</w:t>
            </w:r>
          </w:p>
        </w:tc>
        <w:tc>
          <w:tcPr>
            <w:tcW w:w="0" w:type="dxa"/>
            <w:vAlign w:val="bottom"/>
          </w:tcPr>
          <w:p>
            <w:pPr>
              <w:spacing w:after="0"/>
              <w:rPr>
                <w:sz w:val="1"/>
                <w:szCs w:val="1"/>
                <w:color w:val="auto"/>
              </w:rPr>
            </w:pPr>
          </w:p>
        </w:tc>
      </w:tr>
      <w:tr>
        <w:trPr>
          <w:trHeight w:val="160"/>
        </w:trPr>
        <w:tc>
          <w:tcPr>
            <w:tcW w:w="22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520" w:type="dxa"/>
            <w:vAlign w:val="bottom"/>
            <w:tcBorders>
              <w:top w:val="single" w:sz="8" w:color="auto"/>
            </w:tcBorders>
          </w:tcPr>
          <w:p>
            <w:pPr>
              <w:jc w:val="center"/>
              <w:ind w:right="248"/>
              <w:spacing w:after="0" w:line="159" w:lineRule="exact"/>
              <w:rPr>
                <w:sz w:val="20"/>
                <w:szCs w:val="20"/>
                <w:color w:val="auto"/>
              </w:rPr>
            </w:pPr>
            <w:r>
              <w:rPr>
                <w:rFonts w:ascii="Times New Roman" w:cs="Times New Roman" w:eastAsia="Times New Roman" w:hAnsi="Times New Roman"/>
                <w:sz w:val="14"/>
                <w:szCs w:val="14"/>
                <w:color w:val="auto"/>
              </w:rPr>
              <w:t>Ron Kurtz, M.D.</w:t>
            </w:r>
          </w:p>
        </w:tc>
        <w:tc>
          <w:tcPr>
            <w:tcW w:w="0" w:type="dxa"/>
            <w:vAlign w:val="bottom"/>
          </w:tcPr>
          <w:p>
            <w:pPr>
              <w:spacing w:after="0"/>
              <w:rPr>
                <w:sz w:val="1"/>
                <w:szCs w:val="1"/>
                <w:color w:val="auto"/>
              </w:rPr>
            </w:pPr>
          </w:p>
        </w:tc>
      </w:tr>
      <w:tr>
        <w:trPr>
          <w:trHeight w:val="183"/>
        </w:trPr>
        <w:tc>
          <w:tcPr>
            <w:tcW w:w="2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Chief Executive Officer and President</w:t>
            </w:r>
          </w:p>
        </w:tc>
        <w:tc>
          <w:tcPr>
            <w:tcW w:w="0" w:type="dxa"/>
            <w:vAlign w:val="bottom"/>
          </w:tcPr>
          <w:p>
            <w:pPr>
              <w:spacing w:after="0"/>
              <w:rPr>
                <w:sz w:val="1"/>
                <w:szCs w:val="1"/>
                <w:color w:val="auto"/>
              </w:rPr>
            </w:pPr>
          </w:p>
        </w:tc>
      </w:tr>
      <w:tr>
        <w:trPr>
          <w:trHeight w:val="186"/>
        </w:trPr>
        <w:tc>
          <w:tcPr>
            <w:tcW w:w="2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0" w:type="dxa"/>
            <w:vAlign w:val="bottom"/>
          </w:tcPr>
          <w:p>
            <w:pPr>
              <w:spacing w:after="0"/>
              <w:rPr>
                <w:sz w:val="1"/>
                <w:szCs w:val="1"/>
                <w:color w:val="auto"/>
              </w:rPr>
            </w:pPr>
          </w:p>
        </w:tc>
      </w:tr>
      <w:tr>
        <w:trPr>
          <w:trHeight w:val="366"/>
        </w:trPr>
        <w:tc>
          <w:tcPr>
            <w:tcW w:w="2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August 5, 2024</w:t>
            </w:r>
          </w:p>
        </w:tc>
        <w:tc>
          <w:tcPr>
            <w:tcW w:w="18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By:</w:t>
            </w:r>
          </w:p>
        </w:tc>
        <w:tc>
          <w:tcPr>
            <w:tcW w:w="25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color w:val="auto"/>
              </w:rPr>
              <w:t>/s/ Shelley Thunen</w:t>
            </w:r>
          </w:p>
        </w:tc>
        <w:tc>
          <w:tcPr>
            <w:tcW w:w="0" w:type="dxa"/>
            <w:vAlign w:val="bottom"/>
          </w:tcPr>
          <w:p>
            <w:pPr>
              <w:spacing w:after="0"/>
              <w:rPr>
                <w:sz w:val="1"/>
                <w:szCs w:val="1"/>
                <w:color w:val="auto"/>
              </w:rPr>
            </w:pPr>
          </w:p>
        </w:tc>
      </w:tr>
      <w:tr>
        <w:trPr>
          <w:trHeight w:val="75"/>
        </w:trPr>
        <w:tc>
          <w:tcPr>
            <w:tcW w:w="226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5940"/>
        <w:spacing w:after="0"/>
        <w:rPr>
          <w:sz w:val="20"/>
          <w:szCs w:val="20"/>
          <w:color w:val="auto"/>
        </w:rPr>
      </w:pPr>
      <w:r>
        <w:rPr>
          <w:rFonts w:ascii="Times New Roman" w:cs="Times New Roman" w:eastAsia="Times New Roman" w:hAnsi="Times New Roman"/>
          <w:sz w:val="14"/>
          <w:szCs w:val="14"/>
          <w:color w:val="auto"/>
        </w:rPr>
        <w:t>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3187700</wp:posOffset>
            </wp:positionH>
            <wp:positionV relativeFrom="paragraph">
              <wp:posOffset>-100965</wp:posOffset>
            </wp:positionV>
            <wp:extent cx="1783080"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783080" cy="6985"/>
                    </a:xfrm>
                    <a:prstGeom prst="rect">
                      <a:avLst/>
                    </a:prstGeom>
                    <a:noFill/>
                  </pic:spPr>
                </pic:pic>
              </a:graphicData>
            </a:graphic>
          </wp:anchor>
        </w:drawing>
      </w:r>
    </w:p>
    <w:p>
      <w:pPr>
        <w:spacing w:after="0" w:line="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color w:val="auto"/>
        </w:rPr>
        <w:t>Co- President and Chief Financial Officer</w:t>
      </w:r>
    </w:p>
    <w:p>
      <w:pPr>
        <w:spacing w:after="0" w:line="2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461645</wp:posOffset>
            </wp:positionV>
            <wp:extent cx="4288790" cy="393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274" w:right="1440" w:bottom="1440" w:gutter="0" w:footer="0" w:header="0"/>
        </w:sectPr>
      </w:pPr>
    </w:p>
    <w:bookmarkStart w:id="98" w:name="page99"/>
    <w:bookmarkEnd w:id="98"/>
    <w:p>
      <w:pPr>
        <w:jc w:val="right"/>
        <w:ind w:right="639"/>
        <w:spacing w:after="0"/>
        <w:rPr>
          <w:sz w:val="20"/>
          <w:szCs w:val="20"/>
          <w:color w:val="auto"/>
        </w:rPr>
      </w:pPr>
      <w:r>
        <w:rPr>
          <w:rFonts w:ascii="Calibri" w:cs="Calibri" w:eastAsia="Calibri" w:hAnsi="Calibri"/>
          <w:sz w:val="14"/>
          <w:szCs w:val="14"/>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12700</wp:posOffset>
            </wp:positionV>
            <wp:extent cx="1038225" cy="32766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038225" cy="32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60" w:right="1679" w:hanging="434"/>
        <w:spacing w:after="0" w:line="239" w:lineRule="auto"/>
        <w:rPr>
          <w:sz w:val="20"/>
          <w:szCs w:val="20"/>
          <w:color w:val="auto"/>
        </w:rPr>
      </w:pPr>
      <w:r>
        <w:rPr>
          <w:rFonts w:ascii="Calibri" w:cs="Calibri" w:eastAsia="Calibri" w:hAnsi="Calibri"/>
          <w:sz w:val="20"/>
          <w:szCs w:val="20"/>
          <w:b w:val="1"/>
          <w:bCs w:val="1"/>
          <w:color w:val="auto"/>
        </w:rPr>
        <w:t>STANDARD INDUSTRIAL/COMMERCIAL SINGLE-TENANT LEASE - NET (DO NOT USE THIS FORM FOR MULTI-TENANT BUILDINGS)</w:t>
      </w:r>
    </w:p>
    <w:p>
      <w:pPr>
        <w:spacing w:after="0" w:line="102" w:lineRule="exact"/>
        <w:rPr>
          <w:sz w:val="20"/>
          <w:szCs w:val="20"/>
          <w:color w:val="auto"/>
        </w:rPr>
      </w:pPr>
    </w:p>
    <w:p>
      <w:pPr>
        <w:ind w:left="640"/>
        <w:spacing w:after="0"/>
        <w:rPr>
          <w:sz w:val="20"/>
          <w:szCs w:val="20"/>
          <w:color w:val="auto"/>
        </w:rPr>
      </w:pPr>
      <w:r>
        <w:rPr>
          <w:rFonts w:ascii="Calibri" w:cs="Calibri" w:eastAsia="Calibri" w:hAnsi="Calibri"/>
          <w:sz w:val="11"/>
          <w:szCs w:val="11"/>
          <w:color w:val="auto"/>
        </w:rPr>
        <w:t>1.</w:t>
      </w:r>
      <w:r>
        <w:rPr>
          <w:rFonts w:ascii="Calibri" w:cs="Calibri" w:eastAsia="Calibri" w:hAnsi="Calibri"/>
          <w:sz w:val="11"/>
          <w:szCs w:val="11"/>
          <w:b w:val="1"/>
          <w:bCs w:val="1"/>
          <w:color w:val="auto"/>
        </w:rPr>
        <w:t>Basic Provisions ("Basic Provisions").</w:t>
      </w:r>
    </w:p>
    <w:p>
      <w:pPr>
        <w:spacing w:after="0" w:line="6" w:lineRule="exact"/>
        <w:rPr>
          <w:sz w:val="20"/>
          <w:szCs w:val="20"/>
          <w:color w:val="auto"/>
        </w:rPr>
      </w:pPr>
    </w:p>
    <w:p>
      <w:pPr>
        <w:ind w:left="880"/>
        <w:spacing w:after="0"/>
        <w:rPr>
          <w:sz w:val="20"/>
          <w:szCs w:val="20"/>
          <w:color w:val="auto"/>
        </w:rPr>
      </w:pPr>
      <w:r>
        <w:rPr>
          <w:rFonts w:ascii="Calibri" w:cs="Calibri" w:eastAsia="Calibri" w:hAnsi="Calibri"/>
          <w:sz w:val="11"/>
          <w:szCs w:val="11"/>
          <w:color w:val="auto"/>
        </w:rPr>
        <w:t xml:space="preserve">1.1 </w:t>
      </w:r>
      <w:r>
        <w:rPr>
          <w:rFonts w:ascii="Calibri" w:cs="Calibri" w:eastAsia="Calibri" w:hAnsi="Calibri"/>
          <w:sz w:val="11"/>
          <w:szCs w:val="11"/>
          <w:b w:val="1"/>
          <w:bCs w:val="1"/>
          <w:color w:val="auto"/>
        </w:rPr>
        <w:t>Partes.</w:t>
      </w:r>
      <w:r>
        <w:rPr>
          <w:rFonts w:ascii="Calibri" w:cs="Calibri" w:eastAsia="Calibri" w:hAnsi="Calibri"/>
          <w:sz w:val="11"/>
          <w:szCs w:val="11"/>
          <w:color w:val="auto"/>
        </w:rPr>
        <w:t xml:space="preserve"> This Lease ("</w:t>
      </w:r>
      <w:r>
        <w:rPr>
          <w:rFonts w:ascii="Calibri" w:cs="Calibri" w:eastAsia="Calibri" w:hAnsi="Calibri"/>
          <w:sz w:val="11"/>
          <w:szCs w:val="11"/>
          <w:b w:val="1"/>
          <w:bCs w:val="1"/>
          <w:color w:val="auto"/>
        </w:rPr>
        <w:t>Lease</w:t>
      </w:r>
      <w:r>
        <w:rPr>
          <w:rFonts w:ascii="Calibri" w:cs="Calibri" w:eastAsia="Calibri" w:hAnsi="Calibri"/>
          <w:sz w:val="11"/>
          <w:szCs w:val="11"/>
          <w:color w:val="auto"/>
        </w:rPr>
        <w:t xml:space="preserve">"), dated for reference purposes only </w:t>
      </w:r>
      <w:r>
        <w:rPr>
          <w:rFonts w:ascii="Calibri" w:cs="Calibri" w:eastAsia="Calibri" w:hAnsi="Calibri"/>
          <w:sz w:val="11"/>
          <w:szCs w:val="11"/>
          <w:u w:val="single" w:color="auto"/>
          <w:color w:val="0000FF"/>
        </w:rPr>
        <w:t>April 5, 2024</w:t>
      </w:r>
      <w:r>
        <w:rPr>
          <w:rFonts w:ascii="Calibri" w:cs="Calibri" w:eastAsia="Calibri" w:hAnsi="Calibri"/>
          <w:sz w:val="11"/>
          <w:szCs w:val="11"/>
          <w:color w:val="auto"/>
        </w:rPr>
        <w:t xml:space="preserve"> , is made by and between </w:t>
      </w:r>
      <w:r>
        <w:rPr>
          <w:rFonts w:ascii="Calibri" w:cs="Calibri" w:eastAsia="Calibri" w:hAnsi="Calibri"/>
          <w:sz w:val="11"/>
          <w:szCs w:val="11"/>
          <w:u w:val="single" w:color="auto"/>
          <w:color w:val="0000FF"/>
        </w:rPr>
        <w:t>BML Management, LLC</w:t>
      </w:r>
      <w:r>
        <w:rPr>
          <w:rFonts w:ascii="Calibri" w:cs="Calibri" w:eastAsia="Calibri" w:hAnsi="Calibri"/>
          <w:sz w:val="11"/>
          <w:szCs w:val="11"/>
          <w:color w:val="auto"/>
        </w:rPr>
        <w:t xml:space="preserve"> ("</w:t>
      </w:r>
      <w:r>
        <w:rPr>
          <w:rFonts w:ascii="Calibri" w:cs="Calibri" w:eastAsia="Calibri" w:hAnsi="Calibri"/>
          <w:sz w:val="11"/>
          <w:szCs w:val="11"/>
          <w:b w:val="1"/>
          <w:bCs w:val="1"/>
          <w:color w:val="auto"/>
        </w:rPr>
        <w:t>Lessor</w:t>
      </w:r>
      <w:r>
        <w:rPr>
          <w:rFonts w:ascii="Calibri" w:cs="Calibri" w:eastAsia="Calibri" w:hAnsi="Calibri"/>
          <w:sz w:val="11"/>
          <w:szCs w:val="11"/>
          <w:color w:val="auto"/>
        </w:rPr>
        <w:t xml:space="preserve">") and </w:t>
      </w:r>
      <w:r>
        <w:rPr>
          <w:rFonts w:ascii="Calibri" w:cs="Calibri" w:eastAsia="Calibri" w:hAnsi="Calibri"/>
          <w:sz w:val="11"/>
          <w:szCs w:val="11"/>
          <w:u w:val="single" w:color="auto"/>
          <w:color w:val="0000FF"/>
        </w:rPr>
        <w:t>RxSight, Inc.</w:t>
      </w:r>
    </w:p>
    <w:p>
      <w:pPr>
        <w:spacing w:after="0" w:line="6" w:lineRule="exact"/>
        <w:rPr>
          <w:sz w:val="20"/>
          <w:szCs w:val="20"/>
          <w:color w:val="auto"/>
        </w:rPr>
      </w:pPr>
    </w:p>
    <w:p>
      <w:pPr>
        <w:ind w:left="640"/>
        <w:spacing w:after="0"/>
        <w:rPr>
          <w:sz w:val="20"/>
          <w:szCs w:val="20"/>
          <w:color w:val="auto"/>
        </w:rPr>
      </w:pPr>
      <w:r>
        <w:rPr>
          <w:rFonts w:ascii="Calibri" w:cs="Calibri" w:eastAsia="Calibri" w:hAnsi="Calibri"/>
          <w:sz w:val="11"/>
          <w:szCs w:val="11"/>
          <w:color w:val="auto"/>
        </w:rPr>
        <w:t>("</w:t>
      </w:r>
      <w:r>
        <w:rPr>
          <w:rFonts w:ascii="Calibri" w:cs="Calibri" w:eastAsia="Calibri" w:hAnsi="Calibri"/>
          <w:sz w:val="11"/>
          <w:szCs w:val="11"/>
          <w:b w:val="1"/>
          <w:bCs w:val="1"/>
          <w:color w:val="auto"/>
        </w:rPr>
        <w:t>Lessee</w:t>
      </w:r>
      <w:r>
        <w:rPr>
          <w:rFonts w:ascii="Calibri" w:cs="Calibri" w:eastAsia="Calibri" w:hAnsi="Calibri"/>
          <w:sz w:val="11"/>
          <w:szCs w:val="11"/>
          <w:color w:val="auto"/>
        </w:rPr>
        <w:t>"), (collectvely the "</w:t>
      </w:r>
      <w:r>
        <w:rPr>
          <w:rFonts w:ascii="Calibri" w:cs="Calibri" w:eastAsia="Calibri" w:hAnsi="Calibri"/>
          <w:sz w:val="11"/>
          <w:szCs w:val="11"/>
          <w:b w:val="1"/>
          <w:bCs w:val="1"/>
          <w:color w:val="auto"/>
        </w:rPr>
        <w:t>Partes</w:t>
      </w:r>
      <w:r>
        <w:rPr>
          <w:rFonts w:ascii="Calibri" w:cs="Calibri" w:eastAsia="Calibri" w:hAnsi="Calibri"/>
          <w:sz w:val="11"/>
          <w:szCs w:val="11"/>
          <w:color w:val="auto"/>
        </w:rPr>
        <w:t>," or individually a "</w:t>
      </w:r>
      <w:r>
        <w:rPr>
          <w:rFonts w:ascii="Calibri" w:cs="Calibri" w:eastAsia="Calibri" w:hAnsi="Calibri"/>
          <w:sz w:val="11"/>
          <w:szCs w:val="11"/>
          <w:b w:val="1"/>
          <w:bCs w:val="1"/>
          <w:color w:val="auto"/>
        </w:rPr>
        <w:t>Party</w:t>
      </w:r>
      <w:r>
        <w:rPr>
          <w:rFonts w:ascii="Calibri" w:cs="Calibri" w:eastAsia="Calibri" w:hAnsi="Calibri"/>
          <w:sz w:val="11"/>
          <w:szCs w:val="11"/>
          <w:color w:val="auto"/>
        </w:rPr>
        <w:t>").</w:t>
      </w:r>
    </w:p>
    <w:p>
      <w:pPr>
        <w:spacing w:after="0" w:line="16" w:lineRule="exact"/>
        <w:rPr>
          <w:sz w:val="20"/>
          <w:szCs w:val="20"/>
          <w:color w:val="auto"/>
        </w:rPr>
      </w:pPr>
    </w:p>
    <w:p>
      <w:pPr>
        <w:ind w:left="640" w:right="739" w:firstLine="258"/>
        <w:spacing w:after="0" w:line="251" w:lineRule="auto"/>
        <w:rPr>
          <w:sz w:val="20"/>
          <w:szCs w:val="20"/>
          <w:color w:val="auto"/>
        </w:rPr>
      </w:pPr>
      <w:r>
        <w:rPr>
          <w:rFonts w:ascii="Calibri" w:cs="Calibri" w:eastAsia="Calibri" w:hAnsi="Calibri"/>
          <w:sz w:val="11"/>
          <w:szCs w:val="11"/>
          <w:color w:val="auto"/>
        </w:rPr>
        <w:t xml:space="preserve">1.2 </w:t>
      </w:r>
      <w:r>
        <w:rPr>
          <w:rFonts w:ascii="Calibri" w:cs="Calibri" w:eastAsia="Calibri" w:hAnsi="Calibri"/>
          <w:sz w:val="11"/>
          <w:szCs w:val="11"/>
          <w:b w:val="1"/>
          <w:bCs w:val="1"/>
          <w:color w:val="auto"/>
        </w:rPr>
        <w:t>Premises:</w:t>
      </w:r>
      <w:r>
        <w:rPr>
          <w:rFonts w:ascii="Calibri" w:cs="Calibri" w:eastAsia="Calibri" w:hAnsi="Calibri"/>
          <w:sz w:val="11"/>
          <w:szCs w:val="11"/>
          <w:color w:val="auto"/>
        </w:rPr>
        <w:t xml:space="preserve"> That certain real property, including all improvements therein or to be provided by Lessor under the terms of this Lease, commonly known as (street address, city, state, zip): </w:t>
      </w:r>
      <w:r>
        <w:rPr>
          <w:rFonts w:ascii="Calibri" w:cs="Calibri" w:eastAsia="Calibri" w:hAnsi="Calibri"/>
          <w:sz w:val="11"/>
          <w:szCs w:val="11"/>
          <w:u w:val="single" w:color="auto"/>
          <w:color w:val="0000FF"/>
        </w:rPr>
        <w:t>125 Columbia, Aliso Viejo, CA 92656</w:t>
      </w:r>
      <w:r>
        <w:rPr>
          <w:rFonts w:ascii="Calibri" w:cs="Calibri" w:eastAsia="Calibri" w:hAnsi="Calibri"/>
          <w:sz w:val="11"/>
          <w:szCs w:val="11"/>
          <w:color w:val="auto"/>
        </w:rPr>
        <w:t xml:space="preserve"> ("</w:t>
      </w:r>
      <w:r>
        <w:rPr>
          <w:rFonts w:ascii="Calibri" w:cs="Calibri" w:eastAsia="Calibri" w:hAnsi="Calibri"/>
          <w:sz w:val="11"/>
          <w:szCs w:val="11"/>
          <w:b w:val="1"/>
          <w:bCs w:val="1"/>
          <w:color w:val="auto"/>
        </w:rPr>
        <w:t>Premises</w:t>
      </w:r>
      <w:r>
        <w:rPr>
          <w:rFonts w:ascii="Calibri" w:cs="Calibri" w:eastAsia="Calibri" w:hAnsi="Calibri"/>
          <w:sz w:val="11"/>
          <w:szCs w:val="11"/>
          <w:color w:val="auto"/>
        </w:rPr>
        <w:t xml:space="preserve">"). The Premises are located in the County of </w:t>
      </w:r>
      <w:r>
        <w:rPr>
          <w:rFonts w:ascii="Calibri" w:cs="Calibri" w:eastAsia="Calibri" w:hAnsi="Calibri"/>
          <w:sz w:val="11"/>
          <w:szCs w:val="11"/>
          <w:u w:val="single" w:color="auto"/>
          <w:color w:val="0000FF"/>
        </w:rPr>
        <w:t>Orange</w:t>
      </w:r>
      <w:r>
        <w:rPr>
          <w:rFonts w:ascii="Calibri" w:cs="Calibri" w:eastAsia="Calibri" w:hAnsi="Calibri"/>
          <w:sz w:val="11"/>
          <w:szCs w:val="11"/>
          <w:color w:val="auto"/>
        </w:rPr>
        <w:t xml:space="preserve"> , and are generally described as (describe briefly the nature of the property and , if applicable, the "</w:t>
      </w:r>
      <w:r>
        <w:rPr>
          <w:rFonts w:ascii="Calibri" w:cs="Calibri" w:eastAsia="Calibri" w:hAnsi="Calibri"/>
          <w:sz w:val="11"/>
          <w:szCs w:val="11"/>
          <w:b w:val="1"/>
          <w:bCs w:val="1"/>
          <w:color w:val="auto"/>
        </w:rPr>
        <w:t>Project</w:t>
      </w:r>
      <w:r>
        <w:rPr>
          <w:rFonts w:ascii="Calibri" w:cs="Calibri" w:eastAsia="Calibri" w:hAnsi="Calibri"/>
          <w:sz w:val="11"/>
          <w:szCs w:val="11"/>
          <w:color w:val="auto"/>
        </w:rPr>
        <w:t xml:space="preserve">," if the property is located within a Project): </w:t>
      </w:r>
      <w:r>
        <w:rPr>
          <w:rFonts w:ascii="Calibri" w:cs="Calibri" w:eastAsia="Calibri" w:hAnsi="Calibri"/>
          <w:sz w:val="11"/>
          <w:szCs w:val="11"/>
          <w:color w:val="0000FF"/>
        </w:rPr>
        <w:t>An approximate</w:t>
      </w:r>
      <w:r>
        <w:rPr>
          <w:rFonts w:ascii="Calibri" w:cs="Calibri" w:eastAsia="Calibri" w:hAnsi="Calibri"/>
          <w:sz w:val="11"/>
          <w:szCs w:val="11"/>
          <w:color w:val="auto"/>
        </w:rPr>
        <w:t xml:space="preserve"> </w:t>
      </w:r>
      <w:r>
        <w:rPr>
          <w:rFonts w:ascii="Calibri" w:cs="Calibri" w:eastAsia="Calibri" w:hAnsi="Calibri"/>
          <w:sz w:val="11"/>
          <w:szCs w:val="11"/>
          <w:u w:val="single" w:color="auto"/>
          <w:color w:val="0000FF"/>
        </w:rPr>
        <w:t>26,825 square foot</w:t>
      </w:r>
      <w:r>
        <w:rPr>
          <w:rFonts w:ascii="Calibri" w:cs="Calibri" w:eastAsia="Calibri" w:hAnsi="Calibri"/>
          <w:sz w:val="11"/>
          <w:szCs w:val="11"/>
          <w:color w:val="auto"/>
        </w:rPr>
        <w:t xml:space="preserve"> </w:t>
      </w:r>
      <w:r>
        <w:rPr>
          <w:rFonts w:ascii="Calibri" w:cs="Calibri" w:eastAsia="Calibri" w:hAnsi="Calibri"/>
          <w:sz w:val="11"/>
          <w:szCs w:val="11"/>
          <w:u w:val="single" w:color="auto"/>
          <w:color w:val="0000FF"/>
        </w:rPr>
        <w:t>Industrial/R&amp;D building</w:t>
      </w:r>
      <w:r>
        <w:rPr>
          <w:rFonts w:ascii="Calibri" w:cs="Calibri" w:eastAsia="Calibri" w:hAnsi="Calibri"/>
          <w:sz w:val="11"/>
          <w:szCs w:val="11"/>
          <w:color w:val="0000FF"/>
        </w:rPr>
        <w:t xml:space="preserve"> </w:t>
      </w:r>
      <w:r>
        <w:rPr>
          <w:rFonts w:ascii="Calibri" w:cs="Calibri" w:eastAsia="Calibri" w:hAnsi="Calibri"/>
          <w:sz w:val="11"/>
          <w:szCs w:val="11"/>
          <w:color w:val="000000"/>
        </w:rPr>
        <w:t>. (See also Paragraph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-102870</wp:posOffset>
            </wp:positionV>
            <wp:extent cx="48641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86410" cy="6985"/>
                    </a:xfrm>
                    <a:prstGeom prst="rect">
                      <a:avLst/>
                    </a:prstGeom>
                    <a:noFill/>
                  </pic:spPr>
                </pic:pic>
              </a:graphicData>
            </a:graphic>
          </wp:anchor>
        </w:drawing>
      </w:r>
    </w:p>
    <w:p>
      <w:pPr>
        <w:ind w:left="640" w:right="859" w:firstLine="258"/>
        <w:spacing w:after="0" w:line="253" w:lineRule="auto"/>
        <w:rPr>
          <w:sz w:val="20"/>
          <w:szCs w:val="20"/>
          <w:color w:val="auto"/>
        </w:rPr>
      </w:pPr>
      <w:r>
        <w:rPr>
          <w:rFonts w:ascii="Calibri" w:cs="Calibri" w:eastAsia="Calibri" w:hAnsi="Calibri"/>
          <w:sz w:val="11"/>
          <w:szCs w:val="11"/>
          <w:color w:val="auto"/>
        </w:rPr>
        <w:t xml:space="preserve">1.3 </w:t>
      </w:r>
      <w:r>
        <w:rPr>
          <w:rFonts w:ascii="Calibri" w:cs="Calibri" w:eastAsia="Calibri" w:hAnsi="Calibri"/>
          <w:sz w:val="11"/>
          <w:szCs w:val="11"/>
          <w:b w:val="1"/>
          <w:bCs w:val="1"/>
          <w:color w:val="auto"/>
        </w:rPr>
        <w:t>Term:</w:t>
      </w:r>
      <w:r>
        <w:rPr>
          <w:rFonts w:ascii="Calibri" w:cs="Calibri" w:eastAsia="Calibri" w:hAnsi="Calibri"/>
          <w:sz w:val="11"/>
          <w:szCs w:val="11"/>
          <w:color w:val="auto"/>
        </w:rPr>
        <w:t xml:space="preserve"> </w:t>
      </w:r>
      <w:r>
        <w:rPr>
          <w:rFonts w:ascii="Calibri" w:cs="Calibri" w:eastAsia="Calibri" w:hAnsi="Calibri"/>
          <w:sz w:val="11"/>
          <w:szCs w:val="11"/>
          <w:color w:val="0000FF"/>
        </w:rPr>
        <w:t>6</w:t>
      </w:r>
      <w:r>
        <w:rPr>
          <w:rFonts w:ascii="Calibri" w:cs="Calibri" w:eastAsia="Calibri" w:hAnsi="Calibri"/>
          <w:sz w:val="11"/>
          <w:szCs w:val="11"/>
          <w:color w:val="auto"/>
        </w:rPr>
        <w:t xml:space="preserve"> years and </w:t>
      </w:r>
      <w:r>
        <w:rPr>
          <w:rFonts w:ascii="Calibri" w:cs="Calibri" w:eastAsia="Calibri" w:hAnsi="Calibri"/>
          <w:sz w:val="11"/>
          <w:szCs w:val="11"/>
          <w:color w:val="0000FF"/>
        </w:rPr>
        <w:t>8</w:t>
      </w:r>
      <w:r>
        <w:rPr>
          <w:rFonts w:ascii="Calibri" w:cs="Calibri" w:eastAsia="Calibri" w:hAnsi="Calibri"/>
          <w:sz w:val="11"/>
          <w:szCs w:val="11"/>
          <w:color w:val="auto"/>
        </w:rPr>
        <w:t xml:space="preserve"> months ("</w:t>
      </w:r>
      <w:r>
        <w:rPr>
          <w:rFonts w:ascii="Calibri" w:cs="Calibri" w:eastAsia="Calibri" w:hAnsi="Calibri"/>
          <w:sz w:val="11"/>
          <w:szCs w:val="11"/>
          <w:b w:val="1"/>
          <w:bCs w:val="1"/>
          <w:color w:val="auto"/>
        </w:rPr>
        <w:t>Original Term</w:t>
      </w:r>
      <w:r>
        <w:rPr>
          <w:rFonts w:ascii="Calibri" w:cs="Calibri" w:eastAsia="Calibri" w:hAnsi="Calibri"/>
          <w:sz w:val="11"/>
          <w:szCs w:val="11"/>
          <w:color w:val="auto"/>
        </w:rPr>
        <w:t xml:space="preserve">") commencing </w:t>
      </w:r>
      <w:r>
        <w:rPr>
          <w:rFonts w:ascii="Calibri" w:cs="Calibri" w:eastAsia="Calibri" w:hAnsi="Calibri"/>
          <w:sz w:val="11"/>
          <w:szCs w:val="11"/>
          <w:u w:val="single" w:color="auto"/>
          <w:color w:val="0000FF"/>
        </w:rPr>
        <w:t>June 1, 2024</w:t>
      </w:r>
      <w:r>
        <w:rPr>
          <w:rFonts w:ascii="Calibri" w:cs="Calibri" w:eastAsia="Calibri" w:hAnsi="Calibri"/>
          <w:sz w:val="11"/>
          <w:szCs w:val="11"/>
          <w:color w:val="auto"/>
        </w:rPr>
        <w:t xml:space="preserve"> ("</w:t>
      </w:r>
      <w:r>
        <w:rPr>
          <w:rFonts w:ascii="Calibri" w:cs="Calibri" w:eastAsia="Calibri" w:hAnsi="Calibri"/>
          <w:sz w:val="11"/>
          <w:szCs w:val="11"/>
          <w:b w:val="1"/>
          <w:bCs w:val="1"/>
          <w:color w:val="auto"/>
        </w:rPr>
        <w:t>Commencement Date</w:t>
      </w:r>
      <w:r>
        <w:rPr>
          <w:rFonts w:ascii="Calibri" w:cs="Calibri" w:eastAsia="Calibri" w:hAnsi="Calibri"/>
          <w:sz w:val="11"/>
          <w:szCs w:val="11"/>
          <w:color w:val="auto"/>
        </w:rPr>
        <w:t xml:space="preserve">") and ending </w:t>
      </w:r>
      <w:r>
        <w:rPr>
          <w:rFonts w:ascii="Calibri" w:cs="Calibri" w:eastAsia="Calibri" w:hAnsi="Calibri"/>
          <w:sz w:val="11"/>
          <w:szCs w:val="11"/>
          <w:u w:val="single" w:color="auto"/>
          <w:color w:val="0000FF"/>
        </w:rPr>
        <w:t>January 31, 2031</w:t>
      </w:r>
      <w:r>
        <w:rPr>
          <w:rFonts w:ascii="Calibri" w:cs="Calibri" w:eastAsia="Calibri" w:hAnsi="Calibri"/>
          <w:sz w:val="11"/>
          <w:szCs w:val="11"/>
          <w:color w:val="auto"/>
        </w:rPr>
        <w:t xml:space="preserve"> ("</w:t>
      </w:r>
      <w:r>
        <w:rPr>
          <w:rFonts w:ascii="Calibri" w:cs="Calibri" w:eastAsia="Calibri" w:hAnsi="Calibri"/>
          <w:sz w:val="11"/>
          <w:szCs w:val="11"/>
          <w:b w:val="1"/>
          <w:bCs w:val="1"/>
          <w:color w:val="auto"/>
        </w:rPr>
        <w:t>Expiraton Date</w:t>
      </w:r>
      <w:r>
        <w:rPr>
          <w:rFonts w:ascii="Calibri" w:cs="Calibri" w:eastAsia="Calibri" w:hAnsi="Calibri"/>
          <w:sz w:val="11"/>
          <w:szCs w:val="11"/>
          <w:color w:val="auto"/>
        </w:rPr>
        <w:t>"). (See also Paragraph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-103505</wp:posOffset>
            </wp:positionV>
            <wp:extent cx="98425"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98425" cy="6985"/>
                    </a:xfrm>
                    <a:prstGeom prst="rect">
                      <a:avLst/>
                    </a:prstGeom>
                    <a:noFill/>
                  </pic:spPr>
                </pic:pic>
              </a:graphicData>
            </a:graphic>
          </wp:anchor>
        </w:drawing>
        <w:drawing>
          <wp:anchor simplePos="0" relativeHeight="251657728" behindDoc="1" locked="0" layoutInCell="0" allowOverlap="1">
            <wp:simplePos x="0" y="0"/>
            <wp:positionH relativeFrom="column">
              <wp:posOffset>1275715</wp:posOffset>
            </wp:positionH>
            <wp:positionV relativeFrom="paragraph">
              <wp:posOffset>-103505</wp:posOffset>
            </wp:positionV>
            <wp:extent cx="78105"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8105" cy="6985"/>
                    </a:xfrm>
                    <a:prstGeom prst="rect">
                      <a:avLst/>
                    </a:prstGeom>
                    <a:noFill/>
                  </pic:spPr>
                </pic:pic>
              </a:graphicData>
            </a:graphic>
          </wp:anchor>
        </w:drawing>
      </w:r>
    </w:p>
    <w:p>
      <w:pPr>
        <w:ind w:left="640" w:right="639" w:firstLine="258"/>
        <w:spacing w:after="0" w:line="253" w:lineRule="auto"/>
        <w:rPr>
          <w:sz w:val="20"/>
          <w:szCs w:val="20"/>
          <w:color w:val="auto"/>
        </w:rPr>
      </w:pPr>
      <w:r>
        <w:rPr>
          <w:rFonts w:ascii="Calibri" w:cs="Calibri" w:eastAsia="Calibri" w:hAnsi="Calibri"/>
          <w:sz w:val="11"/>
          <w:szCs w:val="11"/>
          <w:color w:val="auto"/>
        </w:rPr>
        <w:t xml:space="preserve">1.4 </w:t>
      </w:r>
      <w:r>
        <w:rPr>
          <w:rFonts w:ascii="Calibri" w:cs="Calibri" w:eastAsia="Calibri" w:hAnsi="Calibri"/>
          <w:sz w:val="11"/>
          <w:szCs w:val="11"/>
          <w:b w:val="1"/>
          <w:bCs w:val="1"/>
          <w:color w:val="auto"/>
        </w:rPr>
        <w:t>Early Possession:</w:t>
      </w:r>
      <w:r>
        <w:rPr>
          <w:rFonts w:ascii="Calibri" w:cs="Calibri" w:eastAsia="Calibri" w:hAnsi="Calibri"/>
          <w:sz w:val="11"/>
          <w:szCs w:val="11"/>
          <w:color w:val="auto"/>
        </w:rPr>
        <w:t xml:space="preserve"> If the Premises are available Lessee may have non-exclusive possession of the Premises commencing ("</w:t>
      </w:r>
      <w:r>
        <w:rPr>
          <w:rFonts w:ascii="Calibri" w:cs="Calibri" w:eastAsia="Calibri" w:hAnsi="Calibri"/>
          <w:sz w:val="11"/>
          <w:szCs w:val="11"/>
          <w:b w:val="1"/>
          <w:bCs w:val="1"/>
          <w:color w:val="auto"/>
        </w:rPr>
        <w:t>Early Possession Date</w:t>
      </w:r>
      <w:r>
        <w:rPr>
          <w:rFonts w:ascii="Calibri" w:cs="Calibri" w:eastAsia="Calibri" w:hAnsi="Calibri"/>
          <w:sz w:val="11"/>
          <w:szCs w:val="11"/>
          <w:color w:val="auto"/>
        </w:rPr>
        <w:t>"). (See also Paragraphs 3.2 and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-103505</wp:posOffset>
            </wp:positionV>
            <wp:extent cx="7112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120" cy="6985"/>
                    </a:xfrm>
                    <a:prstGeom prst="rect">
                      <a:avLst/>
                    </a:prstGeom>
                    <a:noFill/>
                  </pic:spPr>
                </pic:pic>
              </a:graphicData>
            </a:graphic>
          </wp:anchor>
        </w:drawing>
      </w:r>
    </w:p>
    <w:p>
      <w:pPr>
        <w:ind w:left="880"/>
        <w:spacing w:after="0"/>
        <w:rPr>
          <w:sz w:val="20"/>
          <w:szCs w:val="20"/>
          <w:color w:val="auto"/>
        </w:rPr>
      </w:pPr>
      <w:r>
        <w:rPr>
          <w:rFonts w:ascii="Calibri" w:cs="Calibri" w:eastAsia="Calibri" w:hAnsi="Calibri"/>
          <w:sz w:val="11"/>
          <w:szCs w:val="11"/>
          <w:color w:val="auto"/>
        </w:rPr>
        <w:t xml:space="preserve">1.5 </w:t>
      </w:r>
      <w:r>
        <w:rPr>
          <w:rFonts w:ascii="Calibri" w:cs="Calibri" w:eastAsia="Calibri" w:hAnsi="Calibri"/>
          <w:sz w:val="11"/>
          <w:szCs w:val="11"/>
          <w:b w:val="1"/>
          <w:bCs w:val="1"/>
          <w:color w:val="auto"/>
        </w:rPr>
        <w:t>Base Rent:</w:t>
      </w:r>
      <w:r>
        <w:rPr>
          <w:rFonts w:ascii="Calibri" w:cs="Calibri" w:eastAsia="Calibri" w:hAnsi="Calibri"/>
          <w:sz w:val="11"/>
          <w:szCs w:val="11"/>
          <w:color w:val="auto"/>
        </w:rPr>
        <w:t xml:space="preserve"> </w:t>
      </w:r>
      <w:r>
        <w:rPr>
          <w:rFonts w:ascii="Calibri" w:cs="Calibri" w:eastAsia="Calibri" w:hAnsi="Calibri"/>
          <w:sz w:val="11"/>
          <w:szCs w:val="11"/>
          <w:u w:val="single" w:color="auto"/>
          <w:color w:val="0000FF"/>
        </w:rPr>
        <w:t>$41,578.75</w:t>
      </w:r>
      <w:r>
        <w:rPr>
          <w:rFonts w:ascii="Calibri" w:cs="Calibri" w:eastAsia="Calibri" w:hAnsi="Calibri"/>
          <w:sz w:val="11"/>
          <w:szCs w:val="11"/>
          <w:color w:val="auto"/>
        </w:rPr>
        <w:t xml:space="preserve"> per month ("</w:t>
      </w:r>
      <w:r>
        <w:rPr>
          <w:rFonts w:ascii="Calibri" w:cs="Calibri" w:eastAsia="Calibri" w:hAnsi="Calibri"/>
          <w:sz w:val="11"/>
          <w:szCs w:val="11"/>
          <w:b w:val="1"/>
          <w:bCs w:val="1"/>
          <w:color w:val="auto"/>
        </w:rPr>
        <w:t>Base Rent</w:t>
      </w:r>
      <w:r>
        <w:rPr>
          <w:rFonts w:ascii="Calibri" w:cs="Calibri" w:eastAsia="Calibri" w:hAnsi="Calibri"/>
          <w:sz w:val="11"/>
          <w:szCs w:val="11"/>
          <w:color w:val="auto"/>
        </w:rPr>
        <w:t xml:space="preserve">"), payable on the </w:t>
      </w:r>
      <w:r>
        <w:rPr>
          <w:rFonts w:ascii="Calibri" w:cs="Calibri" w:eastAsia="Calibri" w:hAnsi="Calibri"/>
          <w:sz w:val="11"/>
          <w:szCs w:val="11"/>
          <w:u w:val="single" w:color="auto"/>
          <w:color w:val="0000FF"/>
        </w:rPr>
        <w:t>frst</w:t>
      </w:r>
      <w:r>
        <w:rPr>
          <w:rFonts w:ascii="Calibri" w:cs="Calibri" w:eastAsia="Calibri" w:hAnsi="Calibri"/>
          <w:sz w:val="11"/>
          <w:szCs w:val="11"/>
          <w:color w:val="auto"/>
        </w:rPr>
        <w:t xml:space="preserve"> day of each month commencing </w:t>
      </w:r>
      <w:r>
        <w:rPr>
          <w:rFonts w:ascii="Calibri" w:cs="Calibri" w:eastAsia="Calibri" w:hAnsi="Calibri"/>
          <w:sz w:val="11"/>
          <w:szCs w:val="11"/>
          <w:u w:val="single" w:color="auto"/>
          <w:color w:val="0000FF"/>
        </w:rPr>
        <w:t>June 1, 2024</w:t>
      </w:r>
      <w:r>
        <w:rPr>
          <w:rFonts w:ascii="Calibri" w:cs="Calibri" w:eastAsia="Calibri" w:hAnsi="Calibri"/>
          <w:sz w:val="11"/>
          <w:szCs w:val="11"/>
          <w:color w:val="auto"/>
        </w:rPr>
        <w:t xml:space="preserve"> . (See also Paragraph 4)</w:t>
      </w:r>
    </w:p>
    <w:p>
      <w:pPr>
        <w:spacing w:after="0" w:line="26" w:lineRule="exact"/>
        <w:rPr>
          <w:sz w:val="20"/>
          <w:szCs w:val="20"/>
          <w:color w:val="auto"/>
        </w:rPr>
      </w:pPr>
    </w:p>
    <w:p>
      <w:pPr>
        <w:ind w:left="880"/>
        <w:spacing w:after="0" w:line="135" w:lineRule="exact"/>
        <w:tabs>
          <w:tab w:leader="none" w:pos="6080" w:val="left"/>
        </w:tabs>
        <w:rPr>
          <w:sz w:val="20"/>
          <w:szCs w:val="20"/>
          <w:color w:val="auto"/>
        </w:rPr>
      </w:pPr>
      <w:r>
        <w:rPr>
          <w:rFonts w:ascii="MS PGothic" w:cs="MS PGothic" w:eastAsia="MS PGothic" w:hAnsi="MS PGothic"/>
          <w:sz w:val="11"/>
          <w:szCs w:val="11"/>
          <w:color w:val="0000FF"/>
        </w:rPr>
        <w:t>☑</w:t>
      </w:r>
      <w:r>
        <w:rPr>
          <w:rFonts w:ascii="Calibri" w:cs="Calibri" w:eastAsia="Calibri" w:hAnsi="Calibri"/>
          <w:sz w:val="11"/>
          <w:szCs w:val="11"/>
          <w:color w:val="auto"/>
        </w:rPr>
        <w:t xml:space="preserve"> If this box is checked, there are provisions in this Lease for the Base Rent to be adjusted. See Paragraph </w:t>
      </w:r>
      <w:r>
        <w:rPr>
          <w:rFonts w:ascii="Calibri" w:cs="Calibri" w:eastAsia="Calibri" w:hAnsi="Calibri"/>
          <w:sz w:val="11"/>
          <w:szCs w:val="11"/>
          <w:color w:val="0000FF"/>
        </w:rPr>
        <w:t>51</w:t>
      </w:r>
      <w:r>
        <w:rPr>
          <w:sz w:val="20"/>
          <w:szCs w:val="20"/>
          <w:color w:val="auto"/>
        </w:rPr>
        <w:tab/>
      </w:r>
      <w:r>
        <w:rPr>
          <w:rFonts w:ascii="Calibri" w:cs="Calibri" w:eastAsia="Calibri" w:hAnsi="Calibri"/>
          <w:sz w:val="7"/>
          <w:szCs w:val="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-1270</wp:posOffset>
            </wp:positionV>
            <wp:extent cx="16002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60020" cy="6985"/>
                    </a:xfrm>
                    <a:prstGeom prst="rect">
                      <a:avLst/>
                    </a:prstGeom>
                    <a:noFill/>
                  </pic:spPr>
                </pic:pic>
              </a:graphicData>
            </a:graphic>
          </wp:anchor>
        </w:drawing>
      </w:r>
    </w:p>
    <w:p>
      <w:pPr>
        <w:spacing w:after="0" w:line="10" w:lineRule="exact"/>
        <w:rPr>
          <w:sz w:val="20"/>
          <w:szCs w:val="20"/>
          <w:color w:val="auto"/>
        </w:rPr>
      </w:pPr>
    </w:p>
    <w:p>
      <w:pPr>
        <w:ind w:left="880"/>
        <w:spacing w:after="0"/>
        <w:rPr>
          <w:sz w:val="20"/>
          <w:szCs w:val="20"/>
          <w:color w:val="auto"/>
        </w:rPr>
      </w:pPr>
      <w:r>
        <w:rPr>
          <w:rFonts w:ascii="Calibri" w:cs="Calibri" w:eastAsia="Calibri" w:hAnsi="Calibri"/>
          <w:sz w:val="11"/>
          <w:szCs w:val="11"/>
          <w:color w:val="auto"/>
        </w:rPr>
        <w:t xml:space="preserve">1.6 </w:t>
      </w:r>
      <w:r>
        <w:rPr>
          <w:rFonts w:ascii="Calibri" w:cs="Calibri" w:eastAsia="Calibri" w:hAnsi="Calibri"/>
          <w:sz w:val="11"/>
          <w:szCs w:val="11"/>
          <w:b w:val="1"/>
          <w:bCs w:val="1"/>
          <w:color w:val="auto"/>
        </w:rPr>
        <w:t>Base Rent and Other Monies Paid Upon Executon:</w:t>
      </w:r>
    </w:p>
    <w:p>
      <w:pPr>
        <w:spacing w:after="0" w:line="15" w:lineRule="exact"/>
        <w:rPr>
          <w:sz w:val="20"/>
          <w:szCs w:val="20"/>
          <w:color w:val="auto"/>
        </w:rPr>
      </w:pPr>
    </w:p>
    <w:p>
      <w:pPr>
        <w:ind w:left="1300" w:hanging="153"/>
        <w:spacing w:after="0"/>
        <w:tabs>
          <w:tab w:leader="none" w:pos="1300" w:val="left"/>
        </w:tabs>
        <w:numPr>
          <w:ilvl w:val="0"/>
          <w:numId w:val="45"/>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Base Rent: </w:t>
      </w:r>
      <w:r>
        <w:rPr>
          <w:rFonts w:ascii="Calibri" w:cs="Calibri" w:eastAsia="Calibri" w:hAnsi="Calibri"/>
          <w:sz w:val="11"/>
          <w:szCs w:val="11"/>
          <w:u w:val="single" w:color="auto"/>
          <w:color w:val="0000FF"/>
        </w:rPr>
        <w:t>$41,578.75</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for the period</w:t>
      </w:r>
      <w:r>
        <w:rPr>
          <w:rFonts w:ascii="Calibri" w:cs="Calibri" w:eastAsia="Calibri" w:hAnsi="Calibri"/>
          <w:sz w:val="11"/>
          <w:szCs w:val="11"/>
          <w:b w:val="1"/>
          <w:bCs w:val="1"/>
          <w:color w:val="auto"/>
        </w:rPr>
        <w:t xml:space="preserve"> </w:t>
      </w:r>
      <w:r>
        <w:rPr>
          <w:rFonts w:ascii="Calibri" w:cs="Calibri" w:eastAsia="Calibri" w:hAnsi="Calibri"/>
          <w:sz w:val="11"/>
          <w:szCs w:val="11"/>
          <w:u w:val="single" w:color="auto"/>
          <w:color w:val="0000FF"/>
        </w:rPr>
        <w:t>June 1, 2024 - June 30, 2024</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w:t>
      </w:r>
    </w:p>
    <w:p>
      <w:pPr>
        <w:spacing w:after="0" w:line="27" w:lineRule="exact"/>
        <w:rPr>
          <w:rFonts w:ascii="Calibri" w:cs="Calibri" w:eastAsia="Calibri" w:hAnsi="Calibri"/>
          <w:sz w:val="11"/>
          <w:szCs w:val="11"/>
          <w:b w:val="1"/>
          <w:bCs w:val="1"/>
          <w:color w:val="auto"/>
        </w:rPr>
      </w:pPr>
    </w:p>
    <w:p>
      <w:pPr>
        <w:ind w:left="1300" w:hanging="153"/>
        <w:spacing w:after="0"/>
        <w:tabs>
          <w:tab w:leader="none" w:pos="1300" w:val="left"/>
        </w:tabs>
        <w:numPr>
          <w:ilvl w:val="0"/>
          <w:numId w:val="45"/>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Security Deposit: </w:t>
      </w:r>
      <w:r>
        <w:rPr>
          <w:rFonts w:ascii="Calibri" w:cs="Calibri" w:eastAsia="Calibri" w:hAnsi="Calibri"/>
          <w:sz w:val="11"/>
          <w:szCs w:val="11"/>
          <w:u w:val="single" w:color="auto"/>
          <w:color w:val="0000FF"/>
        </w:rPr>
        <w:t>$34,281.00</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w:t>
      </w:r>
      <w:r>
        <w:rPr>
          <w:rFonts w:ascii="Calibri" w:cs="Calibri" w:eastAsia="Calibri" w:hAnsi="Calibri"/>
          <w:sz w:val="11"/>
          <w:szCs w:val="11"/>
          <w:b w:val="1"/>
          <w:bCs w:val="1"/>
          <w:color w:val="auto"/>
        </w:rPr>
        <w:t>Security Deposit</w:t>
      </w:r>
      <w:r>
        <w:rPr>
          <w:rFonts w:ascii="Calibri" w:cs="Calibri" w:eastAsia="Calibri" w:hAnsi="Calibri"/>
          <w:sz w:val="11"/>
          <w:szCs w:val="11"/>
          <w:color w:val="auto"/>
        </w:rPr>
        <w:t>"). (See also Paragraph 5</w:t>
      </w:r>
      <w:r>
        <w:rPr>
          <w:rFonts w:ascii="Calibri" w:cs="Calibri" w:eastAsia="Calibri" w:hAnsi="Calibri"/>
          <w:sz w:val="11"/>
          <w:szCs w:val="11"/>
          <w:b w:val="1"/>
          <w:bCs w:val="1"/>
          <w:color w:val="auto"/>
        </w:rPr>
        <w:t xml:space="preserve"> </w:t>
      </w:r>
      <w:r>
        <w:rPr>
          <w:rFonts w:ascii="Calibri" w:cs="Calibri" w:eastAsia="Calibri" w:hAnsi="Calibri"/>
          <w:sz w:val="11"/>
          <w:szCs w:val="11"/>
          <w:color w:val="FF0000"/>
        </w:rPr>
        <w:t>&amp; 60</w:t>
      </w:r>
      <w:r>
        <w:rPr>
          <w:rFonts w:ascii="Calibri" w:cs="Calibri" w:eastAsia="Calibri" w:hAnsi="Calibri"/>
          <w:sz w:val="11"/>
          <w:szCs w:val="11"/>
          <w:color w:val="auto"/>
        </w:rPr>
        <w:t>)</w:t>
      </w:r>
    </w:p>
    <w:p>
      <w:pPr>
        <w:spacing w:after="0" w:line="16" w:lineRule="exact"/>
        <w:rPr>
          <w:sz w:val="20"/>
          <w:szCs w:val="20"/>
          <w:color w:val="auto"/>
        </w:rPr>
      </w:pPr>
    </w:p>
    <w:p>
      <w:pPr>
        <w:ind w:left="1140"/>
        <w:spacing w:after="0"/>
        <w:tabs>
          <w:tab w:leader="none" w:pos="2180" w:val="left"/>
          <w:tab w:leader="none" w:pos="3000" w:val="left"/>
        </w:tabs>
        <w:rPr>
          <w:sz w:val="20"/>
          <w:szCs w:val="20"/>
          <w:color w:val="auto"/>
        </w:rPr>
      </w:pPr>
      <w:r>
        <w:rPr>
          <w:rFonts w:ascii="Calibri" w:cs="Calibri" w:eastAsia="Calibri" w:hAnsi="Calibri"/>
          <w:sz w:val="11"/>
          <w:szCs w:val="11"/>
          <w:b w:val="1"/>
          <w:bCs w:val="1"/>
          <w:color w:val="auto"/>
        </w:rPr>
        <w:t>(c) Associaton Fees</w:t>
      </w:r>
      <w:r>
        <w:rPr>
          <w:rFonts w:ascii="Calibri" w:cs="Calibri" w:eastAsia="Calibri" w:hAnsi="Calibri"/>
          <w:sz w:val="11"/>
          <w:szCs w:val="11"/>
          <w:color w:val="auto"/>
        </w:rPr>
        <w:t>:</w:t>
      </w:r>
      <w:r>
        <w:rPr>
          <w:sz w:val="20"/>
          <w:szCs w:val="20"/>
          <w:color w:val="auto"/>
        </w:rPr>
        <w:tab/>
      </w:r>
      <w:r>
        <w:rPr>
          <w:rFonts w:ascii="Calibri" w:cs="Calibri" w:eastAsia="Calibri" w:hAnsi="Calibri"/>
          <w:sz w:val="11"/>
          <w:szCs w:val="11"/>
          <w:color w:val="auto"/>
        </w:rPr>
        <w:t>for the period</w:t>
      </w:r>
      <w:r>
        <w:rPr>
          <w:sz w:val="20"/>
          <w:szCs w:val="20"/>
          <w:color w:val="auto"/>
        </w:rPr>
        <w:tab/>
      </w:r>
      <w:r>
        <w:rPr>
          <w:rFonts w:ascii="Calibri" w:cs="Calibri" w:eastAsia="Calibri" w:hAnsi="Calibri"/>
          <w:sz w:val="7"/>
          <w:szCs w:val="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-8890</wp:posOffset>
            </wp:positionV>
            <wp:extent cx="84455"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4455" cy="6985"/>
                    </a:xfrm>
                    <a:prstGeom prst="rect">
                      <a:avLst/>
                    </a:prstGeom>
                    <a:noFill/>
                  </pic:spPr>
                </pic:pic>
              </a:graphicData>
            </a:graphic>
          </wp:anchor>
        </w:drawing>
      </w:r>
    </w:p>
    <w:p>
      <w:pPr>
        <w:ind w:left="1300" w:hanging="153"/>
        <w:spacing w:after="0"/>
        <w:tabs>
          <w:tab w:leader="none" w:pos="1300" w:val="left"/>
        </w:tabs>
        <w:numPr>
          <w:ilvl w:val="0"/>
          <w:numId w:val="4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Other: </w:t>
      </w:r>
      <w:r>
        <w:rPr>
          <w:rFonts w:ascii="Calibri" w:cs="Calibri" w:eastAsia="Calibri" w:hAnsi="Calibri"/>
          <w:sz w:val="11"/>
          <w:szCs w:val="11"/>
          <w:u w:val="single" w:color="auto"/>
          <w:color w:val="0000FF"/>
        </w:rPr>
        <w:t>Operatng Expenses: $11,534.75</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for</w:t>
      </w:r>
      <w:r>
        <w:rPr>
          <w:rFonts w:ascii="Calibri" w:cs="Calibri" w:eastAsia="Calibri" w:hAnsi="Calibri"/>
          <w:sz w:val="11"/>
          <w:szCs w:val="11"/>
          <w:b w:val="1"/>
          <w:bCs w:val="1"/>
          <w:color w:val="auto"/>
        </w:rPr>
        <w:t xml:space="preserve"> </w:t>
      </w:r>
      <w:r>
        <w:rPr>
          <w:rFonts w:ascii="Calibri" w:cs="Calibri" w:eastAsia="Calibri" w:hAnsi="Calibri"/>
          <w:sz w:val="11"/>
          <w:szCs w:val="11"/>
          <w:color w:val="0000FF"/>
        </w:rPr>
        <w:t>the period of June 1, 2024 - June 30 , 2024.(See also Paragraph 54)</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w:t>
      </w:r>
    </w:p>
    <w:p>
      <w:pPr>
        <w:spacing w:after="0" w:line="27" w:lineRule="exact"/>
        <w:rPr>
          <w:rFonts w:ascii="Calibri" w:cs="Calibri" w:eastAsia="Calibri" w:hAnsi="Calibri"/>
          <w:sz w:val="11"/>
          <w:szCs w:val="11"/>
          <w:b w:val="1"/>
          <w:bCs w:val="1"/>
          <w:color w:val="auto"/>
        </w:rPr>
      </w:pPr>
    </w:p>
    <w:p>
      <w:pPr>
        <w:ind w:left="1300" w:hanging="153"/>
        <w:spacing w:after="0"/>
        <w:tabs>
          <w:tab w:leader="none" w:pos="1300" w:val="left"/>
        </w:tabs>
        <w:numPr>
          <w:ilvl w:val="0"/>
          <w:numId w:val="4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Total Due Upon Executon of this Lease: </w:t>
      </w:r>
      <w:r>
        <w:rPr>
          <w:rFonts w:ascii="Calibri" w:cs="Calibri" w:eastAsia="Calibri" w:hAnsi="Calibri"/>
          <w:sz w:val="11"/>
          <w:szCs w:val="11"/>
          <w:u w:val="single" w:color="auto"/>
          <w:color w:val="0000FF"/>
        </w:rPr>
        <w:t>$87,394.50</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2126615</wp:posOffset>
            </wp:positionH>
            <wp:positionV relativeFrom="paragraph">
              <wp:posOffset>-111760</wp:posOffset>
            </wp:positionV>
            <wp:extent cx="1979295"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979295" cy="6985"/>
                    </a:xfrm>
                    <a:prstGeom prst="rect">
                      <a:avLst/>
                    </a:prstGeom>
                    <a:noFill/>
                  </pic:spPr>
                </pic:pic>
              </a:graphicData>
            </a:graphic>
          </wp:anchor>
        </w:drawing>
      </w:r>
    </w:p>
    <w:p>
      <w:pPr>
        <w:ind w:left="880"/>
        <w:spacing w:after="0"/>
        <w:rPr>
          <w:sz w:val="20"/>
          <w:szCs w:val="20"/>
          <w:color w:val="auto"/>
        </w:rPr>
      </w:pPr>
      <w:r>
        <w:rPr>
          <w:rFonts w:ascii="Calibri" w:cs="Calibri" w:eastAsia="Calibri" w:hAnsi="Calibri"/>
          <w:sz w:val="11"/>
          <w:szCs w:val="11"/>
          <w:color w:val="auto"/>
        </w:rPr>
        <w:t xml:space="preserve">1.7 </w:t>
      </w:r>
      <w:r>
        <w:rPr>
          <w:rFonts w:ascii="Calibri" w:cs="Calibri" w:eastAsia="Calibri" w:hAnsi="Calibri"/>
          <w:sz w:val="11"/>
          <w:szCs w:val="11"/>
          <w:b w:val="1"/>
          <w:bCs w:val="1"/>
          <w:color w:val="auto"/>
        </w:rPr>
        <w:t>Agreed Use</w:t>
      </w:r>
      <w:r>
        <w:rPr>
          <w:rFonts w:ascii="Calibri" w:cs="Calibri" w:eastAsia="Calibri" w:hAnsi="Calibri"/>
          <w:sz w:val="11"/>
          <w:szCs w:val="11"/>
          <w:color w:val="auto"/>
        </w:rPr>
        <w:t xml:space="preserve">: </w:t>
      </w:r>
      <w:r>
        <w:rPr>
          <w:rFonts w:ascii="Calibri" w:cs="Calibri" w:eastAsia="Calibri" w:hAnsi="Calibri"/>
          <w:sz w:val="11"/>
          <w:szCs w:val="11"/>
          <w:u w:val="single" w:color="auto"/>
          <w:color w:val="0000FF"/>
        </w:rPr>
        <w:t>Ofce / Warehouse / Lab</w:t>
      </w:r>
      <w:r>
        <w:rPr>
          <w:rFonts w:ascii="Calibri" w:cs="Calibri" w:eastAsia="Calibri" w:hAnsi="Calibri"/>
          <w:sz w:val="11"/>
          <w:szCs w:val="11"/>
          <w:color w:val="auto"/>
        </w:rPr>
        <w:t xml:space="preserve"> . (See also Paragraph 6)</w:t>
      </w:r>
    </w:p>
    <w:p>
      <w:pPr>
        <w:spacing w:after="0" w:line="16" w:lineRule="exact"/>
        <w:rPr>
          <w:sz w:val="20"/>
          <w:szCs w:val="20"/>
          <w:color w:val="auto"/>
        </w:rPr>
      </w:pPr>
    </w:p>
    <w:p>
      <w:pPr>
        <w:ind w:left="880"/>
        <w:spacing w:after="0"/>
        <w:rPr>
          <w:sz w:val="20"/>
          <w:szCs w:val="20"/>
          <w:color w:val="auto"/>
        </w:rPr>
      </w:pPr>
      <w:r>
        <w:rPr>
          <w:rFonts w:ascii="Calibri" w:cs="Calibri" w:eastAsia="Calibri" w:hAnsi="Calibri"/>
          <w:sz w:val="11"/>
          <w:szCs w:val="11"/>
          <w:color w:val="auto"/>
        </w:rPr>
        <w:t xml:space="preserve">1.8 </w:t>
      </w:r>
      <w:r>
        <w:rPr>
          <w:rFonts w:ascii="Calibri" w:cs="Calibri" w:eastAsia="Calibri" w:hAnsi="Calibri"/>
          <w:sz w:val="11"/>
          <w:szCs w:val="11"/>
          <w:b w:val="1"/>
          <w:bCs w:val="1"/>
          <w:color w:val="auto"/>
        </w:rPr>
        <w:t>Insuring Party.</w:t>
      </w:r>
      <w:r>
        <w:rPr>
          <w:rFonts w:ascii="Calibri" w:cs="Calibri" w:eastAsia="Calibri" w:hAnsi="Calibri"/>
          <w:sz w:val="11"/>
          <w:szCs w:val="11"/>
          <w:color w:val="auto"/>
        </w:rPr>
        <w:t xml:space="preserve"> Lessor is the "</w:t>
      </w:r>
      <w:r>
        <w:rPr>
          <w:rFonts w:ascii="Calibri" w:cs="Calibri" w:eastAsia="Calibri" w:hAnsi="Calibri"/>
          <w:sz w:val="11"/>
          <w:szCs w:val="11"/>
          <w:b w:val="1"/>
          <w:bCs w:val="1"/>
          <w:color w:val="auto"/>
        </w:rPr>
        <w:t>Insuring Party</w:t>
      </w:r>
      <w:r>
        <w:rPr>
          <w:rFonts w:ascii="Calibri" w:cs="Calibri" w:eastAsia="Calibri" w:hAnsi="Calibri"/>
          <w:sz w:val="11"/>
          <w:szCs w:val="11"/>
          <w:color w:val="auto"/>
        </w:rPr>
        <w:t>" unless otherwise stated herein. (See also Paragraph 8)</w:t>
      </w:r>
    </w:p>
    <w:p>
      <w:pPr>
        <w:spacing w:after="0" w:line="27" w:lineRule="exact"/>
        <w:rPr>
          <w:sz w:val="20"/>
          <w:szCs w:val="20"/>
          <w:color w:val="auto"/>
        </w:rPr>
      </w:pPr>
    </w:p>
    <w:p>
      <w:pPr>
        <w:ind w:left="880"/>
        <w:spacing w:after="0"/>
        <w:rPr>
          <w:sz w:val="20"/>
          <w:szCs w:val="20"/>
          <w:color w:val="auto"/>
        </w:rPr>
      </w:pPr>
      <w:r>
        <w:rPr>
          <w:rFonts w:ascii="Calibri" w:cs="Calibri" w:eastAsia="Calibri" w:hAnsi="Calibri"/>
          <w:sz w:val="11"/>
          <w:szCs w:val="11"/>
          <w:color w:val="auto"/>
        </w:rPr>
        <w:t xml:space="preserve">1.9 </w:t>
      </w:r>
      <w:r>
        <w:rPr>
          <w:rFonts w:ascii="Calibri" w:cs="Calibri" w:eastAsia="Calibri" w:hAnsi="Calibri"/>
          <w:sz w:val="11"/>
          <w:szCs w:val="11"/>
          <w:b w:val="1"/>
          <w:bCs w:val="1"/>
          <w:color w:val="auto"/>
        </w:rPr>
        <w:t>Real Estate Brokers.</w:t>
      </w:r>
      <w:r>
        <w:rPr>
          <w:rFonts w:ascii="Calibri" w:cs="Calibri" w:eastAsia="Calibri" w:hAnsi="Calibri"/>
          <w:sz w:val="11"/>
          <w:szCs w:val="11"/>
          <w:color w:val="auto"/>
        </w:rPr>
        <w:t xml:space="preserve"> (See also Paragraph 15 and 25)</w:t>
      </w:r>
    </w:p>
    <w:p>
      <w:pPr>
        <w:spacing w:after="0" w:line="16" w:lineRule="exact"/>
        <w:rPr>
          <w:sz w:val="20"/>
          <w:szCs w:val="20"/>
          <w:color w:val="auto"/>
        </w:rPr>
      </w:pPr>
    </w:p>
    <w:p>
      <w:pPr>
        <w:ind w:left="640" w:right="899" w:firstLine="507"/>
        <w:spacing w:after="0" w:line="246" w:lineRule="auto"/>
        <w:tabs>
          <w:tab w:leader="none" w:pos="1310" w:val="left"/>
        </w:tabs>
        <w:numPr>
          <w:ilvl w:val="0"/>
          <w:numId w:val="47"/>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Representaton</w:t>
      </w:r>
      <w:r>
        <w:rPr>
          <w:rFonts w:ascii="Calibri" w:cs="Calibri" w:eastAsia="Calibri" w:hAnsi="Calibri"/>
          <w:sz w:val="11"/>
          <w:szCs w:val="11"/>
          <w:color w:val="auto"/>
        </w:rPr>
        <w:t>: Each Party acknowledges receiving a Disclosure Regarding Real Estate Agency Relatonship, confirms and consents to the following</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agency relatonships in this Lease with the following real estate brokers ("</w:t>
      </w:r>
      <w:r>
        <w:rPr>
          <w:rFonts w:ascii="Calibri" w:cs="Calibri" w:eastAsia="Calibri" w:hAnsi="Calibri"/>
          <w:sz w:val="11"/>
          <w:szCs w:val="11"/>
          <w:b w:val="1"/>
          <w:bCs w:val="1"/>
          <w:color w:val="auto"/>
        </w:rPr>
        <w:t>Broker(s)</w:t>
      </w:r>
      <w:r>
        <w:rPr>
          <w:rFonts w:ascii="Calibri" w:cs="Calibri" w:eastAsia="Calibri" w:hAnsi="Calibri"/>
          <w:sz w:val="11"/>
          <w:szCs w:val="11"/>
          <w:color w:val="auto"/>
        </w:rPr>
        <w:t>") and/or their agents ("Agent(s)"):</w:t>
      </w:r>
    </w:p>
    <w:p>
      <w:pPr>
        <w:ind w:left="880"/>
        <w:spacing w:after="0" w:line="135" w:lineRule="exact"/>
        <w:rPr>
          <w:rFonts w:ascii="Calibri" w:cs="Calibri" w:eastAsia="Calibri" w:hAnsi="Calibri"/>
          <w:sz w:val="11"/>
          <w:szCs w:val="11"/>
          <w:b w:val="1"/>
          <w:bCs w:val="1"/>
          <w:color w:val="auto"/>
        </w:rPr>
      </w:pPr>
      <w:r>
        <w:rPr>
          <w:rFonts w:ascii="Calibri" w:cs="Calibri" w:eastAsia="Calibri" w:hAnsi="Calibri"/>
          <w:sz w:val="11"/>
          <w:szCs w:val="11"/>
          <w:color w:val="auto"/>
        </w:rPr>
        <w:t xml:space="preserve">Lessor's Brokerage Firm </w:t>
      </w:r>
      <w:r>
        <w:rPr>
          <w:rFonts w:ascii="Calibri" w:cs="Calibri" w:eastAsia="Calibri" w:hAnsi="Calibri"/>
          <w:sz w:val="11"/>
          <w:szCs w:val="11"/>
          <w:u w:val="single" w:color="auto"/>
          <w:color w:val="0000FF"/>
        </w:rPr>
        <w:t>CBRE, Inc.</w:t>
      </w:r>
      <w:r>
        <w:rPr>
          <w:rFonts w:ascii="Calibri" w:cs="Calibri" w:eastAsia="Calibri" w:hAnsi="Calibri"/>
          <w:sz w:val="11"/>
          <w:szCs w:val="11"/>
          <w:color w:val="auto"/>
        </w:rPr>
        <w:t xml:space="preserve"> License No. </w:t>
      </w:r>
      <w:r>
        <w:rPr>
          <w:rFonts w:ascii="Calibri" w:cs="Calibri" w:eastAsia="Calibri" w:hAnsi="Calibri"/>
          <w:sz w:val="11"/>
          <w:szCs w:val="11"/>
          <w:u w:val="single" w:color="auto"/>
          <w:color w:val="0000FF"/>
        </w:rPr>
        <w:t>00409987</w:t>
      </w:r>
      <w:r>
        <w:rPr>
          <w:rFonts w:ascii="Calibri" w:cs="Calibri" w:eastAsia="Calibri" w:hAnsi="Calibri"/>
          <w:sz w:val="11"/>
          <w:szCs w:val="11"/>
          <w:color w:val="auto"/>
        </w:rPr>
        <w:t xml:space="preserve"> Is the broker of (check one): </w:t>
      </w:r>
      <w:r>
        <w:rPr>
          <w:rFonts w:ascii="MS PGothic" w:cs="MS PGothic" w:eastAsia="MS PGothic" w:hAnsi="MS PGothic"/>
          <w:sz w:val="11"/>
          <w:szCs w:val="11"/>
          <w:color w:val="0000FF"/>
        </w:rPr>
        <w:t>☑</w:t>
      </w:r>
      <w:r>
        <w:rPr>
          <w:rFonts w:ascii="Calibri" w:cs="Calibri" w:eastAsia="Calibri" w:hAnsi="Calibri"/>
          <w:sz w:val="11"/>
          <w:szCs w:val="11"/>
          <w:color w:val="auto"/>
        </w:rPr>
        <w:t xml:space="preserve"> the Lessor; or </w:t>
      </w:r>
      <w:r>
        <w:rPr>
          <w:rFonts w:ascii="MS PGothic" w:cs="MS PGothic" w:eastAsia="MS PGothic" w:hAnsi="MS PGothic"/>
          <w:sz w:val="11"/>
          <w:szCs w:val="11"/>
          <w:color w:val="0000FF"/>
        </w:rPr>
        <w:t>☐</w:t>
      </w:r>
      <w:r>
        <w:rPr>
          <w:rFonts w:ascii="Calibri" w:cs="Calibri" w:eastAsia="Calibri" w:hAnsi="Calibri"/>
          <w:sz w:val="11"/>
          <w:szCs w:val="11"/>
          <w:color w:val="auto"/>
        </w:rPr>
        <w:t xml:space="preserve"> both the Lessee and Lessor (dual agent).</w:t>
      </w:r>
    </w:p>
    <w:p>
      <w:pPr>
        <w:spacing w:after="0" w:line="51" w:lineRule="exact"/>
        <w:rPr>
          <w:sz w:val="20"/>
          <w:szCs w:val="20"/>
          <w:color w:val="auto"/>
        </w:rPr>
      </w:pPr>
    </w:p>
    <w:p>
      <w:pPr>
        <w:ind w:left="640" w:right="779" w:firstLine="258"/>
        <w:spacing w:after="0" w:line="144" w:lineRule="exact"/>
        <w:rPr>
          <w:sz w:val="20"/>
          <w:szCs w:val="20"/>
          <w:color w:val="auto"/>
        </w:rPr>
      </w:pPr>
      <w:r>
        <w:rPr>
          <w:rFonts w:ascii="Calibri" w:cs="Calibri" w:eastAsia="Calibri" w:hAnsi="Calibri"/>
          <w:sz w:val="11"/>
          <w:szCs w:val="11"/>
          <w:color w:val="auto"/>
        </w:rPr>
        <w:t xml:space="preserve">Lessor's Agent </w:t>
      </w:r>
      <w:r>
        <w:rPr>
          <w:rFonts w:ascii="Calibri" w:cs="Calibri" w:eastAsia="Calibri" w:hAnsi="Calibri"/>
          <w:sz w:val="11"/>
          <w:szCs w:val="11"/>
          <w:u w:val="single" w:color="auto"/>
          <w:color w:val="0000FF"/>
        </w:rPr>
        <w:t>Keith Black</w:t>
      </w:r>
      <w:r>
        <w:rPr>
          <w:rFonts w:ascii="Calibri" w:cs="Calibri" w:eastAsia="Calibri" w:hAnsi="Calibri"/>
          <w:sz w:val="11"/>
          <w:szCs w:val="11"/>
          <w:color w:val="auto"/>
        </w:rPr>
        <w:t xml:space="preserve"> License No. </w:t>
      </w:r>
      <w:r>
        <w:rPr>
          <w:rFonts w:ascii="Calibri" w:cs="Calibri" w:eastAsia="Calibri" w:hAnsi="Calibri"/>
          <w:sz w:val="11"/>
          <w:szCs w:val="11"/>
          <w:u w:val="single" w:color="auto"/>
          <w:color w:val="0000FF"/>
        </w:rPr>
        <w:t>01266477</w:t>
      </w:r>
      <w:r>
        <w:rPr>
          <w:rFonts w:ascii="Calibri" w:cs="Calibri" w:eastAsia="Calibri" w:hAnsi="Calibri"/>
          <w:sz w:val="11"/>
          <w:szCs w:val="11"/>
          <w:color w:val="auto"/>
        </w:rPr>
        <w:t xml:space="preserve"> is (check one): </w:t>
      </w:r>
      <w:r>
        <w:rPr>
          <w:rFonts w:ascii="MS PGothic" w:cs="MS PGothic" w:eastAsia="MS PGothic" w:hAnsi="MS PGothic"/>
          <w:sz w:val="11"/>
          <w:szCs w:val="11"/>
          <w:color w:val="0000FF"/>
        </w:rPr>
        <w:t>☑</w:t>
      </w:r>
      <w:r>
        <w:rPr>
          <w:rFonts w:ascii="Calibri" w:cs="Calibri" w:eastAsia="Calibri" w:hAnsi="Calibri"/>
          <w:sz w:val="11"/>
          <w:szCs w:val="11"/>
          <w:color w:val="auto"/>
        </w:rPr>
        <w:t xml:space="preserve"> the Lessor's Agent (salesperson or broker associate); or </w:t>
      </w:r>
      <w:r>
        <w:rPr>
          <w:rFonts w:ascii="MS PGothic" w:cs="MS PGothic" w:eastAsia="MS PGothic" w:hAnsi="MS PGothic"/>
          <w:sz w:val="11"/>
          <w:szCs w:val="11"/>
          <w:color w:val="0000FF"/>
        </w:rPr>
        <w:t>☐</w:t>
      </w:r>
      <w:r>
        <w:rPr>
          <w:rFonts w:ascii="Calibri" w:cs="Calibri" w:eastAsia="Calibri" w:hAnsi="Calibri"/>
          <w:sz w:val="11"/>
          <w:szCs w:val="11"/>
          <w:color w:val="auto"/>
        </w:rPr>
        <w:t xml:space="preserve"> both the Lessee's Agent and the Lessor's Agent (dual agent).</w:t>
      </w:r>
    </w:p>
    <w:p>
      <w:pPr>
        <w:ind w:left="880"/>
        <w:spacing w:after="0" w:line="135" w:lineRule="exact"/>
        <w:rPr>
          <w:sz w:val="20"/>
          <w:szCs w:val="20"/>
          <w:color w:val="auto"/>
        </w:rPr>
      </w:pPr>
      <w:r>
        <w:rPr>
          <w:rFonts w:ascii="Calibri" w:cs="Calibri" w:eastAsia="Calibri" w:hAnsi="Calibri"/>
          <w:sz w:val="11"/>
          <w:szCs w:val="11"/>
          <w:color w:val="auto"/>
        </w:rPr>
        <w:t xml:space="preserve">Lessee's Brokerage Firm </w:t>
      </w:r>
      <w:r>
        <w:rPr>
          <w:rFonts w:ascii="Calibri" w:cs="Calibri" w:eastAsia="Calibri" w:hAnsi="Calibri"/>
          <w:sz w:val="11"/>
          <w:szCs w:val="11"/>
          <w:color w:val="0000FF"/>
        </w:rPr>
        <w:t>Lee &amp; Associates</w:t>
      </w:r>
      <w:r>
        <w:rPr>
          <w:rFonts w:ascii="Calibri" w:cs="Calibri" w:eastAsia="Calibri" w:hAnsi="Calibri"/>
          <w:sz w:val="11"/>
          <w:szCs w:val="11"/>
          <w:color w:val="auto"/>
        </w:rPr>
        <w:t xml:space="preserve"> License No. </w:t>
      </w:r>
      <w:r>
        <w:rPr>
          <w:rFonts w:ascii="Calibri" w:cs="Calibri" w:eastAsia="Calibri" w:hAnsi="Calibri"/>
          <w:sz w:val="11"/>
          <w:szCs w:val="11"/>
          <w:u w:val="single" w:color="auto"/>
          <w:color w:val="0000FF"/>
        </w:rPr>
        <w:t>01044791</w:t>
      </w:r>
      <w:r>
        <w:rPr>
          <w:rFonts w:ascii="Calibri" w:cs="Calibri" w:eastAsia="Calibri" w:hAnsi="Calibri"/>
          <w:sz w:val="11"/>
          <w:szCs w:val="11"/>
          <w:color w:val="auto"/>
        </w:rPr>
        <w:t xml:space="preserve"> Is the broker of (check one): </w:t>
      </w:r>
      <w:r>
        <w:rPr>
          <w:rFonts w:ascii="MS PGothic" w:cs="MS PGothic" w:eastAsia="MS PGothic" w:hAnsi="MS PGothic"/>
          <w:sz w:val="11"/>
          <w:szCs w:val="11"/>
          <w:color w:val="0000FF"/>
        </w:rPr>
        <w:t>☑</w:t>
      </w:r>
      <w:r>
        <w:rPr>
          <w:rFonts w:ascii="Calibri" w:cs="Calibri" w:eastAsia="Calibri" w:hAnsi="Calibri"/>
          <w:sz w:val="11"/>
          <w:szCs w:val="11"/>
          <w:color w:val="auto"/>
        </w:rPr>
        <w:t xml:space="preserve"> the Lessee; or </w:t>
      </w:r>
      <w:r>
        <w:rPr>
          <w:rFonts w:ascii="MS PGothic" w:cs="MS PGothic" w:eastAsia="MS PGothic" w:hAnsi="MS PGothic"/>
          <w:sz w:val="11"/>
          <w:szCs w:val="11"/>
          <w:color w:val="0000FF"/>
        </w:rPr>
        <w:t>☐</w:t>
      </w:r>
      <w:r>
        <w:rPr>
          <w:rFonts w:ascii="Calibri" w:cs="Calibri" w:eastAsia="Calibri" w:hAnsi="Calibri"/>
          <w:sz w:val="11"/>
          <w:szCs w:val="11"/>
          <w:color w:val="auto"/>
        </w:rPr>
        <w:t xml:space="preserve"> both the Lessee and Lessor (dual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1285875</wp:posOffset>
            </wp:positionH>
            <wp:positionV relativeFrom="paragraph">
              <wp:posOffset>6350</wp:posOffset>
            </wp:positionV>
            <wp:extent cx="50927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09270" cy="6985"/>
                    </a:xfrm>
                    <a:prstGeom prst="rect">
                      <a:avLst/>
                    </a:prstGeom>
                    <a:noFill/>
                  </pic:spPr>
                </pic:pic>
              </a:graphicData>
            </a:graphic>
          </wp:anchor>
        </w:drawing>
      </w:r>
    </w:p>
    <w:p>
      <w:pPr>
        <w:spacing w:after="0" w:line="31" w:lineRule="exact"/>
        <w:rPr>
          <w:sz w:val="20"/>
          <w:szCs w:val="20"/>
          <w:color w:val="auto"/>
        </w:rPr>
      </w:pPr>
    </w:p>
    <w:p>
      <w:pPr>
        <w:ind w:left="640" w:right="799" w:firstLine="258"/>
        <w:spacing w:after="0" w:line="139" w:lineRule="exact"/>
        <w:rPr>
          <w:sz w:val="20"/>
          <w:szCs w:val="20"/>
          <w:color w:val="auto"/>
        </w:rPr>
      </w:pPr>
      <w:r>
        <w:rPr>
          <w:rFonts w:ascii="Calibri" w:cs="Calibri" w:eastAsia="Calibri" w:hAnsi="Calibri"/>
          <w:sz w:val="11"/>
          <w:szCs w:val="11"/>
          <w:color w:val="auto"/>
        </w:rPr>
        <w:t xml:space="preserve">Lessee's Agent </w:t>
      </w:r>
      <w:r>
        <w:rPr>
          <w:rFonts w:ascii="Calibri" w:cs="Calibri" w:eastAsia="Calibri" w:hAnsi="Calibri"/>
          <w:sz w:val="11"/>
          <w:szCs w:val="11"/>
          <w:u w:val="single" w:color="auto"/>
          <w:color w:val="0000FF"/>
        </w:rPr>
        <w:t>Guy Laferrara</w:t>
      </w:r>
      <w:r>
        <w:rPr>
          <w:rFonts w:ascii="Calibri" w:cs="Calibri" w:eastAsia="Calibri" w:hAnsi="Calibri"/>
          <w:sz w:val="11"/>
          <w:szCs w:val="11"/>
          <w:color w:val="auto"/>
        </w:rPr>
        <w:t xml:space="preserve"> License No. </w:t>
      </w:r>
      <w:r>
        <w:rPr>
          <w:rFonts w:ascii="Calibri" w:cs="Calibri" w:eastAsia="Calibri" w:hAnsi="Calibri"/>
          <w:sz w:val="11"/>
          <w:szCs w:val="11"/>
          <w:u w:val="single" w:color="auto"/>
          <w:color w:val="0000FF"/>
        </w:rPr>
        <w:t>01012355</w:t>
      </w:r>
      <w:r>
        <w:rPr>
          <w:rFonts w:ascii="Calibri" w:cs="Calibri" w:eastAsia="Calibri" w:hAnsi="Calibri"/>
          <w:sz w:val="11"/>
          <w:szCs w:val="11"/>
          <w:color w:val="auto"/>
        </w:rPr>
        <w:t xml:space="preserve"> is (check one): </w:t>
      </w:r>
      <w:r>
        <w:rPr>
          <w:rFonts w:ascii="MS PGothic" w:cs="MS PGothic" w:eastAsia="MS PGothic" w:hAnsi="MS PGothic"/>
          <w:sz w:val="11"/>
          <w:szCs w:val="11"/>
          <w:color w:val="0000FF"/>
        </w:rPr>
        <w:t>☑</w:t>
      </w:r>
      <w:r>
        <w:rPr>
          <w:rFonts w:ascii="Calibri" w:cs="Calibri" w:eastAsia="Calibri" w:hAnsi="Calibri"/>
          <w:sz w:val="11"/>
          <w:szCs w:val="11"/>
          <w:color w:val="auto"/>
        </w:rPr>
        <w:t xml:space="preserve"> the Lessee's Agent (salesperson or broker associate); or </w:t>
      </w:r>
      <w:r>
        <w:rPr>
          <w:rFonts w:ascii="MS PGothic" w:cs="MS PGothic" w:eastAsia="MS PGothic" w:hAnsi="MS PGothic"/>
          <w:sz w:val="11"/>
          <w:szCs w:val="11"/>
          <w:color w:val="0000FF"/>
        </w:rPr>
        <w:t>☐</w:t>
      </w:r>
      <w:r>
        <w:rPr>
          <w:rFonts w:ascii="Calibri" w:cs="Calibri" w:eastAsia="Calibri" w:hAnsi="Calibri"/>
          <w:sz w:val="11"/>
          <w:szCs w:val="11"/>
          <w:color w:val="auto"/>
        </w:rPr>
        <w:t xml:space="preserve"> both the Lessee's Agent and the Lessor's Agent (dual agent).</w:t>
      </w:r>
    </w:p>
    <w:p>
      <w:pPr>
        <w:spacing w:after="0" w:line="26" w:lineRule="exact"/>
        <w:rPr>
          <w:sz w:val="20"/>
          <w:szCs w:val="20"/>
          <w:color w:val="auto"/>
        </w:rPr>
      </w:pPr>
    </w:p>
    <w:p>
      <w:pPr>
        <w:jc w:val="both"/>
        <w:ind w:left="640" w:right="639" w:firstLine="516"/>
        <w:spacing w:after="0" w:line="251" w:lineRule="auto"/>
        <w:rPr>
          <w:sz w:val="20"/>
          <w:szCs w:val="20"/>
          <w:color w:val="auto"/>
        </w:rPr>
      </w:pPr>
      <w:r>
        <w:rPr>
          <w:rFonts w:ascii="Calibri" w:cs="Calibri" w:eastAsia="Calibri" w:hAnsi="Calibri"/>
          <w:sz w:val="11"/>
          <w:szCs w:val="11"/>
          <w:color w:val="auto"/>
        </w:rPr>
        <w:t xml:space="preserve">(b) </w:t>
      </w:r>
      <w:r>
        <w:rPr>
          <w:rFonts w:ascii="Calibri" w:cs="Calibri" w:eastAsia="Calibri" w:hAnsi="Calibri"/>
          <w:sz w:val="11"/>
          <w:szCs w:val="11"/>
          <w:b w:val="1"/>
          <w:bCs w:val="1"/>
          <w:color w:val="auto"/>
        </w:rPr>
        <w:t>Payment to Brokers.</w:t>
      </w:r>
      <w:r>
        <w:rPr>
          <w:rFonts w:ascii="Calibri" w:cs="Calibri" w:eastAsia="Calibri" w:hAnsi="Calibri"/>
          <w:sz w:val="11"/>
          <w:szCs w:val="11"/>
          <w:color w:val="auto"/>
        </w:rPr>
        <w:t xml:space="preserve"> Upon executon and delivery of this Lease by both Partes, Lessor shall pay to the Brokers the brokerage fee agreed to in a separate writen agreement (or if there is no such agreement, the sum of or </w:t>
      </w:r>
      <w:r>
        <w:rPr>
          <w:rFonts w:ascii="Calibri" w:cs="Calibri" w:eastAsia="Calibri" w:hAnsi="Calibri"/>
          <w:sz w:val="11"/>
          <w:szCs w:val="11"/>
          <w:color w:val="0000FF"/>
        </w:rPr>
        <w:t>5</w:t>
      </w:r>
      <w:r>
        <w:rPr>
          <w:rFonts w:ascii="Calibri" w:cs="Calibri" w:eastAsia="Calibri" w:hAnsi="Calibri"/>
          <w:sz w:val="11"/>
          <w:szCs w:val="11"/>
          <w:color w:val="auto"/>
        </w:rPr>
        <w:t xml:space="preserve"> % of the total Base Rent) for the brokerage services rendered by the Brokers. </w:t>
      </w:r>
      <w:r>
        <w:rPr>
          <w:rFonts w:ascii="Georgia" w:cs="Georgia" w:eastAsia="Georgia" w:hAnsi="Georgia"/>
          <w:sz w:val="17"/>
          <w:szCs w:val="17"/>
          <w:color w:val="FF0000"/>
        </w:rPr>
        <w:t>(3% to</w:t>
      </w:r>
      <w:r>
        <w:rPr>
          <w:rFonts w:ascii="Calibri" w:cs="Calibri" w:eastAsia="Calibri" w:hAnsi="Calibri"/>
          <w:sz w:val="11"/>
          <w:szCs w:val="11"/>
          <w:color w:val="auto"/>
        </w:rPr>
        <w:t xml:space="preserve"> </w:t>
      </w:r>
      <w:r>
        <w:rPr>
          <w:rFonts w:ascii="Georgia" w:cs="Georgia" w:eastAsia="Georgia" w:hAnsi="Georgia"/>
          <w:sz w:val="17"/>
          <w:szCs w:val="17"/>
          <w:color w:val="FF0000"/>
        </w:rPr>
        <w:t>Lee &amp; Associates - Guy LaFerrara and 2% to CBRE - Keith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-149225</wp:posOffset>
            </wp:positionV>
            <wp:extent cx="40005"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-149225</wp:posOffset>
            </wp:positionV>
            <wp:extent cx="99695"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99695" cy="6985"/>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119"/>
        </w:trPr>
        <w:tc>
          <w:tcPr>
            <w:tcW w:w="220" w:type="dxa"/>
            <w:vAlign w:val="bottom"/>
          </w:tcPr>
          <w:p>
            <w:pPr>
              <w:spacing w:after="0" w:line="119" w:lineRule="exact"/>
              <w:rPr>
                <w:sz w:val="20"/>
                <w:szCs w:val="20"/>
                <w:color w:val="auto"/>
              </w:rPr>
            </w:pPr>
            <w:r>
              <w:rPr>
                <w:rFonts w:ascii="Calibri" w:cs="Calibri" w:eastAsia="Calibri" w:hAnsi="Calibri"/>
                <w:sz w:val="11"/>
                <w:szCs w:val="11"/>
                <w:color w:val="auto"/>
              </w:rPr>
              <w:t>1.10</w:t>
            </w:r>
          </w:p>
        </w:tc>
        <w:tc>
          <w:tcPr>
            <w:tcW w:w="5900" w:type="dxa"/>
            <w:vAlign w:val="bottom"/>
            <w:gridSpan w:val="7"/>
          </w:tcPr>
          <w:p>
            <w:pPr>
              <w:ind w:left="20"/>
              <w:spacing w:after="0" w:line="119" w:lineRule="exact"/>
              <w:rPr>
                <w:sz w:val="20"/>
                <w:szCs w:val="20"/>
                <w:color w:val="auto"/>
              </w:rPr>
            </w:pPr>
            <w:r>
              <w:rPr>
                <w:rFonts w:ascii="Calibri" w:cs="Calibri" w:eastAsia="Calibri" w:hAnsi="Calibri"/>
                <w:sz w:val="11"/>
                <w:szCs w:val="11"/>
                <w:b w:val="1"/>
                <w:bCs w:val="1"/>
                <w:color w:val="auto"/>
              </w:rPr>
              <w:t xml:space="preserve">Guarantor. </w:t>
            </w:r>
            <w:r>
              <w:rPr>
                <w:rFonts w:ascii="Calibri" w:cs="Calibri" w:eastAsia="Calibri" w:hAnsi="Calibri"/>
                <w:sz w:val="11"/>
                <w:szCs w:val="11"/>
                <w:color w:val="auto"/>
              </w:rPr>
              <w:t>The obligatons of the Lessee under this Lease are to be guaranteed by</w:t>
            </w:r>
            <w:r>
              <w:rPr>
                <w:rFonts w:ascii="Calibri" w:cs="Calibri" w:eastAsia="Calibri" w:hAnsi="Calibri"/>
                <w:sz w:val="11"/>
                <w:szCs w:val="11"/>
                <w:b w:val="1"/>
                <w:bCs w:val="1"/>
                <w:color w:val="auto"/>
              </w:rPr>
              <w:t xml:space="preserve"> </w:t>
            </w:r>
            <w:r>
              <w:rPr>
                <w:rFonts w:ascii="Calibri" w:cs="Calibri" w:eastAsia="Calibri" w:hAnsi="Calibri"/>
                <w:sz w:val="11"/>
                <w:szCs w:val="11"/>
                <w:color w:val="0000FF"/>
              </w:rPr>
              <w:t>N/A</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w:t>
            </w:r>
            <w:r>
              <w:rPr>
                <w:rFonts w:ascii="Calibri" w:cs="Calibri" w:eastAsia="Calibri" w:hAnsi="Calibri"/>
                <w:sz w:val="11"/>
                <w:szCs w:val="11"/>
                <w:b w:val="1"/>
                <w:bCs w:val="1"/>
                <w:color w:val="auto"/>
              </w:rPr>
              <w:t>Guarantor</w:t>
            </w:r>
            <w:r>
              <w:rPr>
                <w:rFonts w:ascii="Calibri" w:cs="Calibri" w:eastAsia="Calibri" w:hAnsi="Calibri"/>
                <w:sz w:val="11"/>
                <w:szCs w:val="11"/>
                <w:color w:val="auto"/>
              </w:rPr>
              <w:t>"). (See also Paragraph 37)</w:t>
            </w:r>
          </w:p>
        </w:tc>
      </w:tr>
      <w:tr>
        <w:trPr>
          <w:trHeight w:val="20"/>
        </w:trPr>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48"/>
        </w:trPr>
        <w:tc>
          <w:tcPr>
            <w:tcW w:w="220" w:type="dxa"/>
            <w:vAlign w:val="bottom"/>
          </w:tcPr>
          <w:p>
            <w:pPr>
              <w:spacing w:after="0"/>
              <w:rPr>
                <w:sz w:val="20"/>
                <w:szCs w:val="20"/>
                <w:color w:val="auto"/>
              </w:rPr>
            </w:pPr>
            <w:r>
              <w:rPr>
                <w:rFonts w:ascii="Calibri" w:cs="Calibri" w:eastAsia="Calibri" w:hAnsi="Calibri"/>
                <w:sz w:val="11"/>
                <w:szCs w:val="11"/>
                <w:color w:val="auto"/>
              </w:rPr>
              <w:t>1.11</w:t>
            </w:r>
          </w:p>
        </w:tc>
        <w:tc>
          <w:tcPr>
            <w:tcW w:w="5900" w:type="dxa"/>
            <w:vAlign w:val="bottom"/>
            <w:gridSpan w:val="7"/>
          </w:tcPr>
          <w:p>
            <w:pPr>
              <w:ind w:left="20"/>
              <w:spacing w:after="0"/>
              <w:rPr>
                <w:sz w:val="20"/>
                <w:szCs w:val="20"/>
                <w:color w:val="auto"/>
              </w:rPr>
            </w:pPr>
            <w:r>
              <w:rPr>
                <w:rFonts w:ascii="Calibri" w:cs="Calibri" w:eastAsia="Calibri" w:hAnsi="Calibri"/>
                <w:sz w:val="11"/>
                <w:szCs w:val="11"/>
                <w:b w:val="1"/>
                <w:bCs w:val="1"/>
                <w:color w:val="auto"/>
              </w:rPr>
              <w:t xml:space="preserve">Atachments. </w:t>
            </w:r>
            <w:r>
              <w:rPr>
                <w:rFonts w:ascii="Calibri" w:cs="Calibri" w:eastAsia="Calibri" w:hAnsi="Calibri"/>
                <w:sz w:val="11"/>
                <w:szCs w:val="11"/>
                <w:color w:val="auto"/>
              </w:rPr>
              <w:t>Atached hereto are the following, all of which consttute a part of this Lease:</w:t>
            </w:r>
          </w:p>
        </w:tc>
      </w:tr>
      <w:tr>
        <w:trPr>
          <w:trHeight w:val="155"/>
        </w:trPr>
        <w:tc>
          <w:tcPr>
            <w:tcW w:w="2280" w:type="dxa"/>
            <w:vAlign w:val="bottom"/>
            <w:gridSpan w:val="3"/>
          </w:tcPr>
          <w:p>
            <w:pPr>
              <w:spacing w:after="0" w:line="135" w:lineRule="exact"/>
              <w:rPr>
                <w:sz w:val="20"/>
                <w:szCs w:val="20"/>
                <w:color w:val="auto"/>
              </w:rPr>
            </w:pPr>
            <w:r>
              <w:rPr>
                <w:rFonts w:ascii="MS PGothic" w:cs="MS PGothic" w:eastAsia="MS PGothic" w:hAnsi="MS PGothic"/>
                <w:sz w:val="11"/>
                <w:szCs w:val="11"/>
                <w:color w:val="0000FF"/>
              </w:rPr>
              <w:t>☑</w:t>
            </w:r>
            <w:r>
              <w:rPr>
                <w:rFonts w:ascii="Calibri" w:cs="Calibri" w:eastAsia="Calibri" w:hAnsi="Calibri"/>
                <w:sz w:val="11"/>
                <w:szCs w:val="11"/>
                <w:color w:val="auto"/>
              </w:rPr>
              <w:t xml:space="preserve"> an Addendum consistng of Paragraphs </w:t>
            </w:r>
            <w:r>
              <w:rPr>
                <w:rFonts w:ascii="Calibri" w:cs="Calibri" w:eastAsia="Calibri" w:hAnsi="Calibri"/>
                <w:sz w:val="11"/>
                <w:szCs w:val="11"/>
                <w:color w:val="0000FF"/>
              </w:rPr>
              <w:t>54</w:t>
            </w:r>
          </w:p>
        </w:tc>
        <w:tc>
          <w:tcPr>
            <w:tcW w:w="3840" w:type="dxa"/>
            <w:vAlign w:val="bottom"/>
            <w:gridSpan w:val="5"/>
          </w:tcPr>
          <w:p>
            <w:pPr>
              <w:ind w:left="40"/>
              <w:spacing w:after="0"/>
              <w:rPr>
                <w:sz w:val="20"/>
                <w:szCs w:val="20"/>
                <w:color w:val="auto"/>
              </w:rPr>
            </w:pPr>
            <w:r>
              <w:rPr>
                <w:rFonts w:ascii="Calibri" w:cs="Calibri" w:eastAsia="Calibri" w:hAnsi="Calibri"/>
                <w:sz w:val="11"/>
                <w:szCs w:val="11"/>
                <w:color w:val="auto"/>
              </w:rPr>
              <w:t xml:space="preserve">through </w:t>
            </w:r>
            <w:r>
              <w:rPr>
                <w:rFonts w:ascii="Calibri" w:cs="Calibri" w:eastAsia="Calibri" w:hAnsi="Calibri"/>
                <w:sz w:val="11"/>
                <w:szCs w:val="11"/>
                <w:color w:val="0000FF"/>
              </w:rPr>
              <w:t>61</w:t>
            </w:r>
            <w:r>
              <w:rPr>
                <w:rFonts w:ascii="Calibri" w:cs="Calibri" w:eastAsia="Calibri" w:hAnsi="Calibri"/>
                <w:sz w:val="11"/>
                <w:szCs w:val="11"/>
                <w:color w:val="auto"/>
              </w:rPr>
              <w:t xml:space="preserve">  ;</w:t>
            </w:r>
          </w:p>
        </w:tc>
      </w:tr>
      <w:tr>
        <w:trPr>
          <w:trHeight w:val="20"/>
        </w:trPr>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53" w:lineRule="exact"/>
        <w:rPr>
          <w:sz w:val="20"/>
          <w:szCs w:val="20"/>
          <w:color w:val="auto"/>
        </w:rPr>
      </w:pPr>
    </w:p>
    <w:p>
      <w:pPr>
        <w:ind w:left="1020" w:hanging="131"/>
        <w:spacing w:after="0"/>
        <w:tabs>
          <w:tab w:leader="none" w:pos="1020" w:val="left"/>
        </w:tabs>
        <w:numPr>
          <w:ilvl w:val="0"/>
          <w:numId w:val="48"/>
        </w:numPr>
        <w:rPr>
          <w:rFonts w:ascii="MS PGothic" w:cs="MS PGothic" w:eastAsia="MS PGothic" w:hAnsi="MS PGothic"/>
          <w:sz w:val="11"/>
          <w:szCs w:val="11"/>
          <w:color w:val="0000FF"/>
        </w:rPr>
      </w:pPr>
      <w:r>
        <w:rPr>
          <w:rFonts w:ascii="Calibri" w:cs="Calibri" w:eastAsia="Calibri" w:hAnsi="Calibri"/>
          <w:sz w:val="11"/>
          <w:szCs w:val="11"/>
          <w:color w:val="auto"/>
        </w:rPr>
        <w:t>a plot plan depictng the Premises;</w:t>
      </w:r>
    </w:p>
    <w:p>
      <w:pPr>
        <w:spacing w:after="0" w:line="48" w:lineRule="exact"/>
        <w:rPr>
          <w:rFonts w:ascii="MS PGothic" w:cs="MS PGothic" w:eastAsia="MS PGothic" w:hAnsi="MS PGothic"/>
          <w:sz w:val="11"/>
          <w:szCs w:val="11"/>
          <w:color w:val="0000FF"/>
        </w:rPr>
      </w:pPr>
    </w:p>
    <w:p>
      <w:pPr>
        <w:ind w:left="1020" w:hanging="131"/>
        <w:spacing w:after="0"/>
        <w:tabs>
          <w:tab w:leader="none" w:pos="1020" w:val="left"/>
        </w:tabs>
        <w:numPr>
          <w:ilvl w:val="0"/>
          <w:numId w:val="48"/>
        </w:numPr>
        <w:rPr>
          <w:rFonts w:ascii="MS PGothic" w:cs="MS PGothic" w:eastAsia="MS PGothic" w:hAnsi="MS PGothic"/>
          <w:sz w:val="11"/>
          <w:szCs w:val="11"/>
          <w:color w:val="0000FF"/>
        </w:rPr>
      </w:pPr>
      <w:r>
        <w:rPr>
          <w:rFonts w:ascii="Calibri" w:cs="Calibri" w:eastAsia="Calibri" w:hAnsi="Calibri"/>
          <w:sz w:val="11"/>
          <w:szCs w:val="11"/>
          <w:color w:val="auto"/>
        </w:rPr>
        <w:t>a current set of the Rules and Regulatons;</w:t>
      </w:r>
    </w:p>
    <w:p>
      <w:pPr>
        <w:spacing w:after="0" w:line="37" w:lineRule="exact"/>
        <w:rPr>
          <w:rFonts w:ascii="MS PGothic" w:cs="MS PGothic" w:eastAsia="MS PGothic" w:hAnsi="MS PGothic"/>
          <w:sz w:val="11"/>
          <w:szCs w:val="11"/>
          <w:color w:val="0000FF"/>
        </w:rPr>
      </w:pPr>
    </w:p>
    <w:p>
      <w:pPr>
        <w:ind w:left="1020" w:hanging="131"/>
        <w:spacing w:after="0"/>
        <w:tabs>
          <w:tab w:leader="none" w:pos="1020" w:val="left"/>
        </w:tabs>
        <w:numPr>
          <w:ilvl w:val="0"/>
          <w:numId w:val="48"/>
        </w:numPr>
        <w:rPr>
          <w:rFonts w:ascii="MS PGothic" w:cs="MS PGothic" w:eastAsia="MS PGothic" w:hAnsi="MS PGothic"/>
          <w:sz w:val="11"/>
          <w:szCs w:val="11"/>
          <w:color w:val="0000FF"/>
        </w:rPr>
      </w:pPr>
      <w:r>
        <w:rPr>
          <w:rFonts w:ascii="Calibri" w:cs="Calibri" w:eastAsia="Calibri" w:hAnsi="Calibri"/>
          <w:sz w:val="11"/>
          <w:szCs w:val="11"/>
          <w:color w:val="auto"/>
        </w:rPr>
        <w:t>a Work Leter;</w:t>
      </w:r>
    </w:p>
    <w:p>
      <w:pPr>
        <w:spacing w:after="0" w:line="49" w:lineRule="exact"/>
        <w:rPr>
          <w:sz w:val="20"/>
          <w:szCs w:val="20"/>
          <w:color w:val="auto"/>
        </w:rPr>
      </w:pPr>
    </w:p>
    <w:p>
      <w:pPr>
        <w:ind w:left="1020" w:hanging="131"/>
        <w:spacing w:after="0"/>
        <w:tabs>
          <w:tab w:leader="none" w:pos="1020" w:val="left"/>
        </w:tabs>
        <w:numPr>
          <w:ilvl w:val="1"/>
          <w:numId w:val="49"/>
        </w:numPr>
        <w:rPr>
          <w:rFonts w:ascii="MS PGothic" w:cs="MS PGothic" w:eastAsia="MS PGothic" w:hAnsi="MS PGothic"/>
          <w:sz w:val="11"/>
          <w:szCs w:val="11"/>
          <w:color w:val="0000FF"/>
        </w:rPr>
      </w:pPr>
      <w:r>
        <w:rPr>
          <w:rFonts w:ascii="Calibri" w:cs="Calibri" w:eastAsia="Calibri" w:hAnsi="Calibri"/>
          <w:sz w:val="11"/>
          <w:szCs w:val="11"/>
          <w:color w:val="auto"/>
        </w:rPr>
        <w:t xml:space="preserve">other (specify): </w:t>
      </w:r>
      <w:r>
        <w:rPr>
          <w:rFonts w:ascii="Calibri" w:cs="Calibri" w:eastAsia="Calibri" w:hAnsi="Calibri"/>
          <w:sz w:val="11"/>
          <w:szCs w:val="11"/>
          <w:u w:val="single" w:color="auto"/>
          <w:color w:val="0000FF"/>
        </w:rPr>
        <w:t>Rent Adjustments (Paragraph 51), Opton to Extend (Paragraph 52) Arbitraton Agreement (Paragraph 53), Floor Plan (Exhibit A)</w:t>
      </w:r>
      <w:r>
        <w:rPr>
          <w:rFonts w:ascii="Calibri" w:cs="Calibri" w:eastAsia="Calibri" w:hAnsi="Calibri"/>
          <w:sz w:val="11"/>
          <w:szCs w:val="11"/>
          <w:color w:val="auto"/>
        </w:rPr>
        <w:t xml:space="preserve"> .</w:t>
      </w:r>
    </w:p>
    <w:p>
      <w:pPr>
        <w:spacing w:after="0" w:line="91" w:lineRule="exact"/>
        <w:rPr>
          <w:rFonts w:ascii="MS PGothic" w:cs="MS PGothic" w:eastAsia="MS PGothic" w:hAnsi="MS PGothic"/>
          <w:sz w:val="11"/>
          <w:szCs w:val="11"/>
          <w:color w:val="0000FF"/>
        </w:rPr>
      </w:pPr>
    </w:p>
    <w:p>
      <w:pPr>
        <w:ind w:left="740" w:hanging="109"/>
        <w:spacing w:after="0"/>
        <w:tabs>
          <w:tab w:leader="none" w:pos="740" w:val="left"/>
        </w:tabs>
        <w:numPr>
          <w:ilvl w:val="0"/>
          <w:numId w:val="49"/>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Premises.</w:t>
      </w:r>
    </w:p>
    <w:p>
      <w:pPr>
        <w:spacing w:after="0" w:line="6" w:lineRule="exact"/>
        <w:rPr>
          <w:sz w:val="20"/>
          <w:szCs w:val="20"/>
          <w:color w:val="auto"/>
        </w:rPr>
      </w:pPr>
    </w:p>
    <w:p>
      <w:pPr>
        <w:ind w:left="640" w:right="719" w:firstLine="258"/>
        <w:spacing w:after="0" w:line="250" w:lineRule="auto"/>
        <w:rPr>
          <w:sz w:val="20"/>
          <w:szCs w:val="20"/>
          <w:color w:val="auto"/>
        </w:rPr>
      </w:pPr>
      <w:r>
        <w:rPr>
          <w:rFonts w:ascii="Calibri" w:cs="Calibri" w:eastAsia="Calibri" w:hAnsi="Calibri"/>
          <w:sz w:val="11"/>
          <w:szCs w:val="11"/>
          <w:color w:val="auto"/>
        </w:rPr>
        <w:t xml:space="preserve">2.1 </w:t>
      </w:r>
      <w:r>
        <w:rPr>
          <w:rFonts w:ascii="Calibri" w:cs="Calibri" w:eastAsia="Calibri" w:hAnsi="Calibri"/>
          <w:sz w:val="11"/>
          <w:szCs w:val="11"/>
          <w:b w:val="1"/>
          <w:bCs w:val="1"/>
          <w:color w:val="auto"/>
        </w:rPr>
        <w:t>Letng</w:t>
      </w:r>
      <w:r>
        <w:rPr>
          <w:rFonts w:ascii="Calibri" w:cs="Calibri" w:eastAsia="Calibri" w:hAnsi="Calibri"/>
          <w:sz w:val="11"/>
          <w:szCs w:val="11"/>
          <w:color w:val="auto"/>
        </w:rPr>
        <w:t>. Lessor hereby leases to Lessee, and Lessee hereby leases from Lessor, the Premises, for the term, at the rental, and upon all of the terms, covenants and conditons set forth in this Lease. While the approximate square footage of the Premises may have been used in the marketng of the Premises for purposes of comparison, the Base Rent stated herein is NOT ted to square footage and is not subject to adjustment should the actual size be determined to be</w:t>
      </w:r>
    </w:p>
    <w:p>
      <w:pPr>
        <w:ind w:left="880"/>
        <w:spacing w:after="0"/>
        <w:rPr>
          <w:sz w:val="20"/>
          <w:szCs w:val="20"/>
          <w:color w:val="auto"/>
        </w:rPr>
      </w:pPr>
      <w:r>
        <w:rPr>
          <w:rFonts w:ascii="Calibri" w:cs="Calibri" w:eastAsia="Calibri" w:hAnsi="Calibri"/>
          <w:sz w:val="11"/>
          <w:szCs w:val="11"/>
          <w:color w:val="auto"/>
        </w:rPr>
        <w:t xml:space="preserve">diferent. </w:t>
      </w:r>
      <w:r>
        <w:rPr>
          <w:rFonts w:ascii="Calibri" w:cs="Calibri" w:eastAsia="Calibri" w:hAnsi="Calibri"/>
          <w:sz w:val="11"/>
          <w:szCs w:val="11"/>
          <w:b w:val="1"/>
          <w:bCs w:val="1"/>
          <w:color w:val="auto"/>
        </w:rPr>
        <w:t>NOTE: Lessee is advised to verify the actual size prior to executng this Lease.</w:t>
      </w:r>
    </w:p>
    <w:p>
      <w:pPr>
        <w:spacing w:after="0" w:line="6" w:lineRule="exact"/>
        <w:rPr>
          <w:sz w:val="20"/>
          <w:szCs w:val="20"/>
          <w:color w:val="auto"/>
        </w:rPr>
      </w:pPr>
    </w:p>
    <w:p>
      <w:pPr>
        <w:jc w:val="both"/>
        <w:ind w:left="640" w:right="779" w:firstLine="258"/>
        <w:spacing w:after="0" w:line="251" w:lineRule="auto"/>
        <w:rPr>
          <w:sz w:val="20"/>
          <w:szCs w:val="20"/>
          <w:color w:val="auto"/>
        </w:rPr>
      </w:pPr>
      <w:r>
        <w:rPr>
          <w:rFonts w:ascii="Calibri" w:cs="Calibri" w:eastAsia="Calibri" w:hAnsi="Calibri"/>
          <w:sz w:val="11"/>
          <w:szCs w:val="11"/>
          <w:color w:val="auto"/>
        </w:rPr>
        <w:t xml:space="preserve">2.2 </w:t>
      </w:r>
      <w:r>
        <w:rPr>
          <w:rFonts w:ascii="Calibri" w:cs="Calibri" w:eastAsia="Calibri" w:hAnsi="Calibri"/>
          <w:sz w:val="11"/>
          <w:szCs w:val="11"/>
          <w:b w:val="1"/>
          <w:bCs w:val="1"/>
          <w:color w:val="auto"/>
        </w:rPr>
        <w:t>Conditon</w:t>
      </w:r>
      <w:r>
        <w:rPr>
          <w:rFonts w:ascii="Calibri" w:cs="Calibri" w:eastAsia="Calibri" w:hAnsi="Calibri"/>
          <w:sz w:val="11"/>
          <w:szCs w:val="11"/>
          <w:color w:val="auto"/>
        </w:rPr>
        <w:t>. Lessor shall deliver the Premises to Lessee broom clean and free of debris on the Commencement Date or the Early Possession Date, whichever first occurs ("</w:t>
      </w:r>
      <w:r>
        <w:rPr>
          <w:rFonts w:ascii="Calibri" w:cs="Calibri" w:eastAsia="Calibri" w:hAnsi="Calibri"/>
          <w:sz w:val="11"/>
          <w:szCs w:val="11"/>
          <w:b w:val="1"/>
          <w:bCs w:val="1"/>
          <w:color w:val="auto"/>
        </w:rPr>
        <w:t>Start Date</w:t>
      </w:r>
      <w:r>
        <w:rPr>
          <w:rFonts w:ascii="Calibri" w:cs="Calibri" w:eastAsia="Calibri" w:hAnsi="Calibri"/>
          <w:sz w:val="11"/>
          <w:szCs w:val="11"/>
          <w:color w:val="auto"/>
        </w:rPr>
        <w:t>"), and, so long as the required service contracts described in Paragraph 7.1(b) below are obtained by Lessee and in eﬀect within thirty days following the Start Date, warrants that the existng electrical, plumbing, fire sprinkler, lightng, heatng, ventlatng and air conditoning systems ("</w:t>
      </w:r>
      <w:r>
        <w:rPr>
          <w:rFonts w:ascii="Calibri" w:cs="Calibri" w:eastAsia="Calibri" w:hAnsi="Calibri"/>
          <w:sz w:val="11"/>
          <w:szCs w:val="11"/>
          <w:b w:val="1"/>
          <w:bCs w:val="1"/>
          <w:color w:val="auto"/>
        </w:rPr>
        <w:t>HVAC</w:t>
      </w:r>
      <w:r>
        <w:rPr>
          <w:rFonts w:ascii="Calibri" w:cs="Calibri" w:eastAsia="Calibri" w:hAnsi="Calibri"/>
          <w:sz w:val="11"/>
          <w:szCs w:val="11"/>
          <w:color w:val="auto"/>
        </w:rPr>
        <w:t>"), loading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40005</wp:posOffset>
            </wp:positionV>
            <wp:extent cx="574040" cy="2940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40005</wp:posOffset>
            </wp:positionV>
            <wp:extent cx="382905" cy="2940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300"/>
              <w:spacing w:after="0"/>
              <w:rPr>
                <w:sz w:val="20"/>
                <w:szCs w:val="20"/>
                <w:color w:val="auto"/>
              </w:rPr>
            </w:pPr>
            <w:r>
              <w:rPr>
                <w:rFonts w:ascii="Calibri" w:cs="Calibri" w:eastAsia="Calibri" w:hAnsi="Calibri"/>
                <w:sz w:val="13"/>
                <w:szCs w:val="13"/>
                <w:color w:val="auto"/>
                <w:w w:val="98"/>
              </w:rPr>
              <w:t>Page 1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09" w:right="1440" w:bottom="1440" w:gutter="0" w:footer="0" w:header="0"/>
        </w:sectPr>
      </w:pPr>
    </w:p>
    <w:bookmarkStart w:id="99" w:name="page100"/>
    <w:bookmarkEnd w:id="99"/>
    <w:p>
      <w:pPr>
        <w:ind w:left="640" w:right="639"/>
        <w:spacing w:after="0" w:line="250" w:lineRule="auto"/>
        <w:rPr>
          <w:sz w:val="20"/>
          <w:szCs w:val="20"/>
          <w:color w:val="auto"/>
        </w:rPr>
      </w:pPr>
      <w:r>
        <w:rPr>
          <w:rFonts w:ascii="Calibri" w:cs="Calibri" w:eastAsia="Calibri" w:hAnsi="Calibri"/>
          <w:sz w:val="11"/>
          <w:szCs w:val="11"/>
          <w:color w:val="auto"/>
        </w:rPr>
        <w:t>doors, sump pumps, if any, and all other such elements in the Premises, other than those constructed by Lessee, shall be in good operatng conditon on said date, that the structural elements of the roof, bearing walls and foundaton of any buildings on the Premises (the "</w:t>
      </w:r>
      <w:r>
        <w:rPr>
          <w:rFonts w:ascii="Calibri" w:cs="Calibri" w:eastAsia="Calibri" w:hAnsi="Calibri"/>
          <w:sz w:val="11"/>
          <w:szCs w:val="11"/>
          <w:b w:val="1"/>
          <w:bCs w:val="1"/>
          <w:color w:val="auto"/>
        </w:rPr>
        <w:t>Building</w:t>
      </w:r>
      <w:r>
        <w:rPr>
          <w:rFonts w:ascii="Calibri" w:cs="Calibri" w:eastAsia="Calibri" w:hAnsi="Calibri"/>
          <w:sz w:val="11"/>
          <w:szCs w:val="11"/>
          <w:color w:val="auto"/>
        </w:rPr>
        <w:t>") shall be free of material defects, and that the Premises do not contain hazardous levels of any mold or fungi defined as toxic under applicable state or federal law. If a non-compliance with said warranty exists as of the Start Date, or if one of such systems or elements should malfuncton or fail within the appropriate warranty period, Lessor shall, as Lessor's sole obligaton with respect to such mater, except as otherwise provided in this Lease, promptly afer receipt of writen notce from Lessee setng forth with specificity the nature and extent of such non-compliance, malfuncton or failure, rectfy same at Lessor's expense. The warranty periods shall be as follows: (i) 6 months as to the HVAC systems, and (ii) 30 days as to the remaining systems and other elements of the Building. If Lessee does not give Lessor the required notce within the appropriate warranty period, correcton of any such non-compliance, malfuncton or failure shall be the obligaton of Lessee at Lessee's sole cost and expense. Lessor also warrants, that unless otherwise specified in writng, Lessor is unaware of (i) any recorded Notces of Default aﬀectng the Premise; (ii) any delinquent amounts due under any loan secured by the Premises; and (iii) any bankruptcy proceeding aﬀectng the Premises.</w:t>
      </w:r>
    </w:p>
    <w:p>
      <w:pPr>
        <w:ind w:left="640" w:right="659" w:firstLine="258"/>
        <w:spacing w:after="0" w:line="250" w:lineRule="auto"/>
        <w:rPr>
          <w:sz w:val="20"/>
          <w:szCs w:val="20"/>
          <w:color w:val="auto"/>
        </w:rPr>
      </w:pPr>
      <w:r>
        <w:rPr>
          <w:rFonts w:ascii="Calibri" w:cs="Calibri" w:eastAsia="Calibri" w:hAnsi="Calibri"/>
          <w:sz w:val="11"/>
          <w:szCs w:val="11"/>
          <w:color w:val="auto"/>
        </w:rPr>
        <w:t xml:space="preserve">2.3 </w:t>
      </w:r>
      <w:r>
        <w:rPr>
          <w:rFonts w:ascii="Calibri" w:cs="Calibri" w:eastAsia="Calibri" w:hAnsi="Calibri"/>
          <w:sz w:val="11"/>
          <w:szCs w:val="11"/>
          <w:b w:val="1"/>
          <w:bCs w:val="1"/>
          <w:color w:val="auto"/>
        </w:rPr>
        <w:t>Compliance</w:t>
      </w:r>
      <w:r>
        <w:rPr>
          <w:rFonts w:ascii="Calibri" w:cs="Calibri" w:eastAsia="Calibri" w:hAnsi="Calibri"/>
          <w:sz w:val="11"/>
          <w:szCs w:val="11"/>
          <w:color w:val="auto"/>
        </w:rPr>
        <w:t>. Lessor warrants that to the best of its knowledge the improvements on the Premises comply with the building codes, applicable laws, covenants or restrictons of record, regulatons, and ordinances ("</w:t>
      </w:r>
      <w:r>
        <w:rPr>
          <w:rFonts w:ascii="Calibri" w:cs="Calibri" w:eastAsia="Calibri" w:hAnsi="Calibri"/>
          <w:sz w:val="11"/>
          <w:szCs w:val="11"/>
          <w:b w:val="1"/>
          <w:bCs w:val="1"/>
          <w:color w:val="auto"/>
        </w:rPr>
        <w:t>Applicable Requirements</w:t>
      </w:r>
      <w:r>
        <w:rPr>
          <w:rFonts w:ascii="Calibri" w:cs="Calibri" w:eastAsia="Calibri" w:hAnsi="Calibri"/>
          <w:sz w:val="11"/>
          <w:szCs w:val="11"/>
          <w:color w:val="auto"/>
        </w:rPr>
        <w:t xml:space="preserve">") that were in eﬀect at the tme that each improvement, or porton thereof, was constructed. Said warranty does not apply to the use to which Lessee will put the Premises, modificatons which may be required by the Americans with Disabilites Act or any similar laws as a result of Lessee's use (see Paragraph 50), or to any Alteratons or Utlity Installatons (as defined in Paragraph 7.3(a)) made or to be made by Lessee. </w:t>
      </w:r>
      <w:r>
        <w:rPr>
          <w:rFonts w:ascii="Calibri" w:cs="Calibri" w:eastAsia="Calibri" w:hAnsi="Calibri"/>
          <w:sz w:val="11"/>
          <w:szCs w:val="11"/>
          <w:b w:val="1"/>
          <w:bCs w:val="1"/>
          <w:color w:val="auto"/>
        </w:rPr>
        <w:t>NOTE: Lessee is responsible for determining whether or not the Applicable Requirements, and especially the zoning, are appropriate for Lessee's</w:t>
      </w:r>
      <w:r>
        <w:rPr>
          <w:rFonts w:ascii="Calibri" w:cs="Calibri" w:eastAsia="Calibri" w:hAnsi="Calibri"/>
          <w:sz w:val="11"/>
          <w:szCs w:val="11"/>
          <w:color w:val="auto"/>
        </w:rPr>
        <w:t xml:space="preserve"> </w:t>
      </w:r>
      <w:r>
        <w:rPr>
          <w:rFonts w:ascii="Calibri" w:cs="Calibri" w:eastAsia="Calibri" w:hAnsi="Calibri"/>
          <w:sz w:val="11"/>
          <w:szCs w:val="11"/>
          <w:b w:val="1"/>
          <w:bCs w:val="1"/>
          <w:color w:val="auto"/>
        </w:rPr>
        <w:t xml:space="preserve">intended use, and acknowledges that past uses of the Premises may no longer be allowed. </w:t>
      </w:r>
      <w:r>
        <w:rPr>
          <w:rFonts w:ascii="Calibri" w:cs="Calibri" w:eastAsia="Calibri" w:hAnsi="Calibri"/>
          <w:sz w:val="11"/>
          <w:szCs w:val="11"/>
          <w:color w:val="auto"/>
        </w:rPr>
        <w:t>If the Premises do not comply with said warranty, Lessor shall, except as</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otherwise provided, promptly afer receipt of writen notce from Lessee setng forth with specificity the nature and extent of such non-compliance, rectfy the same at Lessor's expense. If Lessee does not give Lessor writen notce of a non-compliance with this warranty within 6 months following the Start Date, correcton of that non-compliance shall be the obligaton of Lessee at Lessee's sole cost and expense. If the Applicable Requirements are hereafer changed so as to require during the term of this Lease the constructon of an additon to or an alteraton of the Premises and/or Building, the remediaton of any Hazardous Substance, or the reinforcement or other physical modificaton of the Unit, Premises and/or Building ("</w:t>
      </w:r>
      <w:r>
        <w:rPr>
          <w:rFonts w:ascii="Calibri" w:cs="Calibri" w:eastAsia="Calibri" w:hAnsi="Calibri"/>
          <w:sz w:val="11"/>
          <w:szCs w:val="11"/>
          <w:b w:val="1"/>
          <w:bCs w:val="1"/>
          <w:color w:val="auto"/>
        </w:rPr>
        <w:t>Capital Expenditure</w:t>
      </w:r>
      <w:r>
        <w:rPr>
          <w:rFonts w:ascii="Calibri" w:cs="Calibri" w:eastAsia="Calibri" w:hAnsi="Calibri"/>
          <w:sz w:val="11"/>
          <w:szCs w:val="11"/>
          <w:color w:val="auto"/>
        </w:rPr>
        <w:t>"), Lessor and Lessee shall allocate the cost of such work as follows:</w:t>
      </w:r>
    </w:p>
    <w:p>
      <w:pPr>
        <w:spacing w:after="0" w:line="140" w:lineRule="exact"/>
        <w:rPr>
          <w:sz w:val="20"/>
          <w:szCs w:val="20"/>
          <w:color w:val="auto"/>
        </w:rPr>
      </w:pPr>
    </w:p>
    <w:p>
      <w:pPr>
        <w:ind w:left="640" w:right="679" w:firstLine="507"/>
        <w:spacing w:after="0" w:line="250" w:lineRule="auto"/>
        <w:tabs>
          <w:tab w:leader="none" w:pos="1307" w:val="left"/>
        </w:tabs>
        <w:numPr>
          <w:ilvl w:val="1"/>
          <w:numId w:val="50"/>
        </w:numPr>
        <w:rPr>
          <w:rFonts w:ascii="Calibri" w:cs="Calibri" w:eastAsia="Calibri" w:hAnsi="Calibri"/>
          <w:sz w:val="11"/>
          <w:szCs w:val="11"/>
          <w:color w:val="auto"/>
        </w:rPr>
      </w:pPr>
      <w:r>
        <w:rPr>
          <w:rFonts w:ascii="Calibri" w:cs="Calibri" w:eastAsia="Calibri" w:hAnsi="Calibri"/>
          <w:sz w:val="11"/>
          <w:szCs w:val="11"/>
          <w:color w:val="auto"/>
        </w:rPr>
        <w:t>Subject to Paragraph 2.3(c) below, if such Capital Expenditures are required as a result of the specific and unique use of the Premises by Lessee as compared with uses by tenants in general, Lessee shall be fully responsible for the cost thereof, provided, however, that if such Capital Expenditure is required during the last 2 years of this Lease and the cost thereof exceeds 6 months' Base Rent, Lessee may instead terminate this Lease unless Lessor notfies Lessee, in writng, within 10 days afer receipt of Lessee's terminaton notce that Lessor has elected to pay the diference between the actual cost thereof and an amount equal to 6 months' Base Rent. If Lessee elects terminaton, Lessee shall immediately cease the use of the Premises which requires such Capital Expenditure and deliver to Lessor writen notce specifying a terminaton date at least 90 days thereafer. Such terminaton date shall, however, in no event be earlier than the last day that Lessee could legally utlize the Premises without commencing such Capital Expenditure.</w:t>
      </w:r>
    </w:p>
    <w:p>
      <w:pPr>
        <w:ind w:left="640" w:right="659" w:firstLine="507"/>
        <w:spacing w:after="0" w:line="250" w:lineRule="auto"/>
        <w:tabs>
          <w:tab w:leader="none" w:pos="1312" w:val="left"/>
        </w:tabs>
        <w:numPr>
          <w:ilvl w:val="1"/>
          <w:numId w:val="50"/>
        </w:numPr>
        <w:rPr>
          <w:rFonts w:ascii="Calibri" w:cs="Calibri" w:eastAsia="Calibri" w:hAnsi="Calibri"/>
          <w:sz w:val="11"/>
          <w:szCs w:val="11"/>
          <w:color w:val="auto"/>
        </w:rPr>
      </w:pPr>
      <w:r>
        <w:rPr>
          <w:rFonts w:ascii="Calibri" w:cs="Calibri" w:eastAsia="Calibri" w:hAnsi="Calibri"/>
          <w:sz w:val="11"/>
          <w:szCs w:val="11"/>
          <w:color w:val="auto"/>
        </w:rPr>
        <w:t>If such Capital Expenditure is not the result of the specific and unique use of the Premises by Lessee (such as, governmentally mandated seismic modificatons), then Lessor shall pay for such Capital Expenditure and Lessee shall only be obligated to pay, each month during the remainder of the term of this Lease or any extension thereof, on the date that on which the Base Rent is due, an amount equal to 1/144th of the porton of such costs reasonably atributable to the Premises. Lessee shall pay Interest on the balance but may prepay its obligaton at any tme. If, however, such Capital Expenditure is required during the last 2 years of this Lease or if Lessor reasonably determines that it is not economically feasible to pay its share thereof, Lessor shall have the opton to terminate this Lease upon 90 days prior writen notce to Lessee unless Lessee notfies Lessor, in writng, within 10 days afer receipt of Lessor's terminaton notce that Lessee will pay for such Capital Expenditure. If Lessor does not elect to terminate, and fails to tender its share of any such Capital Expenditure, Lessee may advance such funds and deduct same, with Interest, from Rent untl Lessor's share of such costs have been fully paid. If Lessee is unable to finance Lessor's share, or if the balance of the Rent due and payable for the remainder of this Lease is not suﬃcient to fully reimburse Lessee on an oﬀset basis, Lessee shall have the right to terminate this Lease upon 30 days writen notce to Lessor.</w:t>
      </w:r>
    </w:p>
    <w:p>
      <w:pPr>
        <w:spacing w:after="0" w:line="139" w:lineRule="exact"/>
        <w:rPr>
          <w:rFonts w:ascii="Calibri" w:cs="Calibri" w:eastAsia="Calibri" w:hAnsi="Calibri"/>
          <w:sz w:val="11"/>
          <w:szCs w:val="11"/>
          <w:color w:val="auto"/>
        </w:rPr>
      </w:pPr>
    </w:p>
    <w:p>
      <w:pPr>
        <w:ind w:left="640" w:right="759" w:firstLine="507"/>
        <w:spacing w:after="0" w:line="250" w:lineRule="auto"/>
        <w:tabs>
          <w:tab w:leader="none" w:pos="1300" w:val="left"/>
        </w:tabs>
        <w:numPr>
          <w:ilvl w:val="1"/>
          <w:numId w:val="50"/>
        </w:numPr>
        <w:rPr>
          <w:rFonts w:ascii="Calibri" w:cs="Calibri" w:eastAsia="Calibri" w:hAnsi="Calibri"/>
          <w:sz w:val="11"/>
          <w:szCs w:val="11"/>
          <w:color w:val="auto"/>
        </w:rPr>
      </w:pPr>
      <w:r>
        <w:rPr>
          <w:rFonts w:ascii="Calibri" w:cs="Calibri" w:eastAsia="Calibri" w:hAnsi="Calibri"/>
          <w:sz w:val="11"/>
          <w:szCs w:val="11"/>
          <w:color w:val="auto"/>
        </w:rPr>
        <w:t>Notwithstanding the above, the provisions concerning Capital Expenditures are intended to apply only to non-voluntary, unexpected, and new Applicable Requirements. If the Capital Expenditures are instead triggered by Lessee as a result of an actual or proposed change in use, change in intensity of use, or modificaton to the Premises then, and in that event, Lessee shall either: (i) immediately cease such changed use or intensity of use and/or take such other steps as may be necessary to eliminate the requirement for such Capital Expenditure, or (ii) complete such Capital Expenditure at its own expense. Lessee shall not, however, have any right to terminate this Lease.</w:t>
      </w:r>
    </w:p>
    <w:p>
      <w:pPr>
        <w:ind w:left="640" w:right="659" w:firstLine="258"/>
        <w:spacing w:after="0" w:line="250" w:lineRule="auto"/>
        <w:rPr>
          <w:rFonts w:ascii="Calibri" w:cs="Calibri" w:eastAsia="Calibri" w:hAnsi="Calibri"/>
          <w:sz w:val="11"/>
          <w:szCs w:val="11"/>
          <w:color w:val="auto"/>
        </w:rPr>
      </w:pPr>
      <w:r>
        <w:rPr>
          <w:rFonts w:ascii="Calibri" w:cs="Calibri" w:eastAsia="Calibri" w:hAnsi="Calibri"/>
          <w:sz w:val="11"/>
          <w:szCs w:val="11"/>
          <w:color w:val="auto"/>
        </w:rPr>
        <w:t xml:space="preserve">2.4 </w:t>
      </w:r>
      <w:r>
        <w:rPr>
          <w:rFonts w:ascii="Calibri" w:cs="Calibri" w:eastAsia="Calibri" w:hAnsi="Calibri"/>
          <w:sz w:val="11"/>
          <w:szCs w:val="11"/>
          <w:b w:val="1"/>
          <w:bCs w:val="1"/>
          <w:color w:val="auto"/>
        </w:rPr>
        <w:t>Acknowledgements</w:t>
      </w:r>
      <w:r>
        <w:rPr>
          <w:rFonts w:ascii="Calibri" w:cs="Calibri" w:eastAsia="Calibri" w:hAnsi="Calibri"/>
          <w:sz w:val="11"/>
          <w:szCs w:val="11"/>
          <w:color w:val="auto"/>
        </w:rPr>
        <w:t>. Lessee acknowledges that: (a) it has been given an opportunity to inspect and measure the Premises, (b) it has been advised by Lessor and/or Brokers to satsfy itself with respect to the size and conditon of the Premises (including but not limited to the electrical, HVAC and fire sprinkler systems, security, environmental aspects, and compliance with Applicable Requirements and the Americans with Disabilites Act), and their suitability for Lessee's intended use,</w:t>
      </w:r>
    </w:p>
    <w:p>
      <w:pPr>
        <w:ind w:left="640" w:right="639" w:hanging="9"/>
        <w:spacing w:after="0" w:line="250" w:lineRule="auto"/>
        <w:tabs>
          <w:tab w:leader="none" w:pos="784" w:val="left"/>
        </w:tabs>
        <w:numPr>
          <w:ilvl w:val="0"/>
          <w:numId w:val="51"/>
        </w:numPr>
        <w:rPr>
          <w:rFonts w:ascii="Calibri" w:cs="Calibri" w:eastAsia="Calibri" w:hAnsi="Calibri"/>
          <w:sz w:val="11"/>
          <w:szCs w:val="11"/>
          <w:color w:val="auto"/>
        </w:rPr>
      </w:pPr>
      <w:r>
        <w:rPr>
          <w:rFonts w:ascii="Calibri" w:cs="Calibri" w:eastAsia="Calibri" w:hAnsi="Calibri"/>
          <w:sz w:val="11"/>
          <w:szCs w:val="11"/>
          <w:color w:val="auto"/>
        </w:rPr>
        <w:t>Lessee has made such investgaton as it deems necessary with reference to such maters and assumes all responsibility therefor as the same relate to its occupancy of the Premises, (d) it is not relying on any representaton as to the size of the Premises made by Brokers or Lessor, (e) the square footage of the Premises was not material to Lessee's decision to lease the Premises and pay the Rent stated herein, and (f) neither Lessor, Lessor's agents, nor Brokers have made any oral or writen representatons or warrantes with respect to said maters other than as set forth in this Lease. In additon, Lessor acknowledges that: (i) Brokers have made no representatons, promises or warrantes concerning Lessee's ability to honor the Lease or suitability to occupy the Premises, and (ii) it is Lessor's sole responsibility to investgate the financial capability and/or suitability of all proposed tenants.</w:t>
      </w:r>
    </w:p>
    <w:p>
      <w:pPr>
        <w:ind w:left="640" w:right="819" w:firstLine="258"/>
        <w:spacing w:after="0" w:line="253" w:lineRule="auto"/>
        <w:rPr>
          <w:rFonts w:ascii="Calibri" w:cs="Calibri" w:eastAsia="Calibri" w:hAnsi="Calibri"/>
          <w:sz w:val="11"/>
          <w:szCs w:val="11"/>
          <w:color w:val="auto"/>
        </w:rPr>
      </w:pPr>
      <w:r>
        <w:rPr>
          <w:rFonts w:ascii="Calibri" w:cs="Calibri" w:eastAsia="Calibri" w:hAnsi="Calibri"/>
          <w:sz w:val="11"/>
          <w:szCs w:val="11"/>
          <w:color w:val="auto"/>
        </w:rPr>
        <w:t xml:space="preserve">2.5 </w:t>
      </w:r>
      <w:r>
        <w:rPr>
          <w:rFonts w:ascii="Calibri" w:cs="Calibri" w:eastAsia="Calibri" w:hAnsi="Calibri"/>
          <w:sz w:val="11"/>
          <w:szCs w:val="11"/>
          <w:b w:val="1"/>
          <w:bCs w:val="1"/>
          <w:color w:val="auto"/>
        </w:rPr>
        <w:t>Lessee as Prior Owner/Occupant</w:t>
      </w:r>
      <w:r>
        <w:rPr>
          <w:rFonts w:ascii="Calibri" w:cs="Calibri" w:eastAsia="Calibri" w:hAnsi="Calibri"/>
          <w:sz w:val="11"/>
          <w:szCs w:val="11"/>
          <w:color w:val="auto"/>
        </w:rPr>
        <w:t>. The warrantes made by Lessor in Paragraph 2 shall be of no force or eﬀect if immediately prior to the Start Date Lessee was the owner or occupant of the Premises. In such event, Lessee shall be responsible for any necessary correctve work.</w:t>
      </w:r>
    </w:p>
    <w:p>
      <w:pPr>
        <w:spacing w:after="0" w:line="83" w:lineRule="exact"/>
        <w:rPr>
          <w:sz w:val="20"/>
          <w:szCs w:val="20"/>
          <w:color w:val="auto"/>
        </w:rPr>
      </w:pPr>
    </w:p>
    <w:p>
      <w:pPr>
        <w:ind w:left="640"/>
        <w:spacing w:after="0"/>
        <w:rPr>
          <w:sz w:val="20"/>
          <w:szCs w:val="20"/>
          <w:color w:val="auto"/>
        </w:rPr>
      </w:pPr>
      <w:r>
        <w:rPr>
          <w:rFonts w:ascii="Calibri" w:cs="Calibri" w:eastAsia="Calibri" w:hAnsi="Calibri"/>
          <w:sz w:val="11"/>
          <w:szCs w:val="11"/>
          <w:b w:val="1"/>
          <w:bCs w:val="1"/>
          <w:color w:val="auto"/>
        </w:rPr>
        <w:t>3. Term.</w:t>
      </w:r>
    </w:p>
    <w:p>
      <w:pPr>
        <w:spacing w:after="0" w:line="6" w:lineRule="exact"/>
        <w:rPr>
          <w:sz w:val="20"/>
          <w:szCs w:val="20"/>
          <w:color w:val="auto"/>
        </w:rPr>
      </w:pPr>
    </w:p>
    <w:p>
      <w:pPr>
        <w:ind w:left="880"/>
        <w:spacing w:after="0"/>
        <w:rPr>
          <w:sz w:val="20"/>
          <w:szCs w:val="20"/>
          <w:color w:val="auto"/>
        </w:rPr>
      </w:pPr>
      <w:r>
        <w:rPr>
          <w:rFonts w:ascii="Calibri" w:cs="Calibri" w:eastAsia="Calibri" w:hAnsi="Calibri"/>
          <w:sz w:val="11"/>
          <w:szCs w:val="11"/>
          <w:color w:val="auto"/>
        </w:rPr>
        <w:t xml:space="preserve">3.1 </w:t>
      </w:r>
      <w:r>
        <w:rPr>
          <w:rFonts w:ascii="Calibri" w:cs="Calibri" w:eastAsia="Calibri" w:hAnsi="Calibri"/>
          <w:sz w:val="11"/>
          <w:szCs w:val="11"/>
          <w:b w:val="1"/>
          <w:bCs w:val="1"/>
          <w:color w:val="auto"/>
        </w:rPr>
        <w:t>Term</w:t>
      </w:r>
      <w:r>
        <w:rPr>
          <w:rFonts w:ascii="Calibri" w:cs="Calibri" w:eastAsia="Calibri" w:hAnsi="Calibri"/>
          <w:sz w:val="11"/>
          <w:szCs w:val="11"/>
          <w:color w:val="auto"/>
        </w:rPr>
        <w:t>. The Commencement Date, Expiraton Date and Original Term of this Lease are as specified in Paragraph 1.3.</w:t>
      </w:r>
    </w:p>
    <w:p>
      <w:pPr>
        <w:spacing w:after="0" w:line="6" w:lineRule="exact"/>
        <w:rPr>
          <w:sz w:val="20"/>
          <w:szCs w:val="20"/>
          <w:color w:val="auto"/>
        </w:rPr>
      </w:pPr>
    </w:p>
    <w:p>
      <w:pPr>
        <w:ind w:left="640" w:right="759" w:firstLine="258"/>
        <w:spacing w:after="0" w:line="250" w:lineRule="auto"/>
        <w:rPr>
          <w:sz w:val="20"/>
          <w:szCs w:val="20"/>
          <w:color w:val="auto"/>
        </w:rPr>
      </w:pPr>
      <w:r>
        <w:rPr>
          <w:rFonts w:ascii="Calibri" w:cs="Calibri" w:eastAsia="Calibri" w:hAnsi="Calibri"/>
          <w:sz w:val="11"/>
          <w:szCs w:val="11"/>
          <w:color w:val="auto"/>
        </w:rPr>
        <w:t xml:space="preserve">3.2 </w:t>
      </w:r>
      <w:r>
        <w:rPr>
          <w:rFonts w:ascii="Calibri" w:cs="Calibri" w:eastAsia="Calibri" w:hAnsi="Calibri"/>
          <w:sz w:val="11"/>
          <w:szCs w:val="11"/>
          <w:b w:val="1"/>
          <w:bCs w:val="1"/>
          <w:color w:val="auto"/>
        </w:rPr>
        <w:t>Early Possession</w:t>
      </w:r>
      <w:r>
        <w:rPr>
          <w:rFonts w:ascii="Calibri" w:cs="Calibri" w:eastAsia="Calibri" w:hAnsi="Calibri"/>
          <w:sz w:val="11"/>
          <w:szCs w:val="11"/>
          <w:color w:val="auto"/>
        </w:rPr>
        <w:t>. Any provision herein grantng Lessee Early Possession of the Premises is subject to and conditoned upon the Premises being available for such possession prior to the Commencement Date. Any grant of Early Possession only conveys a non-exclusive right to occupy the Premises. If Lessee totally or partally occupies the Premises prior to the Commencement Date, the obligaton to pay Base Rent shall be abated for the period of such Early Possession. All other terms of this Lease (including but not limited to the obligatons to pay Real Property Taxes and insurance premiums and to maintain the Premises) shall be in eﬀect during such period. Any such Early Possession shall not aﬀect the Expiraton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41275</wp:posOffset>
            </wp:positionV>
            <wp:extent cx="574040" cy="2940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41275</wp:posOffset>
            </wp:positionV>
            <wp:extent cx="382905" cy="2940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300"/>
              <w:spacing w:after="0"/>
              <w:rPr>
                <w:sz w:val="20"/>
                <w:szCs w:val="20"/>
                <w:color w:val="auto"/>
              </w:rPr>
            </w:pPr>
            <w:r>
              <w:rPr>
                <w:rFonts w:ascii="Calibri" w:cs="Calibri" w:eastAsia="Calibri" w:hAnsi="Calibri"/>
                <w:sz w:val="13"/>
                <w:szCs w:val="13"/>
                <w:color w:val="auto"/>
                <w:w w:val="98"/>
              </w:rPr>
              <w:t>Page 2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00" w:name="page101"/>
    <w:bookmarkEnd w:id="100"/>
    <w:p>
      <w:pPr>
        <w:ind w:left="640" w:right="659" w:firstLine="258"/>
        <w:spacing w:after="0" w:line="250" w:lineRule="auto"/>
        <w:rPr>
          <w:sz w:val="20"/>
          <w:szCs w:val="20"/>
          <w:color w:val="auto"/>
        </w:rPr>
      </w:pPr>
      <w:r>
        <w:rPr>
          <w:rFonts w:ascii="Calibri" w:cs="Calibri" w:eastAsia="Calibri" w:hAnsi="Calibri"/>
          <w:sz w:val="11"/>
          <w:szCs w:val="11"/>
          <w:color w:val="auto"/>
        </w:rPr>
        <w:t xml:space="preserve">3.3 </w:t>
      </w:r>
      <w:r>
        <w:rPr>
          <w:rFonts w:ascii="Calibri" w:cs="Calibri" w:eastAsia="Calibri" w:hAnsi="Calibri"/>
          <w:sz w:val="11"/>
          <w:szCs w:val="11"/>
          <w:b w:val="1"/>
          <w:bCs w:val="1"/>
          <w:color w:val="auto"/>
        </w:rPr>
        <w:t>Delay In Possession</w:t>
      </w:r>
      <w:r>
        <w:rPr>
          <w:rFonts w:ascii="Calibri" w:cs="Calibri" w:eastAsia="Calibri" w:hAnsi="Calibri"/>
          <w:sz w:val="11"/>
          <w:szCs w:val="11"/>
          <w:color w:val="auto"/>
        </w:rPr>
        <w:t>. Lessor agrees to use commercially reasonable eﬀorts to deliver exclusive possession of the Premises to Lessee by the Commencement Date. If, despite said eforts, Lessor is unable to deliver possession by such date, Lessor shall not be subject to any liability therefor, nor shall such failure afect the validity of this Lease or change the Expiraton Date. Lessee shall not, however, be obligated to pay Rent or perform its other obligatons untl Lessor delivers possession of the Premises and any period of rent abatement that Lessee would otherwise have enjoyed shall run from the date of delivery of possession and contnue for a period equal to what Lessee would otherwise have enjoyed under the terms hereof, but minus any days of delay caused by the acts or omissions of Lessee. If possession is not delivered within 60 days afer the Commencement Date, as the same may be extended under the terms of any Work Leter executed by Partes, Lessee may, at its opton, by notce in writng within 10 days afer the end of such 60 day period, cancel this Lease, in which event the Partes shall be discharged from all obligatons hereunder. If such writen notce is not received by Lessor within said 10 day period, Lessee's right to cancel shall terminate. If possession of the Premises is not delivered within 120 days afer the Commencement Date, this Lease shall terminate unless other agreements are reached between Lessor and Lessee, in writng.</w:t>
      </w:r>
    </w:p>
    <w:p>
      <w:pPr>
        <w:spacing w:after="0" w:line="140" w:lineRule="exact"/>
        <w:rPr>
          <w:sz w:val="20"/>
          <w:szCs w:val="20"/>
          <w:color w:val="auto"/>
        </w:rPr>
      </w:pPr>
    </w:p>
    <w:p>
      <w:pPr>
        <w:ind w:left="640" w:right="699" w:firstLine="258"/>
        <w:spacing w:after="0" w:line="250" w:lineRule="auto"/>
        <w:rPr>
          <w:sz w:val="20"/>
          <w:szCs w:val="20"/>
          <w:color w:val="auto"/>
        </w:rPr>
      </w:pPr>
      <w:r>
        <w:rPr>
          <w:rFonts w:ascii="Calibri" w:cs="Calibri" w:eastAsia="Calibri" w:hAnsi="Calibri"/>
          <w:sz w:val="11"/>
          <w:szCs w:val="11"/>
          <w:color w:val="auto"/>
        </w:rPr>
        <w:t xml:space="preserve">3.4 </w:t>
      </w:r>
      <w:r>
        <w:rPr>
          <w:rFonts w:ascii="Calibri" w:cs="Calibri" w:eastAsia="Calibri" w:hAnsi="Calibri"/>
          <w:sz w:val="11"/>
          <w:szCs w:val="11"/>
          <w:b w:val="1"/>
          <w:bCs w:val="1"/>
          <w:color w:val="auto"/>
        </w:rPr>
        <w:t>Lessee Compliance</w:t>
      </w:r>
      <w:r>
        <w:rPr>
          <w:rFonts w:ascii="Calibri" w:cs="Calibri" w:eastAsia="Calibri" w:hAnsi="Calibri"/>
          <w:sz w:val="11"/>
          <w:szCs w:val="11"/>
          <w:color w:val="auto"/>
        </w:rPr>
        <w:t>. Lessor shall not be required to tender possession of the Premises to Lessee untl Lessee complies with its obligaton to provide evidence of insurance (Paragraph 8.5). Pending delivery of such evidence, Lessee shall be required to perform all of its obligatons under this Lease from and afer the Start Date, including the payment of Rent, notwithstanding Lessor's electon to withhold possession pending receipt of such evidence of insurance. Further, if Lessee is required to perform any other conditons prior to or concurrent with the Start Date, the Start Date shall occur but Lessor may elect to withhold possession untl such conditons are satsfed.</w:t>
      </w:r>
    </w:p>
    <w:p>
      <w:pPr>
        <w:spacing w:after="0" w:line="86" w:lineRule="exact"/>
        <w:rPr>
          <w:sz w:val="20"/>
          <w:szCs w:val="20"/>
          <w:color w:val="auto"/>
        </w:rPr>
      </w:pPr>
    </w:p>
    <w:p>
      <w:pPr>
        <w:ind w:left="640"/>
        <w:spacing w:after="0"/>
        <w:rPr>
          <w:sz w:val="20"/>
          <w:szCs w:val="20"/>
          <w:color w:val="auto"/>
        </w:rPr>
      </w:pPr>
      <w:r>
        <w:rPr>
          <w:rFonts w:ascii="Calibri" w:cs="Calibri" w:eastAsia="Calibri" w:hAnsi="Calibri"/>
          <w:sz w:val="11"/>
          <w:szCs w:val="11"/>
          <w:b w:val="1"/>
          <w:bCs w:val="1"/>
          <w:color w:val="auto"/>
        </w:rPr>
        <w:t>4. Rent.</w:t>
      </w:r>
    </w:p>
    <w:p>
      <w:pPr>
        <w:spacing w:after="0" w:line="6" w:lineRule="exact"/>
        <w:rPr>
          <w:sz w:val="20"/>
          <w:szCs w:val="20"/>
          <w:color w:val="auto"/>
        </w:rPr>
      </w:pPr>
    </w:p>
    <w:p>
      <w:pPr>
        <w:ind w:left="880"/>
        <w:spacing w:after="0"/>
        <w:rPr>
          <w:sz w:val="20"/>
          <w:szCs w:val="20"/>
          <w:color w:val="auto"/>
        </w:rPr>
      </w:pPr>
      <w:r>
        <w:rPr>
          <w:rFonts w:ascii="Calibri" w:cs="Calibri" w:eastAsia="Calibri" w:hAnsi="Calibri"/>
          <w:sz w:val="11"/>
          <w:szCs w:val="11"/>
          <w:color w:val="auto"/>
        </w:rPr>
        <w:t xml:space="preserve">4.1 </w:t>
      </w:r>
      <w:r>
        <w:rPr>
          <w:rFonts w:ascii="Calibri" w:cs="Calibri" w:eastAsia="Calibri" w:hAnsi="Calibri"/>
          <w:sz w:val="11"/>
          <w:szCs w:val="11"/>
          <w:b w:val="1"/>
          <w:bCs w:val="1"/>
          <w:color w:val="auto"/>
        </w:rPr>
        <w:t>Rent Defined</w:t>
      </w:r>
      <w:r>
        <w:rPr>
          <w:rFonts w:ascii="Calibri" w:cs="Calibri" w:eastAsia="Calibri" w:hAnsi="Calibri"/>
          <w:sz w:val="11"/>
          <w:szCs w:val="11"/>
          <w:color w:val="auto"/>
        </w:rPr>
        <w:t>. All monetary obligatons of Lessee to Lessor under the terms of this Lease (except for the Security Deposit) are deemed to be rent ("</w:t>
      </w:r>
      <w:r>
        <w:rPr>
          <w:rFonts w:ascii="Calibri" w:cs="Calibri" w:eastAsia="Calibri" w:hAnsi="Calibri"/>
          <w:sz w:val="11"/>
          <w:szCs w:val="11"/>
          <w:b w:val="1"/>
          <w:bCs w:val="1"/>
          <w:color w:val="auto"/>
        </w:rPr>
        <w:t>Rent</w:t>
      </w:r>
      <w:r>
        <w:rPr>
          <w:rFonts w:ascii="Calibri" w:cs="Calibri" w:eastAsia="Calibri" w:hAnsi="Calibri"/>
          <w:sz w:val="11"/>
          <w:szCs w:val="11"/>
          <w:color w:val="auto"/>
        </w:rPr>
        <w:t>").</w:t>
      </w:r>
    </w:p>
    <w:p>
      <w:pPr>
        <w:spacing w:after="0" w:line="6" w:lineRule="exact"/>
        <w:rPr>
          <w:sz w:val="20"/>
          <w:szCs w:val="20"/>
          <w:color w:val="auto"/>
        </w:rPr>
      </w:pPr>
    </w:p>
    <w:p>
      <w:pPr>
        <w:ind w:left="640" w:right="639" w:firstLine="258"/>
        <w:spacing w:after="0" w:line="250" w:lineRule="auto"/>
        <w:rPr>
          <w:sz w:val="20"/>
          <w:szCs w:val="20"/>
          <w:color w:val="auto"/>
        </w:rPr>
      </w:pPr>
      <w:r>
        <w:rPr>
          <w:rFonts w:ascii="Calibri" w:cs="Calibri" w:eastAsia="Calibri" w:hAnsi="Calibri"/>
          <w:sz w:val="11"/>
          <w:szCs w:val="11"/>
          <w:color w:val="auto"/>
        </w:rPr>
        <w:t xml:space="preserve">4.2 </w:t>
      </w:r>
      <w:r>
        <w:rPr>
          <w:rFonts w:ascii="Calibri" w:cs="Calibri" w:eastAsia="Calibri" w:hAnsi="Calibri"/>
          <w:sz w:val="11"/>
          <w:szCs w:val="11"/>
          <w:b w:val="1"/>
          <w:bCs w:val="1"/>
          <w:color w:val="auto"/>
        </w:rPr>
        <w:t>Payment</w:t>
      </w:r>
      <w:r>
        <w:rPr>
          <w:rFonts w:ascii="Calibri" w:cs="Calibri" w:eastAsia="Calibri" w:hAnsi="Calibri"/>
          <w:sz w:val="11"/>
          <w:szCs w:val="11"/>
          <w:color w:val="auto"/>
        </w:rPr>
        <w:t>. Lessee shall cause payment of Rent to be received by Lessor in lawful money of the United States, without oﬀset or deducton (except as specifically permited in this Lease), on or before the day on which it is due. All monetary amounts shall be rounded to the nearest whole dollar. In the event that any invoice prepared by Lessor is inaccurate such inaccuracy shall not consttute a waiver and Lessee shall be obligated to pay the amount set forth in this Lease. Rent for any period during the term hereof which is for less than one full calendar month shall be prorated based upon the actual number of days of said month. Payment of Rent shall be made to Lessor at its address stated herein or to such other persons or place as Lessor may from tme to tme designate in writng. Acceptance of a payment which is less than the amount then due shall not be a waiver of Lessor's rights to the balance of such Rent, regardless of Lessor's endorsement of any check so statng. In the event that any check, draf, or other instrument of payment given by Lessee to Lessor is dishonored for any reason, Lessee agrees to pay to Lessor the sum of $25 in additon to any Late Charge and Lessor, at its opton, may require all future Rent be paid by cashier's check. Payments will be applied first to accrued late charges and atorney's fees, second to accrued interest, then to Base Rent, Insurance and Real Property Taxes, and any remaining amount to any other outstanding charges or costs.</w:t>
      </w:r>
    </w:p>
    <w:p>
      <w:pPr>
        <w:spacing w:after="0" w:line="140" w:lineRule="exact"/>
        <w:rPr>
          <w:sz w:val="20"/>
          <w:szCs w:val="20"/>
          <w:color w:val="auto"/>
        </w:rPr>
      </w:pPr>
    </w:p>
    <w:p>
      <w:pPr>
        <w:ind w:left="640" w:right="919" w:firstLine="258"/>
        <w:spacing w:after="0" w:line="253" w:lineRule="auto"/>
        <w:rPr>
          <w:sz w:val="20"/>
          <w:szCs w:val="20"/>
          <w:color w:val="auto"/>
        </w:rPr>
      </w:pPr>
      <w:r>
        <w:rPr>
          <w:rFonts w:ascii="Calibri" w:cs="Calibri" w:eastAsia="Calibri" w:hAnsi="Calibri"/>
          <w:sz w:val="11"/>
          <w:szCs w:val="11"/>
          <w:color w:val="auto"/>
        </w:rPr>
        <w:t xml:space="preserve">4.3 </w:t>
      </w:r>
      <w:r>
        <w:rPr>
          <w:rFonts w:ascii="Calibri" w:cs="Calibri" w:eastAsia="Calibri" w:hAnsi="Calibri"/>
          <w:sz w:val="11"/>
          <w:szCs w:val="11"/>
          <w:b w:val="1"/>
          <w:bCs w:val="1"/>
          <w:color w:val="auto"/>
        </w:rPr>
        <w:t>Associaton Fees</w:t>
      </w:r>
      <w:r>
        <w:rPr>
          <w:rFonts w:ascii="Calibri" w:cs="Calibri" w:eastAsia="Calibri" w:hAnsi="Calibri"/>
          <w:sz w:val="11"/>
          <w:szCs w:val="11"/>
          <w:color w:val="auto"/>
        </w:rPr>
        <w:t>. In additon to the Base Rent, Lessee shall pay to Lessor each month an amount equal to any owner's associaton or condominium fees levied or assessed against the Premises. Said monies shall be paid at the same tme and in the same manner as the Base Rent.</w:t>
      </w:r>
    </w:p>
    <w:p>
      <w:pPr>
        <w:spacing w:after="0" w:line="83" w:lineRule="exact"/>
        <w:rPr>
          <w:sz w:val="20"/>
          <w:szCs w:val="20"/>
          <w:color w:val="auto"/>
        </w:rPr>
      </w:pPr>
    </w:p>
    <w:p>
      <w:pPr>
        <w:ind w:left="640" w:right="639" w:hanging="9"/>
        <w:spacing w:after="0" w:line="250" w:lineRule="auto"/>
        <w:tabs>
          <w:tab w:leader="none" w:pos="755" w:val="left"/>
        </w:tabs>
        <w:numPr>
          <w:ilvl w:val="0"/>
          <w:numId w:val="52"/>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Security Deposit. </w:t>
      </w:r>
      <w:r>
        <w:rPr>
          <w:rFonts w:ascii="Calibri" w:cs="Calibri" w:eastAsia="Calibri" w:hAnsi="Calibri"/>
          <w:sz w:val="11"/>
          <w:szCs w:val="11"/>
          <w:color w:val="auto"/>
        </w:rPr>
        <w:t>Lessee shall deposit with Lessor upon executon hereof the Security Deposit as security for Lessee's faithful performance of its obligatons under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this Lease. If Lessee fails to pay Rent, or otherwise Defaults under this Lease, Lessor may use, apply or retain all or any porton of said Security Deposit for the payment of any amount already due Lessor, for Rents which will be due in the future, and/ or to reimburse or compensate Lessor for any liability, expense, loss or damage which Lessor may suﬀer or incur by reason thereof. If Lessor uses or applies all or any porton of the Security Deposit, Lessee shall within 10 days afer writen request therefor deposit monies with Lessor suﬃcient to restore said Security Deposit to the full amount required by this Lease. If the Base Rent increases during the term of this Lease, Lessee shall, upon writen request from Lessor, deposit additonal monies with Lessor so that the total amount of the Security Deposit shall at all tmes bear the same proporton to the increased Base Rent as the inital Security Deposit bore to the inital Base Rent. Should the Agreed Use be amended to accommodate a material change in the business of Lessee or to accommodate a sublessee or assignee, Lessor shall have the right to increase the Security Deposit to the extent necessary, in Lessor's reasonable judgment, to account for any increased wear and tear that the Premises may suﬀer as a result thereof. If a change in control of Lessee occurs during this Lease and following such change the financial conditon of Lessee is, in Lessor's reasonable judgment, significantly reduced, Lessee shall deposit such additonal monies with Lessor as shall be suﬃcient to cause the Security Deposit to be at a commercially reasonable level based on such change in financial conditon. Lessor shall not be required to keep the Security Deposit separate from its general accounts. Within 90 days afer the expiraton or terminaton of this Lease, Lessor shall return that porton of the Security Deposit not used or applied by Lessor. Lessor shall upon writen request provide Lessee with an accountng showing how that porton of the Security Deposit that was not returned was applied. No part of the Security Deposit shall be considered to be held in trust, to bear interest or to be prepayment for any monies to be paid by Lessee under this Lease. THE SECURITY DEPOSIT SHALL NOT BE USED BY LESSEE IN LIEU OF PAYMENT OF THE LAST MONTH'S RENT.</w:t>
      </w:r>
    </w:p>
    <w:p>
      <w:pPr>
        <w:spacing w:after="0" w:line="225" w:lineRule="exact"/>
        <w:rPr>
          <w:rFonts w:ascii="Calibri" w:cs="Calibri" w:eastAsia="Calibri" w:hAnsi="Calibri"/>
          <w:sz w:val="11"/>
          <w:szCs w:val="11"/>
          <w:b w:val="1"/>
          <w:bCs w:val="1"/>
          <w:color w:val="auto"/>
        </w:rPr>
      </w:pPr>
    </w:p>
    <w:p>
      <w:pPr>
        <w:ind w:left="740" w:hanging="109"/>
        <w:spacing w:after="0"/>
        <w:tabs>
          <w:tab w:leader="none" w:pos="740" w:val="left"/>
        </w:tabs>
        <w:numPr>
          <w:ilvl w:val="0"/>
          <w:numId w:val="52"/>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Use.</w:t>
      </w:r>
    </w:p>
    <w:p>
      <w:pPr>
        <w:spacing w:after="0" w:line="6" w:lineRule="exact"/>
        <w:rPr>
          <w:sz w:val="20"/>
          <w:szCs w:val="20"/>
          <w:color w:val="auto"/>
        </w:rPr>
      </w:pPr>
    </w:p>
    <w:p>
      <w:pPr>
        <w:ind w:left="640" w:right="679" w:firstLine="258"/>
        <w:spacing w:after="0" w:line="250" w:lineRule="auto"/>
        <w:rPr>
          <w:sz w:val="20"/>
          <w:szCs w:val="20"/>
          <w:color w:val="auto"/>
        </w:rPr>
      </w:pPr>
      <w:r>
        <w:rPr>
          <w:rFonts w:ascii="Calibri" w:cs="Calibri" w:eastAsia="Calibri" w:hAnsi="Calibri"/>
          <w:sz w:val="11"/>
          <w:szCs w:val="11"/>
          <w:color w:val="auto"/>
        </w:rPr>
        <w:t xml:space="preserve">6.1 </w:t>
      </w:r>
      <w:r>
        <w:rPr>
          <w:rFonts w:ascii="Calibri" w:cs="Calibri" w:eastAsia="Calibri" w:hAnsi="Calibri"/>
          <w:sz w:val="11"/>
          <w:szCs w:val="11"/>
          <w:b w:val="1"/>
          <w:bCs w:val="1"/>
          <w:color w:val="auto"/>
        </w:rPr>
        <w:t>Use</w:t>
      </w:r>
      <w:r>
        <w:rPr>
          <w:rFonts w:ascii="Calibri" w:cs="Calibri" w:eastAsia="Calibri" w:hAnsi="Calibri"/>
          <w:sz w:val="11"/>
          <w:szCs w:val="11"/>
          <w:color w:val="auto"/>
        </w:rPr>
        <w:t>. Lessee shall use and occupy the Premises only for the Agreed Use, or any other legal use which is reasonably comparable thereto, and for no other purpose. Lessee shall not use or permit the use of the Premises in a manner that is unlawful, creates damage, waste or a nuisance, or that disturbs occupants of or causes damage to neighboring premises or propertes. Other than guide, signal and seeing eye dogs, Lessee shall not keep or allow in the Premises any pets, animals, birds, fish, or reptles. Lessor shall not unreasonably withhold or delay its consent to any writen request for a modificaton of the Agreed Use, so long as the same will not impair the structural integrity of the improvements on the Premises or the mechanical or electrical systems therein, and/or is not significantly more burdensome to the Premises. If Lessor elects to withhold consent, Lessor shall within 7 days afer such request give writen notficaton of same, which notce shall include an explanaton of Lessor's objectons to the change in the Agreed Use.</w:t>
      </w:r>
    </w:p>
    <w:p>
      <w:pPr>
        <w:spacing w:after="0" w:line="140" w:lineRule="exact"/>
        <w:rPr>
          <w:sz w:val="20"/>
          <w:szCs w:val="20"/>
          <w:color w:val="auto"/>
        </w:rPr>
      </w:pPr>
    </w:p>
    <w:p>
      <w:pPr>
        <w:ind w:left="640" w:right="639" w:firstLine="507"/>
        <w:spacing w:after="0" w:line="250" w:lineRule="auto"/>
        <w:tabs>
          <w:tab w:leader="none" w:pos="1307" w:val="left"/>
        </w:tabs>
        <w:numPr>
          <w:ilvl w:val="0"/>
          <w:numId w:val="53"/>
        </w:numPr>
        <w:rPr>
          <w:rFonts w:ascii="Calibri" w:cs="Calibri" w:eastAsia="Calibri" w:hAnsi="Calibri"/>
          <w:sz w:val="11"/>
          <w:szCs w:val="11"/>
          <w:color w:val="auto"/>
        </w:rPr>
      </w:pPr>
      <w:r>
        <w:rPr>
          <w:rFonts w:ascii="Calibri" w:cs="Calibri" w:eastAsia="Calibri" w:hAnsi="Calibri"/>
          <w:sz w:val="11"/>
          <w:szCs w:val="11"/>
          <w:b w:val="1"/>
          <w:bCs w:val="1"/>
          <w:color w:val="auto"/>
        </w:rPr>
        <w:t>Reportable Uses Require Consent</w:t>
      </w:r>
      <w:r>
        <w:rPr>
          <w:rFonts w:ascii="Calibri" w:cs="Calibri" w:eastAsia="Calibri" w:hAnsi="Calibri"/>
          <w:sz w:val="11"/>
          <w:szCs w:val="11"/>
          <w:color w:val="auto"/>
        </w:rPr>
        <w:t>. The term "</w:t>
      </w:r>
      <w:r>
        <w:rPr>
          <w:rFonts w:ascii="Calibri" w:cs="Calibri" w:eastAsia="Calibri" w:hAnsi="Calibri"/>
          <w:sz w:val="11"/>
          <w:szCs w:val="11"/>
          <w:b w:val="1"/>
          <w:bCs w:val="1"/>
          <w:color w:val="auto"/>
        </w:rPr>
        <w:t>Hazardous Substance</w:t>
      </w:r>
      <w:r>
        <w:rPr>
          <w:rFonts w:ascii="Calibri" w:cs="Calibri" w:eastAsia="Calibri" w:hAnsi="Calibri"/>
          <w:sz w:val="11"/>
          <w:szCs w:val="11"/>
          <w:color w:val="auto"/>
        </w:rPr>
        <w:t>" as used in this Lease shall mean any product, substance, or waste whose presence,</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use, manufacture, disposal, transportaton, or release, either by itself or in combinaton with other materials expected to be on the Premises, is either: (i) potentally injurious to the public health, safety or welfare, the environment or the Premises, (ii) regulated or monitored by any governmental authority, or (iii) a basis for potental liability of Lessor to any governmental agency or third party under any applicable statute or common law theory. Hazardous Substances shall include, but not be limited to, hydrocarbons, petroleum, gasoline, and/or crude oil or any products, byproducts or fractons thereof. Lessee shall not engage in any actvity in or on the Premises which consttutes a Reportable Use of Hazardous Substances without the express prior writen consent of Lessor and tmely compliance (at Lessee's expense) with all Applicable Requirements. "</w:t>
      </w:r>
      <w:r>
        <w:rPr>
          <w:rFonts w:ascii="Calibri" w:cs="Calibri" w:eastAsia="Calibri" w:hAnsi="Calibri"/>
          <w:sz w:val="11"/>
          <w:szCs w:val="11"/>
          <w:b w:val="1"/>
          <w:bCs w:val="1"/>
          <w:color w:val="auto"/>
        </w:rPr>
        <w:t>Reportable Use</w:t>
      </w:r>
      <w:r>
        <w:rPr>
          <w:rFonts w:ascii="Calibri" w:cs="Calibri" w:eastAsia="Calibri" w:hAnsi="Calibri"/>
          <w:sz w:val="11"/>
          <w:szCs w:val="11"/>
          <w:color w:val="auto"/>
        </w:rPr>
        <w:t>" shall mean (i) the installaton or use of any above or below ground storage tank, (ii) the generaton, possession, storage, use, transportaton, or disposal of a Hazardous Substance that requires a permit from, or with respect to which a report, notce,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41275</wp:posOffset>
            </wp:positionV>
            <wp:extent cx="574040" cy="2940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41275</wp:posOffset>
            </wp:positionV>
            <wp:extent cx="382905" cy="2940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300"/>
              <w:spacing w:after="0"/>
              <w:rPr>
                <w:sz w:val="20"/>
                <w:szCs w:val="20"/>
                <w:color w:val="auto"/>
              </w:rPr>
            </w:pPr>
            <w:r>
              <w:rPr>
                <w:rFonts w:ascii="Calibri" w:cs="Calibri" w:eastAsia="Calibri" w:hAnsi="Calibri"/>
                <w:sz w:val="13"/>
                <w:szCs w:val="13"/>
                <w:color w:val="auto"/>
                <w:w w:val="98"/>
              </w:rPr>
              <w:t>Page 3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01" w:name="page102"/>
    <w:bookmarkEnd w:id="101"/>
    <w:p>
      <w:pPr>
        <w:ind w:left="640" w:right="739"/>
        <w:spacing w:after="0" w:line="250" w:lineRule="auto"/>
        <w:rPr>
          <w:sz w:val="20"/>
          <w:szCs w:val="20"/>
          <w:color w:val="auto"/>
        </w:rPr>
      </w:pPr>
      <w:r>
        <w:rPr>
          <w:rFonts w:ascii="Calibri" w:cs="Calibri" w:eastAsia="Calibri" w:hAnsi="Calibri"/>
          <w:sz w:val="11"/>
          <w:szCs w:val="11"/>
          <w:color w:val="auto"/>
        </w:rPr>
        <w:t>registraton or business plan is required to be filed with, any governmental authority, and/or (iii) the presence at the Premises of a Hazardous Substance with respect to which any Applicable Requirements requires that a notce be given to persons entering or occupying the Premises or neighboring propertes. Notwithstanding the foregoing, Lessee may use any ordinary and customary materials reasonably required to be used in the normal course of the Agreed Use, ordinary oﬃce supplies (copier toner, liquid paper, glue, etc.) and common household cleaning materials, so long as such use is in compliance with all Applicable Requirements, is not a Reportable Use, and does not expose the Premises or neighboring property to any meaningful risk of contaminaton or damage or expose Lessor to any liability therefor. In additon, Lessor may conditon its consent to any Reportable Use upon receiving such additonal assurances as Lessor reasonably deems necessary to protect itself, the public, the Premises and/or the environment against damage, contaminaton, injury and/or liability, including, but not limited to, the installaton (and removal on or before Lease expiraton or terminaton) of protectve modificatons (such as concrete encasements) and/or increasing the Security Deposit.</w:t>
      </w:r>
    </w:p>
    <w:p>
      <w:pPr>
        <w:ind w:left="640" w:right="759" w:firstLine="507"/>
        <w:spacing w:after="0" w:line="250" w:lineRule="auto"/>
        <w:tabs>
          <w:tab w:leader="none" w:pos="1312" w:val="left"/>
        </w:tabs>
        <w:numPr>
          <w:ilvl w:val="0"/>
          <w:numId w:val="54"/>
        </w:numPr>
        <w:rPr>
          <w:rFonts w:ascii="Calibri" w:cs="Calibri" w:eastAsia="Calibri" w:hAnsi="Calibri"/>
          <w:sz w:val="11"/>
          <w:szCs w:val="11"/>
          <w:color w:val="auto"/>
        </w:rPr>
      </w:pPr>
      <w:r>
        <w:rPr>
          <w:rFonts w:ascii="Calibri" w:cs="Calibri" w:eastAsia="Calibri" w:hAnsi="Calibri"/>
          <w:sz w:val="11"/>
          <w:szCs w:val="11"/>
          <w:b w:val="1"/>
          <w:bCs w:val="1"/>
          <w:color w:val="auto"/>
        </w:rPr>
        <w:t>Duty to Inform Lessor</w:t>
      </w:r>
      <w:r>
        <w:rPr>
          <w:rFonts w:ascii="Calibri" w:cs="Calibri" w:eastAsia="Calibri" w:hAnsi="Calibri"/>
          <w:sz w:val="11"/>
          <w:szCs w:val="11"/>
          <w:color w:val="auto"/>
        </w:rPr>
        <w:t>. If Lessee knows, or has reasonable cause to believe, that a Hazardous Substance has come to be located in, on, under or about</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the Premises, other than as previously consented to by Lessor, Lessee shall immediately give writen notce of such fact to Lessor, and provide Lessor with a copy of any report, notce, claim or other documentaton which it has concerning the presence of such Hazardous Substance.</w:t>
      </w:r>
    </w:p>
    <w:p>
      <w:pPr>
        <w:ind w:left="640" w:right="719" w:firstLine="507"/>
        <w:spacing w:after="0" w:line="250" w:lineRule="auto"/>
        <w:tabs>
          <w:tab w:leader="none" w:pos="1300" w:val="left"/>
        </w:tabs>
        <w:numPr>
          <w:ilvl w:val="0"/>
          <w:numId w:val="54"/>
        </w:numPr>
        <w:rPr>
          <w:rFonts w:ascii="Calibri" w:cs="Calibri" w:eastAsia="Calibri" w:hAnsi="Calibri"/>
          <w:sz w:val="11"/>
          <w:szCs w:val="11"/>
          <w:color w:val="auto"/>
        </w:rPr>
      </w:pPr>
      <w:r>
        <w:rPr>
          <w:rFonts w:ascii="Calibri" w:cs="Calibri" w:eastAsia="Calibri" w:hAnsi="Calibri"/>
          <w:sz w:val="11"/>
          <w:szCs w:val="11"/>
          <w:b w:val="1"/>
          <w:bCs w:val="1"/>
          <w:color w:val="auto"/>
        </w:rPr>
        <w:t>Lessee Remediaton</w:t>
      </w:r>
      <w:r>
        <w:rPr>
          <w:rFonts w:ascii="Calibri" w:cs="Calibri" w:eastAsia="Calibri" w:hAnsi="Calibri"/>
          <w:sz w:val="11"/>
          <w:szCs w:val="11"/>
          <w:color w:val="auto"/>
        </w:rPr>
        <w:t>. Lessee shall not cause or permit any Hazardous Substance to be spilled or released in, on, under, or about the Premises (including</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through the plumbing or sanitary sewer system) and shall promptly, at Lessee's expense, comply with all Applicable Requirements and take all investgatory and/or remedial acton reasonably recommended, whether or not formally ordered or required, for the cleanup of any contaminaton of, and for the maintenance, security and/or monitoring of the Premises or neighboring propertes, that was caused or materially contributed to by Lessee, or pertaining to or involving any Hazardous Substance brought onto the Premises during the term of this Lease, by or for Lessee, or any third party.</w:t>
      </w:r>
    </w:p>
    <w:p>
      <w:pPr>
        <w:ind w:left="640" w:right="719" w:firstLine="507"/>
        <w:spacing w:after="0" w:line="250" w:lineRule="auto"/>
        <w:tabs>
          <w:tab w:leader="none" w:pos="1312" w:val="left"/>
        </w:tabs>
        <w:numPr>
          <w:ilvl w:val="0"/>
          <w:numId w:val="54"/>
        </w:numPr>
        <w:rPr>
          <w:rFonts w:ascii="Calibri" w:cs="Calibri" w:eastAsia="Calibri" w:hAnsi="Calibri"/>
          <w:sz w:val="11"/>
          <w:szCs w:val="11"/>
          <w:color w:val="auto"/>
        </w:rPr>
      </w:pPr>
      <w:r>
        <w:rPr>
          <w:rFonts w:ascii="Calibri" w:cs="Calibri" w:eastAsia="Calibri" w:hAnsi="Calibri"/>
          <w:sz w:val="11"/>
          <w:szCs w:val="11"/>
          <w:b w:val="1"/>
          <w:bCs w:val="1"/>
          <w:color w:val="auto"/>
        </w:rPr>
        <w:t>Lessee Indemnificaton</w:t>
      </w:r>
      <w:r>
        <w:rPr>
          <w:rFonts w:ascii="Calibri" w:cs="Calibri" w:eastAsia="Calibri" w:hAnsi="Calibri"/>
          <w:sz w:val="11"/>
          <w:szCs w:val="11"/>
          <w:color w:val="auto"/>
        </w:rPr>
        <w:t>. Lessee shall indemnify, defend and hold Lessor, its agents, employees, lenders and ground lessor, if any, harmless from and</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 xml:space="preserve">against any and all loss of rents and/or damages, liabilites, judgments, claims, expenses, penaltes, and atorneys' and consultants' fees arising out of or involving any Hazardous Substance brought onto the Premises by or for Lessee, or any third party (provided, however, that Lessee shall have no liability under this Lease with respect to underground migraton of any Hazardous Substance under the Premises from adjacent propertes not caused or contributed to by Lessee). Lessee's obligatons shall include, but not be limited to, the eﬀects of any contaminaton or injury to person, property or the environment created or suﬀered by Lessee, and the cost of investgaton, removal, remediaton, restoraton and/or abatement, and shall survive the expiraton or terminaton of this Lease. </w:t>
      </w:r>
      <w:r>
        <w:rPr>
          <w:rFonts w:ascii="Calibri" w:cs="Calibri" w:eastAsia="Calibri" w:hAnsi="Calibri"/>
          <w:sz w:val="11"/>
          <w:szCs w:val="11"/>
          <w:b w:val="1"/>
          <w:bCs w:val="1"/>
          <w:color w:val="auto"/>
        </w:rPr>
        <w:t>No terminaton,</w:t>
      </w:r>
      <w:r>
        <w:rPr>
          <w:rFonts w:ascii="Calibri" w:cs="Calibri" w:eastAsia="Calibri" w:hAnsi="Calibri"/>
          <w:sz w:val="11"/>
          <w:szCs w:val="11"/>
          <w:color w:val="auto"/>
        </w:rPr>
        <w:t xml:space="preserve"> </w:t>
      </w:r>
      <w:r>
        <w:rPr>
          <w:rFonts w:ascii="Calibri" w:cs="Calibri" w:eastAsia="Calibri" w:hAnsi="Calibri"/>
          <w:sz w:val="11"/>
          <w:szCs w:val="11"/>
          <w:b w:val="1"/>
          <w:bCs w:val="1"/>
          <w:color w:val="auto"/>
        </w:rPr>
        <w:t>cancellaton or release agreement entered into by Lessor and Lessee shall release Lessee from its obligatons under this Lease with respect to Hazardous Substances, unless specifically so agreed by Lessor in writng at the tme of such agreement.</w:t>
      </w:r>
    </w:p>
    <w:p>
      <w:pPr>
        <w:ind w:left="640" w:right="639" w:firstLine="507"/>
        <w:spacing w:after="0" w:line="250" w:lineRule="auto"/>
        <w:tabs>
          <w:tab w:leader="none" w:pos="1309" w:val="left"/>
        </w:tabs>
        <w:numPr>
          <w:ilvl w:val="0"/>
          <w:numId w:val="54"/>
        </w:numPr>
        <w:rPr>
          <w:rFonts w:ascii="Calibri" w:cs="Calibri" w:eastAsia="Calibri" w:hAnsi="Calibri"/>
          <w:sz w:val="11"/>
          <w:szCs w:val="11"/>
          <w:color w:val="auto"/>
        </w:rPr>
      </w:pPr>
      <w:r>
        <w:rPr>
          <w:rFonts w:ascii="Calibri" w:cs="Calibri" w:eastAsia="Calibri" w:hAnsi="Calibri"/>
          <w:sz w:val="11"/>
          <w:szCs w:val="11"/>
          <w:b w:val="1"/>
          <w:bCs w:val="1"/>
          <w:color w:val="auto"/>
        </w:rPr>
        <w:t>Lessor Indemnificaton</w:t>
      </w:r>
      <w:r>
        <w:rPr>
          <w:rFonts w:ascii="Calibri" w:cs="Calibri" w:eastAsia="Calibri" w:hAnsi="Calibri"/>
          <w:sz w:val="11"/>
          <w:szCs w:val="11"/>
          <w:color w:val="auto"/>
        </w:rPr>
        <w:t>. Except as otherwise provided in paragraph 8.7, Lessor and its successors and assigns shall indemnify, defend, reimburse and</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hold Lessee, its employees and lenders, harmless from and against any and all environmental damages, including the cost of remediaton, which result from Hazardous Substances which existed on the Premises prior to Lessee's occupancy or which are caused by the gross negligence or willful misconduct of Lessor, its agents or employees. Lessor's obligatons, as and when required by the Applicable Requirements, shall include, but not be limited to, the cost of investgaton, removal, remediaton, restoraton and/or abatement, and shall survive the expiraton or terminaton of this Lease.</w:t>
      </w:r>
    </w:p>
    <w:p>
      <w:pPr>
        <w:ind w:left="640" w:right="639" w:firstLine="507"/>
        <w:spacing w:after="0" w:line="250" w:lineRule="auto"/>
        <w:tabs>
          <w:tab w:leader="none" w:pos="1288" w:val="left"/>
        </w:tabs>
        <w:numPr>
          <w:ilvl w:val="0"/>
          <w:numId w:val="54"/>
        </w:numPr>
        <w:rPr>
          <w:rFonts w:ascii="Calibri" w:cs="Calibri" w:eastAsia="Calibri" w:hAnsi="Calibri"/>
          <w:sz w:val="11"/>
          <w:szCs w:val="11"/>
          <w:color w:val="auto"/>
        </w:rPr>
      </w:pPr>
      <w:r>
        <w:rPr>
          <w:rFonts w:ascii="Calibri" w:cs="Calibri" w:eastAsia="Calibri" w:hAnsi="Calibri"/>
          <w:sz w:val="11"/>
          <w:szCs w:val="11"/>
          <w:b w:val="1"/>
          <w:bCs w:val="1"/>
          <w:color w:val="auto"/>
        </w:rPr>
        <w:t>Investgatons and Remediatons</w:t>
      </w:r>
      <w:r>
        <w:rPr>
          <w:rFonts w:ascii="Calibri" w:cs="Calibri" w:eastAsia="Calibri" w:hAnsi="Calibri"/>
          <w:sz w:val="11"/>
          <w:szCs w:val="11"/>
          <w:color w:val="auto"/>
        </w:rPr>
        <w:t>. Lessor shall retain the responsibility and pay for any investgatons or remediaton measures required by governmental</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enttes having jurisdicton with respect to the existence of Hazardous Substances on the Premises prior to Lessee's occupancy, unless such remediaton measure is required as a result of Lessee's use (including "Alteratons", as defined in paragraph 7.3(a) below) of the Premises, in which event Lessee shall be responsible for such payment. Lessee shall cooperate fully in any such actvites at the request of Lessor, including allowing Lessor and Lessor's agents to have reasonable access to the Premises at reasonable tmes in order to carry out Lessor's investgatve and remedial responsibilites.</w:t>
      </w:r>
    </w:p>
    <w:p>
      <w:pPr>
        <w:ind w:left="640" w:right="659" w:firstLine="507"/>
        <w:spacing w:after="0" w:line="250" w:lineRule="auto"/>
        <w:tabs>
          <w:tab w:leader="none" w:pos="1306" w:val="left"/>
        </w:tabs>
        <w:numPr>
          <w:ilvl w:val="0"/>
          <w:numId w:val="54"/>
        </w:numPr>
        <w:rPr>
          <w:rFonts w:ascii="Calibri" w:cs="Calibri" w:eastAsia="Calibri" w:hAnsi="Calibri"/>
          <w:sz w:val="11"/>
          <w:szCs w:val="11"/>
          <w:color w:val="auto"/>
        </w:rPr>
      </w:pPr>
      <w:r>
        <w:rPr>
          <w:rFonts w:ascii="Calibri" w:cs="Calibri" w:eastAsia="Calibri" w:hAnsi="Calibri"/>
          <w:sz w:val="11"/>
          <w:szCs w:val="11"/>
          <w:b w:val="1"/>
          <w:bCs w:val="1"/>
          <w:color w:val="auto"/>
        </w:rPr>
        <w:t>Lessor Terminaton Opton</w:t>
      </w:r>
      <w:r>
        <w:rPr>
          <w:rFonts w:ascii="Calibri" w:cs="Calibri" w:eastAsia="Calibri" w:hAnsi="Calibri"/>
          <w:sz w:val="11"/>
          <w:szCs w:val="11"/>
          <w:color w:val="auto"/>
        </w:rPr>
        <w:t>. If a Hazardous Substance Conditon (see Paragraph 9.1(e)) occurs during the term of this Lease, unless Lessee is legally</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responsible therefor (in which case Lessee shall make the investgaton and remediaton thereof required by the Applicable Requirements and this Lease shall contnue in full force and eﬀect, but subject to Lessor's rights under Paragraph 6.2(d) and Paragraph 13), Lessor may, at Lessor's opton, either (i) investgate and remediate such Hazardous Substance Conditon, if required, as soon as reasonably possible at Lessor's expense, in which event this Lease shall contnue in full force and eﬀect, or (ii) if the estmated cost to remediate such conditon exceeds 12 tmes the then monthly Base Rent or $100,000, whichever is greater, give writen notce to Lessee, within 30 days afer receipt by Lessor of knowledge of the occurrence of such Hazardous Substance Conditon, of Lessor's desire to terminate this Lease as of the date 60 days following the date of such notce. In the event Lessor elects to give a terminaton notce, Lessee may, within 10 days thereafer, give writen notce to Lessor of Lessee's commitment to pay the amount by which the cost of the remediaton of such Hazardous Substance Conditon exceeds an amount equal to 12 tmes the then monthly Base Rent or $100,000, whichever is greater. Lessee shall provide Lessor with said funds or satsfactory assurance thereof within 30 days following such commitment. In such event, this Lease shall contnue in full force and eﬀect, and Lessor shall proceed to make such remediaton as soon as reasonably possible afer the required funds are available. If Lessee does not give such notce and provide the required funds or assurance thereof within the tme provided, this Lease shall terminate as of the date specified in Lessor's notce of terminaton.</w:t>
      </w:r>
    </w:p>
    <w:p>
      <w:pPr>
        <w:spacing w:after="0" w:line="139" w:lineRule="exact"/>
        <w:rPr>
          <w:rFonts w:ascii="Calibri" w:cs="Calibri" w:eastAsia="Calibri" w:hAnsi="Calibri"/>
          <w:sz w:val="11"/>
          <w:szCs w:val="11"/>
          <w:color w:val="auto"/>
        </w:rPr>
      </w:pPr>
    </w:p>
    <w:p>
      <w:pPr>
        <w:ind w:left="640" w:right="699" w:firstLine="258"/>
        <w:spacing w:after="0" w:line="250" w:lineRule="auto"/>
        <w:rPr>
          <w:rFonts w:ascii="Calibri" w:cs="Calibri" w:eastAsia="Calibri" w:hAnsi="Calibri"/>
          <w:sz w:val="11"/>
          <w:szCs w:val="11"/>
          <w:color w:val="auto"/>
        </w:rPr>
      </w:pPr>
      <w:r>
        <w:rPr>
          <w:rFonts w:ascii="Calibri" w:cs="Calibri" w:eastAsia="Calibri" w:hAnsi="Calibri"/>
          <w:sz w:val="11"/>
          <w:szCs w:val="11"/>
          <w:color w:val="auto"/>
        </w:rPr>
        <w:t xml:space="preserve">6.3 </w:t>
      </w:r>
      <w:r>
        <w:rPr>
          <w:rFonts w:ascii="Calibri" w:cs="Calibri" w:eastAsia="Calibri" w:hAnsi="Calibri"/>
          <w:sz w:val="11"/>
          <w:szCs w:val="11"/>
          <w:b w:val="1"/>
          <w:bCs w:val="1"/>
          <w:color w:val="auto"/>
        </w:rPr>
        <w:t>Lessee's Compliance with Applicable Requirements</w:t>
      </w:r>
      <w:r>
        <w:rPr>
          <w:rFonts w:ascii="Calibri" w:cs="Calibri" w:eastAsia="Calibri" w:hAnsi="Calibri"/>
          <w:sz w:val="11"/>
          <w:szCs w:val="11"/>
          <w:color w:val="auto"/>
        </w:rPr>
        <w:t>. Except as otherwise provided in this Lease, Lessee shall, at Lessee's sole expense, fully, diligently and in a tmely manner, materially comply with all Applicable Requirements, the requirements of any applicable fire insurance underwriter or ratng bureau, and the recommendatons of Lessor's engineers and/or consultants which relate in any manner to the Premises, without regard to whether said Applicable Requirements are now in eﬀect or become eﬀectve afer the Start Date. Lessee shall, within 10 days afer receipt of Lessor's writen request, provide Lessor with copies of all permits and other documents, and other informaton evidencing Lessee's compliance with any Applicable Requirements specified by Lessor, and shall immediately upon receipt, notfy Lessor in writng (with copies of any documents involved) of any threatened or actual claim, notce, citaton, warning, complaint or report pertaining to or involving the failure of Lessee or the Premises to comply with any Applicable Requirements. Likewise, Lessee shall immediately give writen notce to Lessor of: (i) any water damage to the Premises and any suspected seepage, pooling, dampness or other conditon conducive to the producton of mold; or (ii) any mustness or other odors that might indicate the presence of mold in the Premises. In additon, Lessee shall provide copies of all relevant material safety data sheets (</w:t>
      </w:r>
      <w:r>
        <w:rPr>
          <w:rFonts w:ascii="Calibri" w:cs="Calibri" w:eastAsia="Calibri" w:hAnsi="Calibri"/>
          <w:sz w:val="11"/>
          <w:szCs w:val="11"/>
          <w:b w:val="1"/>
          <w:bCs w:val="1"/>
          <w:color w:val="auto"/>
        </w:rPr>
        <w:t>MSDS</w:t>
      </w:r>
      <w:r>
        <w:rPr>
          <w:rFonts w:ascii="Calibri" w:cs="Calibri" w:eastAsia="Calibri" w:hAnsi="Calibri"/>
          <w:sz w:val="11"/>
          <w:szCs w:val="11"/>
          <w:color w:val="auto"/>
        </w:rPr>
        <w:t>) to Lessor within 10 days of the receipt of a writen request therefor. In additon, Lessee shall provide Lessor with copies of its business license, certficate of occupancy and/or any similar document within 10 days of the receipt of a writen request therefor.</w:t>
      </w:r>
    </w:p>
    <w:p>
      <w:pPr>
        <w:ind w:left="640" w:right="759" w:firstLine="258"/>
        <w:spacing w:after="0" w:line="250" w:lineRule="auto"/>
        <w:rPr>
          <w:rFonts w:ascii="Calibri" w:cs="Calibri" w:eastAsia="Calibri" w:hAnsi="Calibri"/>
          <w:sz w:val="11"/>
          <w:szCs w:val="11"/>
          <w:color w:val="auto"/>
        </w:rPr>
      </w:pPr>
      <w:r>
        <w:rPr>
          <w:rFonts w:ascii="Calibri" w:cs="Calibri" w:eastAsia="Calibri" w:hAnsi="Calibri"/>
          <w:sz w:val="11"/>
          <w:szCs w:val="11"/>
          <w:color w:val="auto"/>
        </w:rPr>
        <w:t xml:space="preserve">6.4 </w:t>
      </w:r>
      <w:r>
        <w:rPr>
          <w:rFonts w:ascii="Calibri" w:cs="Calibri" w:eastAsia="Calibri" w:hAnsi="Calibri"/>
          <w:sz w:val="11"/>
          <w:szCs w:val="11"/>
          <w:b w:val="1"/>
          <w:bCs w:val="1"/>
          <w:color w:val="auto"/>
        </w:rPr>
        <w:t>Inspecton; Compliance</w:t>
      </w:r>
      <w:r>
        <w:rPr>
          <w:rFonts w:ascii="Calibri" w:cs="Calibri" w:eastAsia="Calibri" w:hAnsi="Calibri"/>
          <w:sz w:val="11"/>
          <w:szCs w:val="11"/>
          <w:color w:val="auto"/>
        </w:rPr>
        <w:t>. Lessor and Lessor's "</w:t>
      </w:r>
      <w:r>
        <w:rPr>
          <w:rFonts w:ascii="Calibri" w:cs="Calibri" w:eastAsia="Calibri" w:hAnsi="Calibri"/>
          <w:sz w:val="11"/>
          <w:szCs w:val="11"/>
          <w:b w:val="1"/>
          <w:bCs w:val="1"/>
          <w:color w:val="auto"/>
        </w:rPr>
        <w:t>Lender</w:t>
      </w:r>
      <w:r>
        <w:rPr>
          <w:rFonts w:ascii="Calibri" w:cs="Calibri" w:eastAsia="Calibri" w:hAnsi="Calibri"/>
          <w:sz w:val="11"/>
          <w:szCs w:val="11"/>
          <w:color w:val="auto"/>
        </w:rPr>
        <w:t>" (as defined in Paragraph 30) and consultants authorized by Lessor shall have the right to enter into Premises at any tme in the case of an emergency, and otherwise at reasonable tmes afer reasonable notce, for the purpose of inspectng and/or testng the conditon of the Premises and/or for verifying compliance by Lessee with this Lease. The cost of any such inspectons shall be paid by Lessor, unless a violaton of Applicable Requirements, or a Hazardous Substance Conditon (see paragraph 9.1(e)) is found to exist or be imminent, or the inspecton is requested or ordered by a governmental authority. In such case, Lessee shall upon request reimburse Lessor for the cost of such inspecton, so long as such inspecton is reasonably related to the violaton or contaminaton. In additon, Lessee shall provide copies of all relevant material safety data sheets (</w:t>
      </w:r>
      <w:r>
        <w:rPr>
          <w:rFonts w:ascii="Calibri" w:cs="Calibri" w:eastAsia="Calibri" w:hAnsi="Calibri"/>
          <w:sz w:val="11"/>
          <w:szCs w:val="11"/>
          <w:b w:val="1"/>
          <w:bCs w:val="1"/>
          <w:color w:val="auto"/>
        </w:rPr>
        <w:t>MSDS</w:t>
      </w:r>
      <w:r>
        <w:rPr>
          <w:rFonts w:ascii="Calibri" w:cs="Calibri" w:eastAsia="Calibri" w:hAnsi="Calibri"/>
          <w:sz w:val="11"/>
          <w:szCs w:val="11"/>
          <w:color w:val="auto"/>
        </w:rPr>
        <w:t>) to Lessor within 10 days of the receipt of a writen request therefor. Lessee acknowledges that any failure on its part to allow such inspectons or testng will expose Lessor to risks and potentally cause Lessor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41275</wp:posOffset>
            </wp:positionV>
            <wp:extent cx="574040" cy="2940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41275</wp:posOffset>
            </wp:positionV>
            <wp:extent cx="382905" cy="2940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300"/>
              <w:spacing w:after="0"/>
              <w:rPr>
                <w:sz w:val="20"/>
                <w:szCs w:val="20"/>
                <w:color w:val="auto"/>
              </w:rPr>
            </w:pPr>
            <w:r>
              <w:rPr>
                <w:rFonts w:ascii="Calibri" w:cs="Calibri" w:eastAsia="Calibri" w:hAnsi="Calibri"/>
                <w:sz w:val="13"/>
                <w:szCs w:val="13"/>
                <w:color w:val="auto"/>
                <w:w w:val="98"/>
              </w:rPr>
              <w:t>Page 4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02" w:name="page103"/>
    <w:bookmarkEnd w:id="102"/>
    <w:p>
      <w:pPr>
        <w:ind w:left="640" w:right="639"/>
        <w:spacing w:after="0" w:line="251" w:lineRule="auto"/>
        <w:rPr>
          <w:sz w:val="20"/>
          <w:szCs w:val="20"/>
          <w:color w:val="auto"/>
        </w:rPr>
      </w:pPr>
      <w:r>
        <w:rPr>
          <w:rFonts w:ascii="Calibri" w:cs="Calibri" w:eastAsia="Calibri" w:hAnsi="Calibri"/>
          <w:sz w:val="11"/>
          <w:szCs w:val="11"/>
          <w:color w:val="auto"/>
        </w:rPr>
        <w:t>to incur costs not contemplated by this Lease, the extent of which will be extremely diﬃcult to ascertain. Accordingly, should the Lessee fail to allow such inspectons and/or testng in a tmely fashion the Base Rent shall be automatcally increased, without any requirement for notce to Lessee, by an amount equal to 10% of the then existng Base Rent or $100, whichever is greater for the remainder to the Lease. The Partes agree that such increase in Base Rent represents fair and reasonable compensaton for the additonal risk/costs that Lessor will incur by reason of Lessee's failure to allow such inspecton and/or testng. Such increase in Base Rent shall in no event consttute a waiver of Lessee's Default or Breach with respect to such failure nor prevent the exercise of any of the other rights and remedies granted hereunder.</w:t>
      </w:r>
    </w:p>
    <w:p>
      <w:pPr>
        <w:spacing w:after="0" w:line="223" w:lineRule="exact"/>
        <w:rPr>
          <w:sz w:val="20"/>
          <w:szCs w:val="20"/>
          <w:color w:val="auto"/>
        </w:rPr>
      </w:pPr>
    </w:p>
    <w:p>
      <w:pPr>
        <w:ind w:left="880" w:right="4779" w:hanging="249"/>
        <w:spacing w:after="0" w:line="250" w:lineRule="auto"/>
        <w:tabs>
          <w:tab w:leader="none" w:pos="736" w:val="left"/>
        </w:tabs>
        <w:numPr>
          <w:ilvl w:val="0"/>
          <w:numId w:val="55"/>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Maintenance; Repairs; Utlity Installatons; Trade Fixtures and Alteratons. 7.1 Lessee's Obligatons</w:t>
      </w:r>
      <w:r>
        <w:rPr>
          <w:rFonts w:ascii="Calibri" w:cs="Calibri" w:eastAsia="Calibri" w:hAnsi="Calibri"/>
          <w:sz w:val="11"/>
          <w:szCs w:val="11"/>
          <w:color w:val="auto"/>
        </w:rPr>
        <w:t>.</w:t>
      </w:r>
    </w:p>
    <w:p>
      <w:pPr>
        <w:ind w:left="640" w:right="699" w:firstLine="507"/>
        <w:spacing w:after="0" w:line="250" w:lineRule="auto"/>
        <w:tabs>
          <w:tab w:leader="none" w:pos="1307" w:val="left"/>
        </w:tabs>
        <w:numPr>
          <w:ilvl w:val="1"/>
          <w:numId w:val="55"/>
        </w:numPr>
        <w:rPr>
          <w:rFonts w:ascii="Calibri" w:cs="Calibri" w:eastAsia="Calibri" w:hAnsi="Calibri"/>
          <w:sz w:val="11"/>
          <w:szCs w:val="11"/>
          <w:color w:val="auto"/>
        </w:rPr>
      </w:pPr>
      <w:r>
        <w:rPr>
          <w:rFonts w:ascii="Calibri" w:cs="Calibri" w:eastAsia="Calibri" w:hAnsi="Calibri"/>
          <w:sz w:val="11"/>
          <w:szCs w:val="11"/>
          <w:b w:val="1"/>
          <w:bCs w:val="1"/>
          <w:color w:val="auto"/>
        </w:rPr>
        <w:t>In General</w:t>
      </w:r>
      <w:r>
        <w:rPr>
          <w:rFonts w:ascii="Calibri" w:cs="Calibri" w:eastAsia="Calibri" w:hAnsi="Calibri"/>
          <w:sz w:val="11"/>
          <w:szCs w:val="11"/>
          <w:color w:val="auto"/>
        </w:rPr>
        <w:t>. Subject to the provisions of Paragraph 2.2 (Conditon), 2.3 (Compliance), 6.3 (Lessee's Compliance with Applicable Requirements), 7.2</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(Lessor's Obligatons), 9 (Damage or Destructon), and 14 (Condemnaton), Lessee shall, at Lessee's sole expense, keep the Premises, Utlity Installatons (intended for Lessee's exclusive use, no mater where located), and Alteratons in good order, conditon and repair (whether or not the porton of the Premises requiring repairs, or the means of repairing the same, are reasonably or readily accessible to Lessee, and whether or not the need for such repairs occurs as a result of Lessee's use, any prior use, the elements or the age of such porton of the Premises), including, but not limited to, all equipment or facilites, such as plumbing, HVAC equipment, electrical, lightng facilites, boilers, pressure vessels, fire protecton system, fixtures, walls (interior and exterior), foundatons, ceilings, roofs, roof drainage systems, floors, windows, doors, plate glass, skylights, landscaping, driveways, parking lots, fences, retaining walls, signs, sidewalks and parkways located in, on, or adjacent to the Premises. Lessee, in keeping the Premises in good order, conditon and repair, shall exercise and perform good maintenance practces, specifically including the procurement and maintenance of the service contracts required by Paragraph 7.1(b) below. Lessee's obligatons shall include restoratons, replacements or renewals when necessary to keep the Premises and all improvements thereon or a part thereof in good order, conditon and state of repair. Lessee shall, during the term of this Lease, keep the exterior appearance of the Building in a first-class conditon (including, e.g. graﬃt removal) consistent with the exterior appearance of other similar facilites of comparable age and size in the vicinity, including, when necessary, the exterior repaintng of the Building.</w:t>
      </w:r>
    </w:p>
    <w:p>
      <w:pPr>
        <w:ind w:left="640" w:right="699" w:firstLine="507"/>
        <w:spacing w:after="0" w:line="250" w:lineRule="auto"/>
        <w:tabs>
          <w:tab w:leader="none" w:pos="1312" w:val="left"/>
        </w:tabs>
        <w:numPr>
          <w:ilvl w:val="1"/>
          <w:numId w:val="55"/>
        </w:numPr>
        <w:rPr>
          <w:rFonts w:ascii="Calibri" w:cs="Calibri" w:eastAsia="Calibri" w:hAnsi="Calibri"/>
          <w:sz w:val="11"/>
          <w:szCs w:val="11"/>
          <w:color w:val="auto"/>
        </w:rPr>
      </w:pPr>
      <w:r>
        <w:rPr>
          <w:rFonts w:ascii="Calibri" w:cs="Calibri" w:eastAsia="Calibri" w:hAnsi="Calibri"/>
          <w:sz w:val="11"/>
          <w:szCs w:val="11"/>
          <w:b w:val="1"/>
          <w:bCs w:val="1"/>
          <w:color w:val="auto"/>
        </w:rPr>
        <w:t>Service Contracts</w:t>
      </w:r>
      <w:r>
        <w:rPr>
          <w:rFonts w:ascii="Calibri" w:cs="Calibri" w:eastAsia="Calibri" w:hAnsi="Calibri"/>
          <w:sz w:val="11"/>
          <w:szCs w:val="11"/>
          <w:color w:val="auto"/>
        </w:rPr>
        <w:t>. Lessee shall, at Lessee's sole expense, procure and maintain contracts, with copies to Lessor, in customary form and substance for,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and with contractors specializing and experienced in the maintenance of the following equipment and improvements, if any, if and when installed on the Premises: (i) HVAC equipment, (ii) boiler, and pressure vessels, (iii) fire extnguishing systems, including fire alarm and/or smoke detecton, (iv) landscaping and irrigaton systems,</w:t>
      </w:r>
    </w:p>
    <w:p>
      <w:pPr>
        <w:ind w:left="640" w:right="739"/>
        <w:spacing w:after="0" w:line="250" w:lineRule="auto"/>
        <w:rPr>
          <w:rFonts w:ascii="Calibri" w:cs="Calibri" w:eastAsia="Calibri" w:hAnsi="Calibri"/>
          <w:sz w:val="11"/>
          <w:szCs w:val="11"/>
          <w:color w:val="auto"/>
        </w:rPr>
      </w:pPr>
      <w:r>
        <w:rPr>
          <w:rFonts w:ascii="Calibri" w:cs="Calibri" w:eastAsia="Calibri" w:hAnsi="Calibri"/>
          <w:sz w:val="11"/>
          <w:szCs w:val="11"/>
          <w:color w:val="auto"/>
        </w:rPr>
        <w:t>(v) roof covering and drains, and (vi) clarifiers. However, Lessor reserves the right, upon notce to Lessee, to procure and maintain any or all of such service contracts, and Lessee shall reimburse Lessor, upon demand, for the cost thereof.</w:t>
      </w:r>
    </w:p>
    <w:p>
      <w:pPr>
        <w:jc w:val="both"/>
        <w:ind w:left="640" w:right="919" w:firstLine="507"/>
        <w:spacing w:after="0" w:line="250" w:lineRule="auto"/>
        <w:tabs>
          <w:tab w:leader="none" w:pos="1300" w:val="left"/>
        </w:tabs>
        <w:numPr>
          <w:ilvl w:val="1"/>
          <w:numId w:val="55"/>
        </w:numPr>
        <w:rPr>
          <w:rFonts w:ascii="Calibri" w:cs="Calibri" w:eastAsia="Calibri" w:hAnsi="Calibri"/>
          <w:sz w:val="11"/>
          <w:szCs w:val="11"/>
          <w:color w:val="auto"/>
        </w:rPr>
      </w:pPr>
      <w:r>
        <w:rPr>
          <w:rFonts w:ascii="Calibri" w:cs="Calibri" w:eastAsia="Calibri" w:hAnsi="Calibri"/>
          <w:sz w:val="11"/>
          <w:szCs w:val="11"/>
          <w:b w:val="1"/>
          <w:bCs w:val="1"/>
          <w:color w:val="auto"/>
        </w:rPr>
        <w:t>Failure to Perform</w:t>
      </w:r>
      <w:r>
        <w:rPr>
          <w:rFonts w:ascii="Calibri" w:cs="Calibri" w:eastAsia="Calibri" w:hAnsi="Calibri"/>
          <w:sz w:val="11"/>
          <w:szCs w:val="11"/>
          <w:color w:val="auto"/>
        </w:rPr>
        <w:t>. If Lessee fails to perform Lessee's obligatons under this Paragraph 7.1, Lessor may enter upon the Premises afer 10 days' prior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writen notce to Lessee (except in the case of an emergency, in which case no notce shall be required), perform such obligatons on Lessee's behalf, and put the Premises in good order, conditon and repair, and Lessee shall promptly pay to Lessor a sum equal to 115% of the cost thereof.</w:t>
      </w:r>
    </w:p>
    <w:p>
      <w:pPr>
        <w:ind w:left="640" w:right="659" w:firstLine="507"/>
        <w:spacing w:after="0" w:line="250" w:lineRule="auto"/>
        <w:tabs>
          <w:tab w:leader="none" w:pos="1312" w:val="left"/>
        </w:tabs>
        <w:numPr>
          <w:ilvl w:val="1"/>
          <w:numId w:val="55"/>
        </w:numPr>
        <w:rPr>
          <w:rFonts w:ascii="Calibri" w:cs="Calibri" w:eastAsia="Calibri" w:hAnsi="Calibri"/>
          <w:sz w:val="11"/>
          <w:szCs w:val="11"/>
          <w:color w:val="auto"/>
        </w:rPr>
      </w:pPr>
      <w:r>
        <w:rPr>
          <w:rFonts w:ascii="Calibri" w:cs="Calibri" w:eastAsia="Calibri" w:hAnsi="Calibri"/>
          <w:sz w:val="11"/>
          <w:szCs w:val="11"/>
          <w:b w:val="1"/>
          <w:bCs w:val="1"/>
          <w:color w:val="auto"/>
        </w:rPr>
        <w:t>Replacement</w:t>
      </w:r>
      <w:r>
        <w:rPr>
          <w:rFonts w:ascii="Calibri" w:cs="Calibri" w:eastAsia="Calibri" w:hAnsi="Calibri"/>
          <w:sz w:val="11"/>
          <w:szCs w:val="11"/>
          <w:color w:val="auto"/>
        </w:rPr>
        <w:t>. Subject to Lessee's indemnificaton of Lessor as set forth in Paragraph 8.7 below, and without relieving Lessee of liability resultng from</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Lessee's failure to exercise and perform good maintenance practces, if an item described in Paragraph 7.1(b) cannot be repaired other than at a cost which is in excess of 50% of the cost of replacing such item, then such item shall be replaced by Lessor, and the cost thereof shall be prorated between the Partes and Lessee shall only be obligated to pay, each month during the remainder of the term of this Lease or any extension thereof, on the date on which Base Rent is due, an amount equal to the product of multplying the cost of such replacement by a fracton, the numerator of which is one, and the denominator of which is 144 (i.e. 1/144th of the cost per month). Lessee shall pay Interest on the unamortzed balance but may prepay its obligaton at any tme.</w:t>
      </w:r>
    </w:p>
    <w:p>
      <w:pPr>
        <w:ind w:left="640" w:right="719" w:firstLine="258"/>
        <w:spacing w:after="0" w:line="250" w:lineRule="auto"/>
        <w:rPr>
          <w:rFonts w:ascii="Calibri" w:cs="Calibri" w:eastAsia="Calibri" w:hAnsi="Calibri"/>
          <w:sz w:val="11"/>
          <w:szCs w:val="11"/>
          <w:color w:val="auto"/>
        </w:rPr>
      </w:pPr>
      <w:r>
        <w:rPr>
          <w:rFonts w:ascii="Calibri" w:cs="Calibri" w:eastAsia="Calibri" w:hAnsi="Calibri"/>
          <w:sz w:val="11"/>
          <w:szCs w:val="11"/>
          <w:b w:val="1"/>
          <w:bCs w:val="1"/>
          <w:color w:val="auto"/>
        </w:rPr>
        <w:t>7.2 Lessor's Obligatons</w:t>
      </w:r>
      <w:r>
        <w:rPr>
          <w:rFonts w:ascii="Calibri" w:cs="Calibri" w:eastAsia="Calibri" w:hAnsi="Calibri"/>
          <w:sz w:val="11"/>
          <w:szCs w:val="11"/>
          <w:color w:val="auto"/>
        </w:rPr>
        <w:t>. Subject to the provisions of Paragraphs 2.2 (Conditon), 2.3 (Compliance), 9 (Damage or Destructon) and 14 (Condemnaton), it is</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intended by the Partes hereto that Lessor have no obligaton, in any manner whatsoever, to repair and maintain the Premises, or the equipment therein, all of which obligatons are intended to be that of the Lessee. It is the intenton of the Partes that the terms of this Lease govern the respectve obligatons of the Partes as to maintenance and repair of the Premises.</w:t>
      </w:r>
    </w:p>
    <w:p>
      <w:pPr>
        <w:ind w:left="880"/>
        <w:spacing w:after="0"/>
        <w:rPr>
          <w:rFonts w:ascii="Calibri" w:cs="Calibri" w:eastAsia="Calibri" w:hAnsi="Calibri"/>
          <w:sz w:val="11"/>
          <w:szCs w:val="11"/>
          <w:color w:val="auto"/>
        </w:rPr>
      </w:pPr>
      <w:r>
        <w:rPr>
          <w:rFonts w:ascii="Calibri" w:cs="Calibri" w:eastAsia="Calibri" w:hAnsi="Calibri"/>
          <w:sz w:val="11"/>
          <w:szCs w:val="11"/>
          <w:b w:val="1"/>
          <w:bCs w:val="1"/>
          <w:color w:val="auto"/>
        </w:rPr>
        <w:t>7.3 Utlity Installatons; Trade Fixtures; Alteratons</w:t>
      </w:r>
      <w:r>
        <w:rPr>
          <w:rFonts w:ascii="Calibri" w:cs="Calibri" w:eastAsia="Calibri" w:hAnsi="Calibri"/>
          <w:sz w:val="11"/>
          <w:szCs w:val="11"/>
          <w:color w:val="auto"/>
        </w:rPr>
        <w:t>.</w:t>
      </w:r>
    </w:p>
    <w:p>
      <w:pPr>
        <w:spacing w:after="0" w:line="5" w:lineRule="exact"/>
        <w:rPr>
          <w:rFonts w:ascii="Calibri" w:cs="Calibri" w:eastAsia="Calibri" w:hAnsi="Calibri"/>
          <w:sz w:val="11"/>
          <w:szCs w:val="11"/>
          <w:color w:val="auto"/>
        </w:rPr>
      </w:pPr>
    </w:p>
    <w:p>
      <w:pPr>
        <w:ind w:left="640" w:right="719" w:firstLine="507"/>
        <w:spacing w:after="0" w:line="250" w:lineRule="auto"/>
        <w:tabs>
          <w:tab w:leader="none" w:pos="1310" w:val="left"/>
        </w:tabs>
        <w:numPr>
          <w:ilvl w:val="1"/>
          <w:numId w:val="5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Definitons</w:t>
      </w:r>
      <w:r>
        <w:rPr>
          <w:rFonts w:ascii="Calibri" w:cs="Calibri" w:eastAsia="Calibri" w:hAnsi="Calibri"/>
          <w:sz w:val="11"/>
          <w:szCs w:val="11"/>
          <w:color w:val="auto"/>
        </w:rPr>
        <w:t>. The term "</w:t>
      </w:r>
      <w:r>
        <w:rPr>
          <w:rFonts w:ascii="Calibri" w:cs="Calibri" w:eastAsia="Calibri" w:hAnsi="Calibri"/>
          <w:sz w:val="11"/>
          <w:szCs w:val="11"/>
          <w:b w:val="1"/>
          <w:bCs w:val="1"/>
          <w:color w:val="auto"/>
        </w:rPr>
        <w:t>Utlity Installatons</w:t>
      </w:r>
      <w:r>
        <w:rPr>
          <w:rFonts w:ascii="Calibri" w:cs="Calibri" w:eastAsia="Calibri" w:hAnsi="Calibri"/>
          <w:sz w:val="11"/>
          <w:szCs w:val="11"/>
          <w:color w:val="auto"/>
        </w:rPr>
        <w:t>" refers to all floor and window coverings, air and/or vacuum lines, power panels, electrical distributon,</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security and fire protecton systems, communicaton cabling, lightng fixtures, HVAC equipment, plumbing, and fencing in or on the Premises. The term "</w:t>
      </w:r>
      <w:r>
        <w:rPr>
          <w:rFonts w:ascii="Calibri" w:cs="Calibri" w:eastAsia="Calibri" w:hAnsi="Calibri"/>
          <w:sz w:val="11"/>
          <w:szCs w:val="11"/>
          <w:b w:val="1"/>
          <w:bCs w:val="1"/>
          <w:color w:val="auto"/>
        </w:rPr>
        <w:t>Trade</w:t>
      </w:r>
      <w:r>
        <w:rPr>
          <w:rFonts w:ascii="Calibri" w:cs="Calibri" w:eastAsia="Calibri" w:hAnsi="Calibri"/>
          <w:sz w:val="11"/>
          <w:szCs w:val="11"/>
          <w:color w:val="auto"/>
        </w:rPr>
        <w:t xml:space="preserve"> </w:t>
      </w:r>
      <w:r>
        <w:rPr>
          <w:rFonts w:ascii="Calibri" w:cs="Calibri" w:eastAsia="Calibri" w:hAnsi="Calibri"/>
          <w:sz w:val="11"/>
          <w:szCs w:val="11"/>
          <w:b w:val="1"/>
          <w:bCs w:val="1"/>
          <w:color w:val="auto"/>
        </w:rPr>
        <w:t>Fixtures</w:t>
      </w:r>
      <w:r>
        <w:rPr>
          <w:rFonts w:ascii="Calibri" w:cs="Calibri" w:eastAsia="Calibri" w:hAnsi="Calibri"/>
          <w:sz w:val="11"/>
          <w:szCs w:val="11"/>
          <w:color w:val="auto"/>
        </w:rPr>
        <w:t>" shall mean Lessee's machinery and equipment that can be removed without doing material damage to the Premises. The term "Alteratons" shall mean any</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modificaton of the improvements, other than Utlity Installatons or Trade Fixtures, whether by additon or deleton. "</w:t>
      </w:r>
      <w:r>
        <w:rPr>
          <w:rFonts w:ascii="Calibri" w:cs="Calibri" w:eastAsia="Calibri" w:hAnsi="Calibri"/>
          <w:sz w:val="11"/>
          <w:szCs w:val="11"/>
          <w:b w:val="1"/>
          <w:bCs w:val="1"/>
          <w:color w:val="auto"/>
        </w:rPr>
        <w:t>Lessee Owned Alteratons and/or Utlity</w:t>
      </w:r>
      <w:r>
        <w:rPr>
          <w:rFonts w:ascii="Calibri" w:cs="Calibri" w:eastAsia="Calibri" w:hAnsi="Calibri"/>
          <w:sz w:val="11"/>
          <w:szCs w:val="11"/>
          <w:color w:val="auto"/>
        </w:rPr>
        <w:t xml:space="preserve"> </w:t>
      </w:r>
      <w:r>
        <w:rPr>
          <w:rFonts w:ascii="Calibri" w:cs="Calibri" w:eastAsia="Calibri" w:hAnsi="Calibri"/>
          <w:sz w:val="11"/>
          <w:szCs w:val="11"/>
          <w:b w:val="1"/>
          <w:bCs w:val="1"/>
          <w:color w:val="auto"/>
        </w:rPr>
        <w:t>Installatons</w:t>
      </w:r>
      <w:r>
        <w:rPr>
          <w:rFonts w:ascii="Calibri" w:cs="Calibri" w:eastAsia="Calibri" w:hAnsi="Calibri"/>
          <w:sz w:val="11"/>
          <w:szCs w:val="11"/>
          <w:color w:val="auto"/>
        </w:rPr>
        <w:t>" are defined as Alteratons and/or Utlity Installatons made by Lessee that are not yet owned by Lessor pursuant to Paragraph 7.4(a).</w:t>
      </w:r>
    </w:p>
    <w:p>
      <w:pPr>
        <w:ind w:left="640" w:right="659" w:firstLine="507"/>
        <w:spacing w:after="0" w:line="250" w:lineRule="auto"/>
        <w:tabs>
          <w:tab w:leader="none" w:pos="1315" w:val="left"/>
        </w:tabs>
        <w:numPr>
          <w:ilvl w:val="1"/>
          <w:numId w:val="5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Consent</w:t>
      </w:r>
      <w:r>
        <w:rPr>
          <w:rFonts w:ascii="Calibri" w:cs="Calibri" w:eastAsia="Calibri" w:hAnsi="Calibri"/>
          <w:sz w:val="11"/>
          <w:szCs w:val="11"/>
          <w:color w:val="auto"/>
        </w:rPr>
        <w:t>. Lessee shall not make any Alteratons or Utlity Installatons to the Premises without Lessor's prior writen consent. Lessee may, however,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make non-structural Alteratons or Utlity Installatons to the interior of the Premises (excluding the roof) without such consent but upon notce to Lessor, as long as they are not visible from the outside, do not involve puncturing, relocatng or removing the roof or any existng walls, will not aﬀect the electrical, plumbing, HVAC, and/or life safety systems, do not trigger the requirement for additonal modificatons and/or improvements to the Premises resultng from Applicable Requirements, such as compliance with Title 24, and the cumulatve cost thereof during this Lease as extended does not exceed a sum equal to 3 month's Base Rent in the aggregate or a sum equal to one month's Base Rent in any one year. Notwithstanding the foregoing, Lessee shall not make or permit any roof penetratons and/or install anything on the roof without the prior writen approval of Lessor. Lessor may, as a preconditon to grantng such approval, require Lessee to utlize a contractor chosen and/or approved by Lessor. Any Alteratons or Utlity Installatons that Lessee shall desire to make and which require the consent of the Lessor shall be presented to Lessor in writen form with detailed plans. Consent shall be deemed conditoned upon Lessee's: (i) acquiring all applicable governmental permits, (ii) furnishing Lessor with copies of both the permits and the plans and specificatons prior to commencement of the work, and (iii) compliance with all conditons of said permits and other Applicable Requirements in a prompt and expeditous manner. Any Alteratons or Utlity Installatons shall be performed in a workmanlike manner with good and suﬃcient materials. Lessee shall promptly upon completon furnish Lessor with as-built plans and specificatons. For work which costs an amount in excess of one month's Base Rent, Lessor may conditon its consent upon Lessee providing a lien and completon bond in an amount equal to 150% of the estmated cost of such Alteraton or Utlity Installaton and/or upon Lessee's postng an additonal Security Deposit with Lessor.</w:t>
      </w:r>
    </w:p>
    <w:p>
      <w:pPr>
        <w:spacing w:after="0" w:line="139" w:lineRule="exact"/>
        <w:rPr>
          <w:rFonts w:ascii="Calibri" w:cs="Calibri" w:eastAsia="Calibri" w:hAnsi="Calibri"/>
          <w:sz w:val="11"/>
          <w:szCs w:val="11"/>
          <w:b w:val="1"/>
          <w:bCs w:val="1"/>
          <w:color w:val="auto"/>
        </w:rPr>
      </w:pPr>
    </w:p>
    <w:p>
      <w:pPr>
        <w:ind w:left="640" w:right="719" w:firstLine="507"/>
        <w:spacing w:after="0" w:line="250" w:lineRule="auto"/>
        <w:tabs>
          <w:tab w:leader="none" w:pos="1302" w:val="left"/>
        </w:tabs>
        <w:numPr>
          <w:ilvl w:val="1"/>
          <w:numId w:val="5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Liens; Bonds</w:t>
      </w:r>
      <w:r>
        <w:rPr>
          <w:rFonts w:ascii="Calibri" w:cs="Calibri" w:eastAsia="Calibri" w:hAnsi="Calibri"/>
          <w:sz w:val="11"/>
          <w:szCs w:val="11"/>
          <w:color w:val="auto"/>
        </w:rPr>
        <w:t>. Lessee shall pay, when due, all claims for labor or materials furnished or alleged to have been furnished to or for Lessee at or for use on</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the Premises, which claims are or may be secured by any mechanic's or materialmen's lien against the Premises or any interest therein. Lessee shall give Lessor not less than 10 days notce prior to the commencement of any work in, on or about the Premises, and Lessor shall have the right to post notces of non-responsibility. If Lessee shall contest the validity of any such lien, claim or demand, then Lessee shall, at its sole expense defend and protect itself, Lessor and the Premises against the same and shall pay and satsfy any such adverse judgment that may be rendered thereon before the enforcement thereof. If Lessor shall require, Lessee shall furnish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41275</wp:posOffset>
            </wp:positionV>
            <wp:extent cx="574040" cy="2940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41275</wp:posOffset>
            </wp:positionV>
            <wp:extent cx="382905" cy="2940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300"/>
              <w:spacing w:after="0"/>
              <w:rPr>
                <w:sz w:val="20"/>
                <w:szCs w:val="20"/>
                <w:color w:val="auto"/>
              </w:rPr>
            </w:pPr>
            <w:r>
              <w:rPr>
                <w:rFonts w:ascii="Calibri" w:cs="Calibri" w:eastAsia="Calibri" w:hAnsi="Calibri"/>
                <w:sz w:val="13"/>
                <w:szCs w:val="13"/>
                <w:color w:val="auto"/>
                <w:w w:val="98"/>
              </w:rPr>
              <w:t>Page 5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03" w:name="page104"/>
    <w:bookmarkEnd w:id="103"/>
    <w:p>
      <w:pPr>
        <w:ind w:left="640" w:right="659"/>
        <w:spacing w:after="0" w:line="250" w:lineRule="auto"/>
        <w:rPr>
          <w:sz w:val="20"/>
          <w:szCs w:val="20"/>
          <w:color w:val="auto"/>
        </w:rPr>
      </w:pPr>
      <w:r>
        <w:rPr>
          <w:rFonts w:ascii="Calibri" w:cs="Calibri" w:eastAsia="Calibri" w:hAnsi="Calibri"/>
          <w:sz w:val="11"/>
          <w:szCs w:val="11"/>
          <w:color w:val="auto"/>
        </w:rPr>
        <w:t>a surety bond in an amount equal to 150% of the amount of such contested lien, claim or demand, indemnifying Lessor against liability for the same. If Lessor elects to partcipate in any such acton, Lessee shall pay Lessor's atorneys' fees and costs.</w:t>
      </w:r>
    </w:p>
    <w:p>
      <w:pPr>
        <w:ind w:left="880"/>
        <w:spacing w:after="0"/>
        <w:rPr>
          <w:sz w:val="20"/>
          <w:szCs w:val="20"/>
          <w:color w:val="auto"/>
        </w:rPr>
      </w:pPr>
      <w:r>
        <w:rPr>
          <w:rFonts w:ascii="Calibri" w:cs="Calibri" w:eastAsia="Calibri" w:hAnsi="Calibri"/>
          <w:sz w:val="11"/>
          <w:szCs w:val="11"/>
          <w:b w:val="1"/>
          <w:bCs w:val="1"/>
          <w:color w:val="auto"/>
        </w:rPr>
        <w:t>7.4 Ownership; Removal; Surrender; and Restoraton</w:t>
      </w:r>
      <w:r>
        <w:rPr>
          <w:rFonts w:ascii="Calibri" w:cs="Calibri" w:eastAsia="Calibri" w:hAnsi="Calibri"/>
          <w:sz w:val="11"/>
          <w:szCs w:val="11"/>
          <w:color w:val="auto"/>
        </w:rPr>
        <w:t>.</w:t>
      </w:r>
    </w:p>
    <w:p>
      <w:pPr>
        <w:spacing w:after="0" w:line="6" w:lineRule="exact"/>
        <w:rPr>
          <w:sz w:val="20"/>
          <w:szCs w:val="20"/>
          <w:color w:val="auto"/>
        </w:rPr>
      </w:pPr>
    </w:p>
    <w:p>
      <w:pPr>
        <w:ind w:left="640" w:right="759" w:firstLine="507"/>
        <w:spacing w:after="0" w:line="250" w:lineRule="auto"/>
        <w:tabs>
          <w:tab w:leader="none" w:pos="1310" w:val="left"/>
        </w:tabs>
        <w:numPr>
          <w:ilvl w:val="1"/>
          <w:numId w:val="57"/>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Ownership</w:t>
      </w:r>
      <w:r>
        <w:rPr>
          <w:rFonts w:ascii="Calibri" w:cs="Calibri" w:eastAsia="Calibri" w:hAnsi="Calibri"/>
          <w:sz w:val="11"/>
          <w:szCs w:val="11"/>
          <w:color w:val="auto"/>
        </w:rPr>
        <w:t>. Subject to Lessor's right to require removal or elect ownership as hereinafer provided, all Alteratons and Utlity Installatons made by</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Lessee shall be the property of Lessee, but considered a part of the Premises. Lessor may, at any tme, elect in writng to be the owner of all or any specified part of the Lessee Owned Alteratons and Utlity Installatons. Unless otherwise instructed per paragraph 7.4(b) hereof, all Lessee Owned Alteratons and Utlity Installatons shall, at the expiraton or terminaton of this Lease, become the property of Lessor and be surrendered by Lessee with the Premises.</w:t>
      </w:r>
    </w:p>
    <w:p>
      <w:pPr>
        <w:ind w:left="640" w:right="759" w:firstLine="507"/>
        <w:spacing w:after="0" w:line="250" w:lineRule="auto"/>
        <w:tabs>
          <w:tab w:leader="none" w:pos="1315" w:val="left"/>
        </w:tabs>
        <w:numPr>
          <w:ilvl w:val="1"/>
          <w:numId w:val="57"/>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Removal</w:t>
      </w:r>
      <w:r>
        <w:rPr>
          <w:rFonts w:ascii="Calibri" w:cs="Calibri" w:eastAsia="Calibri" w:hAnsi="Calibri"/>
          <w:sz w:val="11"/>
          <w:szCs w:val="11"/>
          <w:color w:val="auto"/>
        </w:rPr>
        <w:t>. By delivery to Lessee of writen notce from Lessor not earlier than 90 and not later than 30 days prior to the end of the term of this Lease,</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Lessor may require that any or all Lessee Owned Alteratons or Utlity Installatons be removed by the expiraton or terminaton of this Lease. Lessor may require the removal at any tme of all or any part of any Lessee Owned Alteratons or Utlity Installatons made without the required consent.</w:t>
      </w:r>
    </w:p>
    <w:p>
      <w:pPr>
        <w:ind w:left="640" w:right="679" w:firstLine="507"/>
        <w:spacing w:after="0" w:line="250" w:lineRule="auto"/>
        <w:tabs>
          <w:tab w:leader="none" w:pos="1302" w:val="left"/>
        </w:tabs>
        <w:numPr>
          <w:ilvl w:val="1"/>
          <w:numId w:val="57"/>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Surrender; Restoraton</w:t>
      </w:r>
      <w:r>
        <w:rPr>
          <w:rFonts w:ascii="Calibri" w:cs="Calibri" w:eastAsia="Calibri" w:hAnsi="Calibri"/>
          <w:sz w:val="11"/>
          <w:szCs w:val="11"/>
          <w:color w:val="auto"/>
        </w:rPr>
        <w:t>. Lessee shall surrender the Premises by the Expiraton Date or any earlier terminaton date, with all of the improvements, parts</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and surfaces thereof broom clean and free of debris, and in good operatng order, conditon and state of repair, ordinary wear and tear excepted. "Ordinary wear and tear" shall not include any damage or deterioraton that would have been prevented by good maintenance practce. Notwithstanding the foregoing and the provisions of Paragraph 7.1(a), if the Lessee occupies the Premises for 12 months or less, then Lessee shall surrender the Premises in the same conditon as delivered to Lessee on the Start Date with NO allowance for ordinary wear and tear. Lessee shall repair any damage occasioned by the installaton, maintenance or removal of Trade Fixtures, Lessee owned Alteratons and/or Utlity Installatons, furnishings, and equipment as well as the removal of any storage tank installed by or for Lessee. Lessee shall also completely remove from the Premises any and all Hazardous Substances brought onto the Premises by or for Lessee, or any third party (except Hazardous Substances which were deposited via underground migraton from areas outside of the Premises) to the level specified in Applicable Requirements. Trade Fixtures shall remain the property of Lessee and shall be removed by Lessee. Any personal property of Lessee not removed on or before the Expiraton Date or any earlier terminaton date shall be deemed to have been abandoned by Lessee and may be disposed of or retained by Lessor as Lessor may desire. The failure by Lessee to tmely vacate the Premises pursuant to this Paragraph 7.4(c) without the express writen consent of Lessor shall consttute a holdover under the provisions of Paragraph 26 below.</w:t>
      </w:r>
    </w:p>
    <w:p>
      <w:pPr>
        <w:spacing w:after="0" w:line="225" w:lineRule="exact"/>
        <w:rPr>
          <w:rFonts w:ascii="Calibri" w:cs="Calibri" w:eastAsia="Calibri" w:hAnsi="Calibri"/>
          <w:sz w:val="11"/>
          <w:szCs w:val="11"/>
          <w:b w:val="1"/>
          <w:bCs w:val="1"/>
          <w:color w:val="auto"/>
        </w:rPr>
      </w:pPr>
    </w:p>
    <w:p>
      <w:pPr>
        <w:ind w:left="740" w:hanging="109"/>
        <w:spacing w:after="0"/>
        <w:tabs>
          <w:tab w:leader="none" w:pos="740" w:val="left"/>
        </w:tabs>
        <w:numPr>
          <w:ilvl w:val="0"/>
          <w:numId w:val="58"/>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Insurance; Indemnity.</w:t>
      </w:r>
    </w:p>
    <w:p>
      <w:pPr>
        <w:spacing w:after="0" w:line="6" w:lineRule="exact"/>
        <w:rPr>
          <w:sz w:val="20"/>
          <w:szCs w:val="20"/>
          <w:color w:val="auto"/>
        </w:rPr>
      </w:pPr>
    </w:p>
    <w:p>
      <w:pPr>
        <w:ind w:left="640" w:right="859" w:firstLine="258"/>
        <w:spacing w:after="0" w:line="251" w:lineRule="auto"/>
        <w:rPr>
          <w:sz w:val="20"/>
          <w:szCs w:val="20"/>
          <w:color w:val="auto"/>
        </w:rPr>
      </w:pPr>
      <w:r>
        <w:rPr>
          <w:rFonts w:ascii="Calibri" w:cs="Calibri" w:eastAsia="Calibri" w:hAnsi="Calibri"/>
          <w:sz w:val="11"/>
          <w:szCs w:val="11"/>
          <w:b w:val="1"/>
          <w:bCs w:val="1"/>
          <w:color w:val="auto"/>
        </w:rPr>
        <w:t>8.1 Payment For Insurance</w:t>
      </w:r>
      <w:r>
        <w:rPr>
          <w:rFonts w:ascii="Calibri" w:cs="Calibri" w:eastAsia="Calibri" w:hAnsi="Calibri"/>
          <w:sz w:val="11"/>
          <w:szCs w:val="11"/>
          <w:color w:val="auto"/>
        </w:rPr>
        <w:t>. Lessee shall pay for all insurance required under Paragraph 8 except to the extent of the cost atributable to liability insurance</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carried by Lessor under Paragraph 8.2(b) in excess of $2,000,000 per occurrence. Premiums for policy periods commencing prior to or extending beyond the Lease term shall be prorated to correspond to the Lease term. Payment shall be made by Lessee to Lessor within 10 days following receipt of an invoice.</w:t>
      </w:r>
    </w:p>
    <w:p>
      <w:pPr>
        <w:spacing w:after="0" w:line="138" w:lineRule="exact"/>
        <w:rPr>
          <w:sz w:val="20"/>
          <w:szCs w:val="20"/>
          <w:color w:val="auto"/>
        </w:rPr>
      </w:pPr>
    </w:p>
    <w:p>
      <w:pPr>
        <w:ind w:left="640" w:right="679" w:firstLine="507"/>
        <w:spacing w:after="0" w:line="250" w:lineRule="auto"/>
        <w:tabs>
          <w:tab w:leader="none" w:pos="1310" w:val="left"/>
        </w:tabs>
        <w:numPr>
          <w:ilvl w:val="0"/>
          <w:numId w:val="59"/>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Carried by Lessee</w:t>
      </w:r>
      <w:r>
        <w:rPr>
          <w:rFonts w:ascii="Calibri" w:cs="Calibri" w:eastAsia="Calibri" w:hAnsi="Calibri"/>
          <w:sz w:val="11"/>
          <w:szCs w:val="11"/>
          <w:color w:val="auto"/>
        </w:rPr>
        <w:t>. Lessee shall obtain and keep in force a Commercial General Liability policy of insurance protectng Lessee and Lessor as an additonal</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 xml:space="preserve">insured against claims for bodily injury, personal injury and property damage based upon or arising out of the ownership, use, occupancy or maintenance of the Premises and all areas appurtenant thereto. Such insurance shall be on an occurrence basis providing single limit coverage in an amount not less than $1,000,000 per occurrence with an annual aggregate of not less than </w:t>
      </w:r>
      <w:r>
        <w:rPr>
          <w:rFonts w:ascii="Calibri" w:cs="Calibri" w:eastAsia="Calibri" w:hAnsi="Calibri"/>
          <w:sz w:val="11"/>
          <w:szCs w:val="11"/>
          <w:color w:val="FF0000"/>
          <w:strike w:val="1"/>
        </w:rPr>
        <w:t>$2,000,000</w:t>
      </w:r>
      <w:r>
        <w:rPr>
          <w:rFonts w:ascii="Calibri" w:cs="Calibri" w:eastAsia="Calibri" w:hAnsi="Calibri"/>
          <w:sz w:val="11"/>
          <w:szCs w:val="11"/>
          <w:color w:val="FF0000"/>
        </w:rPr>
        <w:t>$1,000,000.00</w:t>
      </w:r>
      <w:r>
        <w:rPr>
          <w:rFonts w:ascii="Calibri" w:cs="Calibri" w:eastAsia="Calibri" w:hAnsi="Calibri"/>
          <w:sz w:val="11"/>
          <w:szCs w:val="11"/>
          <w:color w:val="auto"/>
        </w:rPr>
        <w:t>. Lessee shall add Lessor as an additonal insured by means of an endorsement at least as broad as the Insurance Service Organizaton's "Additonal Insured-Managers or Lessors of Premises" Endorsement. The policy shall not contain any intra-insured exclusions as between insured persons or organizatons, but shall include coverage for liability assumed under this Lease as an "</w:t>
      </w:r>
      <w:r>
        <w:rPr>
          <w:rFonts w:ascii="Calibri" w:cs="Calibri" w:eastAsia="Calibri" w:hAnsi="Calibri"/>
          <w:sz w:val="11"/>
          <w:szCs w:val="11"/>
          <w:b w:val="1"/>
          <w:bCs w:val="1"/>
          <w:color w:val="auto"/>
        </w:rPr>
        <w:t>insured contract</w:t>
      </w:r>
      <w:r>
        <w:rPr>
          <w:rFonts w:ascii="Calibri" w:cs="Calibri" w:eastAsia="Calibri" w:hAnsi="Calibri"/>
          <w:sz w:val="11"/>
          <w:szCs w:val="11"/>
          <w:color w:val="auto"/>
        </w:rPr>
        <w:t>" for the performance of Lessee's indemnity obligatons under this Lease. The limits of said insurance shall not, however, limit the liability of Lessee nor relieve Lessee of any obligaton hereunder. Lessee shall provide an endorsement on its liability policy(ies) which provides that its insurance shall be primary to and not contributory with any similar insurance carried by Lessor, whose insurance shall be considered excess insurance only.</w:t>
      </w:r>
    </w:p>
    <w:p>
      <w:pPr>
        <w:ind w:left="640" w:right="639" w:firstLine="507"/>
        <w:spacing w:after="0" w:line="250" w:lineRule="auto"/>
        <w:tabs>
          <w:tab w:leader="none" w:pos="1312" w:val="left"/>
        </w:tabs>
        <w:numPr>
          <w:ilvl w:val="0"/>
          <w:numId w:val="59"/>
        </w:numPr>
        <w:rPr>
          <w:rFonts w:ascii="Calibri" w:cs="Calibri" w:eastAsia="Calibri" w:hAnsi="Calibri"/>
          <w:sz w:val="11"/>
          <w:szCs w:val="11"/>
          <w:color w:val="auto"/>
        </w:rPr>
      </w:pPr>
      <w:r>
        <w:rPr>
          <w:rFonts w:ascii="Calibri" w:cs="Calibri" w:eastAsia="Calibri" w:hAnsi="Calibri"/>
          <w:sz w:val="11"/>
          <w:szCs w:val="11"/>
          <w:b w:val="1"/>
          <w:bCs w:val="1"/>
          <w:color w:val="auto"/>
        </w:rPr>
        <w:t xml:space="preserve">Carried by Lessor. </w:t>
      </w:r>
      <w:r>
        <w:rPr>
          <w:rFonts w:ascii="Calibri" w:cs="Calibri" w:eastAsia="Calibri" w:hAnsi="Calibri"/>
          <w:sz w:val="11"/>
          <w:szCs w:val="11"/>
          <w:color w:val="auto"/>
        </w:rPr>
        <w:t>Lessor shall maintain liability insurance as described in Paragraph 8.2(a), in additon to, and not in lieu of, the insurance required to be</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maintained by Lessee. Lessee shall not be named as an additonal insured therein.</w:t>
      </w:r>
    </w:p>
    <w:p>
      <w:pPr>
        <w:ind w:left="880"/>
        <w:spacing w:after="0"/>
        <w:rPr>
          <w:rFonts w:ascii="Calibri" w:cs="Calibri" w:eastAsia="Calibri" w:hAnsi="Calibri"/>
          <w:sz w:val="11"/>
          <w:szCs w:val="11"/>
          <w:color w:val="auto"/>
        </w:rPr>
      </w:pPr>
      <w:r>
        <w:rPr>
          <w:rFonts w:ascii="Calibri" w:cs="Calibri" w:eastAsia="Calibri" w:hAnsi="Calibri"/>
          <w:sz w:val="11"/>
          <w:szCs w:val="11"/>
          <w:b w:val="1"/>
          <w:bCs w:val="1"/>
          <w:color w:val="auto"/>
        </w:rPr>
        <w:t>8.3 Property Insurance - Building, Improvements and Rental Value</w:t>
      </w:r>
      <w:r>
        <w:rPr>
          <w:rFonts w:ascii="Calibri" w:cs="Calibri" w:eastAsia="Calibri" w:hAnsi="Calibri"/>
          <w:sz w:val="11"/>
          <w:szCs w:val="11"/>
          <w:color w:val="auto"/>
        </w:rPr>
        <w:t>.</w:t>
      </w:r>
    </w:p>
    <w:p>
      <w:pPr>
        <w:spacing w:after="0" w:line="5" w:lineRule="exact"/>
        <w:rPr>
          <w:rFonts w:ascii="Calibri" w:cs="Calibri" w:eastAsia="Calibri" w:hAnsi="Calibri"/>
          <w:sz w:val="11"/>
          <w:szCs w:val="11"/>
          <w:color w:val="auto"/>
        </w:rPr>
      </w:pPr>
    </w:p>
    <w:p>
      <w:pPr>
        <w:ind w:left="640" w:right="699" w:firstLine="507"/>
        <w:spacing w:after="0" w:line="250" w:lineRule="auto"/>
        <w:tabs>
          <w:tab w:leader="none" w:pos="1310" w:val="left"/>
        </w:tabs>
        <w:numPr>
          <w:ilvl w:val="0"/>
          <w:numId w:val="60"/>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Building and Improvements</w:t>
      </w:r>
      <w:r>
        <w:rPr>
          <w:rFonts w:ascii="Calibri" w:cs="Calibri" w:eastAsia="Calibri" w:hAnsi="Calibri"/>
          <w:sz w:val="11"/>
          <w:szCs w:val="11"/>
          <w:color w:val="auto"/>
        </w:rPr>
        <w:t>. The Insuring Party shall obtain and keep in force a policy or policies in the name of Lessor, with loss payable to Lessor, any</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ground-lessor, and to any Lender insuring loss or damage to the Premises. The amount of such insurance shall be equal to the full insurable replacement cost of the Premises, as the same shall exist from tme to tme, or the amount required by any Lender, but in no event more than the commercially reasonable and available insurable value thereof. Lessee Owned Alteratons and Utlity Installatons, Trade Fixtures, and Lessee's personal property shall be insured by Lessee not by Lessor. If the coverage is available and commercially appropriate, such policy or policies shall insure against all risks of direct physical loss or damage (except the perils of flood and/or earthquake unless required by a Lender), including coverage for debris removal and the enforcement of any Applicable Requirements requiring the upgrading, demoliton, reconstructon or replacement of any porton of the Premises as the result of a covered loss. Said policy or policies shall also contain an agreed valuaton provision in lieu of any coinsurance clause, waiver of subrogaton, and inflaton guard protecton causing an increase in the annual property insurance coverage amount by a factor of not less than the adjusted U.S. Department of Labor Consumer Price Index for All Urban Consumers for the city nearest to where the Premises are located. If such insurance coverage has a deductble clause, the deductble amount shall not exceed $5,000 per occurrence, and Lessee shall be liable for such deductble amount in the event of an Insured Loss.</w:t>
      </w:r>
    </w:p>
    <w:p>
      <w:pPr>
        <w:ind w:left="640" w:right="679" w:firstLine="507"/>
        <w:spacing w:after="0" w:line="250" w:lineRule="auto"/>
        <w:tabs>
          <w:tab w:leader="none" w:pos="1315" w:val="left"/>
        </w:tabs>
        <w:numPr>
          <w:ilvl w:val="0"/>
          <w:numId w:val="60"/>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Rental Value</w:t>
      </w:r>
      <w:r>
        <w:rPr>
          <w:rFonts w:ascii="Calibri" w:cs="Calibri" w:eastAsia="Calibri" w:hAnsi="Calibri"/>
          <w:sz w:val="11"/>
          <w:szCs w:val="11"/>
          <w:color w:val="auto"/>
        </w:rPr>
        <w:t>. The Insuring Party shall obtain and keep in force a policy or policies in the name of Lessor with loss payable to Lessor and any Lender,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insuring the loss of the full Rent for one year with an extended period of indemnity for an additonal 180 days ("Rental Value insurance"). Said insurance shall contain an agreed valuaton provision in lieu of any coinsurance clause, and the amount of coverage shall be adjusted annually to reflect the projected Rent otherwise payable by Lessee, for the next 12 month period. Lessee shall be liable for any deductble amount in the event of such loss.</w:t>
      </w:r>
    </w:p>
    <w:p>
      <w:pPr>
        <w:ind w:left="640" w:right="739" w:firstLine="507"/>
        <w:spacing w:after="0" w:line="250" w:lineRule="auto"/>
        <w:tabs>
          <w:tab w:leader="none" w:pos="1302" w:val="left"/>
        </w:tabs>
        <w:numPr>
          <w:ilvl w:val="0"/>
          <w:numId w:val="60"/>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Adjacent Premises</w:t>
      </w:r>
      <w:r>
        <w:rPr>
          <w:rFonts w:ascii="Calibri" w:cs="Calibri" w:eastAsia="Calibri" w:hAnsi="Calibri"/>
          <w:sz w:val="11"/>
          <w:szCs w:val="11"/>
          <w:color w:val="auto"/>
        </w:rPr>
        <w:t>. If the Premises are part of a larger building, or of a group of buildings owned by Lessor which are adjacent to the Premises, the</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Lessee shall pay for any increase in the premiums for the property insurance of such building or buildings if said increase is caused by Lessee's acts, omissions, use or occupancy of the Premises.</w:t>
      </w:r>
    </w:p>
    <w:p>
      <w:pPr>
        <w:ind w:left="880"/>
        <w:spacing w:after="0"/>
        <w:rPr>
          <w:rFonts w:ascii="Calibri" w:cs="Calibri" w:eastAsia="Calibri" w:hAnsi="Calibri"/>
          <w:sz w:val="11"/>
          <w:szCs w:val="11"/>
          <w:b w:val="1"/>
          <w:bCs w:val="1"/>
          <w:color w:val="auto"/>
        </w:rPr>
      </w:pPr>
      <w:r>
        <w:rPr>
          <w:rFonts w:ascii="Calibri" w:cs="Calibri" w:eastAsia="Calibri" w:hAnsi="Calibri"/>
          <w:sz w:val="11"/>
          <w:szCs w:val="11"/>
          <w:b w:val="1"/>
          <w:bCs w:val="1"/>
          <w:color w:val="auto"/>
        </w:rPr>
        <w:t>8.4 Lessee's Property; Business Interrupton Insurance; Worker's Compensaton Insurance</w:t>
      </w:r>
      <w:r>
        <w:rPr>
          <w:rFonts w:ascii="Calibri" w:cs="Calibri" w:eastAsia="Calibri" w:hAnsi="Calibri"/>
          <w:sz w:val="11"/>
          <w:szCs w:val="11"/>
          <w:color w:val="auto"/>
        </w:rPr>
        <w:t>.</w:t>
      </w:r>
    </w:p>
    <w:p>
      <w:pPr>
        <w:spacing w:after="0" w:line="5" w:lineRule="exact"/>
        <w:rPr>
          <w:rFonts w:ascii="Calibri" w:cs="Calibri" w:eastAsia="Calibri" w:hAnsi="Calibri"/>
          <w:sz w:val="11"/>
          <w:szCs w:val="11"/>
          <w:b w:val="1"/>
          <w:bCs w:val="1"/>
          <w:color w:val="auto"/>
        </w:rPr>
      </w:pPr>
    </w:p>
    <w:p>
      <w:pPr>
        <w:ind w:left="640" w:right="839" w:firstLine="507"/>
        <w:spacing w:after="0" w:line="251" w:lineRule="auto"/>
        <w:tabs>
          <w:tab w:leader="none" w:pos="1310" w:val="left"/>
        </w:tabs>
        <w:numPr>
          <w:ilvl w:val="0"/>
          <w:numId w:val="61"/>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Property Damage</w:t>
      </w:r>
      <w:r>
        <w:rPr>
          <w:rFonts w:ascii="Calibri" w:cs="Calibri" w:eastAsia="Calibri" w:hAnsi="Calibri"/>
          <w:sz w:val="11"/>
          <w:szCs w:val="11"/>
          <w:color w:val="auto"/>
        </w:rPr>
        <w:t>. Lessee shall obtain and maintain insurance coverage on all of Lessee's personal property, Trade Fixtures, and Lessee Owned</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Alteratons and Utlity Installatons. Such insurance shall be full replacement cost coverage with a deductble of not to exceed $1,000 per occurrence. The proceeds from any such insurance shall be used by Lessee for the replacement of personal property, Trade Fixtures and Lessee Owned Alteratons and Utlity Installatons.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40005</wp:posOffset>
            </wp:positionV>
            <wp:extent cx="574040" cy="2940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40005</wp:posOffset>
            </wp:positionV>
            <wp:extent cx="382905" cy="2940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300"/>
              <w:spacing w:after="0"/>
              <w:rPr>
                <w:sz w:val="20"/>
                <w:szCs w:val="20"/>
                <w:color w:val="auto"/>
              </w:rPr>
            </w:pPr>
            <w:r>
              <w:rPr>
                <w:rFonts w:ascii="Calibri" w:cs="Calibri" w:eastAsia="Calibri" w:hAnsi="Calibri"/>
                <w:sz w:val="13"/>
                <w:szCs w:val="13"/>
                <w:color w:val="auto"/>
                <w:w w:val="98"/>
              </w:rPr>
              <w:t>Page 6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04" w:name="page105"/>
    <w:bookmarkEnd w:id="104"/>
    <w:p>
      <w:pPr>
        <w:ind w:left="640" w:right="739" w:firstLine="507"/>
        <w:spacing w:after="0" w:line="250" w:lineRule="auto"/>
        <w:tabs>
          <w:tab w:leader="none" w:pos="1315" w:val="left"/>
        </w:tabs>
        <w:numPr>
          <w:ilvl w:val="0"/>
          <w:numId w:val="62"/>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Business Interrupton</w:t>
      </w:r>
      <w:r>
        <w:rPr>
          <w:rFonts w:ascii="Calibri" w:cs="Calibri" w:eastAsia="Calibri" w:hAnsi="Calibri"/>
          <w:sz w:val="11"/>
          <w:szCs w:val="11"/>
          <w:color w:val="auto"/>
        </w:rPr>
        <w:t>. Lessee shall obtain and maintain loss of income and extra expense insurance in amounts as will reimburse Lessee for direct or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indirect loss of earnings atributable to all perils commonly insured against by prudent lessees in the business of Lessee or atributable to preventon of access to the Premises as a result of such perils.</w:t>
      </w:r>
    </w:p>
    <w:p>
      <w:pPr>
        <w:ind w:left="640" w:right="819" w:firstLine="507"/>
        <w:spacing w:after="0" w:line="250" w:lineRule="auto"/>
        <w:tabs>
          <w:tab w:leader="none" w:pos="1302" w:val="left"/>
        </w:tabs>
        <w:numPr>
          <w:ilvl w:val="0"/>
          <w:numId w:val="62"/>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Worker's Compensaton Insurance</w:t>
      </w:r>
      <w:r>
        <w:rPr>
          <w:rFonts w:ascii="Calibri" w:cs="Calibri" w:eastAsia="Calibri" w:hAnsi="Calibri"/>
          <w:sz w:val="11"/>
          <w:szCs w:val="11"/>
          <w:color w:val="auto"/>
        </w:rPr>
        <w:t>. Lessee shall obtain and maintain Worker's Compensaton Insurance in such amount as may be required by</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Applicable Requirements. Such policy shall include a 'Waiver of Subrogaton' endorsement. Lessee shall provide Lessor with a copy of such endorsement along with the certficate of insurance or copy of the policy required by paragraph 8.5.</w:t>
      </w:r>
    </w:p>
    <w:p>
      <w:pPr>
        <w:ind w:left="640" w:right="999" w:firstLine="507"/>
        <w:spacing w:after="0" w:line="250" w:lineRule="auto"/>
        <w:tabs>
          <w:tab w:leader="none" w:pos="1315" w:val="left"/>
        </w:tabs>
        <w:numPr>
          <w:ilvl w:val="0"/>
          <w:numId w:val="62"/>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No Representaton of Adequate Coverage</w:t>
      </w:r>
      <w:r>
        <w:rPr>
          <w:rFonts w:ascii="Calibri" w:cs="Calibri" w:eastAsia="Calibri" w:hAnsi="Calibri"/>
          <w:sz w:val="11"/>
          <w:szCs w:val="11"/>
          <w:color w:val="auto"/>
        </w:rPr>
        <w:t>. Lessor makes no representaton that the limits or forms of coverage of insurance specified herein are</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adequate to cover Lessee's property, business operatons or obligatons under this Lease.</w:t>
      </w:r>
    </w:p>
    <w:p>
      <w:pPr>
        <w:ind w:left="640" w:right="659" w:firstLine="258"/>
        <w:spacing w:after="0" w:line="250" w:lineRule="auto"/>
        <w:rPr>
          <w:rFonts w:ascii="Calibri" w:cs="Calibri" w:eastAsia="Calibri" w:hAnsi="Calibri"/>
          <w:sz w:val="11"/>
          <w:szCs w:val="11"/>
          <w:b w:val="1"/>
          <w:bCs w:val="1"/>
          <w:color w:val="auto"/>
        </w:rPr>
      </w:pPr>
      <w:r>
        <w:rPr>
          <w:rFonts w:ascii="Calibri" w:cs="Calibri" w:eastAsia="Calibri" w:hAnsi="Calibri"/>
          <w:sz w:val="11"/>
          <w:szCs w:val="11"/>
          <w:b w:val="1"/>
          <w:bCs w:val="1"/>
          <w:color w:val="auto"/>
        </w:rPr>
        <w:t>8.5 Insurance Policies</w:t>
      </w:r>
      <w:r>
        <w:rPr>
          <w:rFonts w:ascii="Calibri" w:cs="Calibri" w:eastAsia="Calibri" w:hAnsi="Calibri"/>
          <w:sz w:val="11"/>
          <w:szCs w:val="11"/>
          <w:color w:val="auto"/>
        </w:rPr>
        <w:t>. Insurance required herein shall be by companies maintaining during the policy term a "General Policyholders Ratng" of at least A-, VII, as</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set forth in the most current issue of "Best's Insurance Guide", or such other ratng as may be required by a Lender. Lessee shall not do or permit to be done anything which invalidates the required insurance policies. Lessee shall, prior to the Start Date, deliver to Lessor certfied copies of policies of such insurance or certficates with copies of the required endorsements evidencing the existence and amounts of the required insurance. No such policy shall be cancelable or subject to modificaton except afer 30 days prior writen notce to Lessor. Lessee shall, at least 10 days prior to the expiraton of such policies, furnish Lessor with evidence of renewals or "insurance binders" evidencing renewal thereof, or Lessor may increase his liability insurance coverage and charge the cost thereof to Lessee, which amount shall be payable by Lessee to Lessor upon demand. Such policies shall be for a term of at least one year, or the length of the remaining term of this Lease, whichever is less. If either Party shall fail to procure and maintain the insurance required to be carried by it, the other Party may, but shall not be required to, procure and maintain the same.</w:t>
      </w:r>
    </w:p>
    <w:p>
      <w:pPr>
        <w:spacing w:after="0" w:line="139" w:lineRule="exact"/>
        <w:rPr>
          <w:rFonts w:ascii="Calibri" w:cs="Calibri" w:eastAsia="Calibri" w:hAnsi="Calibri"/>
          <w:sz w:val="11"/>
          <w:szCs w:val="11"/>
          <w:b w:val="1"/>
          <w:bCs w:val="1"/>
          <w:color w:val="auto"/>
        </w:rPr>
      </w:pPr>
    </w:p>
    <w:p>
      <w:pPr>
        <w:ind w:left="640" w:right="679" w:firstLine="258"/>
        <w:spacing w:after="0" w:line="250" w:lineRule="auto"/>
        <w:rPr>
          <w:rFonts w:ascii="Calibri" w:cs="Calibri" w:eastAsia="Calibri" w:hAnsi="Calibri"/>
          <w:sz w:val="11"/>
          <w:szCs w:val="11"/>
          <w:b w:val="1"/>
          <w:bCs w:val="1"/>
          <w:color w:val="auto"/>
        </w:rPr>
      </w:pPr>
      <w:r>
        <w:rPr>
          <w:rFonts w:ascii="Calibri" w:cs="Calibri" w:eastAsia="Calibri" w:hAnsi="Calibri"/>
          <w:sz w:val="11"/>
          <w:szCs w:val="11"/>
          <w:b w:val="1"/>
          <w:bCs w:val="1"/>
          <w:color w:val="auto"/>
        </w:rPr>
        <w:t>8.6 Waiver of Subrogaton</w:t>
      </w:r>
      <w:r>
        <w:rPr>
          <w:rFonts w:ascii="Calibri" w:cs="Calibri" w:eastAsia="Calibri" w:hAnsi="Calibri"/>
          <w:sz w:val="11"/>
          <w:szCs w:val="11"/>
          <w:color w:val="auto"/>
        </w:rPr>
        <w:t>. Without aﬀectng any other rights or remedies, Lessee and Lessor each hereby release and relieve the other, and waive their entre</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right to recover damages against the other, for loss of or damage to its property arising out of or incident to the perils required to be insured against herein. The eﬀect of such releases and waivers is not limited by the amount of insurance carried or required, or by any deductbles applicable hereto. The Partes agree to have their respectve property damage insurance carriers waive any right to subrogaton that such companies may have against Lessor or Lessee, as the case may be, so long as the insurance is not invalidated thereby.</w:t>
      </w:r>
    </w:p>
    <w:p>
      <w:pPr>
        <w:ind w:left="640" w:right="699" w:firstLine="258"/>
        <w:spacing w:after="0" w:line="250" w:lineRule="auto"/>
        <w:rPr>
          <w:rFonts w:ascii="Calibri" w:cs="Calibri" w:eastAsia="Calibri" w:hAnsi="Calibri"/>
          <w:sz w:val="11"/>
          <w:szCs w:val="11"/>
          <w:b w:val="1"/>
          <w:bCs w:val="1"/>
          <w:color w:val="auto"/>
        </w:rPr>
      </w:pPr>
      <w:r>
        <w:rPr>
          <w:rFonts w:ascii="Calibri" w:cs="Calibri" w:eastAsia="Calibri" w:hAnsi="Calibri"/>
          <w:sz w:val="11"/>
          <w:szCs w:val="11"/>
          <w:b w:val="1"/>
          <w:bCs w:val="1"/>
          <w:color w:val="auto"/>
        </w:rPr>
        <w:t>8.7 Indemnity</w:t>
      </w:r>
      <w:r>
        <w:rPr>
          <w:rFonts w:ascii="Calibri" w:cs="Calibri" w:eastAsia="Calibri" w:hAnsi="Calibri"/>
          <w:sz w:val="11"/>
          <w:szCs w:val="11"/>
          <w:color w:val="auto"/>
        </w:rPr>
        <w:t>. Except for Lessor's gross negligence or willful misconduct, Lessee shall indemnify, protect, defend and hold harmless the Premises, Lessor and its</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agents, Lessor's master or ground lessor, partners and Lenders, from and against any and all claims, loss of rents and/or damages, liens, judgments, penaltes, atorneys' and consultants' fees, expenses and/or liabilites arising out of, involving, or in connecton with, a Breach of the Lease by Lessee and/or the use and/or occupancy of the Premises and/or Project by Lessee and/or by Lessee's employees, contractors or invitees. If any acton or proceeding is brought against Lessor by reason of any of the foregoing maters, Lessee shall upon notce defend the same at Lessee's expense by counsel reasonably satsfactory to Lessor and Lessor shall cooperate with Lessee in such defense. Lessor need not have first paid any such claim in order to be defended or indemnified.</w:t>
      </w:r>
    </w:p>
    <w:p>
      <w:pPr>
        <w:ind w:left="640" w:right="659" w:firstLine="258"/>
        <w:spacing w:after="0" w:line="250" w:lineRule="auto"/>
        <w:rPr>
          <w:rFonts w:ascii="Calibri" w:cs="Calibri" w:eastAsia="Calibri" w:hAnsi="Calibri"/>
          <w:sz w:val="11"/>
          <w:szCs w:val="11"/>
          <w:b w:val="1"/>
          <w:bCs w:val="1"/>
          <w:color w:val="auto"/>
        </w:rPr>
      </w:pPr>
      <w:r>
        <w:rPr>
          <w:rFonts w:ascii="Calibri" w:cs="Calibri" w:eastAsia="Calibri" w:hAnsi="Calibri"/>
          <w:sz w:val="11"/>
          <w:szCs w:val="11"/>
          <w:b w:val="1"/>
          <w:bCs w:val="1"/>
          <w:color w:val="auto"/>
        </w:rPr>
        <w:t>8.8 Exempton of Lessor and its Agents from Liability</w:t>
      </w:r>
      <w:r>
        <w:rPr>
          <w:rFonts w:ascii="Calibri" w:cs="Calibri" w:eastAsia="Calibri" w:hAnsi="Calibri"/>
          <w:sz w:val="11"/>
          <w:szCs w:val="11"/>
          <w:color w:val="auto"/>
        </w:rPr>
        <w:t>. Notwithstanding the negligence or breach of this Lease by Lessor or its agents, neither Lessor nor its</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agents shall be liable under any circumstances for: (i) injury or damage to the person or goods, wares, merchandise or other property of Lessee, Lessee's employees, contractors, invitees, customers, or any other person in or about the Premises, whether such damage or injury is caused by or results from fire, steam, electricity, gas, water or rain, indoor air quality, the presence of mold or from the breakage, leakage, obstructon or other defects of pipes, fire sprinklers, wires, appliances, plumbing, HVAC or lightng fixtures, or from any other cause, whether the said injury or damage results from conditons arising upon the Premises or upon other portons of the building of which the Premises are a part, or from other sources or places, (ii) any damages arising from any act or neglect of any other tenant of Lessor or from the failure of Lessor or its agents to enforce the provisions of any other lease in the Project, or (iii) injury to Lessee's business or for any loss of income or profit therefrom. Instead, it is intended that Lessee's sole recourse in the event of such damages or injury be to file a claim on the insurance policy(ies) that Lessee is required to maintain pursuant to the provisions of paragraph 8.</w:t>
      </w:r>
    </w:p>
    <w:p>
      <w:pPr>
        <w:ind w:left="640" w:right="639" w:firstLine="258"/>
        <w:spacing w:after="0" w:line="250" w:lineRule="auto"/>
        <w:rPr>
          <w:rFonts w:ascii="Calibri" w:cs="Calibri" w:eastAsia="Calibri" w:hAnsi="Calibri"/>
          <w:sz w:val="11"/>
          <w:szCs w:val="11"/>
          <w:b w:val="1"/>
          <w:bCs w:val="1"/>
          <w:color w:val="auto"/>
        </w:rPr>
      </w:pPr>
      <w:r>
        <w:rPr>
          <w:rFonts w:ascii="Calibri" w:cs="Calibri" w:eastAsia="Calibri" w:hAnsi="Calibri"/>
          <w:sz w:val="11"/>
          <w:szCs w:val="11"/>
          <w:b w:val="1"/>
          <w:bCs w:val="1"/>
          <w:color w:val="auto"/>
        </w:rPr>
        <w:t>8.9 Failure to Provide Insurance</w:t>
      </w:r>
      <w:r>
        <w:rPr>
          <w:rFonts w:ascii="Calibri" w:cs="Calibri" w:eastAsia="Calibri" w:hAnsi="Calibri"/>
          <w:sz w:val="11"/>
          <w:szCs w:val="11"/>
          <w:color w:val="auto"/>
        </w:rPr>
        <w:t>. Lessee acknowledges that any failure on its part to obtain or maintain the insurance required herein will expose Lessor to risks</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and potentally cause Lessor to incur costs not contemplated by this Lease, the extent of which will be extremely diﬃcult to ascertain. Accordingly, for any month or porton thereof that Lessee does not maintain the required insurance and/or does not provide Lessor with the required binders or certficates evidencing the existence of the required insurance, the Base Rent shall be automatcally increased, without any requirement for notce to Lessee, by an amount equal to 10% of the then existng Base Rent or $100, whichever is greater. The partes agree that such increase in Base Rent represents fair and reasonable compensaton for the additonal risk/costs that Lessor will incur by reason of Lessee's failure to maintain the required insurance. Such increase in Base Rent shall in no event consttute a waiver of Lessee's Default or Breach with respect to the failure to maintain such insurance, prevent the exercise of any of the other rights and remedies granted hereunder, nor relieve Lessee of its obligaton to maintain the insurance specified in this Lease.</w:t>
      </w:r>
    </w:p>
    <w:p>
      <w:pPr>
        <w:spacing w:after="0" w:line="86" w:lineRule="exact"/>
        <w:rPr>
          <w:sz w:val="20"/>
          <w:szCs w:val="20"/>
          <w:color w:val="auto"/>
        </w:rPr>
      </w:pPr>
    </w:p>
    <w:p>
      <w:pPr>
        <w:ind w:left="880" w:right="7139" w:hanging="249"/>
        <w:spacing w:after="0" w:line="250" w:lineRule="auto"/>
        <w:tabs>
          <w:tab w:leader="none" w:pos="736" w:val="left"/>
        </w:tabs>
        <w:numPr>
          <w:ilvl w:val="0"/>
          <w:numId w:val="63"/>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Damage or Destructon. </w:t>
      </w:r>
      <w:r>
        <w:rPr>
          <w:rFonts w:ascii="Calibri" w:cs="Calibri" w:eastAsia="Calibri" w:hAnsi="Calibri"/>
          <w:sz w:val="11"/>
          <w:szCs w:val="11"/>
          <w:color w:val="auto"/>
        </w:rPr>
        <w:t xml:space="preserve">9.1 </w:t>
      </w:r>
      <w:r>
        <w:rPr>
          <w:rFonts w:ascii="Calibri" w:cs="Calibri" w:eastAsia="Calibri" w:hAnsi="Calibri"/>
          <w:sz w:val="11"/>
          <w:szCs w:val="11"/>
          <w:b w:val="1"/>
          <w:bCs w:val="1"/>
          <w:color w:val="auto"/>
        </w:rPr>
        <w:t>Definitons</w:t>
      </w:r>
      <w:r>
        <w:rPr>
          <w:rFonts w:ascii="Calibri" w:cs="Calibri" w:eastAsia="Calibri" w:hAnsi="Calibri"/>
          <w:sz w:val="11"/>
          <w:szCs w:val="11"/>
          <w:color w:val="auto"/>
        </w:rPr>
        <w:t>.</w:t>
      </w:r>
    </w:p>
    <w:p>
      <w:pPr>
        <w:ind w:left="640" w:right="779" w:firstLine="507"/>
        <w:spacing w:after="0" w:line="250" w:lineRule="auto"/>
        <w:tabs>
          <w:tab w:leader="none" w:pos="1307" w:val="left"/>
        </w:tabs>
        <w:numPr>
          <w:ilvl w:val="1"/>
          <w:numId w:val="63"/>
        </w:numPr>
        <w:rPr>
          <w:rFonts w:ascii="Calibri" w:cs="Calibri" w:eastAsia="Calibri" w:hAnsi="Calibri"/>
          <w:sz w:val="11"/>
          <w:szCs w:val="11"/>
          <w:color w:val="auto"/>
        </w:rPr>
      </w:pPr>
      <w:r>
        <w:rPr>
          <w:rFonts w:ascii="Calibri" w:cs="Calibri" w:eastAsia="Calibri" w:hAnsi="Calibri"/>
          <w:sz w:val="11"/>
          <w:szCs w:val="11"/>
          <w:color w:val="auto"/>
        </w:rPr>
        <w:t>"</w:t>
      </w:r>
      <w:r>
        <w:rPr>
          <w:rFonts w:ascii="Calibri" w:cs="Calibri" w:eastAsia="Calibri" w:hAnsi="Calibri"/>
          <w:sz w:val="11"/>
          <w:szCs w:val="11"/>
          <w:b w:val="1"/>
          <w:bCs w:val="1"/>
          <w:color w:val="auto"/>
        </w:rPr>
        <w:t>Premises Partal Damage</w:t>
      </w:r>
      <w:r>
        <w:rPr>
          <w:rFonts w:ascii="Calibri" w:cs="Calibri" w:eastAsia="Calibri" w:hAnsi="Calibri"/>
          <w:sz w:val="11"/>
          <w:szCs w:val="11"/>
          <w:color w:val="auto"/>
        </w:rPr>
        <w:t>" shall mean damage or destructon to the improvements on the Premises, other than Lessee Owned Alteratons and Utlity Installatons, which can reasonably be repaired in 6 months or less from the date of the damage or destructon. Lessor shall notfy Lessee in writng within 30 days from the date of the damage or destructon as to whether or not the damage is Partal or Total.</w:t>
      </w:r>
    </w:p>
    <w:p>
      <w:pPr>
        <w:jc w:val="both"/>
        <w:ind w:left="640" w:right="659" w:firstLine="507"/>
        <w:spacing w:after="0" w:line="250" w:lineRule="auto"/>
        <w:tabs>
          <w:tab w:leader="none" w:pos="1323" w:val="left"/>
        </w:tabs>
        <w:numPr>
          <w:ilvl w:val="1"/>
          <w:numId w:val="63"/>
        </w:numPr>
        <w:rPr>
          <w:rFonts w:ascii="Calibri" w:cs="Calibri" w:eastAsia="Calibri" w:hAnsi="Calibri"/>
          <w:sz w:val="11"/>
          <w:szCs w:val="11"/>
          <w:color w:val="auto"/>
        </w:rPr>
      </w:pPr>
      <w:r>
        <w:rPr>
          <w:rFonts w:ascii="Calibri" w:cs="Calibri" w:eastAsia="Calibri" w:hAnsi="Calibri"/>
          <w:sz w:val="11"/>
          <w:szCs w:val="11"/>
          <w:color w:val="auto"/>
        </w:rPr>
        <w:t>"</w:t>
      </w:r>
      <w:r>
        <w:rPr>
          <w:rFonts w:ascii="Calibri" w:cs="Calibri" w:eastAsia="Calibri" w:hAnsi="Calibri"/>
          <w:sz w:val="11"/>
          <w:szCs w:val="11"/>
          <w:b w:val="1"/>
          <w:bCs w:val="1"/>
          <w:color w:val="auto"/>
        </w:rPr>
        <w:t>Premises Total Destructon</w:t>
      </w:r>
      <w:r>
        <w:rPr>
          <w:rFonts w:ascii="Calibri" w:cs="Calibri" w:eastAsia="Calibri" w:hAnsi="Calibri"/>
          <w:sz w:val="11"/>
          <w:szCs w:val="11"/>
          <w:color w:val="auto"/>
        </w:rPr>
        <w:t>" shall mean damage or destructon to the Premises, other than Lessee Owned Alteratons and Utlity Installatons and Trade Fixtures, which cannot reasonably be repaired in 6 months or less from the date of the damage or destructon. Lessor shall notfy Lessee in writng within 30 days from the date of the damage or destructon as to whether or not the damage is Partal or Total.</w:t>
      </w:r>
    </w:p>
    <w:p>
      <w:pPr>
        <w:ind w:left="640" w:right="759" w:firstLine="507"/>
        <w:spacing w:after="0" w:line="250" w:lineRule="auto"/>
        <w:tabs>
          <w:tab w:leader="none" w:pos="1300" w:val="left"/>
        </w:tabs>
        <w:numPr>
          <w:ilvl w:val="1"/>
          <w:numId w:val="63"/>
        </w:numPr>
        <w:rPr>
          <w:rFonts w:ascii="Calibri" w:cs="Calibri" w:eastAsia="Calibri" w:hAnsi="Calibri"/>
          <w:sz w:val="11"/>
          <w:szCs w:val="11"/>
          <w:color w:val="auto"/>
        </w:rPr>
      </w:pPr>
      <w:r>
        <w:rPr>
          <w:rFonts w:ascii="Calibri" w:cs="Calibri" w:eastAsia="Calibri" w:hAnsi="Calibri"/>
          <w:sz w:val="11"/>
          <w:szCs w:val="11"/>
          <w:color w:val="auto"/>
        </w:rPr>
        <w:t>"</w:t>
      </w:r>
      <w:r>
        <w:rPr>
          <w:rFonts w:ascii="Calibri" w:cs="Calibri" w:eastAsia="Calibri" w:hAnsi="Calibri"/>
          <w:sz w:val="11"/>
          <w:szCs w:val="11"/>
          <w:b w:val="1"/>
          <w:bCs w:val="1"/>
          <w:color w:val="auto"/>
        </w:rPr>
        <w:t>Insured Loss</w:t>
      </w:r>
      <w:r>
        <w:rPr>
          <w:rFonts w:ascii="Calibri" w:cs="Calibri" w:eastAsia="Calibri" w:hAnsi="Calibri"/>
          <w:sz w:val="11"/>
          <w:szCs w:val="11"/>
          <w:color w:val="auto"/>
        </w:rPr>
        <w:t>" shall mean damage or destructon to improvements on the Premises, other than Lessee Owned Alteratons and Utlity Installatons and Trade Fixtures, which was caused by an event required to be covered by the insurance described in Paragraph 8.3(a), irrespectve of any deductble amounts or coverage limits involved.</w:t>
      </w:r>
    </w:p>
    <w:p>
      <w:pPr>
        <w:ind w:left="640" w:right="639" w:firstLine="507"/>
        <w:spacing w:after="0" w:line="255" w:lineRule="auto"/>
        <w:tabs>
          <w:tab w:leader="none" w:pos="1312" w:val="left"/>
        </w:tabs>
        <w:numPr>
          <w:ilvl w:val="1"/>
          <w:numId w:val="63"/>
        </w:numPr>
        <w:rPr>
          <w:rFonts w:ascii="Calibri" w:cs="Calibri" w:eastAsia="Calibri" w:hAnsi="Calibri"/>
          <w:sz w:val="11"/>
          <w:szCs w:val="11"/>
          <w:color w:val="auto"/>
        </w:rPr>
      </w:pPr>
      <w:r>
        <w:rPr>
          <w:rFonts w:ascii="Calibri" w:cs="Calibri" w:eastAsia="Calibri" w:hAnsi="Calibri"/>
          <w:sz w:val="11"/>
          <w:szCs w:val="11"/>
          <w:color w:val="auto"/>
        </w:rPr>
        <w:t>"</w:t>
      </w:r>
      <w:r>
        <w:rPr>
          <w:rFonts w:ascii="Calibri" w:cs="Calibri" w:eastAsia="Calibri" w:hAnsi="Calibri"/>
          <w:sz w:val="11"/>
          <w:szCs w:val="11"/>
          <w:b w:val="1"/>
          <w:bCs w:val="1"/>
          <w:color w:val="auto"/>
        </w:rPr>
        <w:t>Replacement Cost</w:t>
      </w:r>
      <w:r>
        <w:rPr>
          <w:rFonts w:ascii="Calibri" w:cs="Calibri" w:eastAsia="Calibri" w:hAnsi="Calibri"/>
          <w:sz w:val="11"/>
          <w:szCs w:val="11"/>
          <w:color w:val="auto"/>
        </w:rPr>
        <w:t>" shall mean the cost to repair or rebuild the improvements owned by Lessor at the tme of the occurrence to their conditon existng immediately prior thereto, including demoliton, debris removal and upgrading required by the operaton of Applicable Requirements, and without deducton for depreciaton.</w:t>
      </w:r>
    </w:p>
    <w:p>
      <w:pPr>
        <w:spacing w:after="0" w:line="134" w:lineRule="exact"/>
        <w:rPr>
          <w:rFonts w:ascii="Calibri" w:cs="Calibri" w:eastAsia="Calibri" w:hAnsi="Calibri"/>
          <w:sz w:val="11"/>
          <w:szCs w:val="11"/>
          <w:color w:val="auto"/>
        </w:rPr>
      </w:pPr>
    </w:p>
    <w:p>
      <w:pPr>
        <w:ind w:left="640" w:right="739" w:firstLine="507"/>
        <w:spacing w:after="0" w:line="253" w:lineRule="auto"/>
        <w:tabs>
          <w:tab w:leader="none" w:pos="1309" w:val="left"/>
        </w:tabs>
        <w:numPr>
          <w:ilvl w:val="1"/>
          <w:numId w:val="63"/>
        </w:numPr>
        <w:rPr>
          <w:rFonts w:ascii="Calibri" w:cs="Calibri" w:eastAsia="Calibri" w:hAnsi="Calibri"/>
          <w:sz w:val="11"/>
          <w:szCs w:val="11"/>
          <w:color w:val="auto"/>
        </w:rPr>
      </w:pPr>
      <w:r>
        <w:rPr>
          <w:rFonts w:ascii="Calibri" w:cs="Calibri" w:eastAsia="Calibri" w:hAnsi="Calibri"/>
          <w:sz w:val="11"/>
          <w:szCs w:val="11"/>
          <w:color w:val="auto"/>
        </w:rPr>
        <w:t>"</w:t>
      </w:r>
      <w:r>
        <w:rPr>
          <w:rFonts w:ascii="Calibri" w:cs="Calibri" w:eastAsia="Calibri" w:hAnsi="Calibri"/>
          <w:sz w:val="11"/>
          <w:szCs w:val="11"/>
          <w:b w:val="1"/>
          <w:bCs w:val="1"/>
          <w:color w:val="auto"/>
        </w:rPr>
        <w:t>Hazardous Substance Conditon</w:t>
      </w:r>
      <w:r>
        <w:rPr>
          <w:rFonts w:ascii="Calibri" w:cs="Calibri" w:eastAsia="Calibri" w:hAnsi="Calibri"/>
          <w:sz w:val="11"/>
          <w:szCs w:val="11"/>
          <w:color w:val="auto"/>
        </w:rPr>
        <w:t>" shall mean the occurrence or discovery of a conditon involving the presence of, or a contaminaton by, a Hazardous Substance, in, on, or under the Premises which requires restoraton.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39370</wp:posOffset>
            </wp:positionV>
            <wp:extent cx="574040" cy="2940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39370</wp:posOffset>
            </wp:positionV>
            <wp:extent cx="382905" cy="2940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300"/>
              <w:spacing w:after="0"/>
              <w:rPr>
                <w:sz w:val="20"/>
                <w:szCs w:val="20"/>
                <w:color w:val="auto"/>
              </w:rPr>
            </w:pPr>
            <w:r>
              <w:rPr>
                <w:rFonts w:ascii="Calibri" w:cs="Calibri" w:eastAsia="Calibri" w:hAnsi="Calibri"/>
                <w:sz w:val="13"/>
                <w:szCs w:val="13"/>
                <w:color w:val="auto"/>
                <w:w w:val="98"/>
              </w:rPr>
              <w:t>Page 7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05" w:name="page106"/>
    <w:bookmarkEnd w:id="105"/>
    <w:p>
      <w:pPr>
        <w:ind w:left="640" w:right="659" w:firstLine="258"/>
        <w:spacing w:after="0" w:line="250" w:lineRule="auto"/>
        <w:rPr>
          <w:sz w:val="20"/>
          <w:szCs w:val="20"/>
          <w:color w:val="auto"/>
        </w:rPr>
      </w:pPr>
      <w:r>
        <w:rPr>
          <w:rFonts w:ascii="Calibri" w:cs="Calibri" w:eastAsia="Calibri" w:hAnsi="Calibri"/>
          <w:sz w:val="11"/>
          <w:szCs w:val="11"/>
          <w:color w:val="auto"/>
        </w:rPr>
        <w:t xml:space="preserve">9.2 </w:t>
      </w:r>
      <w:r>
        <w:rPr>
          <w:rFonts w:ascii="Calibri" w:cs="Calibri" w:eastAsia="Calibri" w:hAnsi="Calibri"/>
          <w:sz w:val="11"/>
          <w:szCs w:val="11"/>
          <w:b w:val="1"/>
          <w:bCs w:val="1"/>
          <w:color w:val="auto"/>
        </w:rPr>
        <w:t>Partal Damage - Insured Loss</w:t>
      </w:r>
      <w:r>
        <w:rPr>
          <w:rFonts w:ascii="Calibri" w:cs="Calibri" w:eastAsia="Calibri" w:hAnsi="Calibri"/>
          <w:sz w:val="11"/>
          <w:szCs w:val="11"/>
          <w:color w:val="auto"/>
        </w:rPr>
        <w:t>. If a Premises Partal Damage that is an Insured Loss occurs, then Lessor shall, at Lessor's expense, repair such damage (but not Lessee's Trade Fixtures or Lessee Owned Alteratons and Utlity Installatons) as soon as reasonably possible and this Lease shall contnue in full force and eﬀect; provided, however, that Lessee shall, at Lessor's electon, make the repair of any damage or destructon the total cost to repair of which is $10,000 or less, and, in such event, Lessor shall make any applicable insurance proceeds available to Lessee on a reasonable basis for that purpose. Notwithstanding the foregoing, if the required insurance was not in force or the insurance proceeds are not suﬃcient to eﬀect such repair, the Insuring Party shall promptly contribute the shortage in proceeds (except as to the deductble which is Lessee's responsibility) as and when required to complete said repairs. In the event, however, such shortage was due to the fact that, by reason of the unique nature of the improvements, full replacement cost insurance coverage was not commercially reasonable and available, Lessor shall have no obligaton to pay for the shortage in insurance proceeds or to fully restore the unique aspects of the Premises unless Lessee provides Lessor with the funds to cover same, or adequate assurance thereof, within 10 days following receipt of writen notce of such shortage and request therefor. If Lessor receives said funds or adequate assurance thereof within said 10 day period, the party responsible for making the repairs shall complete them as soon as reasonably possible and this Lease shall remain in full force and eﬀect. If such funds or assurance are not received, Lessor may nevertheless elect by writen notce to Lessee within 10 days thereafer to:</w:t>
      </w:r>
    </w:p>
    <w:p>
      <w:pPr>
        <w:ind w:left="640" w:right="659" w:hanging="9"/>
        <w:spacing w:after="0" w:line="250" w:lineRule="auto"/>
        <w:tabs>
          <w:tab w:leader="none" w:pos="762" w:val="left"/>
        </w:tabs>
        <w:numPr>
          <w:ilvl w:val="0"/>
          <w:numId w:val="64"/>
        </w:numPr>
        <w:rPr>
          <w:rFonts w:ascii="Calibri" w:cs="Calibri" w:eastAsia="Calibri" w:hAnsi="Calibri"/>
          <w:sz w:val="11"/>
          <w:szCs w:val="11"/>
          <w:color w:val="auto"/>
        </w:rPr>
      </w:pPr>
      <w:r>
        <w:rPr>
          <w:rFonts w:ascii="Calibri" w:cs="Calibri" w:eastAsia="Calibri" w:hAnsi="Calibri"/>
          <w:sz w:val="11"/>
          <w:szCs w:val="11"/>
          <w:color w:val="auto"/>
        </w:rPr>
        <w:t>make such restoraton and repair as is commercially reasonable with Lessor paying any shortage in proceeds, in which case this Lease shall remain in full force and eﬀect, or (ii) have this Lease terminate 30 days thereafer. Lessee shall not be enttled to reimbursement of any funds contributed by Lessee to repair any such damage or destructon. Premises Partal Damage due to flood or earthquake shall be subject to Paragraph 9.3, notwithstanding that there may be some insurance coverage, but the net proceeds of any such insurance shall be made available for the repairs if made by either Party.</w:t>
      </w:r>
    </w:p>
    <w:p>
      <w:pPr>
        <w:ind w:left="640" w:right="679" w:firstLine="258"/>
        <w:spacing w:after="0" w:line="250" w:lineRule="auto"/>
        <w:rPr>
          <w:rFonts w:ascii="Calibri" w:cs="Calibri" w:eastAsia="Calibri" w:hAnsi="Calibri"/>
          <w:sz w:val="11"/>
          <w:szCs w:val="11"/>
          <w:color w:val="auto"/>
        </w:rPr>
      </w:pPr>
      <w:r>
        <w:rPr>
          <w:rFonts w:ascii="Calibri" w:cs="Calibri" w:eastAsia="Calibri" w:hAnsi="Calibri"/>
          <w:sz w:val="11"/>
          <w:szCs w:val="11"/>
          <w:color w:val="auto"/>
        </w:rPr>
        <w:t xml:space="preserve">9.3 </w:t>
      </w:r>
      <w:r>
        <w:rPr>
          <w:rFonts w:ascii="Calibri" w:cs="Calibri" w:eastAsia="Calibri" w:hAnsi="Calibri"/>
          <w:sz w:val="11"/>
          <w:szCs w:val="11"/>
          <w:b w:val="1"/>
          <w:bCs w:val="1"/>
          <w:color w:val="auto"/>
        </w:rPr>
        <w:t>Partal Damage - Uninsured Loss</w:t>
      </w:r>
      <w:r>
        <w:rPr>
          <w:rFonts w:ascii="Calibri" w:cs="Calibri" w:eastAsia="Calibri" w:hAnsi="Calibri"/>
          <w:sz w:val="11"/>
          <w:szCs w:val="11"/>
          <w:color w:val="auto"/>
        </w:rPr>
        <w:t>. If a Premises Partal Damage that is not an Insured Loss occurs, unless caused by a negligent or willful act of Lessee (in which event Lessee shall make the repairs at Lessee's expense), Lessor may either: (i) repair such damage as soon as reasonably possible at Lessor's expense, in which event this Lease shall contnue in full force and eﬀect, or (ii) terminate this Lease by giving writen notce to Lessee within 30 days afer receipt by Lessor of knowledge of the occurrence of such damage. Such terminaton shall be eﬀectve 60 days following the date of such notce. In the event Lessor elects to terminate this Lease, Lessee shall have the right within 10 days afer receipt of the terminaton notce to give writen notce to Lessor of Lessee's commitment to pay for the repair of such damage without reimbursement from Lessor. Lessee shall provide Lessor with said funds or satsfactory assurance thereof within 30 days afer making such commitment. In such event this Lease shall contnue in full force and eﬀect, and Lessor shall proceed to make such repairs as soon as reasonably possible afer the required funds are available. If Lessee does not make the required commitment, this Lease shall terminate as of the date specified in the terminaton notce.</w:t>
      </w:r>
    </w:p>
    <w:p>
      <w:pPr>
        <w:ind w:left="640" w:right="739" w:firstLine="258"/>
        <w:spacing w:after="0" w:line="250" w:lineRule="auto"/>
        <w:rPr>
          <w:rFonts w:ascii="Calibri" w:cs="Calibri" w:eastAsia="Calibri" w:hAnsi="Calibri"/>
          <w:sz w:val="11"/>
          <w:szCs w:val="11"/>
          <w:color w:val="auto"/>
        </w:rPr>
      </w:pPr>
      <w:r>
        <w:rPr>
          <w:rFonts w:ascii="Calibri" w:cs="Calibri" w:eastAsia="Calibri" w:hAnsi="Calibri"/>
          <w:sz w:val="11"/>
          <w:szCs w:val="11"/>
          <w:color w:val="auto"/>
        </w:rPr>
        <w:t xml:space="preserve">9.4 </w:t>
      </w:r>
      <w:r>
        <w:rPr>
          <w:rFonts w:ascii="Calibri" w:cs="Calibri" w:eastAsia="Calibri" w:hAnsi="Calibri"/>
          <w:sz w:val="11"/>
          <w:szCs w:val="11"/>
          <w:b w:val="1"/>
          <w:bCs w:val="1"/>
          <w:color w:val="auto"/>
        </w:rPr>
        <w:t>Total Destructon</w:t>
      </w:r>
      <w:r>
        <w:rPr>
          <w:rFonts w:ascii="Calibri" w:cs="Calibri" w:eastAsia="Calibri" w:hAnsi="Calibri"/>
          <w:sz w:val="11"/>
          <w:szCs w:val="11"/>
          <w:color w:val="auto"/>
        </w:rPr>
        <w:t>. Notwithstanding any other provision hereof, if a Premises Total Destructon occurs, this Lease shall terminate 60 days following such Destructon. If the damage or destructon was caused by the gross negligence or willful misconduct of Lessee, Lessor shall have the right to recover Lessor's damages from Lessee, except as provided in Paragraph 8.6.</w:t>
      </w:r>
    </w:p>
    <w:p>
      <w:pPr>
        <w:ind w:left="640" w:right="679" w:firstLine="258"/>
        <w:spacing w:after="0" w:line="250" w:lineRule="auto"/>
        <w:rPr>
          <w:rFonts w:ascii="Calibri" w:cs="Calibri" w:eastAsia="Calibri" w:hAnsi="Calibri"/>
          <w:sz w:val="11"/>
          <w:szCs w:val="11"/>
          <w:color w:val="auto"/>
        </w:rPr>
      </w:pPr>
      <w:r>
        <w:rPr>
          <w:rFonts w:ascii="Calibri" w:cs="Calibri" w:eastAsia="Calibri" w:hAnsi="Calibri"/>
          <w:sz w:val="11"/>
          <w:szCs w:val="11"/>
          <w:color w:val="auto"/>
        </w:rPr>
        <w:t xml:space="preserve">9.5 </w:t>
      </w:r>
      <w:r>
        <w:rPr>
          <w:rFonts w:ascii="Calibri" w:cs="Calibri" w:eastAsia="Calibri" w:hAnsi="Calibri"/>
          <w:sz w:val="11"/>
          <w:szCs w:val="11"/>
          <w:b w:val="1"/>
          <w:bCs w:val="1"/>
          <w:color w:val="auto"/>
        </w:rPr>
        <w:t>Damage Near End of Term</w:t>
      </w:r>
      <w:r>
        <w:rPr>
          <w:rFonts w:ascii="Calibri" w:cs="Calibri" w:eastAsia="Calibri" w:hAnsi="Calibri"/>
          <w:sz w:val="11"/>
          <w:szCs w:val="11"/>
          <w:color w:val="auto"/>
        </w:rPr>
        <w:t>. If at any tme during the last 6 months of this Lease there is damage for which the cost to repair exceeds one month's Base Rent, whether or not an Insured Loss, Lessor may terminate this Lease eﬀectve 60 days following the date of occurrence of such damage by giving a writen terminaton notce to Lessee within 30 days afer the date of occurrence of such damage. Notwithstanding the foregoing, if Lessee at that tme has an exercisable opton to extend this Lease or to purchase the Premises, then Lessee may preserve this Lease by, (a) exercising such opton and (b) providing Lessor with any shortage in insurance proceeds (or adequate assurance thereof) needed to make the repairs on or before the earlier of (i) the date which is 10 days afer Lessee's receipt of Lessor's writen notce purportng to terminate this Lease, or (ii) the day prior to the date upon which such opton expires. If Lessee duly exercises such opton during such period and provides Lessor with funds (or adequate assurance thereof) to cover any shortage in insurance proceeds, Lessor shall, at Lessor's commercially reasonable expense, repair such damage as soon as reasonably possible and this Lease shall contnue in full force and eﬀect. If Lessee fails to exercise such opton and provide such funds or assurance during such period, then this Lease shall terminate on the date specified in the terminaton notce and Lessee's opton shall be extnguished.</w:t>
      </w:r>
    </w:p>
    <w:p>
      <w:pPr>
        <w:ind w:left="880"/>
        <w:spacing w:after="0"/>
        <w:rPr>
          <w:rFonts w:ascii="Calibri" w:cs="Calibri" w:eastAsia="Calibri" w:hAnsi="Calibri"/>
          <w:sz w:val="11"/>
          <w:szCs w:val="11"/>
          <w:color w:val="auto"/>
        </w:rPr>
      </w:pPr>
      <w:r>
        <w:rPr>
          <w:rFonts w:ascii="Calibri" w:cs="Calibri" w:eastAsia="Calibri" w:hAnsi="Calibri"/>
          <w:sz w:val="11"/>
          <w:szCs w:val="11"/>
          <w:color w:val="auto"/>
        </w:rPr>
        <w:t xml:space="preserve">9.6 </w:t>
      </w:r>
      <w:r>
        <w:rPr>
          <w:rFonts w:ascii="Calibri" w:cs="Calibri" w:eastAsia="Calibri" w:hAnsi="Calibri"/>
          <w:sz w:val="11"/>
          <w:szCs w:val="11"/>
          <w:b w:val="1"/>
          <w:bCs w:val="1"/>
          <w:color w:val="auto"/>
        </w:rPr>
        <w:t>Abatement of Rent; Lessee's Remedies</w:t>
      </w:r>
      <w:r>
        <w:rPr>
          <w:rFonts w:ascii="Calibri" w:cs="Calibri" w:eastAsia="Calibri" w:hAnsi="Calibri"/>
          <w:sz w:val="11"/>
          <w:szCs w:val="11"/>
          <w:color w:val="auto"/>
        </w:rPr>
        <w:t>.</w:t>
      </w:r>
    </w:p>
    <w:p>
      <w:pPr>
        <w:spacing w:after="0" w:line="5" w:lineRule="exact"/>
        <w:rPr>
          <w:rFonts w:ascii="Calibri" w:cs="Calibri" w:eastAsia="Calibri" w:hAnsi="Calibri"/>
          <w:sz w:val="11"/>
          <w:szCs w:val="11"/>
          <w:color w:val="auto"/>
        </w:rPr>
      </w:pPr>
    </w:p>
    <w:p>
      <w:pPr>
        <w:ind w:left="640" w:right="779" w:firstLine="507"/>
        <w:spacing w:after="0" w:line="251" w:lineRule="auto"/>
        <w:tabs>
          <w:tab w:leader="none" w:pos="1310" w:val="left"/>
        </w:tabs>
        <w:numPr>
          <w:ilvl w:val="1"/>
          <w:numId w:val="64"/>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Abatement</w:t>
      </w:r>
      <w:r>
        <w:rPr>
          <w:rFonts w:ascii="Calibri" w:cs="Calibri" w:eastAsia="Calibri" w:hAnsi="Calibri"/>
          <w:sz w:val="11"/>
          <w:szCs w:val="11"/>
          <w:color w:val="auto"/>
        </w:rPr>
        <w:t>. In the event of Premises Partal Damage or Premises Total Destructon or a Hazardous Substance Conditon for which Lessee is not</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responsible under this Lease, the Rent payable by Lessee for the period required for the repair, remediaton or restoraton of such damage shall be abated in proporton to the degree to which Lessee's use of the Premises is impaired, but not to exceed the proceeds received from the Rental Value insurance. All other obligatons of Lessee hereunder shall be performed by Lessee, and Lessor shall have no liability for any such damage, destructon, remediaton, repair or restoraton except as provided herein.</w:t>
      </w:r>
    </w:p>
    <w:p>
      <w:pPr>
        <w:spacing w:after="0" w:line="137" w:lineRule="exact"/>
        <w:rPr>
          <w:rFonts w:ascii="Calibri" w:cs="Calibri" w:eastAsia="Calibri" w:hAnsi="Calibri"/>
          <w:sz w:val="11"/>
          <w:szCs w:val="11"/>
          <w:b w:val="1"/>
          <w:bCs w:val="1"/>
          <w:color w:val="auto"/>
        </w:rPr>
      </w:pPr>
    </w:p>
    <w:p>
      <w:pPr>
        <w:ind w:left="640" w:right="699" w:firstLine="507"/>
        <w:spacing w:after="0" w:line="250" w:lineRule="auto"/>
        <w:tabs>
          <w:tab w:leader="none" w:pos="1315" w:val="left"/>
        </w:tabs>
        <w:numPr>
          <w:ilvl w:val="1"/>
          <w:numId w:val="64"/>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Remedies</w:t>
      </w:r>
      <w:r>
        <w:rPr>
          <w:rFonts w:ascii="Calibri" w:cs="Calibri" w:eastAsia="Calibri" w:hAnsi="Calibri"/>
          <w:sz w:val="11"/>
          <w:szCs w:val="11"/>
          <w:color w:val="auto"/>
        </w:rPr>
        <w:t>. If Lessor is obligated to repair or restore the Premises and does not commence, in a substantal and meaningful way, such repair or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restoraton within 90 days afer such obligaton shall accrue, Lessee may, at any tme prior to the commencement of such repair or restoraton, give writen notce to Lessor and to any Lenders of which Lessee has actual notce, of Lessee's electon to terminate this Lease on a date not less than 60 days following the giving of such notce. If Lessee gives such notce and such repair or restoraton is not commenced within 30 days thereafer, this Lease shall terminate as of the date specified in said notce. If the repair or restoraton is commenced within such 30 days, this Lease shall contnue in full force and eﬀect. "Commence" shall mean either the unconditonal authorizaton of the preparaton of the required plans, or the beginning of the actual work on the Premises, whichever first occurs.</w:t>
      </w:r>
    </w:p>
    <w:p>
      <w:pPr>
        <w:jc w:val="both"/>
        <w:ind w:left="640" w:right="639" w:firstLine="258"/>
        <w:spacing w:after="0" w:line="251" w:lineRule="auto"/>
        <w:rPr>
          <w:rFonts w:ascii="Calibri" w:cs="Calibri" w:eastAsia="Calibri" w:hAnsi="Calibri"/>
          <w:sz w:val="11"/>
          <w:szCs w:val="11"/>
          <w:b w:val="1"/>
          <w:bCs w:val="1"/>
          <w:color w:val="auto"/>
        </w:rPr>
      </w:pPr>
      <w:r>
        <w:rPr>
          <w:rFonts w:ascii="Calibri" w:cs="Calibri" w:eastAsia="Calibri" w:hAnsi="Calibri"/>
          <w:sz w:val="11"/>
          <w:szCs w:val="11"/>
          <w:color w:val="auto"/>
        </w:rPr>
        <w:t xml:space="preserve">9.7 </w:t>
      </w:r>
      <w:r>
        <w:rPr>
          <w:rFonts w:ascii="Calibri" w:cs="Calibri" w:eastAsia="Calibri" w:hAnsi="Calibri"/>
          <w:sz w:val="11"/>
          <w:szCs w:val="11"/>
          <w:b w:val="1"/>
          <w:bCs w:val="1"/>
          <w:color w:val="auto"/>
        </w:rPr>
        <w:t>Terminaton; Advance Payments</w:t>
      </w:r>
      <w:r>
        <w:rPr>
          <w:rFonts w:ascii="Calibri" w:cs="Calibri" w:eastAsia="Calibri" w:hAnsi="Calibri"/>
          <w:sz w:val="11"/>
          <w:szCs w:val="11"/>
          <w:color w:val="auto"/>
        </w:rPr>
        <w:t>. Upon terminaton of this Lease pursuant to Paragraph 6.2(g) or Paragraph 9, an equitable adjustment shall be made concerning advance Base Rent and any other advance payments made by Lessee to Lessor. Lessor shall, in additon, return to Lessee so much of Lessee's Security Deposit as has not been, or is not then required to be, used by Lessor.</w:t>
      </w:r>
    </w:p>
    <w:p>
      <w:pPr>
        <w:spacing w:after="0" w:line="84" w:lineRule="exact"/>
        <w:rPr>
          <w:sz w:val="20"/>
          <w:szCs w:val="20"/>
          <w:color w:val="auto"/>
        </w:rPr>
      </w:pPr>
    </w:p>
    <w:p>
      <w:pPr>
        <w:ind w:left="640"/>
        <w:spacing w:after="0"/>
        <w:rPr>
          <w:sz w:val="20"/>
          <w:szCs w:val="20"/>
          <w:color w:val="auto"/>
        </w:rPr>
      </w:pPr>
      <w:r>
        <w:rPr>
          <w:rFonts w:ascii="Calibri" w:cs="Calibri" w:eastAsia="Calibri" w:hAnsi="Calibri"/>
          <w:sz w:val="11"/>
          <w:szCs w:val="11"/>
          <w:b w:val="1"/>
          <w:bCs w:val="1"/>
          <w:color w:val="auto"/>
        </w:rPr>
        <w:t>10. Real Property Taxes.</w:t>
      </w:r>
    </w:p>
    <w:p>
      <w:pPr>
        <w:spacing w:after="0" w:line="6" w:lineRule="exact"/>
        <w:rPr>
          <w:sz w:val="20"/>
          <w:szCs w:val="20"/>
          <w:color w:val="auto"/>
        </w:rPr>
      </w:pPr>
    </w:p>
    <w:p>
      <w:pPr>
        <w:ind w:left="640" w:right="759" w:firstLine="258"/>
        <w:spacing w:after="0" w:line="250" w:lineRule="auto"/>
        <w:rPr>
          <w:sz w:val="20"/>
          <w:szCs w:val="20"/>
          <w:color w:val="auto"/>
        </w:rPr>
      </w:pPr>
      <w:r>
        <w:rPr>
          <w:rFonts w:ascii="Calibri" w:cs="Calibri" w:eastAsia="Calibri" w:hAnsi="Calibri"/>
          <w:sz w:val="11"/>
          <w:szCs w:val="11"/>
          <w:color w:val="auto"/>
        </w:rPr>
        <w:t xml:space="preserve">10.1 </w:t>
      </w:r>
      <w:r>
        <w:rPr>
          <w:rFonts w:ascii="Calibri" w:cs="Calibri" w:eastAsia="Calibri" w:hAnsi="Calibri"/>
          <w:sz w:val="11"/>
          <w:szCs w:val="11"/>
          <w:b w:val="1"/>
          <w:bCs w:val="1"/>
          <w:color w:val="auto"/>
        </w:rPr>
        <w:t>Definiton</w:t>
      </w:r>
      <w:r>
        <w:rPr>
          <w:rFonts w:ascii="Calibri" w:cs="Calibri" w:eastAsia="Calibri" w:hAnsi="Calibri"/>
          <w:sz w:val="11"/>
          <w:szCs w:val="11"/>
          <w:color w:val="auto"/>
        </w:rPr>
        <w:t>. As used herein, the term "</w:t>
      </w:r>
      <w:r>
        <w:rPr>
          <w:rFonts w:ascii="Calibri" w:cs="Calibri" w:eastAsia="Calibri" w:hAnsi="Calibri"/>
          <w:sz w:val="11"/>
          <w:szCs w:val="11"/>
          <w:b w:val="1"/>
          <w:bCs w:val="1"/>
          <w:color w:val="auto"/>
        </w:rPr>
        <w:t>Real Property Taxes</w:t>
      </w:r>
      <w:r>
        <w:rPr>
          <w:rFonts w:ascii="Calibri" w:cs="Calibri" w:eastAsia="Calibri" w:hAnsi="Calibri"/>
          <w:sz w:val="11"/>
          <w:szCs w:val="11"/>
          <w:color w:val="auto"/>
        </w:rPr>
        <w:t>" shall include any form of assessment; real estate, general, special, ordinary or extraordinary, or rental levy or tax (other than inheritance, personal income or estate taxes); improvement bond; and/or license fee imposed upon or levied against any legal or equitable interest of Lessor in the Premises or the Project, Lessor's right to other income therefrom, and/or Lessor's business of leasing, by any authority having the direct or indirect power to tax and where the funds are generated with reference to the Building address. Real Property Taxes shall also include any tax, fee, levy, assessment or charge, or any increase therein: (i) imposed by reason of events occurring during the term of this Lease, including but not limited to, a change in the ownership of the Premises, and (ii) levied or assessed on machinery or equipment provided by Lessor to Lessee pursuant to this Lease.</w:t>
      </w:r>
    </w:p>
    <w:p>
      <w:pPr>
        <w:ind w:left="640" w:right="659" w:firstLine="258"/>
        <w:spacing w:after="0" w:line="250" w:lineRule="auto"/>
        <w:rPr>
          <w:sz w:val="20"/>
          <w:szCs w:val="20"/>
          <w:color w:val="auto"/>
        </w:rPr>
      </w:pPr>
      <w:r>
        <w:rPr>
          <w:rFonts w:ascii="Calibri" w:cs="Calibri" w:eastAsia="Calibri" w:hAnsi="Calibri"/>
          <w:sz w:val="11"/>
          <w:szCs w:val="11"/>
          <w:color w:val="auto"/>
        </w:rPr>
        <w:t xml:space="preserve">10.2 </w:t>
      </w:r>
      <w:r>
        <w:rPr>
          <w:rFonts w:ascii="Calibri" w:cs="Calibri" w:eastAsia="Calibri" w:hAnsi="Calibri"/>
          <w:sz w:val="11"/>
          <w:szCs w:val="11"/>
          <w:b w:val="1"/>
          <w:bCs w:val="1"/>
          <w:color w:val="auto"/>
        </w:rPr>
        <w:t>Payment of Taxes</w:t>
      </w:r>
      <w:r>
        <w:rPr>
          <w:rFonts w:ascii="Calibri" w:cs="Calibri" w:eastAsia="Calibri" w:hAnsi="Calibri"/>
          <w:sz w:val="11"/>
          <w:szCs w:val="11"/>
          <w:color w:val="auto"/>
        </w:rPr>
        <w:t>. In additon to Base Rent, Lessee shall pay to Lessor an amount equal to the Real Property Tax installment due at least 20 days prior to the applicable delinquency date. If any such installment shall cover any period of tme prior to or afer the expiraton or terminaton of this Lease, Lessee's share of such installment shall be prorated. In the event Lessee incurs a late charge on any Rent payment, Lessor may estmate the current Real Property Taxes, and require that such taxes be paid in advance to Lessor by Lessee monthly in advance with the payment of the Base Rent. Such monthly payments shall be an amount equal to the amount of the estmated installment of taxes divided by the number of months remaining before the month in which said installment becomes delinquent.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41275</wp:posOffset>
            </wp:positionV>
            <wp:extent cx="574040" cy="2940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41275</wp:posOffset>
            </wp:positionV>
            <wp:extent cx="382905" cy="2940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300"/>
              <w:spacing w:after="0"/>
              <w:rPr>
                <w:sz w:val="20"/>
                <w:szCs w:val="20"/>
                <w:color w:val="auto"/>
              </w:rPr>
            </w:pPr>
            <w:r>
              <w:rPr>
                <w:rFonts w:ascii="Calibri" w:cs="Calibri" w:eastAsia="Calibri" w:hAnsi="Calibri"/>
                <w:sz w:val="13"/>
                <w:szCs w:val="13"/>
                <w:color w:val="auto"/>
                <w:w w:val="98"/>
              </w:rPr>
              <w:t>Page 8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06" w:name="page107"/>
    <w:bookmarkEnd w:id="106"/>
    <w:p>
      <w:pPr>
        <w:ind w:left="640" w:right="699"/>
        <w:spacing w:after="0" w:line="250" w:lineRule="auto"/>
        <w:rPr>
          <w:sz w:val="20"/>
          <w:szCs w:val="20"/>
          <w:color w:val="auto"/>
        </w:rPr>
      </w:pPr>
      <w:r>
        <w:rPr>
          <w:rFonts w:ascii="Calibri" w:cs="Calibri" w:eastAsia="Calibri" w:hAnsi="Calibri"/>
          <w:sz w:val="11"/>
          <w:szCs w:val="11"/>
          <w:color w:val="auto"/>
        </w:rPr>
        <w:t>the actual amount of the applicable tax bill is known, the amount of such equal monthly advance payments shall be adjusted as required to provide the funds needed to pay the applicable taxes. If the amount collected by Lessor is insuﬃcient to pay such Real Property Taxes when due, Lessee shall pay Lessor, upon demand, such additonal sum as is necessary. Advance payments may be intermingled with other moneys of Lessor and shall not bear interest. In the event of a Breach by Lessee in the performance of its obligatons under this Lease, then any such advance payments may be treated by Lessor as an additonal Security Deposit.</w:t>
      </w:r>
    </w:p>
    <w:p>
      <w:pPr>
        <w:ind w:left="640" w:right="659" w:firstLine="258"/>
        <w:spacing w:after="0" w:line="250" w:lineRule="auto"/>
        <w:rPr>
          <w:sz w:val="20"/>
          <w:szCs w:val="20"/>
          <w:color w:val="auto"/>
        </w:rPr>
      </w:pPr>
      <w:r>
        <w:rPr>
          <w:rFonts w:ascii="Calibri" w:cs="Calibri" w:eastAsia="Calibri" w:hAnsi="Calibri"/>
          <w:sz w:val="11"/>
          <w:szCs w:val="11"/>
          <w:color w:val="auto"/>
        </w:rPr>
        <w:t xml:space="preserve">10.3 </w:t>
      </w:r>
      <w:r>
        <w:rPr>
          <w:rFonts w:ascii="Calibri" w:cs="Calibri" w:eastAsia="Calibri" w:hAnsi="Calibri"/>
          <w:sz w:val="11"/>
          <w:szCs w:val="11"/>
          <w:b w:val="1"/>
          <w:bCs w:val="1"/>
          <w:color w:val="auto"/>
        </w:rPr>
        <w:t>Joint Assessment</w:t>
      </w:r>
      <w:r>
        <w:rPr>
          <w:rFonts w:ascii="Calibri" w:cs="Calibri" w:eastAsia="Calibri" w:hAnsi="Calibri"/>
          <w:sz w:val="11"/>
          <w:szCs w:val="11"/>
          <w:color w:val="auto"/>
        </w:rPr>
        <w:t>. If the Premises are not separately assessed, Lessee's liability shall be an equitable proporton of the Real Property Taxes for all of the land and improvements included within the tax parcel assessed, such proporton to be conclusively determined by Lessor from the respectve valuatons assigned in the assessor's work sheets or such other informaton as may be reasonably available.</w:t>
      </w:r>
    </w:p>
    <w:p>
      <w:pPr>
        <w:ind w:left="640" w:right="819" w:firstLine="258"/>
        <w:spacing w:after="0" w:line="250" w:lineRule="auto"/>
        <w:rPr>
          <w:sz w:val="20"/>
          <w:szCs w:val="20"/>
          <w:color w:val="auto"/>
        </w:rPr>
      </w:pPr>
      <w:r>
        <w:rPr>
          <w:rFonts w:ascii="Calibri" w:cs="Calibri" w:eastAsia="Calibri" w:hAnsi="Calibri"/>
          <w:sz w:val="11"/>
          <w:szCs w:val="11"/>
          <w:color w:val="auto"/>
        </w:rPr>
        <w:t xml:space="preserve">10.4 </w:t>
      </w:r>
      <w:r>
        <w:rPr>
          <w:rFonts w:ascii="Calibri" w:cs="Calibri" w:eastAsia="Calibri" w:hAnsi="Calibri"/>
          <w:sz w:val="11"/>
          <w:szCs w:val="11"/>
          <w:b w:val="1"/>
          <w:bCs w:val="1"/>
          <w:color w:val="auto"/>
        </w:rPr>
        <w:t>Personal Property Taxes</w:t>
      </w:r>
      <w:r>
        <w:rPr>
          <w:rFonts w:ascii="Calibri" w:cs="Calibri" w:eastAsia="Calibri" w:hAnsi="Calibri"/>
          <w:sz w:val="11"/>
          <w:szCs w:val="11"/>
          <w:color w:val="auto"/>
        </w:rPr>
        <w:t>. Lessee shall pay, prior to delinquency, all taxes assessed against and levied upon Lessee Owned Alteratons, Utlity Installatons, Trade Fixtures, furnishings, equipment and all personal property of Lessee. When possible, Lessee shall cause its Lessee Owned Alteratons and Utlity Installatons, Trade Fixtures, furnishings, equipment and all other personal property to be assessed and billed separately from the real property of Lessor. If any of Lessee's said property shall be assessed with Lessor's real property, Lessee shall pay Lessor the taxes atributable to Lessee's property within 10 days afer receipt of a writen statement setng forth the taxes applicable to Lessee's property.</w:t>
      </w:r>
    </w:p>
    <w:p>
      <w:pPr>
        <w:spacing w:after="0" w:line="86" w:lineRule="exact"/>
        <w:rPr>
          <w:sz w:val="20"/>
          <w:szCs w:val="20"/>
          <w:color w:val="auto"/>
        </w:rPr>
      </w:pPr>
    </w:p>
    <w:p>
      <w:pPr>
        <w:ind w:left="640"/>
        <w:spacing w:after="0"/>
        <w:rPr>
          <w:sz w:val="20"/>
          <w:szCs w:val="20"/>
          <w:color w:val="auto"/>
        </w:rPr>
      </w:pPr>
      <w:r>
        <w:rPr>
          <w:rFonts w:ascii="Calibri" w:cs="Calibri" w:eastAsia="Calibri" w:hAnsi="Calibri"/>
          <w:sz w:val="11"/>
          <w:szCs w:val="11"/>
          <w:b w:val="1"/>
          <w:bCs w:val="1"/>
          <w:color w:val="auto"/>
        </w:rPr>
        <w:t>11. Utlites and Services.</w:t>
      </w:r>
    </w:p>
    <w:p>
      <w:pPr>
        <w:spacing w:after="0" w:line="6" w:lineRule="exact"/>
        <w:rPr>
          <w:sz w:val="20"/>
          <w:szCs w:val="20"/>
          <w:color w:val="auto"/>
        </w:rPr>
      </w:pPr>
    </w:p>
    <w:p>
      <w:pPr>
        <w:ind w:left="640" w:right="719" w:firstLine="258"/>
        <w:spacing w:after="0" w:line="250" w:lineRule="auto"/>
        <w:rPr>
          <w:sz w:val="20"/>
          <w:szCs w:val="20"/>
          <w:color w:val="auto"/>
        </w:rPr>
      </w:pPr>
      <w:r>
        <w:rPr>
          <w:rFonts w:ascii="Calibri" w:cs="Calibri" w:eastAsia="Calibri" w:hAnsi="Calibri"/>
          <w:sz w:val="11"/>
          <w:szCs w:val="11"/>
          <w:color w:val="auto"/>
        </w:rPr>
        <w:t>11.1 Lessee shall pay for all water, gas, heat, light, power, telephone, trash disposal and other utlites and services supplied to the Premises, together with any taxes thereon. If any such services are not separately metered or billed to Lessee, Lessee shall pay a reasonable proporton, to be determined by Lessor, of all charges jointly metered or billed. There shall be no abatement of rent and Lessor shall not be liable in any respect whatsoever for the inadequacy, stoppage, interrupton or discontnuance of any utlity or service due to riot, strike, labor dispute, breakdown, accident, repair or other cause beyond Lessor's reasonable control or in cooperaton with governmental request or directons.</w:t>
      </w:r>
    </w:p>
    <w:p>
      <w:pPr>
        <w:ind w:left="640" w:right="919" w:firstLine="258"/>
        <w:spacing w:after="0" w:line="253" w:lineRule="auto"/>
        <w:rPr>
          <w:sz w:val="20"/>
          <w:szCs w:val="20"/>
          <w:color w:val="auto"/>
        </w:rPr>
      </w:pPr>
      <w:r>
        <w:rPr>
          <w:rFonts w:ascii="Calibri" w:cs="Calibri" w:eastAsia="Calibri" w:hAnsi="Calibri"/>
          <w:sz w:val="11"/>
          <w:szCs w:val="11"/>
          <w:color w:val="auto"/>
        </w:rPr>
        <w:t>11.2 Within fifeen days of Lessor's writen request, Lessee agrees to deliver to Lessor such informaton, documents and/or authorizaton as Lessor needs in order for Lessor to comply with new or existng Applicable Requirements relatng to commercial building energy usage, ratngs, and/or the reportng thereof.</w:t>
      </w:r>
    </w:p>
    <w:p>
      <w:pPr>
        <w:spacing w:after="0" w:line="83" w:lineRule="exact"/>
        <w:rPr>
          <w:sz w:val="20"/>
          <w:szCs w:val="20"/>
          <w:color w:val="auto"/>
        </w:rPr>
      </w:pPr>
    </w:p>
    <w:p>
      <w:pPr>
        <w:ind w:left="640"/>
        <w:spacing w:after="0"/>
        <w:rPr>
          <w:sz w:val="20"/>
          <w:szCs w:val="20"/>
          <w:color w:val="auto"/>
        </w:rPr>
      </w:pPr>
      <w:r>
        <w:rPr>
          <w:rFonts w:ascii="Calibri" w:cs="Calibri" w:eastAsia="Calibri" w:hAnsi="Calibri"/>
          <w:sz w:val="11"/>
          <w:szCs w:val="11"/>
          <w:b w:val="1"/>
          <w:bCs w:val="1"/>
          <w:color w:val="auto"/>
        </w:rPr>
        <w:t>12. Assignment and Subletng.</w:t>
      </w:r>
    </w:p>
    <w:p>
      <w:pPr>
        <w:spacing w:after="0" w:line="6" w:lineRule="exact"/>
        <w:rPr>
          <w:sz w:val="20"/>
          <w:szCs w:val="20"/>
          <w:color w:val="auto"/>
        </w:rPr>
      </w:pPr>
    </w:p>
    <w:p>
      <w:pPr>
        <w:ind w:left="880"/>
        <w:spacing w:after="0"/>
        <w:rPr>
          <w:sz w:val="20"/>
          <w:szCs w:val="20"/>
          <w:color w:val="auto"/>
        </w:rPr>
      </w:pPr>
      <w:r>
        <w:rPr>
          <w:rFonts w:ascii="Calibri" w:cs="Calibri" w:eastAsia="Calibri" w:hAnsi="Calibri"/>
          <w:sz w:val="11"/>
          <w:szCs w:val="11"/>
          <w:color w:val="auto"/>
        </w:rPr>
        <w:t xml:space="preserve">12.1 </w:t>
      </w:r>
      <w:r>
        <w:rPr>
          <w:rFonts w:ascii="Calibri" w:cs="Calibri" w:eastAsia="Calibri" w:hAnsi="Calibri"/>
          <w:sz w:val="11"/>
          <w:szCs w:val="11"/>
          <w:b w:val="1"/>
          <w:bCs w:val="1"/>
          <w:color w:val="auto"/>
        </w:rPr>
        <w:t>Lessor's Consent Required</w:t>
      </w:r>
      <w:r>
        <w:rPr>
          <w:rFonts w:ascii="Calibri" w:cs="Calibri" w:eastAsia="Calibri" w:hAnsi="Calibri"/>
          <w:sz w:val="11"/>
          <w:szCs w:val="11"/>
          <w:color w:val="auto"/>
        </w:rPr>
        <w:t>.</w:t>
      </w:r>
    </w:p>
    <w:p>
      <w:pPr>
        <w:spacing w:after="0" w:line="6" w:lineRule="exact"/>
        <w:rPr>
          <w:sz w:val="20"/>
          <w:szCs w:val="20"/>
          <w:color w:val="auto"/>
        </w:rPr>
      </w:pPr>
    </w:p>
    <w:p>
      <w:pPr>
        <w:ind w:left="640" w:right="719" w:firstLine="507"/>
        <w:spacing w:after="0" w:line="250" w:lineRule="auto"/>
        <w:tabs>
          <w:tab w:leader="none" w:pos="1307" w:val="left"/>
        </w:tabs>
        <w:numPr>
          <w:ilvl w:val="0"/>
          <w:numId w:val="65"/>
        </w:numPr>
        <w:rPr>
          <w:rFonts w:ascii="Calibri" w:cs="Calibri" w:eastAsia="Calibri" w:hAnsi="Calibri"/>
          <w:sz w:val="11"/>
          <w:szCs w:val="11"/>
          <w:color w:val="auto"/>
        </w:rPr>
      </w:pPr>
      <w:r>
        <w:rPr>
          <w:rFonts w:ascii="Calibri" w:cs="Calibri" w:eastAsia="Calibri" w:hAnsi="Calibri"/>
          <w:sz w:val="11"/>
          <w:szCs w:val="11"/>
          <w:color w:val="auto"/>
        </w:rPr>
        <w:t>Lessee shall not voluntarily or by operaton of law assign, transfer, mortgage or encumber (collectvely, "</w:t>
      </w:r>
      <w:r>
        <w:rPr>
          <w:rFonts w:ascii="Calibri" w:cs="Calibri" w:eastAsia="Calibri" w:hAnsi="Calibri"/>
          <w:sz w:val="11"/>
          <w:szCs w:val="11"/>
          <w:b w:val="1"/>
          <w:bCs w:val="1"/>
          <w:color w:val="auto"/>
        </w:rPr>
        <w:t>assign or assignment</w:t>
      </w:r>
      <w:r>
        <w:rPr>
          <w:rFonts w:ascii="Calibri" w:cs="Calibri" w:eastAsia="Calibri" w:hAnsi="Calibri"/>
          <w:sz w:val="11"/>
          <w:szCs w:val="11"/>
          <w:color w:val="auto"/>
        </w:rPr>
        <w:t>") or sublet all or any part of Lessee's interest in this Lease or in the Premises without Lessor's prior writen consent.</w:t>
      </w:r>
    </w:p>
    <w:p>
      <w:pPr>
        <w:ind w:left="640" w:right="719" w:firstLine="507"/>
        <w:spacing w:after="0" w:line="250" w:lineRule="auto"/>
        <w:tabs>
          <w:tab w:leader="none" w:pos="1312" w:val="left"/>
        </w:tabs>
        <w:numPr>
          <w:ilvl w:val="0"/>
          <w:numId w:val="65"/>
        </w:numPr>
        <w:rPr>
          <w:rFonts w:ascii="Calibri" w:cs="Calibri" w:eastAsia="Calibri" w:hAnsi="Calibri"/>
          <w:sz w:val="11"/>
          <w:szCs w:val="11"/>
          <w:color w:val="auto"/>
        </w:rPr>
      </w:pPr>
      <w:r>
        <w:rPr>
          <w:rFonts w:ascii="Calibri" w:cs="Calibri" w:eastAsia="Calibri" w:hAnsi="Calibri"/>
          <w:sz w:val="11"/>
          <w:szCs w:val="11"/>
          <w:color w:val="auto"/>
        </w:rPr>
        <w:t>Unless Lessee is a corporaton and its stock is publicly traded on a natonal stock exchange, a change in the control of Lessee shall consttute an assignment requiring consent. The transfer, on a cumulatve basis, of 25% or more of the votng control of Lessee shall consttute a change in control for this purpose.</w:t>
      </w:r>
    </w:p>
    <w:p>
      <w:pPr>
        <w:ind w:left="640" w:right="719" w:firstLine="507"/>
        <w:spacing w:after="0" w:line="250" w:lineRule="auto"/>
        <w:tabs>
          <w:tab w:leader="none" w:pos="1300" w:val="left"/>
        </w:tabs>
        <w:numPr>
          <w:ilvl w:val="0"/>
          <w:numId w:val="65"/>
        </w:numPr>
        <w:rPr>
          <w:rFonts w:ascii="Calibri" w:cs="Calibri" w:eastAsia="Calibri" w:hAnsi="Calibri"/>
          <w:sz w:val="11"/>
          <w:szCs w:val="11"/>
          <w:color w:val="auto"/>
        </w:rPr>
      </w:pPr>
      <w:r>
        <w:rPr>
          <w:rFonts w:ascii="Calibri" w:cs="Calibri" w:eastAsia="Calibri" w:hAnsi="Calibri"/>
          <w:sz w:val="11"/>
          <w:szCs w:val="11"/>
          <w:color w:val="auto"/>
        </w:rPr>
        <w:t>The involvement of Lessee or its assets in any transacton, or series of transactons (by way of merger, sale, acquisiton, financing, transfer, leveraged buyout or otherwise), whether or not a formal assignment or hypothecaton of this Lease or Lessee's assets occurs, which results or will result in a reducton of the Net Worth of Lessee by an amount greater than 25% of such Net Worth as it was represented at the tme of the executon of this Lease or at the tme of the most recent assignment to which Lessor has consented, or as it exists immediately prior to said transacton or transactons consttutng such reducton, whichever was or is greater, shall be considered an assignment of this Lease to which Lessor may withhold its consent. "</w:t>
      </w:r>
      <w:r>
        <w:rPr>
          <w:rFonts w:ascii="Calibri" w:cs="Calibri" w:eastAsia="Calibri" w:hAnsi="Calibri"/>
          <w:sz w:val="11"/>
          <w:szCs w:val="11"/>
          <w:b w:val="1"/>
          <w:bCs w:val="1"/>
          <w:color w:val="auto"/>
        </w:rPr>
        <w:t>Net Worth of Lessee</w:t>
      </w:r>
      <w:r>
        <w:rPr>
          <w:rFonts w:ascii="Calibri" w:cs="Calibri" w:eastAsia="Calibri" w:hAnsi="Calibri"/>
          <w:sz w:val="11"/>
          <w:szCs w:val="11"/>
          <w:color w:val="auto"/>
        </w:rPr>
        <w:t>" shall mean the net worth of Lessee (excluding any guarantors) established under generally accepted accountng principles.</w:t>
      </w:r>
    </w:p>
    <w:p>
      <w:pPr>
        <w:ind w:left="640" w:right="659" w:firstLine="507"/>
        <w:spacing w:after="0" w:line="251" w:lineRule="auto"/>
        <w:tabs>
          <w:tab w:leader="none" w:pos="1312" w:val="left"/>
        </w:tabs>
        <w:numPr>
          <w:ilvl w:val="0"/>
          <w:numId w:val="65"/>
        </w:numPr>
        <w:rPr>
          <w:rFonts w:ascii="Calibri" w:cs="Calibri" w:eastAsia="Calibri" w:hAnsi="Calibri"/>
          <w:sz w:val="11"/>
          <w:szCs w:val="11"/>
          <w:color w:val="auto"/>
        </w:rPr>
      </w:pPr>
      <w:r>
        <w:rPr>
          <w:rFonts w:ascii="Calibri" w:cs="Calibri" w:eastAsia="Calibri" w:hAnsi="Calibri"/>
          <w:sz w:val="11"/>
          <w:szCs w:val="11"/>
          <w:color w:val="auto"/>
        </w:rPr>
        <w:t>An assignment or subletng without consent shall, at Lessor's opton, be a Default curable afer notce per Paragraph 13.1(d), or a non-curable Breach without the necessity of any notce and grace period. If Lessor elects to treat such unapproved assignment or subletng as a non-curable Breach, Lessor may either: (i) terminate this Lease, or (ii) upon 30 days writen notce, increase the monthly Base Rent to 110% of the Base Rent then in efect. Further, in the event of such Breach and rental adjustment, (i) the purchase price of any opton to purchase the Premises held by Lessee shall be subject to similar adjustment to 110% of the price previously in efect, and (ii) all fixed and non-fixed rental adjustments scheduled during the remainder of the Lease term shall be increased to 110% of the scheduled adjusted rent.</w:t>
      </w:r>
    </w:p>
    <w:p>
      <w:pPr>
        <w:spacing w:after="0" w:line="137" w:lineRule="exact"/>
        <w:rPr>
          <w:rFonts w:ascii="Calibri" w:cs="Calibri" w:eastAsia="Calibri" w:hAnsi="Calibri"/>
          <w:sz w:val="11"/>
          <w:szCs w:val="11"/>
          <w:color w:val="auto"/>
        </w:rPr>
      </w:pPr>
    </w:p>
    <w:p>
      <w:pPr>
        <w:ind w:left="1300" w:hanging="153"/>
        <w:spacing w:after="0"/>
        <w:tabs>
          <w:tab w:leader="none" w:pos="1300" w:val="left"/>
        </w:tabs>
        <w:numPr>
          <w:ilvl w:val="0"/>
          <w:numId w:val="65"/>
        </w:numPr>
        <w:rPr>
          <w:rFonts w:ascii="Calibri" w:cs="Calibri" w:eastAsia="Calibri" w:hAnsi="Calibri"/>
          <w:sz w:val="11"/>
          <w:szCs w:val="11"/>
          <w:color w:val="auto"/>
        </w:rPr>
      </w:pPr>
      <w:r>
        <w:rPr>
          <w:rFonts w:ascii="Calibri" w:cs="Calibri" w:eastAsia="Calibri" w:hAnsi="Calibri"/>
          <w:sz w:val="11"/>
          <w:szCs w:val="11"/>
          <w:color w:val="auto"/>
        </w:rPr>
        <w:t>Lessee's remedy for any breach of Paragraph 12.1 by Lessor shall be limited to compensatory damages and/or injunctve relief.</w:t>
      </w:r>
    </w:p>
    <w:p>
      <w:pPr>
        <w:spacing w:after="0" w:line="5" w:lineRule="exact"/>
        <w:rPr>
          <w:rFonts w:ascii="Calibri" w:cs="Calibri" w:eastAsia="Calibri" w:hAnsi="Calibri"/>
          <w:sz w:val="11"/>
          <w:szCs w:val="11"/>
          <w:color w:val="auto"/>
        </w:rPr>
      </w:pPr>
    </w:p>
    <w:p>
      <w:pPr>
        <w:ind w:left="1280" w:hanging="133"/>
        <w:spacing w:after="0"/>
        <w:tabs>
          <w:tab w:leader="none" w:pos="1280" w:val="left"/>
        </w:tabs>
        <w:numPr>
          <w:ilvl w:val="0"/>
          <w:numId w:val="65"/>
        </w:numPr>
        <w:rPr>
          <w:rFonts w:ascii="Calibri" w:cs="Calibri" w:eastAsia="Calibri" w:hAnsi="Calibri"/>
          <w:sz w:val="11"/>
          <w:szCs w:val="11"/>
          <w:color w:val="auto"/>
        </w:rPr>
      </w:pPr>
      <w:r>
        <w:rPr>
          <w:rFonts w:ascii="Calibri" w:cs="Calibri" w:eastAsia="Calibri" w:hAnsi="Calibri"/>
          <w:sz w:val="11"/>
          <w:szCs w:val="11"/>
          <w:color w:val="auto"/>
        </w:rPr>
        <w:t>Lessor may reasonably withhold consent to a proposed assignment or subletng if Lessee is in Default at the tme consent is requested.</w:t>
      </w:r>
    </w:p>
    <w:p>
      <w:pPr>
        <w:spacing w:after="0" w:line="5" w:lineRule="exact"/>
        <w:rPr>
          <w:rFonts w:ascii="Calibri" w:cs="Calibri" w:eastAsia="Calibri" w:hAnsi="Calibri"/>
          <w:sz w:val="11"/>
          <w:szCs w:val="11"/>
          <w:color w:val="auto"/>
        </w:rPr>
      </w:pPr>
    </w:p>
    <w:p>
      <w:pPr>
        <w:ind w:left="640" w:right="1139" w:firstLine="507"/>
        <w:spacing w:after="0" w:line="250" w:lineRule="auto"/>
        <w:tabs>
          <w:tab w:leader="none" w:pos="1306" w:val="left"/>
        </w:tabs>
        <w:numPr>
          <w:ilvl w:val="0"/>
          <w:numId w:val="65"/>
        </w:numPr>
        <w:rPr>
          <w:rFonts w:ascii="Calibri" w:cs="Calibri" w:eastAsia="Calibri" w:hAnsi="Calibri"/>
          <w:sz w:val="11"/>
          <w:szCs w:val="11"/>
          <w:color w:val="auto"/>
        </w:rPr>
      </w:pPr>
      <w:r>
        <w:rPr>
          <w:rFonts w:ascii="Calibri" w:cs="Calibri" w:eastAsia="Calibri" w:hAnsi="Calibri"/>
          <w:sz w:val="11"/>
          <w:szCs w:val="11"/>
          <w:color w:val="auto"/>
        </w:rPr>
        <w:t>Notwithstanding the foregoing, allowing a de minimis porton of the Premises, i.e. 20 square feet or less, to be used by a third party vendor in connecton with the installaton of a vending machine or payphone shall not consttute a subletng.</w:t>
      </w:r>
    </w:p>
    <w:p>
      <w:pPr>
        <w:ind w:left="880"/>
        <w:spacing w:after="0"/>
        <w:rPr>
          <w:rFonts w:ascii="Calibri" w:cs="Calibri" w:eastAsia="Calibri" w:hAnsi="Calibri"/>
          <w:sz w:val="11"/>
          <w:szCs w:val="11"/>
          <w:color w:val="auto"/>
        </w:rPr>
      </w:pPr>
      <w:r>
        <w:rPr>
          <w:rFonts w:ascii="Calibri" w:cs="Calibri" w:eastAsia="Calibri" w:hAnsi="Calibri"/>
          <w:sz w:val="11"/>
          <w:szCs w:val="11"/>
          <w:color w:val="auto"/>
        </w:rPr>
        <w:t xml:space="preserve">12.2 </w:t>
      </w:r>
      <w:r>
        <w:rPr>
          <w:rFonts w:ascii="Calibri" w:cs="Calibri" w:eastAsia="Calibri" w:hAnsi="Calibri"/>
          <w:sz w:val="11"/>
          <w:szCs w:val="11"/>
          <w:b w:val="1"/>
          <w:bCs w:val="1"/>
          <w:color w:val="auto"/>
        </w:rPr>
        <w:t>Terms and Conditons Applicable to Assignment and Subletng</w:t>
      </w:r>
      <w:r>
        <w:rPr>
          <w:rFonts w:ascii="Calibri" w:cs="Calibri" w:eastAsia="Calibri" w:hAnsi="Calibri"/>
          <w:sz w:val="11"/>
          <w:szCs w:val="11"/>
          <w:color w:val="auto"/>
        </w:rPr>
        <w:t>.</w:t>
      </w:r>
    </w:p>
    <w:p>
      <w:pPr>
        <w:spacing w:after="0" w:line="5" w:lineRule="exact"/>
        <w:rPr>
          <w:rFonts w:ascii="Calibri" w:cs="Calibri" w:eastAsia="Calibri" w:hAnsi="Calibri"/>
          <w:sz w:val="11"/>
          <w:szCs w:val="11"/>
          <w:color w:val="auto"/>
        </w:rPr>
      </w:pPr>
    </w:p>
    <w:p>
      <w:pPr>
        <w:jc w:val="both"/>
        <w:ind w:left="640" w:right="699" w:firstLine="507"/>
        <w:spacing w:after="0" w:line="250" w:lineRule="auto"/>
        <w:tabs>
          <w:tab w:leader="none" w:pos="1307" w:val="left"/>
        </w:tabs>
        <w:numPr>
          <w:ilvl w:val="0"/>
          <w:numId w:val="66"/>
        </w:numPr>
        <w:rPr>
          <w:rFonts w:ascii="Calibri" w:cs="Calibri" w:eastAsia="Calibri" w:hAnsi="Calibri"/>
          <w:sz w:val="11"/>
          <w:szCs w:val="11"/>
          <w:color w:val="auto"/>
        </w:rPr>
      </w:pPr>
      <w:r>
        <w:rPr>
          <w:rFonts w:ascii="Calibri" w:cs="Calibri" w:eastAsia="Calibri" w:hAnsi="Calibri"/>
          <w:sz w:val="11"/>
          <w:szCs w:val="11"/>
          <w:color w:val="auto"/>
        </w:rPr>
        <w:t>Regardless of Lessor's consent, no assignment or subletng shall : (i) be eﬀectve without the express writen assumpton by such assignee or sublessee of the obligatons of Lessee under this Lease, (ii) release Lessee of any obligatons hereunder, or (iii) alter the primary liability of Lessee for the payment of Rent or for the performance of any other obligatons to be performed by Lessee.</w:t>
      </w:r>
    </w:p>
    <w:p>
      <w:pPr>
        <w:ind w:left="640" w:right="719" w:firstLine="507"/>
        <w:spacing w:after="0" w:line="250" w:lineRule="auto"/>
        <w:tabs>
          <w:tab w:leader="none" w:pos="1312" w:val="left"/>
        </w:tabs>
        <w:numPr>
          <w:ilvl w:val="0"/>
          <w:numId w:val="66"/>
        </w:numPr>
        <w:rPr>
          <w:rFonts w:ascii="Calibri" w:cs="Calibri" w:eastAsia="Calibri" w:hAnsi="Calibri"/>
          <w:sz w:val="11"/>
          <w:szCs w:val="11"/>
          <w:color w:val="auto"/>
        </w:rPr>
      </w:pPr>
      <w:r>
        <w:rPr>
          <w:rFonts w:ascii="Calibri" w:cs="Calibri" w:eastAsia="Calibri" w:hAnsi="Calibri"/>
          <w:sz w:val="11"/>
          <w:szCs w:val="11"/>
          <w:color w:val="auto"/>
        </w:rPr>
        <w:t>Lessor may accept Rent or performance of Lessee's obligatons from any person other than Lessee pending approval or disapproval of an assignment. Neither a delay in the approval or disapproval of such assignment nor the acceptance of Rent or performance shall consttute a waiver or estoppel of Lessor's right to exercise its remedies for Lessee's Default or Breach.</w:t>
      </w:r>
    </w:p>
    <w:p>
      <w:pPr>
        <w:ind w:left="1300" w:hanging="153"/>
        <w:spacing w:after="0"/>
        <w:tabs>
          <w:tab w:leader="none" w:pos="1300" w:val="left"/>
        </w:tabs>
        <w:numPr>
          <w:ilvl w:val="0"/>
          <w:numId w:val="66"/>
        </w:numPr>
        <w:rPr>
          <w:rFonts w:ascii="Calibri" w:cs="Calibri" w:eastAsia="Calibri" w:hAnsi="Calibri"/>
          <w:sz w:val="11"/>
          <w:szCs w:val="11"/>
          <w:color w:val="auto"/>
        </w:rPr>
      </w:pPr>
      <w:r>
        <w:rPr>
          <w:rFonts w:ascii="Calibri" w:cs="Calibri" w:eastAsia="Calibri" w:hAnsi="Calibri"/>
          <w:sz w:val="11"/>
          <w:szCs w:val="11"/>
          <w:color w:val="auto"/>
        </w:rPr>
        <w:t>Lessor's consent to any assignment or subletng shall not consttute a consent to any subsequent assignment or subletng.</w:t>
      </w:r>
    </w:p>
    <w:p>
      <w:pPr>
        <w:spacing w:after="0" w:line="5" w:lineRule="exact"/>
        <w:rPr>
          <w:rFonts w:ascii="Calibri" w:cs="Calibri" w:eastAsia="Calibri" w:hAnsi="Calibri"/>
          <w:sz w:val="11"/>
          <w:szCs w:val="11"/>
          <w:color w:val="auto"/>
        </w:rPr>
      </w:pPr>
    </w:p>
    <w:p>
      <w:pPr>
        <w:ind w:left="640" w:right="939" w:firstLine="507"/>
        <w:spacing w:after="0" w:line="250" w:lineRule="auto"/>
        <w:tabs>
          <w:tab w:leader="none" w:pos="1312" w:val="left"/>
        </w:tabs>
        <w:numPr>
          <w:ilvl w:val="0"/>
          <w:numId w:val="66"/>
        </w:numPr>
        <w:rPr>
          <w:rFonts w:ascii="Calibri" w:cs="Calibri" w:eastAsia="Calibri" w:hAnsi="Calibri"/>
          <w:sz w:val="11"/>
          <w:szCs w:val="11"/>
          <w:color w:val="auto"/>
        </w:rPr>
      </w:pPr>
      <w:r>
        <w:rPr>
          <w:rFonts w:ascii="Calibri" w:cs="Calibri" w:eastAsia="Calibri" w:hAnsi="Calibri"/>
          <w:sz w:val="11"/>
          <w:szCs w:val="11"/>
          <w:color w:val="auto"/>
        </w:rPr>
        <w:t>In the event of any Default or Breach by Lessee, Lessor may proceed directly against Lessee, any Guarantors or anyone else responsible for the performance of Lessee's obligatons under this Lease, including any assignee or sublessee, without first exhaustng Lessor's remedies against any other person or entty responsible therefor to Lessor, or any security held by Lessor.</w:t>
      </w:r>
    </w:p>
    <w:p>
      <w:pPr>
        <w:ind w:left="640" w:right="699" w:firstLine="507"/>
        <w:spacing w:after="0" w:line="250" w:lineRule="auto"/>
        <w:tabs>
          <w:tab w:leader="none" w:pos="1309" w:val="left"/>
        </w:tabs>
        <w:numPr>
          <w:ilvl w:val="0"/>
          <w:numId w:val="66"/>
        </w:numPr>
        <w:rPr>
          <w:rFonts w:ascii="Calibri" w:cs="Calibri" w:eastAsia="Calibri" w:hAnsi="Calibri"/>
          <w:sz w:val="11"/>
          <w:szCs w:val="11"/>
          <w:color w:val="auto"/>
        </w:rPr>
      </w:pPr>
      <w:r>
        <w:rPr>
          <w:rFonts w:ascii="Calibri" w:cs="Calibri" w:eastAsia="Calibri" w:hAnsi="Calibri"/>
          <w:sz w:val="11"/>
          <w:szCs w:val="11"/>
          <w:color w:val="auto"/>
        </w:rPr>
        <w:t>Each request for consent to an assignment or subletng shall be in writng, accompanied by informaton relevant to Lessor's determinaton as to the financial and operatonal responsibility and appropriateness of the proposed assignee or sublessee, including but not limited to the intended use and/or required modificaton of the Premises, if any, together with a fee of $500 as consideraton for Lessor's considering and processing said request. Lessee agrees to provide Lessor with such other or additonal informaton and/or documentaton as may be reasonably requested. (See also Paragraph 36)</w:t>
      </w:r>
    </w:p>
    <w:p>
      <w:pPr>
        <w:ind w:left="640" w:right="679" w:firstLine="507"/>
        <w:spacing w:after="0" w:line="250" w:lineRule="auto"/>
        <w:tabs>
          <w:tab w:leader="none" w:pos="1289" w:val="left"/>
        </w:tabs>
        <w:numPr>
          <w:ilvl w:val="0"/>
          <w:numId w:val="66"/>
        </w:numPr>
        <w:rPr>
          <w:rFonts w:ascii="Calibri" w:cs="Calibri" w:eastAsia="Calibri" w:hAnsi="Calibri"/>
          <w:sz w:val="11"/>
          <w:szCs w:val="11"/>
          <w:color w:val="auto"/>
        </w:rPr>
      </w:pPr>
      <w:r>
        <w:rPr>
          <w:rFonts w:ascii="Calibri" w:cs="Calibri" w:eastAsia="Calibri" w:hAnsi="Calibri"/>
          <w:sz w:val="11"/>
          <w:szCs w:val="11"/>
          <w:color w:val="auto"/>
        </w:rPr>
        <w:t>Any assignee of, or sublessee under, this Lease shall, by reason of acceptng such assignment, entering into such sublease, or entering into possession of the Premises or any porton thereof, be deemed to have assumed and agreed to conform and comply with each and every term, covenant, conditon and obligaton herein to be observed or performed by Lessee during the term of said assignment or sublease, other than such obligatons as are contrary to or inconsistent with provisions of an assignment or sublease to which Lessor has specifically consented to in writng.</w:t>
      </w:r>
    </w:p>
    <w:p>
      <w:pPr>
        <w:ind w:left="640" w:right="779" w:firstLine="507"/>
        <w:spacing w:after="0" w:line="253" w:lineRule="auto"/>
        <w:tabs>
          <w:tab w:leader="none" w:pos="1306" w:val="left"/>
        </w:tabs>
        <w:numPr>
          <w:ilvl w:val="0"/>
          <w:numId w:val="66"/>
        </w:numPr>
        <w:rPr>
          <w:rFonts w:ascii="Calibri" w:cs="Calibri" w:eastAsia="Calibri" w:hAnsi="Calibri"/>
          <w:sz w:val="11"/>
          <w:szCs w:val="11"/>
          <w:color w:val="auto"/>
        </w:rPr>
      </w:pPr>
      <w:r>
        <w:rPr>
          <w:rFonts w:ascii="Calibri" w:cs="Calibri" w:eastAsia="Calibri" w:hAnsi="Calibri"/>
          <w:sz w:val="11"/>
          <w:szCs w:val="11"/>
          <w:color w:val="auto"/>
        </w:rPr>
        <w:t>Lessor's consent to any assignment or subletng shall not transfer to the assignee or sublessee any Opton granted to the original Lessee by this Lease unless such transfer is specifically consented to by Lessor in writng. (See Paragraph 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39370</wp:posOffset>
            </wp:positionV>
            <wp:extent cx="574040" cy="2940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39370</wp:posOffset>
            </wp:positionV>
            <wp:extent cx="382905" cy="2940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300"/>
              <w:spacing w:after="0"/>
              <w:rPr>
                <w:sz w:val="20"/>
                <w:szCs w:val="20"/>
                <w:color w:val="auto"/>
              </w:rPr>
            </w:pPr>
            <w:r>
              <w:rPr>
                <w:rFonts w:ascii="Calibri" w:cs="Calibri" w:eastAsia="Calibri" w:hAnsi="Calibri"/>
                <w:sz w:val="13"/>
                <w:szCs w:val="13"/>
                <w:color w:val="auto"/>
                <w:w w:val="98"/>
              </w:rPr>
              <w:t>Page 9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07" w:name="page108"/>
    <w:bookmarkEnd w:id="107"/>
    <w:p>
      <w:pPr>
        <w:ind w:left="640" w:right="799" w:firstLine="258"/>
        <w:spacing w:after="0" w:line="250" w:lineRule="auto"/>
        <w:rPr>
          <w:sz w:val="20"/>
          <w:szCs w:val="20"/>
          <w:color w:val="auto"/>
        </w:rPr>
      </w:pPr>
      <w:r>
        <w:rPr>
          <w:rFonts w:ascii="Calibri" w:cs="Calibri" w:eastAsia="Calibri" w:hAnsi="Calibri"/>
          <w:sz w:val="11"/>
          <w:szCs w:val="11"/>
          <w:color w:val="auto"/>
        </w:rPr>
        <w:t xml:space="preserve">12.3 </w:t>
      </w:r>
      <w:r>
        <w:rPr>
          <w:rFonts w:ascii="Calibri" w:cs="Calibri" w:eastAsia="Calibri" w:hAnsi="Calibri"/>
          <w:sz w:val="11"/>
          <w:szCs w:val="11"/>
          <w:b w:val="1"/>
          <w:bCs w:val="1"/>
          <w:color w:val="auto"/>
        </w:rPr>
        <w:t>Additonal Terms and Conditons Applicable to Subletng</w:t>
      </w:r>
      <w:r>
        <w:rPr>
          <w:rFonts w:ascii="Calibri" w:cs="Calibri" w:eastAsia="Calibri" w:hAnsi="Calibri"/>
          <w:sz w:val="11"/>
          <w:szCs w:val="11"/>
          <w:color w:val="auto"/>
        </w:rPr>
        <w:t>. The following terms and conditons shall apply to any subletng by Lessee of all or any part of the Premises and shall be deemed included in all subleases under this Lease whether or not expressly incorporated therein:</w:t>
      </w:r>
    </w:p>
    <w:p>
      <w:pPr>
        <w:ind w:left="640" w:right="639" w:firstLine="507"/>
        <w:spacing w:after="0" w:line="250" w:lineRule="auto"/>
        <w:tabs>
          <w:tab w:leader="none" w:pos="1307" w:val="left"/>
        </w:tabs>
        <w:numPr>
          <w:ilvl w:val="1"/>
          <w:numId w:val="67"/>
        </w:numPr>
        <w:rPr>
          <w:rFonts w:ascii="Calibri" w:cs="Calibri" w:eastAsia="Calibri" w:hAnsi="Calibri"/>
          <w:sz w:val="11"/>
          <w:szCs w:val="11"/>
          <w:color w:val="auto"/>
        </w:rPr>
      </w:pPr>
      <w:r>
        <w:rPr>
          <w:rFonts w:ascii="Calibri" w:cs="Calibri" w:eastAsia="Calibri" w:hAnsi="Calibri"/>
          <w:sz w:val="11"/>
          <w:szCs w:val="11"/>
          <w:color w:val="auto"/>
        </w:rPr>
        <w:t>Lessee hereby assigns and transfers to Lessor all of Lessee's interest in all Rent payable on any sublease, and Lessor may collect such Rent and apply same toward Lessee's obligatons under this Lease; provided, however, that untl a Breach shall occur in the performance of Lessee's obligatons, Lessee may collect said Rent. In the event that the amount collected by Lessor exceeds Lessee's then outstanding obligatons any such excess shall be refunded to Lessee. Lessor shall not, by reason of the foregoing or any assignment of such sublease, nor by reason of the collecton of Rent, be deemed liable to the sublessee for any failure of Lessee to perform and comply with any of Lessee's obligatons to such sublessee. Lessee hereby irrevocably authorizes and directs any such sublessee, upon receipt of a writen notce from Lessor statng that a Breach exists in the performance of Lessee's obligatons under this Lease, to pay to Lessor all Rent due and to become due under the sublease. Sublessee shall rely upon any such notce from Lessor and shall pay all Rents to Lessor without any obligaton or right to inquire as to whether such Breach exists, notwithstanding any claim from Lessee to the contrary.</w:t>
      </w:r>
    </w:p>
    <w:p>
      <w:pPr>
        <w:ind w:left="640" w:right="699" w:firstLine="507"/>
        <w:spacing w:after="0" w:line="250" w:lineRule="auto"/>
        <w:tabs>
          <w:tab w:leader="none" w:pos="1312" w:val="left"/>
        </w:tabs>
        <w:numPr>
          <w:ilvl w:val="1"/>
          <w:numId w:val="67"/>
        </w:numPr>
        <w:rPr>
          <w:rFonts w:ascii="Calibri" w:cs="Calibri" w:eastAsia="Calibri" w:hAnsi="Calibri"/>
          <w:sz w:val="11"/>
          <w:szCs w:val="11"/>
          <w:color w:val="auto"/>
        </w:rPr>
      </w:pPr>
      <w:r>
        <w:rPr>
          <w:rFonts w:ascii="Calibri" w:cs="Calibri" w:eastAsia="Calibri" w:hAnsi="Calibri"/>
          <w:sz w:val="11"/>
          <w:szCs w:val="11"/>
          <w:color w:val="auto"/>
        </w:rPr>
        <w:t>In the event of a Breach by Lessee, Lessor may, at its opton, require sublessee to atorn to Lessor, in which event Lessor shall undertake the obligatons of the sublessor under such sublease from the tme of the exercise of said opton to the expiraton of such sublease; provided, however, Lessor shall not be liable for any prepaid rents or security deposit paid by such sublessee to such sublessor or for any prior Defaults or Breaches of such sublessor.</w:t>
      </w:r>
    </w:p>
    <w:p>
      <w:pPr>
        <w:ind w:left="1300" w:hanging="153"/>
        <w:spacing w:after="0"/>
        <w:tabs>
          <w:tab w:leader="none" w:pos="1300" w:val="left"/>
        </w:tabs>
        <w:numPr>
          <w:ilvl w:val="1"/>
          <w:numId w:val="67"/>
        </w:numPr>
        <w:rPr>
          <w:rFonts w:ascii="Calibri" w:cs="Calibri" w:eastAsia="Calibri" w:hAnsi="Calibri"/>
          <w:sz w:val="11"/>
          <w:szCs w:val="11"/>
          <w:color w:val="auto"/>
        </w:rPr>
      </w:pPr>
      <w:r>
        <w:rPr>
          <w:rFonts w:ascii="Calibri" w:cs="Calibri" w:eastAsia="Calibri" w:hAnsi="Calibri"/>
          <w:sz w:val="11"/>
          <w:szCs w:val="11"/>
          <w:color w:val="auto"/>
        </w:rPr>
        <w:t>Any mater requiring the consent of the sublessor under a sublease shall also require the consent of Lessor.</w:t>
      </w:r>
    </w:p>
    <w:p>
      <w:pPr>
        <w:spacing w:after="0" w:line="5" w:lineRule="exact"/>
        <w:rPr>
          <w:rFonts w:ascii="Calibri" w:cs="Calibri" w:eastAsia="Calibri" w:hAnsi="Calibri"/>
          <w:sz w:val="11"/>
          <w:szCs w:val="11"/>
          <w:color w:val="auto"/>
        </w:rPr>
      </w:pPr>
    </w:p>
    <w:p>
      <w:pPr>
        <w:ind w:left="1300" w:hanging="153"/>
        <w:spacing w:after="0"/>
        <w:tabs>
          <w:tab w:leader="none" w:pos="1300" w:val="left"/>
        </w:tabs>
        <w:numPr>
          <w:ilvl w:val="1"/>
          <w:numId w:val="67"/>
        </w:numPr>
        <w:rPr>
          <w:rFonts w:ascii="Calibri" w:cs="Calibri" w:eastAsia="Calibri" w:hAnsi="Calibri"/>
          <w:sz w:val="11"/>
          <w:szCs w:val="11"/>
          <w:color w:val="auto"/>
        </w:rPr>
      </w:pPr>
      <w:r>
        <w:rPr>
          <w:rFonts w:ascii="Calibri" w:cs="Calibri" w:eastAsia="Calibri" w:hAnsi="Calibri"/>
          <w:sz w:val="11"/>
          <w:szCs w:val="11"/>
          <w:color w:val="auto"/>
        </w:rPr>
        <w:t>No sublessee shall further assign or sublet all or any part of the Premises without Lessor's prior writen consent.</w:t>
      </w:r>
    </w:p>
    <w:p>
      <w:pPr>
        <w:spacing w:after="0" w:line="5" w:lineRule="exact"/>
        <w:rPr>
          <w:rFonts w:ascii="Calibri" w:cs="Calibri" w:eastAsia="Calibri" w:hAnsi="Calibri"/>
          <w:sz w:val="11"/>
          <w:szCs w:val="11"/>
          <w:color w:val="auto"/>
        </w:rPr>
      </w:pPr>
    </w:p>
    <w:p>
      <w:pPr>
        <w:jc w:val="both"/>
        <w:ind w:left="640" w:right="639" w:firstLine="507"/>
        <w:spacing w:after="0" w:line="255" w:lineRule="auto"/>
        <w:tabs>
          <w:tab w:leader="none" w:pos="1309" w:val="left"/>
        </w:tabs>
        <w:numPr>
          <w:ilvl w:val="1"/>
          <w:numId w:val="67"/>
        </w:numPr>
        <w:rPr>
          <w:rFonts w:ascii="Calibri" w:cs="Calibri" w:eastAsia="Calibri" w:hAnsi="Calibri"/>
          <w:sz w:val="11"/>
          <w:szCs w:val="11"/>
          <w:color w:val="auto"/>
        </w:rPr>
      </w:pPr>
      <w:r>
        <w:rPr>
          <w:rFonts w:ascii="Calibri" w:cs="Calibri" w:eastAsia="Calibri" w:hAnsi="Calibri"/>
          <w:sz w:val="11"/>
          <w:szCs w:val="11"/>
          <w:color w:val="auto"/>
        </w:rPr>
        <w:t>Lessor shall deliver a copy of any notce of Default or Breach by Lessee to the sublessee, who shall have the right to cure the Default of Lessee within the grace period, if any, specified in such notce. The sublessee shall have a right of reimbursement and oﬀset from and against Lessee for any such Defaults cured by the sublessee.</w:t>
      </w:r>
    </w:p>
    <w:p>
      <w:pPr>
        <w:spacing w:after="0" w:line="220" w:lineRule="exact"/>
        <w:rPr>
          <w:rFonts w:ascii="Calibri" w:cs="Calibri" w:eastAsia="Calibri" w:hAnsi="Calibri"/>
          <w:sz w:val="11"/>
          <w:szCs w:val="11"/>
          <w:color w:val="auto"/>
        </w:rPr>
      </w:pPr>
    </w:p>
    <w:p>
      <w:pPr>
        <w:ind w:left="800" w:hanging="169"/>
        <w:spacing w:after="0"/>
        <w:tabs>
          <w:tab w:leader="none" w:pos="800" w:val="left"/>
        </w:tabs>
        <w:numPr>
          <w:ilvl w:val="0"/>
          <w:numId w:val="68"/>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Default; Breach; Remedies.</w:t>
      </w:r>
    </w:p>
    <w:p>
      <w:pPr>
        <w:spacing w:after="0" w:line="6" w:lineRule="exact"/>
        <w:rPr>
          <w:sz w:val="20"/>
          <w:szCs w:val="20"/>
          <w:color w:val="auto"/>
        </w:rPr>
      </w:pPr>
    </w:p>
    <w:p>
      <w:pPr>
        <w:ind w:left="640" w:right="799" w:firstLine="258"/>
        <w:spacing w:after="0" w:line="250" w:lineRule="auto"/>
        <w:rPr>
          <w:sz w:val="20"/>
          <w:szCs w:val="20"/>
          <w:color w:val="auto"/>
        </w:rPr>
      </w:pPr>
      <w:r>
        <w:rPr>
          <w:rFonts w:ascii="Calibri" w:cs="Calibri" w:eastAsia="Calibri" w:hAnsi="Calibri"/>
          <w:sz w:val="11"/>
          <w:szCs w:val="11"/>
          <w:color w:val="auto"/>
        </w:rPr>
        <w:t xml:space="preserve">13.1 </w:t>
      </w:r>
      <w:r>
        <w:rPr>
          <w:rFonts w:ascii="Calibri" w:cs="Calibri" w:eastAsia="Calibri" w:hAnsi="Calibri"/>
          <w:sz w:val="11"/>
          <w:szCs w:val="11"/>
          <w:b w:val="1"/>
          <w:bCs w:val="1"/>
          <w:color w:val="auto"/>
        </w:rPr>
        <w:t>Default; Breach</w:t>
      </w:r>
      <w:r>
        <w:rPr>
          <w:rFonts w:ascii="Calibri" w:cs="Calibri" w:eastAsia="Calibri" w:hAnsi="Calibri"/>
          <w:sz w:val="11"/>
          <w:szCs w:val="11"/>
          <w:color w:val="auto"/>
        </w:rPr>
        <w:t>. A "</w:t>
      </w:r>
      <w:r>
        <w:rPr>
          <w:rFonts w:ascii="Calibri" w:cs="Calibri" w:eastAsia="Calibri" w:hAnsi="Calibri"/>
          <w:sz w:val="11"/>
          <w:szCs w:val="11"/>
          <w:b w:val="1"/>
          <w:bCs w:val="1"/>
          <w:color w:val="auto"/>
        </w:rPr>
        <w:t>Default</w:t>
      </w:r>
      <w:r>
        <w:rPr>
          <w:rFonts w:ascii="Calibri" w:cs="Calibri" w:eastAsia="Calibri" w:hAnsi="Calibri"/>
          <w:sz w:val="11"/>
          <w:szCs w:val="11"/>
          <w:color w:val="auto"/>
        </w:rPr>
        <w:t>" is defined as a failure by the Lessee to comply with or perform any of the terms, covenants, conditons or Rules and Regulatons under this Lease. A "</w:t>
      </w:r>
      <w:r>
        <w:rPr>
          <w:rFonts w:ascii="Calibri" w:cs="Calibri" w:eastAsia="Calibri" w:hAnsi="Calibri"/>
          <w:sz w:val="11"/>
          <w:szCs w:val="11"/>
          <w:b w:val="1"/>
          <w:bCs w:val="1"/>
          <w:color w:val="auto"/>
        </w:rPr>
        <w:t>Breach</w:t>
      </w:r>
      <w:r>
        <w:rPr>
          <w:rFonts w:ascii="Calibri" w:cs="Calibri" w:eastAsia="Calibri" w:hAnsi="Calibri"/>
          <w:sz w:val="11"/>
          <w:szCs w:val="11"/>
          <w:color w:val="auto"/>
        </w:rPr>
        <w:t>" is defined as the occurrence of one or more of the following Defaults, and the failure of Lessee to cure such Default within any applicable grace period:</w:t>
      </w:r>
    </w:p>
    <w:p>
      <w:pPr>
        <w:ind w:left="640" w:right="739" w:firstLine="507"/>
        <w:spacing w:after="0" w:line="250" w:lineRule="auto"/>
        <w:tabs>
          <w:tab w:leader="none" w:pos="1307" w:val="left"/>
        </w:tabs>
        <w:numPr>
          <w:ilvl w:val="0"/>
          <w:numId w:val="69"/>
        </w:numPr>
        <w:rPr>
          <w:rFonts w:ascii="Calibri" w:cs="Calibri" w:eastAsia="Calibri" w:hAnsi="Calibri"/>
          <w:sz w:val="11"/>
          <w:szCs w:val="11"/>
          <w:color w:val="auto"/>
        </w:rPr>
      </w:pPr>
      <w:r>
        <w:rPr>
          <w:rFonts w:ascii="Calibri" w:cs="Calibri" w:eastAsia="Calibri" w:hAnsi="Calibri"/>
          <w:sz w:val="11"/>
          <w:szCs w:val="11"/>
          <w:color w:val="auto"/>
        </w:rPr>
        <w:t>The abandonment of the Premises; the vacatng of the Premises prior to the expiraton or terminaton of this Lease without providing a commercially reasonable level of security, or where the coverage of the property insurance described in Paragraph 8.3 is jeopardized as a result thereof, or without providing reasonable assurances to minimize potental vandalism; or failure to deliver to Lessor exclusive possession of the entre Premises in accordance herewith prior to the expiraton or terminaton of this Lease.</w:t>
      </w:r>
    </w:p>
    <w:p>
      <w:pPr>
        <w:ind w:left="640" w:right="639" w:firstLine="507"/>
        <w:spacing w:after="0" w:line="250" w:lineRule="auto"/>
        <w:tabs>
          <w:tab w:leader="none" w:pos="1312" w:val="left"/>
        </w:tabs>
        <w:numPr>
          <w:ilvl w:val="0"/>
          <w:numId w:val="69"/>
        </w:numPr>
        <w:rPr>
          <w:rFonts w:ascii="Calibri" w:cs="Calibri" w:eastAsia="Calibri" w:hAnsi="Calibri"/>
          <w:sz w:val="11"/>
          <w:szCs w:val="11"/>
          <w:color w:val="auto"/>
        </w:rPr>
      </w:pPr>
      <w:r>
        <w:rPr>
          <w:rFonts w:ascii="Calibri" w:cs="Calibri" w:eastAsia="Calibri" w:hAnsi="Calibri"/>
          <w:sz w:val="11"/>
          <w:szCs w:val="11"/>
          <w:color w:val="auto"/>
        </w:rPr>
        <w:t>The failure of Lessee to make any payment of Rent or any Security Deposit required to be made by Lessee hereunder, whether to Lessor or to a third party, when due, to provide reasonable evidence of insurance or surety bond, or to fulfill any obligaton under this Lease which endangers or threatens life or property, where such failure contnues for a period of 3 business days following writen notce to Lessee. THE ACCEPTANCE BY LESSOR OF A PARTIAL PAYMENT OF RENT OR SECURITY DEPOSIT SHALL NOT CONSTITUTE A WAIVER OF ANY OF LESSOR'S RIGHTS, INCLUDING LESSOR'S RIGHT TO RECOVER POSSESSION OF THE PREMISES.</w:t>
      </w:r>
    </w:p>
    <w:p>
      <w:pPr>
        <w:jc w:val="both"/>
        <w:ind w:left="1140" w:right="959" w:firstLine="7"/>
        <w:spacing w:after="0" w:line="250" w:lineRule="auto"/>
        <w:tabs>
          <w:tab w:leader="none" w:pos="1284" w:val="left"/>
        </w:tabs>
        <w:numPr>
          <w:ilvl w:val="0"/>
          <w:numId w:val="69"/>
        </w:numPr>
        <w:rPr>
          <w:rFonts w:ascii="Calibri" w:cs="Calibri" w:eastAsia="Calibri" w:hAnsi="Calibri"/>
          <w:sz w:val="11"/>
          <w:szCs w:val="11"/>
          <w:color w:val="auto"/>
        </w:rPr>
      </w:pPr>
      <w:r>
        <w:rPr>
          <w:rFonts w:ascii="Calibri" w:cs="Calibri" w:eastAsia="Calibri" w:hAnsi="Calibri"/>
          <w:sz w:val="11"/>
          <w:szCs w:val="11"/>
          <w:color w:val="auto"/>
        </w:rPr>
        <w:t>The failure of Lessee to allow Lessor and/or its agents access to the Premises or the commission of waste, act or acts consttutng public or private nuisance, and/or an illegal actvity on the Premises by Lessee, where such actons contnue for a period of 3 business days following writen notce to</w:t>
      </w:r>
    </w:p>
    <w:p>
      <w:pPr>
        <w:ind w:left="640" w:right="979"/>
        <w:spacing w:after="0" w:line="250" w:lineRule="auto"/>
        <w:rPr>
          <w:sz w:val="20"/>
          <w:szCs w:val="20"/>
          <w:color w:val="auto"/>
        </w:rPr>
      </w:pPr>
      <w:r>
        <w:rPr>
          <w:rFonts w:ascii="Calibri" w:cs="Calibri" w:eastAsia="Calibri" w:hAnsi="Calibri"/>
          <w:sz w:val="11"/>
          <w:szCs w:val="11"/>
          <w:color w:val="auto"/>
        </w:rPr>
        <w:t>Lessee. In the event that Lessee commits waste, a nuisance or an illegal actvity a second tme then, the Lessor may elect to treat such conduct as a non-curable Breach rather than a Default.</w:t>
      </w:r>
    </w:p>
    <w:p>
      <w:pPr>
        <w:ind w:left="640" w:right="639" w:firstLine="507"/>
        <w:spacing w:after="0" w:line="250" w:lineRule="auto"/>
        <w:tabs>
          <w:tab w:leader="none" w:pos="1312" w:val="left"/>
        </w:tabs>
        <w:numPr>
          <w:ilvl w:val="0"/>
          <w:numId w:val="70"/>
        </w:numPr>
        <w:rPr>
          <w:rFonts w:ascii="Calibri" w:cs="Calibri" w:eastAsia="Calibri" w:hAnsi="Calibri"/>
          <w:sz w:val="11"/>
          <w:szCs w:val="11"/>
          <w:color w:val="auto"/>
        </w:rPr>
      </w:pPr>
      <w:r>
        <w:rPr>
          <w:rFonts w:ascii="Calibri" w:cs="Calibri" w:eastAsia="Calibri" w:hAnsi="Calibri"/>
          <w:sz w:val="11"/>
          <w:szCs w:val="11"/>
          <w:color w:val="auto"/>
        </w:rPr>
        <w:t>The failure by Lessee to provide (i) reasonable writen evidence of compliance with Applicable Requirements, (ii) the service contracts, (iii) the rescission of an unauthorized assignment or subletng, (iv) an Estoppel Certficate or financial statements, (v) a requested subordinaton, (vi) evidence concerning any guaranty and/or Guarantor, (vii) any document requested under Paragraph 42, (viii) material safety data sheets (MSDS), or (ix) any other documentaton or informaton which Lessor may reasonably require of Lessee under the terms of this Lease, where any such failure contnues for a period of 10 days following writen notce to Lessee.</w:t>
      </w:r>
    </w:p>
    <w:p>
      <w:pPr>
        <w:jc w:val="both"/>
        <w:ind w:left="640" w:right="819" w:firstLine="507"/>
        <w:spacing w:after="0" w:line="250" w:lineRule="auto"/>
        <w:tabs>
          <w:tab w:leader="none" w:pos="1309" w:val="left"/>
        </w:tabs>
        <w:numPr>
          <w:ilvl w:val="0"/>
          <w:numId w:val="70"/>
        </w:numPr>
        <w:rPr>
          <w:rFonts w:ascii="Calibri" w:cs="Calibri" w:eastAsia="Calibri" w:hAnsi="Calibri"/>
          <w:sz w:val="11"/>
          <w:szCs w:val="11"/>
          <w:color w:val="auto"/>
        </w:rPr>
      </w:pPr>
      <w:r>
        <w:rPr>
          <w:rFonts w:ascii="Calibri" w:cs="Calibri" w:eastAsia="Calibri" w:hAnsi="Calibri"/>
          <w:sz w:val="11"/>
          <w:szCs w:val="11"/>
          <w:color w:val="auto"/>
        </w:rPr>
        <w:t>A Default by Lessee as to the terms, covenants, conditons or provisions of this Lease, or of the rules adopted under Paragraph 40 hereof, other than those described in subparagraphs 13.1(a), (b), (c) or (d), above, where such Default contnues for a period of 30 days afer writen notce; provided, however, that if the nature of Lessee's Default is such that more than 30 days are reasonably required for its cure, then it shall not be deemed to be a Breach if Lessee commences such cure within said 30 day period and thereafer diligently prosecutes such cure to completon.</w:t>
      </w:r>
    </w:p>
    <w:p>
      <w:pPr>
        <w:ind w:left="1280" w:hanging="133"/>
        <w:spacing w:after="0"/>
        <w:tabs>
          <w:tab w:leader="none" w:pos="1280" w:val="left"/>
        </w:tabs>
        <w:numPr>
          <w:ilvl w:val="0"/>
          <w:numId w:val="70"/>
        </w:numPr>
        <w:rPr>
          <w:rFonts w:ascii="Calibri" w:cs="Calibri" w:eastAsia="Calibri" w:hAnsi="Calibri"/>
          <w:sz w:val="11"/>
          <w:szCs w:val="11"/>
          <w:color w:val="auto"/>
        </w:rPr>
      </w:pPr>
      <w:r>
        <w:rPr>
          <w:rFonts w:ascii="Calibri" w:cs="Calibri" w:eastAsia="Calibri" w:hAnsi="Calibri"/>
          <w:sz w:val="11"/>
          <w:szCs w:val="11"/>
          <w:color w:val="auto"/>
        </w:rPr>
        <w:t>The occurrence of any of the following events: (i) the making of any general arrangement or assignment for the benefit of creditors; (ii) becoming a</w:t>
      </w:r>
    </w:p>
    <w:p>
      <w:pPr>
        <w:spacing w:after="0" w:line="6" w:lineRule="exact"/>
        <w:rPr>
          <w:sz w:val="20"/>
          <w:szCs w:val="20"/>
          <w:color w:val="auto"/>
        </w:rPr>
      </w:pPr>
    </w:p>
    <w:p>
      <w:pPr>
        <w:ind w:left="640" w:right="699"/>
        <w:spacing w:after="0" w:line="250" w:lineRule="auto"/>
        <w:rPr>
          <w:sz w:val="20"/>
          <w:szCs w:val="20"/>
          <w:color w:val="auto"/>
        </w:rPr>
      </w:pPr>
      <w:r>
        <w:rPr>
          <w:rFonts w:ascii="Calibri" w:cs="Calibri" w:eastAsia="Calibri" w:hAnsi="Calibri"/>
          <w:sz w:val="11"/>
          <w:szCs w:val="11"/>
          <w:color w:val="auto"/>
        </w:rPr>
        <w:t>"</w:t>
      </w:r>
      <w:r>
        <w:rPr>
          <w:rFonts w:ascii="Calibri" w:cs="Calibri" w:eastAsia="Calibri" w:hAnsi="Calibri"/>
          <w:sz w:val="11"/>
          <w:szCs w:val="11"/>
          <w:b w:val="1"/>
          <w:bCs w:val="1"/>
          <w:color w:val="auto"/>
        </w:rPr>
        <w:t>debtor</w:t>
      </w:r>
      <w:r>
        <w:rPr>
          <w:rFonts w:ascii="Calibri" w:cs="Calibri" w:eastAsia="Calibri" w:hAnsi="Calibri"/>
          <w:sz w:val="11"/>
          <w:szCs w:val="11"/>
          <w:color w:val="auto"/>
        </w:rPr>
        <w:t>" as defined in 11 U.S.C. § 101 or any successor statute thereto (unless, in the case of a petton filed against Lessee, the same is dismissed within 60 days); (iii) the appointment of a trustee or receiver to take possession of substantally all of Lessee's assets located at the Premises or of Lessee's interest in this Lease, where possession is not restored to Lessee within 30 days; or (iv) the atachment, executon or other judicial seizure of substantally all of Lessee's assets located at the Premises or of Lessee's interest in this Lease, where such seizure is not discharged within 30 days; provided, however, in the event that any provision of this subparagraph is contrary to any applicable law, such provision shall be of no force or eﬀect, and not aﬀect the validity of the remaining provisions.</w:t>
      </w:r>
    </w:p>
    <w:p>
      <w:pPr>
        <w:ind w:left="1300" w:hanging="153"/>
        <w:spacing w:after="0"/>
        <w:tabs>
          <w:tab w:leader="none" w:pos="1300" w:val="left"/>
        </w:tabs>
        <w:numPr>
          <w:ilvl w:val="0"/>
          <w:numId w:val="71"/>
        </w:numPr>
        <w:rPr>
          <w:rFonts w:ascii="Calibri" w:cs="Calibri" w:eastAsia="Calibri" w:hAnsi="Calibri"/>
          <w:sz w:val="11"/>
          <w:szCs w:val="11"/>
          <w:color w:val="auto"/>
        </w:rPr>
      </w:pPr>
      <w:r>
        <w:rPr>
          <w:rFonts w:ascii="Calibri" w:cs="Calibri" w:eastAsia="Calibri" w:hAnsi="Calibri"/>
          <w:sz w:val="11"/>
          <w:szCs w:val="11"/>
          <w:color w:val="auto"/>
        </w:rPr>
        <w:t>The discovery that any financial statement of Lessee or of any Guarantor given to Lessor was materially false.</w:t>
      </w:r>
    </w:p>
    <w:p>
      <w:pPr>
        <w:spacing w:after="0" w:line="5" w:lineRule="exact"/>
        <w:rPr>
          <w:rFonts w:ascii="Calibri" w:cs="Calibri" w:eastAsia="Calibri" w:hAnsi="Calibri"/>
          <w:sz w:val="11"/>
          <w:szCs w:val="11"/>
          <w:color w:val="auto"/>
        </w:rPr>
      </w:pPr>
    </w:p>
    <w:p>
      <w:pPr>
        <w:ind w:left="640" w:right="699" w:firstLine="507"/>
        <w:spacing w:after="0" w:line="250" w:lineRule="auto"/>
        <w:tabs>
          <w:tab w:leader="none" w:pos="1312" w:val="left"/>
        </w:tabs>
        <w:numPr>
          <w:ilvl w:val="0"/>
          <w:numId w:val="71"/>
        </w:numPr>
        <w:rPr>
          <w:rFonts w:ascii="Calibri" w:cs="Calibri" w:eastAsia="Calibri" w:hAnsi="Calibri"/>
          <w:sz w:val="11"/>
          <w:szCs w:val="11"/>
          <w:color w:val="auto"/>
        </w:rPr>
      </w:pPr>
      <w:r>
        <w:rPr>
          <w:rFonts w:ascii="Calibri" w:cs="Calibri" w:eastAsia="Calibri" w:hAnsi="Calibri"/>
          <w:sz w:val="11"/>
          <w:szCs w:val="11"/>
          <w:color w:val="auto"/>
        </w:rPr>
        <w:t>If the performance of Lessee's obligatons under this Lease is guaranteed: (i) the death of a Guarantor, (ii) the terminaton of a Guarantor's liability with respect to this Lease other than in accordance with the terms of such guaranty, (iii) a Guarantor's becoming insolvent or the subject of a bankruptcy filing, (iv) a Guarantor's refusal to honor the guaranty, or (v) a Guarantor's breach of its guaranty obligaton on an antcipatory basis, and Lessee's failure, within 60 days following writen notce of any such event, to provide writen alternatve assurance or security, which, when coupled with the then existng resources of Lessee, equals or exceeds the combined financial resources of Lessee and the Guarantors that existed at the tme of executon of this Lease.</w:t>
      </w:r>
    </w:p>
    <w:p>
      <w:pPr>
        <w:ind w:left="640" w:right="659" w:firstLine="258"/>
        <w:spacing w:after="0" w:line="250" w:lineRule="auto"/>
        <w:rPr>
          <w:rFonts w:ascii="Calibri" w:cs="Calibri" w:eastAsia="Calibri" w:hAnsi="Calibri"/>
          <w:sz w:val="11"/>
          <w:szCs w:val="11"/>
          <w:color w:val="auto"/>
        </w:rPr>
      </w:pPr>
      <w:r>
        <w:rPr>
          <w:rFonts w:ascii="Calibri" w:cs="Calibri" w:eastAsia="Calibri" w:hAnsi="Calibri"/>
          <w:sz w:val="11"/>
          <w:szCs w:val="11"/>
          <w:color w:val="auto"/>
        </w:rPr>
        <w:t xml:space="preserve">13.2 </w:t>
      </w:r>
      <w:r>
        <w:rPr>
          <w:rFonts w:ascii="Calibri" w:cs="Calibri" w:eastAsia="Calibri" w:hAnsi="Calibri"/>
          <w:sz w:val="11"/>
          <w:szCs w:val="11"/>
          <w:b w:val="1"/>
          <w:bCs w:val="1"/>
          <w:color w:val="auto"/>
        </w:rPr>
        <w:t>Remedies</w:t>
      </w:r>
      <w:r>
        <w:rPr>
          <w:rFonts w:ascii="Calibri" w:cs="Calibri" w:eastAsia="Calibri" w:hAnsi="Calibri"/>
          <w:sz w:val="11"/>
          <w:szCs w:val="11"/>
          <w:color w:val="auto"/>
        </w:rPr>
        <w:t>. If Lessee fails to perform any of its aﬃrmatve dutes or obligatons, within 10 days afer writen notce (or in case of an emergency, without notce), Lessor may, at its opton, perform such duty or obligaton on Lessee's behalf, including but not limited to the obtaining of reasonably required bonds, insurance policies, or governmental licenses, permits or approvals. Lessee shall pay to Lessor an amount equal to 115% of the costs and expenses incurred by Lessor in such performance upon receipt of an invoice therefor. In the event of a Breach, Lessor may, with or without further notce or demand, and without limitng Lessor in the exercise of any right or remedy which Lessor may have by reason of such Breach:</w:t>
      </w:r>
    </w:p>
    <w:p>
      <w:pPr>
        <w:ind w:left="640" w:right="799" w:firstLine="507"/>
        <w:spacing w:after="0" w:line="253" w:lineRule="auto"/>
        <w:tabs>
          <w:tab w:leader="none" w:pos="1307" w:val="left"/>
        </w:tabs>
        <w:numPr>
          <w:ilvl w:val="0"/>
          <w:numId w:val="72"/>
        </w:numPr>
        <w:rPr>
          <w:rFonts w:ascii="Calibri" w:cs="Calibri" w:eastAsia="Calibri" w:hAnsi="Calibri"/>
          <w:sz w:val="11"/>
          <w:szCs w:val="11"/>
          <w:color w:val="auto"/>
        </w:rPr>
      </w:pPr>
      <w:r>
        <w:rPr>
          <w:rFonts w:ascii="Calibri" w:cs="Calibri" w:eastAsia="Calibri" w:hAnsi="Calibri"/>
          <w:sz w:val="11"/>
          <w:szCs w:val="11"/>
          <w:color w:val="auto"/>
        </w:rPr>
        <w:t>Terminate Lessee's right to possession of the Premises by any lawful means, in which case this Lease shall terminate and Lessee shall immediately surrender possession to Lessor. In such event Lessor shall be enttled to recover from Lessee: (i) the unpaid Rent which had been earned at the tme of terminaton;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39370</wp:posOffset>
            </wp:positionV>
            <wp:extent cx="574040" cy="2940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39370</wp:posOffset>
            </wp:positionV>
            <wp:extent cx="382905" cy="2940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240"/>
              <w:spacing w:after="0"/>
              <w:rPr>
                <w:sz w:val="20"/>
                <w:szCs w:val="20"/>
                <w:color w:val="auto"/>
              </w:rPr>
            </w:pPr>
            <w:r>
              <w:rPr>
                <w:rFonts w:ascii="Calibri" w:cs="Calibri" w:eastAsia="Calibri" w:hAnsi="Calibri"/>
                <w:sz w:val="13"/>
                <w:szCs w:val="13"/>
                <w:color w:val="auto"/>
                <w:w w:val="97"/>
              </w:rPr>
              <w:t>Page 10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08" w:name="page109"/>
    <w:bookmarkEnd w:id="108"/>
    <w:p>
      <w:pPr>
        <w:ind w:left="640" w:right="659" w:hanging="9"/>
        <w:spacing w:after="0" w:line="250" w:lineRule="auto"/>
        <w:tabs>
          <w:tab w:leader="none" w:pos="788" w:val="left"/>
        </w:tabs>
        <w:numPr>
          <w:ilvl w:val="0"/>
          <w:numId w:val="73"/>
        </w:numPr>
        <w:rPr>
          <w:rFonts w:ascii="Calibri" w:cs="Calibri" w:eastAsia="Calibri" w:hAnsi="Calibri"/>
          <w:sz w:val="11"/>
          <w:szCs w:val="11"/>
          <w:color w:val="auto"/>
        </w:rPr>
      </w:pPr>
      <w:r>
        <w:rPr>
          <w:rFonts w:ascii="Calibri" w:cs="Calibri" w:eastAsia="Calibri" w:hAnsi="Calibri"/>
          <w:sz w:val="11"/>
          <w:szCs w:val="11"/>
          <w:color w:val="auto"/>
        </w:rPr>
        <w:t>the worth at the tme of award of the amount by which the unpaid rent which would have been earned afer terminaton untl the tme of award exceeds the amount of such rental loss that the Lessee proves could have been reasonably avoided; (iii) the worth at the tme of award of the amount by which the unpaid rent for the balance of the term afer the tme of award exceeds the amount of such rental loss that the Lessee proves could be reasonably avoided; and (iv) any other amount necessary to compensate Lessor for all the detriment proximately caused by the Lessee's failure to perform its obligatons under this Lease or which in the ordinary course of things would be likely to result therefrom, including but not limited to the cost of recovering possession of the Premises, expenses of reletng, including necessary renovaton and alteraton of the Premises, reasonable atorneys' fees, and that porton of any leasing commission paid by Lessor in connecton with this Lease applicable to the unexpired term of this Lease. The worth at the tme of award of the amount referred to in provision (iii) of the immediately preceding sentence shall be computed by discountng such amount at the discount rate of the Federal Reserve Bank of the District within which the Premises are located at the tme of award plus one percent. Eﬀorts by Lessor to mitgate damages caused by Lessee's Breach of this Lease shall not waive Lessor's right to recover any damages to which Lessor is otherwise enttled. If terminaton of this Lease is obtained through the provisional remedy of unlawful detainer, Lessor shall have the right to recover in such proceeding any unpaid Rent and damages as are recoverable therein, or Lessor may reserve the right to recover all or any part thereof in a separate suit. If a notce and grace period required under Paragraph 13.1 was not previously given, a notce to pay rent or quit, or to perform or quit given to Lessee under the unlawful detainer statute shall also consttute the notce required by Paragraph 13.1. In such case, the applicable grace period required by Paragraph 13.1 and the unlawful detainer statute shall run concurrently, and the failure of Lessee to cure the Default within the greater of the two such grace periods shall consttute both an unlawful detainer and a Breach of this Lease enttling Lessor to the remedies provided for in this Lease and/or by said statute.</w:t>
      </w:r>
    </w:p>
    <w:p>
      <w:pPr>
        <w:ind w:left="640" w:right="679" w:firstLine="507"/>
        <w:spacing w:after="0" w:line="250" w:lineRule="auto"/>
        <w:tabs>
          <w:tab w:leader="none" w:pos="1312" w:val="left"/>
        </w:tabs>
        <w:numPr>
          <w:ilvl w:val="1"/>
          <w:numId w:val="73"/>
        </w:numPr>
        <w:rPr>
          <w:rFonts w:ascii="Calibri" w:cs="Calibri" w:eastAsia="Calibri" w:hAnsi="Calibri"/>
          <w:sz w:val="11"/>
          <w:szCs w:val="11"/>
          <w:color w:val="auto"/>
        </w:rPr>
      </w:pPr>
      <w:r>
        <w:rPr>
          <w:rFonts w:ascii="Calibri" w:cs="Calibri" w:eastAsia="Calibri" w:hAnsi="Calibri"/>
          <w:sz w:val="11"/>
          <w:szCs w:val="11"/>
          <w:color w:val="auto"/>
        </w:rPr>
        <w:t>Contnue the Lease and Lessee's right to possession and recover the Rent as it becomes due, in which event Lessee may sublet or assign, subject only to reasonable limitatons. Acts of maintenance, eﬀorts to relet, and/or the appointment of a receiver to protect the Lessor's interests, shall not consttute a terminaton of the Lessee's right to possession.</w:t>
      </w:r>
    </w:p>
    <w:p>
      <w:pPr>
        <w:ind w:left="640" w:right="659" w:firstLine="507"/>
        <w:spacing w:after="0" w:line="250" w:lineRule="auto"/>
        <w:tabs>
          <w:tab w:leader="none" w:pos="1300" w:val="left"/>
        </w:tabs>
        <w:numPr>
          <w:ilvl w:val="1"/>
          <w:numId w:val="73"/>
        </w:numPr>
        <w:rPr>
          <w:rFonts w:ascii="Calibri" w:cs="Calibri" w:eastAsia="Calibri" w:hAnsi="Calibri"/>
          <w:sz w:val="11"/>
          <w:szCs w:val="11"/>
          <w:color w:val="auto"/>
        </w:rPr>
      </w:pPr>
      <w:r>
        <w:rPr>
          <w:rFonts w:ascii="Calibri" w:cs="Calibri" w:eastAsia="Calibri" w:hAnsi="Calibri"/>
          <w:sz w:val="11"/>
          <w:szCs w:val="11"/>
          <w:color w:val="auto"/>
        </w:rPr>
        <w:t>Pursue any other remedy now or hereafer available under the laws or judicial decisions of the state wherein the Premises are located. The expiraton or terminaton of this Lease and/or the terminaton of Lessee's right to possession shall not relieve Lessee from liability under any indemnity provisions of this Lease</w:t>
      </w:r>
    </w:p>
    <w:p>
      <w:pPr>
        <w:ind w:left="700"/>
        <w:spacing w:after="0"/>
        <w:rPr>
          <w:rFonts w:ascii="Calibri" w:cs="Calibri" w:eastAsia="Calibri" w:hAnsi="Calibri"/>
          <w:sz w:val="11"/>
          <w:szCs w:val="11"/>
          <w:color w:val="auto"/>
        </w:rPr>
      </w:pPr>
      <w:r>
        <w:rPr>
          <w:rFonts w:ascii="Calibri" w:cs="Calibri" w:eastAsia="Calibri" w:hAnsi="Calibri"/>
          <w:sz w:val="11"/>
          <w:szCs w:val="11"/>
          <w:color w:val="auto"/>
        </w:rPr>
        <w:t>as to maters occurring or accruing during the term hereof or by reason of Lessee's occupancy of the Premises.</w:t>
      </w:r>
    </w:p>
    <w:p>
      <w:pPr>
        <w:spacing w:after="0" w:line="5" w:lineRule="exact"/>
        <w:rPr>
          <w:rFonts w:ascii="Calibri" w:cs="Calibri" w:eastAsia="Calibri" w:hAnsi="Calibri"/>
          <w:sz w:val="11"/>
          <w:szCs w:val="11"/>
          <w:color w:val="auto"/>
        </w:rPr>
      </w:pPr>
    </w:p>
    <w:p>
      <w:pPr>
        <w:ind w:left="640" w:right="719" w:firstLine="258"/>
        <w:spacing w:after="0" w:line="250" w:lineRule="auto"/>
        <w:rPr>
          <w:rFonts w:ascii="Calibri" w:cs="Calibri" w:eastAsia="Calibri" w:hAnsi="Calibri"/>
          <w:sz w:val="11"/>
          <w:szCs w:val="11"/>
          <w:color w:val="auto"/>
        </w:rPr>
      </w:pPr>
      <w:r>
        <w:rPr>
          <w:rFonts w:ascii="Calibri" w:cs="Calibri" w:eastAsia="Calibri" w:hAnsi="Calibri"/>
          <w:sz w:val="11"/>
          <w:szCs w:val="11"/>
          <w:color w:val="auto"/>
        </w:rPr>
        <w:t xml:space="preserve">13.3 </w:t>
      </w:r>
      <w:r>
        <w:rPr>
          <w:rFonts w:ascii="Calibri" w:cs="Calibri" w:eastAsia="Calibri" w:hAnsi="Calibri"/>
          <w:sz w:val="11"/>
          <w:szCs w:val="11"/>
          <w:b w:val="1"/>
          <w:bCs w:val="1"/>
          <w:color w:val="auto"/>
        </w:rPr>
        <w:t>Inducement Recapture.</w:t>
      </w:r>
      <w:r>
        <w:rPr>
          <w:rFonts w:ascii="Calibri" w:cs="Calibri" w:eastAsia="Calibri" w:hAnsi="Calibri"/>
          <w:sz w:val="11"/>
          <w:szCs w:val="11"/>
          <w:color w:val="auto"/>
        </w:rPr>
        <w:t xml:space="preserve"> Any agreement for free or abated rent or other charges, the cost of tenant improvements for Lessee paid for or performed by Lessor, or for the giving or paying by Lessor to or for Lessee of any cash or other bonus, inducement or consideraton for Lessee's entering into this Lease, all of which concessions are hereinafer referred to as "</w:t>
      </w:r>
      <w:r>
        <w:rPr>
          <w:rFonts w:ascii="Calibri" w:cs="Calibri" w:eastAsia="Calibri" w:hAnsi="Calibri"/>
          <w:sz w:val="11"/>
          <w:szCs w:val="11"/>
          <w:b w:val="1"/>
          <w:bCs w:val="1"/>
          <w:color w:val="auto"/>
        </w:rPr>
        <w:t>Inducement Provisions</w:t>
      </w:r>
      <w:r>
        <w:rPr>
          <w:rFonts w:ascii="Calibri" w:cs="Calibri" w:eastAsia="Calibri" w:hAnsi="Calibri"/>
          <w:sz w:val="11"/>
          <w:szCs w:val="11"/>
          <w:color w:val="auto"/>
        </w:rPr>
        <w:t>," shall be deemed conditoned upon Lessee's full and faithful performance of all of the terms, covenants and conditons of this Lease. Upon Breach of this Lease by Lessee, any such Inducement Provision shall automatcally be deemed deleted from this Lease and of no further force or eﬀect, and any rent, other charge, bonus, inducement or consideraton theretofore abated, given or paid by Lessor under such an Inducement Provision shall be immediately due and payable by Lessee to Lessor, notwithstanding any subsequent cure of said Breach by Lessee. The acceptance by Lessor of rent or the cure of the Breach which initated the operaton of this paragraph shall not be deemed a waiver by Lessor of the provisions of this paragraph unless specifically so stated in writng by Lessor at the tme of such acceptance.</w:t>
      </w:r>
    </w:p>
    <w:p>
      <w:pPr>
        <w:ind w:left="640" w:right="719" w:firstLine="258"/>
        <w:spacing w:after="0" w:line="250" w:lineRule="auto"/>
        <w:rPr>
          <w:rFonts w:ascii="Calibri" w:cs="Calibri" w:eastAsia="Calibri" w:hAnsi="Calibri"/>
          <w:sz w:val="11"/>
          <w:szCs w:val="11"/>
          <w:color w:val="auto"/>
        </w:rPr>
      </w:pPr>
      <w:r>
        <w:rPr>
          <w:rFonts w:ascii="Calibri" w:cs="Calibri" w:eastAsia="Calibri" w:hAnsi="Calibri"/>
          <w:sz w:val="11"/>
          <w:szCs w:val="11"/>
          <w:color w:val="auto"/>
        </w:rPr>
        <w:t xml:space="preserve">13.4 </w:t>
      </w:r>
      <w:r>
        <w:rPr>
          <w:rFonts w:ascii="Calibri" w:cs="Calibri" w:eastAsia="Calibri" w:hAnsi="Calibri"/>
          <w:sz w:val="11"/>
          <w:szCs w:val="11"/>
          <w:b w:val="1"/>
          <w:bCs w:val="1"/>
          <w:color w:val="auto"/>
        </w:rPr>
        <w:t>Late Charges</w:t>
      </w:r>
      <w:r>
        <w:rPr>
          <w:rFonts w:ascii="Calibri" w:cs="Calibri" w:eastAsia="Calibri" w:hAnsi="Calibri"/>
          <w:sz w:val="11"/>
          <w:szCs w:val="11"/>
          <w:color w:val="auto"/>
        </w:rPr>
        <w:t>. Lessee hereby acknowledges that late payment by Lessee of Rent will cause Lessor to incur costs not contemplated by this Lease, the exact amount of which will be extremely diﬃcult to ascertain. Such costs include, but are not limited to, processing and accountng charges, and late charges which may be imposed upon Lessor by any Lender. Accordingly, if any Rent shall not be received by Lessor within 5 days afer such amount shall be due, then, without any requirement for notce to Lessee, Lessee shall immediately pay to Lessor a one-tme late charge equal to 10% of each such overdue amount or $100, whichever is greater. The Partes hereby agree that such late charge represents a fair and reasonable estmate of the costs Lessor will incur by reason of such late payment. Acceptance of such late charge by Lessor shall in no event consttute a waiver of Lessee's Default or Breach with respect to such overdue amount, nor prevent the exercise of any of the other rights and remedies granted hereunder. In the event that a late charge is payable hereunder, whether or not collected, for 3 consecutve installments of Base Rent, then notwithstanding any provision of this Lease to the contrary, Base Rent shall, at Lessor's opton, become due and payable quarterly in advance.</w:t>
      </w:r>
    </w:p>
    <w:p>
      <w:pPr>
        <w:spacing w:after="0" w:line="139" w:lineRule="exact"/>
        <w:rPr>
          <w:rFonts w:ascii="Calibri" w:cs="Calibri" w:eastAsia="Calibri" w:hAnsi="Calibri"/>
          <w:sz w:val="11"/>
          <w:szCs w:val="11"/>
          <w:color w:val="auto"/>
        </w:rPr>
      </w:pPr>
    </w:p>
    <w:p>
      <w:pPr>
        <w:ind w:left="640" w:right="659" w:firstLine="258"/>
        <w:spacing w:after="0" w:line="250" w:lineRule="auto"/>
        <w:rPr>
          <w:rFonts w:ascii="Calibri" w:cs="Calibri" w:eastAsia="Calibri" w:hAnsi="Calibri"/>
          <w:sz w:val="11"/>
          <w:szCs w:val="11"/>
          <w:color w:val="auto"/>
        </w:rPr>
      </w:pPr>
      <w:r>
        <w:rPr>
          <w:rFonts w:ascii="Calibri" w:cs="Calibri" w:eastAsia="Calibri" w:hAnsi="Calibri"/>
          <w:sz w:val="11"/>
          <w:szCs w:val="11"/>
          <w:color w:val="auto"/>
        </w:rPr>
        <w:t xml:space="preserve">13.5 </w:t>
      </w:r>
      <w:r>
        <w:rPr>
          <w:rFonts w:ascii="Calibri" w:cs="Calibri" w:eastAsia="Calibri" w:hAnsi="Calibri"/>
          <w:sz w:val="11"/>
          <w:szCs w:val="11"/>
          <w:b w:val="1"/>
          <w:bCs w:val="1"/>
          <w:color w:val="auto"/>
        </w:rPr>
        <w:t>Interest</w:t>
      </w:r>
      <w:r>
        <w:rPr>
          <w:rFonts w:ascii="Calibri" w:cs="Calibri" w:eastAsia="Calibri" w:hAnsi="Calibri"/>
          <w:sz w:val="11"/>
          <w:szCs w:val="11"/>
          <w:color w:val="auto"/>
        </w:rPr>
        <w:t>. Any monetary payment due Lessor hereunder, other than late charges, not received by Lessor, when due shall bear interest from the 31st day afer it was due. The interest ("</w:t>
      </w:r>
      <w:r>
        <w:rPr>
          <w:rFonts w:ascii="Calibri" w:cs="Calibri" w:eastAsia="Calibri" w:hAnsi="Calibri"/>
          <w:sz w:val="11"/>
          <w:szCs w:val="11"/>
          <w:b w:val="1"/>
          <w:bCs w:val="1"/>
          <w:color w:val="auto"/>
        </w:rPr>
        <w:t>Interest</w:t>
      </w:r>
      <w:r>
        <w:rPr>
          <w:rFonts w:ascii="Calibri" w:cs="Calibri" w:eastAsia="Calibri" w:hAnsi="Calibri"/>
          <w:sz w:val="11"/>
          <w:szCs w:val="11"/>
          <w:color w:val="auto"/>
        </w:rPr>
        <w:t>") charged shall be computed at the rate of 10% per annum but shall not exceed the maximum rate allowed by law. Interest is payable in additon to the potental late charge provided for in Paragraph 13.4.</w:t>
      </w:r>
    </w:p>
    <w:p>
      <w:pPr>
        <w:ind w:left="880"/>
        <w:spacing w:after="0"/>
        <w:rPr>
          <w:rFonts w:ascii="Calibri" w:cs="Calibri" w:eastAsia="Calibri" w:hAnsi="Calibri"/>
          <w:sz w:val="11"/>
          <w:szCs w:val="11"/>
          <w:color w:val="auto"/>
        </w:rPr>
      </w:pPr>
      <w:r>
        <w:rPr>
          <w:rFonts w:ascii="Calibri" w:cs="Calibri" w:eastAsia="Calibri" w:hAnsi="Calibri"/>
          <w:sz w:val="11"/>
          <w:szCs w:val="11"/>
          <w:color w:val="auto"/>
        </w:rPr>
        <w:t xml:space="preserve">13.6 </w:t>
      </w:r>
      <w:r>
        <w:rPr>
          <w:rFonts w:ascii="Calibri" w:cs="Calibri" w:eastAsia="Calibri" w:hAnsi="Calibri"/>
          <w:sz w:val="11"/>
          <w:szCs w:val="11"/>
          <w:b w:val="1"/>
          <w:bCs w:val="1"/>
          <w:color w:val="auto"/>
        </w:rPr>
        <w:t>Breach by Lessor</w:t>
      </w:r>
      <w:r>
        <w:rPr>
          <w:rFonts w:ascii="Calibri" w:cs="Calibri" w:eastAsia="Calibri" w:hAnsi="Calibri"/>
          <w:sz w:val="11"/>
          <w:szCs w:val="11"/>
          <w:color w:val="auto"/>
        </w:rPr>
        <w:t>.</w:t>
      </w:r>
    </w:p>
    <w:p>
      <w:pPr>
        <w:spacing w:after="0" w:line="5" w:lineRule="exact"/>
        <w:rPr>
          <w:rFonts w:ascii="Calibri" w:cs="Calibri" w:eastAsia="Calibri" w:hAnsi="Calibri"/>
          <w:sz w:val="11"/>
          <w:szCs w:val="11"/>
          <w:color w:val="auto"/>
        </w:rPr>
      </w:pPr>
    </w:p>
    <w:p>
      <w:pPr>
        <w:ind w:left="640" w:right="659" w:firstLine="507"/>
        <w:spacing w:after="0" w:line="250" w:lineRule="auto"/>
        <w:tabs>
          <w:tab w:leader="none" w:pos="1307" w:val="left"/>
        </w:tabs>
        <w:numPr>
          <w:ilvl w:val="1"/>
          <w:numId w:val="74"/>
        </w:numPr>
        <w:rPr>
          <w:rFonts w:ascii="Calibri" w:cs="Calibri" w:eastAsia="Calibri" w:hAnsi="Calibri"/>
          <w:sz w:val="11"/>
          <w:szCs w:val="11"/>
          <w:color w:val="auto"/>
        </w:rPr>
      </w:pPr>
      <w:r>
        <w:rPr>
          <w:rFonts w:ascii="Calibri" w:cs="Calibri" w:eastAsia="Calibri" w:hAnsi="Calibri"/>
          <w:sz w:val="11"/>
          <w:szCs w:val="11"/>
          <w:b w:val="1"/>
          <w:bCs w:val="1"/>
          <w:color w:val="auto"/>
        </w:rPr>
        <w:t>Notce of Breach</w:t>
      </w:r>
      <w:r>
        <w:rPr>
          <w:rFonts w:ascii="Calibri" w:cs="Calibri" w:eastAsia="Calibri" w:hAnsi="Calibri"/>
          <w:sz w:val="11"/>
          <w:szCs w:val="11"/>
          <w:color w:val="auto"/>
        </w:rPr>
        <w:t>. Lessor shall not be deemed in breach of this Lease unless Lessor fails within a reasonable tme to perform an obligaton required to be</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performed by Lessor. For purposes of this Paragraph, a reasonable tme shall in no event be less than 30 days afer receipt by Lessor, and any Lender whose name and address shall have been furnished to Lessee in writng for such purpose, of writen notce specifying wherein such obligaton of Lessor has not been performed; provided, however, that if the nature of Lessor's obligaton is such that more than 30 days are reasonably required for its performance, then Lessor shall not be in breach if performance is commenced within such 30 day period and thereafer diligently pursued to completon.</w:t>
      </w:r>
    </w:p>
    <w:p>
      <w:pPr>
        <w:jc w:val="both"/>
        <w:ind w:left="640" w:right="659" w:firstLine="507"/>
        <w:spacing w:after="0" w:line="250" w:lineRule="auto"/>
        <w:tabs>
          <w:tab w:leader="none" w:pos="1312" w:val="left"/>
        </w:tabs>
        <w:numPr>
          <w:ilvl w:val="1"/>
          <w:numId w:val="74"/>
        </w:numPr>
        <w:rPr>
          <w:rFonts w:ascii="Calibri" w:cs="Calibri" w:eastAsia="Calibri" w:hAnsi="Calibri"/>
          <w:sz w:val="11"/>
          <w:szCs w:val="11"/>
          <w:color w:val="auto"/>
        </w:rPr>
      </w:pPr>
      <w:r>
        <w:rPr>
          <w:rFonts w:ascii="Calibri" w:cs="Calibri" w:eastAsia="Calibri" w:hAnsi="Calibri"/>
          <w:sz w:val="11"/>
          <w:szCs w:val="11"/>
          <w:b w:val="1"/>
          <w:bCs w:val="1"/>
          <w:color w:val="auto"/>
        </w:rPr>
        <w:t>Performance by Lessee on Behalf of Lessor</w:t>
      </w:r>
      <w:r>
        <w:rPr>
          <w:rFonts w:ascii="Calibri" w:cs="Calibri" w:eastAsia="Calibri" w:hAnsi="Calibri"/>
          <w:sz w:val="11"/>
          <w:szCs w:val="11"/>
          <w:color w:val="auto"/>
        </w:rPr>
        <w:t>. In the event that neither Lessor nor Lender cures said breach within 30 days afer receipt of said notce, or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if having commenced said cure they do not diligently pursue it to completon, then Lessee may elect to cure said breach at Lessee's expense and oﬀset from Rent the actual and reasonable cost to perform such cure, provided however, that such oﬀset shall not exceed an amount equal to the greater of one month's Base Rent or the Security Deposit, reserving Lessee's right to seek reimbursement from Lessor for any such expense in excess of such oﬀset. Lessee shall document the cost of said cure and supply said documentaton to Lessor.</w:t>
      </w:r>
    </w:p>
    <w:p>
      <w:pPr>
        <w:spacing w:after="0" w:line="86" w:lineRule="exact"/>
        <w:rPr>
          <w:sz w:val="20"/>
          <w:szCs w:val="20"/>
          <w:color w:val="auto"/>
        </w:rPr>
      </w:pPr>
    </w:p>
    <w:p>
      <w:pPr>
        <w:ind w:left="640" w:right="639" w:hanging="9"/>
        <w:spacing w:after="0" w:line="250" w:lineRule="auto"/>
        <w:tabs>
          <w:tab w:leader="none" w:pos="813" w:val="left"/>
        </w:tabs>
        <w:numPr>
          <w:ilvl w:val="0"/>
          <w:numId w:val="75"/>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Condemnaton. </w:t>
      </w:r>
      <w:r>
        <w:rPr>
          <w:rFonts w:ascii="Calibri" w:cs="Calibri" w:eastAsia="Calibri" w:hAnsi="Calibri"/>
          <w:sz w:val="11"/>
          <w:szCs w:val="11"/>
          <w:color w:val="auto"/>
        </w:rPr>
        <w:t>If the Premises or any porton thereof are taken under the power of eminent domain or sold under the threat of the exercise of said power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(collectvely "</w:t>
      </w:r>
      <w:r>
        <w:rPr>
          <w:rFonts w:ascii="Calibri" w:cs="Calibri" w:eastAsia="Calibri" w:hAnsi="Calibri"/>
          <w:sz w:val="11"/>
          <w:szCs w:val="11"/>
          <w:b w:val="1"/>
          <w:bCs w:val="1"/>
          <w:color w:val="auto"/>
        </w:rPr>
        <w:t>Condemnaton</w:t>
      </w:r>
      <w:r>
        <w:rPr>
          <w:rFonts w:ascii="Calibri" w:cs="Calibri" w:eastAsia="Calibri" w:hAnsi="Calibri"/>
          <w:sz w:val="11"/>
          <w:szCs w:val="11"/>
          <w:color w:val="auto"/>
        </w:rPr>
        <w:t>"), this Lease shall terminate as to the part taken as of the date the condemning authority takes ttle or possession, whichever first occurs. If more than 10% of the Building, or more than 25% of that porton of the Premises not occupied by any building, is taken by Condemnaton, Lessee may, at Lessee's opton, to be exercised in writng within 10 days afer Lessor shall have given Lessee writen notce of such taking (or in the absence of such notce, within 10 days afer the condemning authority shall have taken possession) terminate this Lease as of the date the condemning authority takes such possession. If Lessee does not terminate this Lease in accordance with the foregoing, this Lease shall remain in full force and eﬀect as to the porton of the Premises remaining, except that the Base Rent shall be reduced in proporton to the reducton in utlity of the Premises caused by such Condemnaton. Condemnaton awards and/or payments shall be the property of Lessor, whether such award shall be made as compensaton for diminuton in value of the leasehold, the value of the part taken, or for severance damages; provided, however, that Lessee shall be enttled to any compensaton paid by the condemnor for Lessee's relocaton expenses, loss of business goodwill and/or Trade Fixtures, without regard to whether or not this Lease is terminated pursuant to the provisions of this Paragraph. All Alteratons and Utlity Installatons made to the Premises by Lessee, for purposes of Condemnaton only, shall be considered the property of the Lessee and Lessee shall be enttled to any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41275</wp:posOffset>
            </wp:positionV>
            <wp:extent cx="574040" cy="2940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41275</wp:posOffset>
            </wp:positionV>
            <wp:extent cx="382905" cy="2940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240"/>
              <w:spacing w:after="0"/>
              <w:rPr>
                <w:sz w:val="20"/>
                <w:szCs w:val="20"/>
                <w:color w:val="auto"/>
              </w:rPr>
            </w:pPr>
            <w:r>
              <w:rPr>
                <w:rFonts w:ascii="Calibri" w:cs="Calibri" w:eastAsia="Calibri" w:hAnsi="Calibri"/>
                <w:sz w:val="13"/>
                <w:szCs w:val="13"/>
                <w:color w:val="auto"/>
                <w:w w:val="97"/>
              </w:rPr>
              <w:t>Page 11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09" w:name="page110"/>
    <w:bookmarkEnd w:id="109"/>
    <w:p>
      <w:pPr>
        <w:ind w:left="640" w:right="679"/>
        <w:spacing w:after="0" w:line="253" w:lineRule="auto"/>
        <w:rPr>
          <w:sz w:val="20"/>
          <w:szCs w:val="20"/>
          <w:color w:val="auto"/>
        </w:rPr>
      </w:pPr>
      <w:r>
        <w:rPr>
          <w:rFonts w:ascii="Calibri" w:cs="Calibri" w:eastAsia="Calibri" w:hAnsi="Calibri"/>
          <w:sz w:val="11"/>
          <w:szCs w:val="11"/>
          <w:color w:val="auto"/>
        </w:rPr>
        <w:t>compensaton which is payable therefor. In the event that this Lease is not terminated by reason of the Condemnaton, Lessor shall repair any damage to the Premises caused by such Condemnaton.</w:t>
      </w:r>
    </w:p>
    <w:p>
      <w:pPr>
        <w:spacing w:after="0" w:line="83" w:lineRule="exact"/>
        <w:rPr>
          <w:sz w:val="20"/>
          <w:szCs w:val="20"/>
          <w:color w:val="auto"/>
        </w:rPr>
      </w:pPr>
    </w:p>
    <w:p>
      <w:pPr>
        <w:ind w:left="640"/>
        <w:spacing w:after="0"/>
        <w:rPr>
          <w:sz w:val="20"/>
          <w:szCs w:val="20"/>
          <w:color w:val="auto"/>
        </w:rPr>
      </w:pPr>
      <w:r>
        <w:rPr>
          <w:rFonts w:ascii="Calibri" w:cs="Calibri" w:eastAsia="Calibri" w:hAnsi="Calibri"/>
          <w:sz w:val="11"/>
          <w:szCs w:val="11"/>
          <w:b w:val="1"/>
          <w:bCs w:val="1"/>
          <w:color w:val="auto"/>
        </w:rPr>
        <w:t>15. Brokerage Fees.</w:t>
      </w:r>
    </w:p>
    <w:p>
      <w:pPr>
        <w:spacing w:after="0" w:line="6" w:lineRule="exact"/>
        <w:rPr>
          <w:sz w:val="20"/>
          <w:szCs w:val="20"/>
          <w:color w:val="auto"/>
        </w:rPr>
      </w:pPr>
    </w:p>
    <w:p>
      <w:pPr>
        <w:ind w:left="640" w:right="659" w:firstLine="258"/>
        <w:spacing w:after="0" w:line="250" w:lineRule="auto"/>
        <w:rPr>
          <w:sz w:val="20"/>
          <w:szCs w:val="20"/>
          <w:color w:val="auto"/>
        </w:rPr>
      </w:pPr>
      <w:r>
        <w:rPr>
          <w:rFonts w:ascii="Calibri" w:cs="Calibri" w:eastAsia="Calibri" w:hAnsi="Calibri"/>
          <w:sz w:val="11"/>
          <w:szCs w:val="11"/>
          <w:b w:val="1"/>
          <w:bCs w:val="1"/>
          <w:color w:val="auto"/>
        </w:rPr>
        <w:t>15.1 Additonal Commission</w:t>
      </w:r>
      <w:r>
        <w:rPr>
          <w:rFonts w:ascii="Calibri" w:cs="Calibri" w:eastAsia="Calibri" w:hAnsi="Calibri"/>
          <w:sz w:val="11"/>
          <w:szCs w:val="11"/>
          <w:color w:val="auto"/>
        </w:rPr>
        <w:t>. In additon to the payments owed pursuant to Paragraph 1.9 above, Lessor agrees that: (a) if Lessee exercises any Opton, (b) if</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Lessee or anyone aﬃliated with Lessee acquires any rights to the Premises or other premises owned by Lessor and located within the same Project, if any, within which the Premises is located, (c) if Lessee remains in possession of the Premises, with the consent of Lessor, afer the expiraton of this Lease, or (d) if Base Rent is increased, whether by agreement or operaton of an escalaton clause herein, then, Lessor shall pay Brokers a fee in accordance with the fee schedule of the Brokers in eﬀect at the tme the Lease was executed. The provisions of this paragraph are intended to supersede the provisions of any earlier agreement to the contrary.</w:t>
      </w:r>
    </w:p>
    <w:p>
      <w:pPr>
        <w:ind w:left="640" w:right="659" w:firstLine="258"/>
        <w:spacing w:after="0" w:line="250" w:lineRule="auto"/>
        <w:rPr>
          <w:sz w:val="20"/>
          <w:szCs w:val="20"/>
          <w:color w:val="auto"/>
        </w:rPr>
      </w:pPr>
      <w:r>
        <w:rPr>
          <w:rFonts w:ascii="Calibri" w:cs="Calibri" w:eastAsia="Calibri" w:hAnsi="Calibri"/>
          <w:sz w:val="11"/>
          <w:szCs w:val="11"/>
          <w:b w:val="1"/>
          <w:bCs w:val="1"/>
          <w:color w:val="auto"/>
        </w:rPr>
        <w:t>15.2 Assumpton of Obligatons</w:t>
      </w:r>
      <w:r>
        <w:rPr>
          <w:rFonts w:ascii="Calibri" w:cs="Calibri" w:eastAsia="Calibri" w:hAnsi="Calibri"/>
          <w:sz w:val="11"/>
          <w:szCs w:val="11"/>
          <w:color w:val="auto"/>
        </w:rPr>
        <w:t>. Any buyer or transferee of Lessor's interest in this Lease shall be deemed to have assumed Lessor's obligaton hereunder.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Brokers shall be third party beneficiaries of the provisions of Paragraphs 1.9, 15, 22 and 31. If Lessor fails to pay to Brokers any amounts due as and for brokerage fees pertaining to this Lease when due, then such amounts shall accrue Interest. In additon, if Lessor fails to pay any amounts to Lessee's Broker when due, Lessee's Broker may send writen notce to Lessor and Lessee of such failure and if Lessor fails to pay such amounts within 10 days afer said notce, Lessee shall pay said monies to its Broker and oﬀset such amounts against Rent. In additon, Lessee's Broker shall be deemed to be a third party beneficiary of any commission agreement entered into by and/or between Lessor and Lessor's Broker for the limited purpose of collectng any brokerage fee owed.</w:t>
      </w:r>
    </w:p>
    <w:p>
      <w:pPr>
        <w:ind w:left="640" w:right="719" w:firstLine="258"/>
        <w:spacing w:after="0" w:line="250" w:lineRule="auto"/>
        <w:rPr>
          <w:sz w:val="20"/>
          <w:szCs w:val="20"/>
          <w:color w:val="auto"/>
        </w:rPr>
      </w:pPr>
      <w:r>
        <w:rPr>
          <w:rFonts w:ascii="Calibri" w:cs="Calibri" w:eastAsia="Calibri" w:hAnsi="Calibri"/>
          <w:sz w:val="11"/>
          <w:szCs w:val="11"/>
          <w:b w:val="1"/>
          <w:bCs w:val="1"/>
          <w:color w:val="auto"/>
        </w:rPr>
        <w:t>15.3 Representatons and Indemnites of Broker Relatonships</w:t>
      </w:r>
      <w:r>
        <w:rPr>
          <w:rFonts w:ascii="Calibri" w:cs="Calibri" w:eastAsia="Calibri" w:hAnsi="Calibri"/>
          <w:sz w:val="11"/>
          <w:szCs w:val="11"/>
          <w:color w:val="auto"/>
        </w:rPr>
        <w:t>. Lessee and Lessor each represent and warrant to the other that it has had no dealings with any</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person, firm, broker, agent or finder (other than the Brokers and Agents, if any) in connecton with this Lease, and that no one other than said named Brokers and Agents is enttled to any commission or finder's fee in connecton herewith. Lessee and Lessor do each hereby agree to indemnify, protect, defend and hold the other harmless from and against liability for compensaton or charges which may be claimed by any such unnamed broker, finder or other similar party by reason of any dealings or actons of the indemnifying Party, including any costs, expenses, atorneys' fees reasonably incurred with respect thereto.</w:t>
      </w:r>
    </w:p>
    <w:p>
      <w:pPr>
        <w:spacing w:after="0" w:line="86" w:lineRule="exact"/>
        <w:rPr>
          <w:sz w:val="20"/>
          <w:szCs w:val="20"/>
          <w:color w:val="auto"/>
        </w:rPr>
      </w:pPr>
    </w:p>
    <w:p>
      <w:pPr>
        <w:ind w:left="800" w:hanging="169"/>
        <w:spacing w:after="0"/>
        <w:tabs>
          <w:tab w:leader="none" w:pos="800" w:val="left"/>
        </w:tabs>
        <w:numPr>
          <w:ilvl w:val="0"/>
          <w:numId w:val="7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Estoppel Certficates.</w:t>
      </w:r>
    </w:p>
    <w:p>
      <w:pPr>
        <w:spacing w:after="0" w:line="5" w:lineRule="exact"/>
        <w:rPr>
          <w:rFonts w:ascii="Calibri" w:cs="Calibri" w:eastAsia="Calibri" w:hAnsi="Calibri"/>
          <w:sz w:val="11"/>
          <w:szCs w:val="11"/>
          <w:b w:val="1"/>
          <w:bCs w:val="1"/>
          <w:color w:val="auto"/>
        </w:rPr>
      </w:pPr>
    </w:p>
    <w:p>
      <w:pPr>
        <w:ind w:left="640" w:right="739" w:firstLine="249"/>
        <w:spacing w:after="0" w:line="250" w:lineRule="auto"/>
        <w:tabs>
          <w:tab w:leader="none" w:pos="1049" w:val="left"/>
        </w:tabs>
        <w:numPr>
          <w:ilvl w:val="1"/>
          <w:numId w:val="76"/>
        </w:numPr>
        <w:rPr>
          <w:rFonts w:ascii="Calibri" w:cs="Calibri" w:eastAsia="Calibri" w:hAnsi="Calibri"/>
          <w:sz w:val="11"/>
          <w:szCs w:val="11"/>
          <w:color w:val="auto"/>
        </w:rPr>
      </w:pPr>
      <w:r>
        <w:rPr>
          <w:rFonts w:ascii="Calibri" w:cs="Calibri" w:eastAsia="Calibri" w:hAnsi="Calibri"/>
          <w:sz w:val="11"/>
          <w:szCs w:val="11"/>
          <w:color w:val="auto"/>
        </w:rPr>
        <w:t>Each Party (as "</w:t>
      </w:r>
      <w:r>
        <w:rPr>
          <w:rFonts w:ascii="Calibri" w:cs="Calibri" w:eastAsia="Calibri" w:hAnsi="Calibri"/>
          <w:sz w:val="11"/>
          <w:szCs w:val="11"/>
          <w:b w:val="1"/>
          <w:bCs w:val="1"/>
          <w:color w:val="auto"/>
        </w:rPr>
        <w:t>Responding Party</w:t>
      </w:r>
      <w:r>
        <w:rPr>
          <w:rFonts w:ascii="Calibri" w:cs="Calibri" w:eastAsia="Calibri" w:hAnsi="Calibri"/>
          <w:sz w:val="11"/>
          <w:szCs w:val="11"/>
          <w:color w:val="auto"/>
        </w:rPr>
        <w:t>") shall within 10 days afer writen notce from the other Party (the "</w:t>
      </w:r>
      <w:r>
        <w:rPr>
          <w:rFonts w:ascii="Calibri" w:cs="Calibri" w:eastAsia="Calibri" w:hAnsi="Calibri"/>
          <w:sz w:val="11"/>
          <w:szCs w:val="11"/>
          <w:b w:val="1"/>
          <w:bCs w:val="1"/>
          <w:color w:val="auto"/>
        </w:rPr>
        <w:t>Requestng Party</w:t>
      </w:r>
      <w:r>
        <w:rPr>
          <w:rFonts w:ascii="Calibri" w:cs="Calibri" w:eastAsia="Calibri" w:hAnsi="Calibri"/>
          <w:sz w:val="11"/>
          <w:szCs w:val="11"/>
          <w:color w:val="auto"/>
        </w:rPr>
        <w:t>") execute, acknowledge and deliver to the Requestng Party a statement in writng in form similar to the then most current "</w:t>
      </w:r>
      <w:r>
        <w:rPr>
          <w:rFonts w:ascii="Calibri" w:cs="Calibri" w:eastAsia="Calibri" w:hAnsi="Calibri"/>
          <w:sz w:val="11"/>
          <w:szCs w:val="11"/>
          <w:b w:val="1"/>
          <w:bCs w:val="1"/>
          <w:color w:val="auto"/>
        </w:rPr>
        <w:t>Estoppel Certficate</w:t>
      </w:r>
      <w:r>
        <w:rPr>
          <w:rFonts w:ascii="Calibri" w:cs="Calibri" w:eastAsia="Calibri" w:hAnsi="Calibri"/>
          <w:sz w:val="11"/>
          <w:szCs w:val="11"/>
          <w:color w:val="auto"/>
        </w:rPr>
        <w:t>" form published by AIR CRE, plus such additonal informaton, confirmaton and/or statements as may be reasonably requested by the Requestng Party.</w:t>
      </w:r>
    </w:p>
    <w:p>
      <w:pPr>
        <w:ind w:left="640" w:right="659" w:firstLine="249"/>
        <w:spacing w:after="0" w:line="250" w:lineRule="auto"/>
        <w:tabs>
          <w:tab w:leader="none" w:pos="1054" w:val="left"/>
        </w:tabs>
        <w:numPr>
          <w:ilvl w:val="1"/>
          <w:numId w:val="76"/>
        </w:numPr>
        <w:rPr>
          <w:rFonts w:ascii="Calibri" w:cs="Calibri" w:eastAsia="Calibri" w:hAnsi="Calibri"/>
          <w:sz w:val="11"/>
          <w:szCs w:val="11"/>
          <w:color w:val="auto"/>
        </w:rPr>
      </w:pPr>
      <w:r>
        <w:rPr>
          <w:rFonts w:ascii="Calibri" w:cs="Calibri" w:eastAsia="Calibri" w:hAnsi="Calibri"/>
          <w:sz w:val="11"/>
          <w:szCs w:val="11"/>
          <w:color w:val="auto"/>
        </w:rPr>
        <w:t>If the Responding Party shall fail to execute or deliver the Estoppel Certficate within such 10 day period, the Requestng Party may execute an Estoppel Certficate statng that: (i) the Lease is in full force and eﬀect without modificaton except as may be represented by the Requestng Party, (ii) there are no uncured defaults in the Requestng Party's performance, and (iii) if Lessor is the Requestng Party, not more than one month's rent has been paid in advance. Prospectve purchasers and encumbrancers may rely upon the Requestng Party's Estoppel Certficate, and the Responding Party shall be estopped from denying the truth of the facts contained in said Certficate. In additon, Lessee acknowledges that any failure on its part to provide such an Estoppel Certficate will expose Lessor to risks and potentally cause Lessor to incur costs not contemplated by this Lease, the extent of which will be extremely diﬃcult to ascertain. Accordingly, should the Lessee fail to execute and/or deliver a requested Estoppel Certficate in a tmely fashion the monthly Base Rent shall be automatcally increased, without any requirement for notce to Lessee, by an amount equal to 10% of the then existng Base Rent or $100, whichever is greater for remainder of the Lease. The Partes agree that such increase in Base Rent represents fair and reasonable compensaton for the additonal risk/costs that Lessor will incur by reason of Lessee's failure to provide the Estoppel Certficate. Such increase in Base Rent shall in no event consttute a waiver of Lessee's Default or Breach with respect to the failure to provide the Estoppel Certficate nor prevent the exercise of any of the other rights and remedies granted hereunder.</w:t>
      </w:r>
    </w:p>
    <w:p>
      <w:pPr>
        <w:ind w:left="640" w:right="699" w:firstLine="249"/>
        <w:spacing w:after="0" w:line="259" w:lineRule="auto"/>
        <w:tabs>
          <w:tab w:leader="none" w:pos="1042" w:val="left"/>
        </w:tabs>
        <w:numPr>
          <w:ilvl w:val="1"/>
          <w:numId w:val="76"/>
        </w:numPr>
        <w:rPr>
          <w:rFonts w:ascii="Calibri" w:cs="Calibri" w:eastAsia="Calibri" w:hAnsi="Calibri"/>
          <w:sz w:val="11"/>
          <w:szCs w:val="11"/>
          <w:color w:val="auto"/>
        </w:rPr>
      </w:pPr>
      <w:r>
        <w:rPr>
          <w:rFonts w:ascii="Calibri" w:cs="Calibri" w:eastAsia="Calibri" w:hAnsi="Calibri"/>
          <w:sz w:val="11"/>
          <w:szCs w:val="11"/>
          <w:color w:val="auto"/>
        </w:rPr>
        <w:t xml:space="preserve">If Lessor desires to finance, refinance, or sell the Premises, or any part thereof, Lessee and all Guarantors shall within 10 days afer writen notce from Lessor deliver to any potental lender or purchaser designated by Lessor such financial statements as may be reasonably required by such lender or purchaser, including but not limited to Lessee's financial statements for the past 3 years. All such financial statements shall be received by Lessor and such lender or purchaser in </w:t>
      </w:r>
      <w:r>
        <w:rPr>
          <w:rFonts w:ascii="Times New Roman" w:cs="Times New Roman" w:eastAsia="Times New Roman" w:hAnsi="Times New Roman"/>
          <w:sz w:val="11"/>
          <w:szCs w:val="11"/>
          <w:color w:val="auto"/>
        </w:rPr>
        <w:t>confidence</w:t>
      </w:r>
      <w:r>
        <w:rPr>
          <w:rFonts w:ascii="Calibri" w:cs="Calibri" w:eastAsia="Calibri" w:hAnsi="Calibri"/>
          <w:sz w:val="11"/>
          <w:szCs w:val="11"/>
          <w:color w:val="auto"/>
        </w:rPr>
        <w:t xml:space="preserve"> </w:t>
      </w:r>
      <w:r>
        <w:rPr>
          <w:rFonts w:ascii="Times New Roman" w:cs="Times New Roman" w:eastAsia="Times New Roman" w:hAnsi="Times New Roman"/>
          <w:sz w:val="11"/>
          <w:szCs w:val="11"/>
          <w:color w:val="auto"/>
        </w:rPr>
        <w:t>and shall be used only for the purposes herein set forth.</w:t>
      </w:r>
    </w:p>
    <w:p>
      <w:pPr>
        <w:spacing w:after="0" w:line="52" w:lineRule="exact"/>
        <w:rPr>
          <w:rFonts w:ascii="Calibri" w:cs="Calibri" w:eastAsia="Calibri" w:hAnsi="Calibri"/>
          <w:sz w:val="11"/>
          <w:szCs w:val="11"/>
          <w:color w:val="auto"/>
        </w:rPr>
      </w:pPr>
    </w:p>
    <w:p>
      <w:pPr>
        <w:ind w:left="640" w:right="759" w:hanging="9"/>
        <w:spacing w:after="0" w:line="250" w:lineRule="auto"/>
        <w:tabs>
          <w:tab w:leader="none" w:pos="813" w:val="left"/>
        </w:tabs>
        <w:numPr>
          <w:ilvl w:val="0"/>
          <w:numId w:val="7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Definiton of Lessor. </w:t>
      </w:r>
      <w:r>
        <w:rPr>
          <w:rFonts w:ascii="Calibri" w:cs="Calibri" w:eastAsia="Calibri" w:hAnsi="Calibri"/>
          <w:sz w:val="11"/>
          <w:szCs w:val="11"/>
          <w:color w:val="auto"/>
        </w:rPr>
        <w:t>The term "</w:t>
      </w:r>
      <w:r>
        <w:rPr>
          <w:rFonts w:ascii="Calibri" w:cs="Calibri" w:eastAsia="Calibri" w:hAnsi="Calibri"/>
          <w:sz w:val="11"/>
          <w:szCs w:val="11"/>
          <w:b w:val="1"/>
          <w:bCs w:val="1"/>
          <w:color w:val="auto"/>
        </w:rPr>
        <w:t>Lessor</w:t>
      </w:r>
      <w:r>
        <w:rPr>
          <w:rFonts w:ascii="Calibri" w:cs="Calibri" w:eastAsia="Calibri" w:hAnsi="Calibri"/>
          <w:sz w:val="11"/>
          <w:szCs w:val="11"/>
          <w:color w:val="auto"/>
        </w:rPr>
        <w:t>" as used herein shall mean the owner or owners at the tme in queston of the fee ttle to the Premises, or, if this is a</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sublease, of the Lessee's interest in the prior lease. In the event of a transfer of Lessor's ttle or interest in the Premises or this Lease, Lessor shall deliver to the transferee or assignee (in cash or by credit) any unused Security Deposit held by Lessor. Upon such transfer or assignment and delivery of the Security Deposit, as aforesaid, the prior Lessor shall be relieved of all liability with respect to the obligatons and/or covenants under this Lease thereafer to be performed by the Lessor. Subject to the foregoing, the obligatons and/or covenants in this Lease to be performed by the Lessor shall be binding only upon the Lessor as hereinabove defined.</w:t>
      </w:r>
    </w:p>
    <w:p>
      <w:pPr>
        <w:spacing w:after="0" w:line="86" w:lineRule="exact"/>
        <w:rPr>
          <w:rFonts w:ascii="Calibri" w:cs="Calibri" w:eastAsia="Calibri" w:hAnsi="Calibri"/>
          <w:sz w:val="11"/>
          <w:szCs w:val="11"/>
          <w:b w:val="1"/>
          <w:bCs w:val="1"/>
          <w:color w:val="auto"/>
        </w:rPr>
      </w:pPr>
    </w:p>
    <w:p>
      <w:pPr>
        <w:ind w:left="640" w:right="1039" w:hanging="9"/>
        <w:spacing w:after="0" w:line="253" w:lineRule="auto"/>
        <w:tabs>
          <w:tab w:leader="none" w:pos="813" w:val="left"/>
        </w:tabs>
        <w:numPr>
          <w:ilvl w:val="0"/>
          <w:numId w:val="7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Severability. </w:t>
      </w:r>
      <w:r>
        <w:rPr>
          <w:rFonts w:ascii="Calibri" w:cs="Calibri" w:eastAsia="Calibri" w:hAnsi="Calibri"/>
          <w:sz w:val="11"/>
          <w:szCs w:val="11"/>
          <w:color w:val="auto"/>
        </w:rPr>
        <w:t>The invalidity of any provision of this Lease, as determined by a court of competent jurisdicton, shall in no way aﬀect the validity of any other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provision hereof.</w:t>
      </w:r>
    </w:p>
    <w:p>
      <w:pPr>
        <w:spacing w:after="0" w:line="82" w:lineRule="exact"/>
        <w:rPr>
          <w:rFonts w:ascii="Calibri" w:cs="Calibri" w:eastAsia="Calibri" w:hAnsi="Calibri"/>
          <w:sz w:val="11"/>
          <w:szCs w:val="11"/>
          <w:b w:val="1"/>
          <w:bCs w:val="1"/>
          <w:color w:val="auto"/>
        </w:rPr>
      </w:pPr>
    </w:p>
    <w:p>
      <w:pPr>
        <w:ind w:left="800" w:hanging="169"/>
        <w:spacing w:after="0"/>
        <w:tabs>
          <w:tab w:leader="none" w:pos="800" w:val="left"/>
        </w:tabs>
        <w:numPr>
          <w:ilvl w:val="0"/>
          <w:numId w:val="7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Days. </w:t>
      </w:r>
      <w:r>
        <w:rPr>
          <w:rFonts w:ascii="Calibri" w:cs="Calibri" w:eastAsia="Calibri" w:hAnsi="Calibri"/>
          <w:sz w:val="11"/>
          <w:szCs w:val="11"/>
          <w:color w:val="auto"/>
        </w:rPr>
        <w:t>Unless otherwise specifically indicated to the contrary, the word "</w:t>
      </w:r>
      <w:r>
        <w:rPr>
          <w:rFonts w:ascii="Calibri" w:cs="Calibri" w:eastAsia="Calibri" w:hAnsi="Calibri"/>
          <w:sz w:val="11"/>
          <w:szCs w:val="11"/>
          <w:b w:val="1"/>
          <w:bCs w:val="1"/>
          <w:color w:val="auto"/>
        </w:rPr>
        <w:t>days</w:t>
      </w:r>
      <w:r>
        <w:rPr>
          <w:rFonts w:ascii="Calibri" w:cs="Calibri" w:eastAsia="Calibri" w:hAnsi="Calibri"/>
          <w:sz w:val="11"/>
          <w:szCs w:val="11"/>
          <w:color w:val="auto"/>
        </w:rPr>
        <w:t>" as used in this Lease shall mean and refer to calendar days.</w:t>
      </w:r>
    </w:p>
    <w:p>
      <w:pPr>
        <w:spacing w:after="0" w:line="91" w:lineRule="exact"/>
        <w:rPr>
          <w:rFonts w:ascii="Calibri" w:cs="Calibri" w:eastAsia="Calibri" w:hAnsi="Calibri"/>
          <w:sz w:val="11"/>
          <w:szCs w:val="11"/>
          <w:b w:val="1"/>
          <w:bCs w:val="1"/>
          <w:color w:val="auto"/>
        </w:rPr>
      </w:pPr>
    </w:p>
    <w:p>
      <w:pPr>
        <w:ind w:left="640" w:right="699" w:hanging="9"/>
        <w:spacing w:after="0" w:line="251" w:lineRule="auto"/>
        <w:tabs>
          <w:tab w:leader="none" w:pos="813" w:val="left"/>
        </w:tabs>
        <w:numPr>
          <w:ilvl w:val="0"/>
          <w:numId w:val="7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Limitaton on Liability. </w:t>
      </w:r>
      <w:r>
        <w:rPr>
          <w:rFonts w:ascii="Calibri" w:cs="Calibri" w:eastAsia="Calibri" w:hAnsi="Calibri"/>
          <w:sz w:val="11"/>
          <w:szCs w:val="11"/>
          <w:color w:val="auto"/>
        </w:rPr>
        <w:t>The obligatons of Lessor under this Lease shall not consttute personal obligatons of Lessor, or its partners, members, directors, oﬃcers or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shareholders, and Lessee shall look to the Premises, and to no other assets of Lessor, for the satsfacton of any liability of Lessor with respect to this Lease, and shall not seek recourse against Lessor's partners, members, directors, oﬃcers or shareholders, or any of their personal assets for such satsfacton.</w:t>
      </w:r>
    </w:p>
    <w:p>
      <w:pPr>
        <w:spacing w:after="0" w:line="84" w:lineRule="exact"/>
        <w:rPr>
          <w:rFonts w:ascii="Calibri" w:cs="Calibri" w:eastAsia="Calibri" w:hAnsi="Calibri"/>
          <w:sz w:val="11"/>
          <w:szCs w:val="11"/>
          <w:b w:val="1"/>
          <w:bCs w:val="1"/>
          <w:color w:val="auto"/>
        </w:rPr>
      </w:pPr>
    </w:p>
    <w:p>
      <w:pPr>
        <w:ind w:left="800" w:hanging="169"/>
        <w:spacing w:after="0"/>
        <w:tabs>
          <w:tab w:leader="none" w:pos="800" w:val="left"/>
        </w:tabs>
        <w:numPr>
          <w:ilvl w:val="0"/>
          <w:numId w:val="7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Time of Essence. </w:t>
      </w:r>
      <w:r>
        <w:rPr>
          <w:rFonts w:ascii="Calibri" w:cs="Calibri" w:eastAsia="Calibri" w:hAnsi="Calibri"/>
          <w:sz w:val="11"/>
          <w:szCs w:val="11"/>
          <w:color w:val="auto"/>
        </w:rPr>
        <w:t>Time is of the essence with respect to the performance of all obligatons to be performed or observed by the Partes under this Lease.</w:t>
      </w:r>
    </w:p>
    <w:p>
      <w:pPr>
        <w:spacing w:after="0" w:line="91" w:lineRule="exact"/>
        <w:rPr>
          <w:rFonts w:ascii="Calibri" w:cs="Calibri" w:eastAsia="Calibri" w:hAnsi="Calibri"/>
          <w:sz w:val="11"/>
          <w:szCs w:val="11"/>
          <w:b w:val="1"/>
          <w:bCs w:val="1"/>
          <w:color w:val="auto"/>
        </w:rPr>
      </w:pPr>
    </w:p>
    <w:p>
      <w:pPr>
        <w:ind w:left="640" w:right="739" w:hanging="9"/>
        <w:spacing w:after="0" w:line="251" w:lineRule="auto"/>
        <w:tabs>
          <w:tab w:leader="none" w:pos="813" w:val="left"/>
        </w:tabs>
        <w:numPr>
          <w:ilvl w:val="0"/>
          <w:numId w:val="7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No Prior or Other Agreements; Broker Disclaimer</w:t>
      </w:r>
      <w:r>
        <w:rPr>
          <w:rFonts w:ascii="Calibri" w:cs="Calibri" w:eastAsia="Calibri" w:hAnsi="Calibri"/>
          <w:sz w:val="11"/>
          <w:szCs w:val="11"/>
          <w:color w:val="auto"/>
        </w:rPr>
        <w:t>. This Lease contains all agreements between the Partes with respect to any mater mentoned herein, and no</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other prior or contemporaneous agreement or understanding shall be eﬀectve. Lessor and Lessee each represents and warrants to the Brokers that it has made, and is relying solely upon, its own investgaton as to the nature, quality, character and financial responsibility of the other Party to this Lease and as to the use, nature, quality and character of the Premises. Brokers have no responsibility with respect thereto or with respect to any default or breach hereof by either Party.</w:t>
      </w:r>
    </w:p>
    <w:p>
      <w:pPr>
        <w:spacing w:after="0" w:line="83" w:lineRule="exact"/>
        <w:rPr>
          <w:rFonts w:ascii="Calibri" w:cs="Calibri" w:eastAsia="Calibri" w:hAnsi="Calibri"/>
          <w:sz w:val="11"/>
          <w:szCs w:val="11"/>
          <w:b w:val="1"/>
          <w:bCs w:val="1"/>
          <w:color w:val="auto"/>
        </w:rPr>
      </w:pPr>
    </w:p>
    <w:p>
      <w:pPr>
        <w:ind w:left="800" w:hanging="169"/>
        <w:spacing w:after="0"/>
        <w:tabs>
          <w:tab w:leader="none" w:pos="800" w:val="left"/>
        </w:tabs>
        <w:numPr>
          <w:ilvl w:val="0"/>
          <w:numId w:val="7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Notces.</w:t>
      </w:r>
    </w:p>
    <w:p>
      <w:pPr>
        <w:spacing w:after="0" w:line="6" w:lineRule="exact"/>
        <w:rPr>
          <w:sz w:val="20"/>
          <w:szCs w:val="20"/>
          <w:color w:val="auto"/>
        </w:rPr>
      </w:pPr>
    </w:p>
    <w:p>
      <w:pPr>
        <w:ind w:left="640" w:right="739" w:firstLine="258"/>
        <w:spacing w:after="0" w:line="251" w:lineRule="auto"/>
        <w:rPr>
          <w:sz w:val="20"/>
          <w:szCs w:val="20"/>
          <w:color w:val="auto"/>
        </w:rPr>
      </w:pPr>
      <w:r>
        <w:rPr>
          <w:rFonts w:ascii="Calibri" w:cs="Calibri" w:eastAsia="Calibri" w:hAnsi="Calibri"/>
          <w:sz w:val="11"/>
          <w:szCs w:val="11"/>
          <w:color w:val="auto"/>
        </w:rPr>
        <w:t xml:space="preserve">23.1 </w:t>
      </w:r>
      <w:r>
        <w:rPr>
          <w:rFonts w:ascii="Calibri" w:cs="Calibri" w:eastAsia="Calibri" w:hAnsi="Calibri"/>
          <w:sz w:val="11"/>
          <w:szCs w:val="11"/>
          <w:b w:val="1"/>
          <w:bCs w:val="1"/>
          <w:color w:val="auto"/>
        </w:rPr>
        <w:t>Notce Requirements</w:t>
      </w:r>
      <w:r>
        <w:rPr>
          <w:rFonts w:ascii="Calibri" w:cs="Calibri" w:eastAsia="Calibri" w:hAnsi="Calibri"/>
          <w:sz w:val="11"/>
          <w:szCs w:val="11"/>
          <w:color w:val="auto"/>
        </w:rPr>
        <w:t>. All notces required or permited by this Lease or applicable law shall be in writng and may be delivered in person (by hand or by courier) or may be sent by regular, certfied or registered mail or U.S. Postal Service Express Mail, with postage prepaid, or by facsimile transmission, or by email, and shall be deemed suﬃciently given if served in a manner specified in this Paragraph 23. The addresses noted adjacent to a Party's signature on this Lease shall be that Party's address for delivery or mailing of notces. Either Party may by writen notce to the other specify a diﬀerent address for notce, except that upon Lessee's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40005</wp:posOffset>
            </wp:positionV>
            <wp:extent cx="574040" cy="2940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40005</wp:posOffset>
            </wp:positionV>
            <wp:extent cx="382905" cy="29400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240"/>
              <w:spacing w:after="0"/>
              <w:rPr>
                <w:sz w:val="20"/>
                <w:szCs w:val="20"/>
                <w:color w:val="auto"/>
              </w:rPr>
            </w:pPr>
            <w:r>
              <w:rPr>
                <w:rFonts w:ascii="Calibri" w:cs="Calibri" w:eastAsia="Calibri" w:hAnsi="Calibri"/>
                <w:sz w:val="13"/>
                <w:szCs w:val="13"/>
                <w:color w:val="auto"/>
                <w:w w:val="97"/>
              </w:rPr>
              <w:t>Page 12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sectPr>
      </w:pPr>
    </w:p>
    <w:bookmarkStart w:id="110" w:name="page111"/>
    <w:bookmarkEnd w:id="110"/>
    <w:p>
      <w:pPr>
        <w:ind w:left="640" w:right="819"/>
        <w:spacing w:after="0" w:line="250" w:lineRule="auto"/>
        <w:rPr>
          <w:sz w:val="20"/>
          <w:szCs w:val="20"/>
          <w:color w:val="auto"/>
        </w:rPr>
      </w:pPr>
      <w:r>
        <w:rPr>
          <w:rFonts w:ascii="Calibri" w:cs="Calibri" w:eastAsia="Calibri" w:hAnsi="Calibri"/>
          <w:sz w:val="11"/>
          <w:szCs w:val="11"/>
          <w:color w:val="auto"/>
        </w:rPr>
        <w:t>taking possession of the Premises, the Premises shall consttute Lessee's address for notce. A copy of all notces to Lessor shall be concurrently transmited to such party or partes at such addresses as Lessor may from tme to tme hereafer designate in writng.</w:t>
      </w:r>
    </w:p>
    <w:p>
      <w:pPr>
        <w:ind w:left="640" w:right="659" w:firstLine="258"/>
        <w:spacing w:after="0" w:line="250" w:lineRule="auto"/>
        <w:rPr>
          <w:sz w:val="20"/>
          <w:szCs w:val="20"/>
          <w:color w:val="auto"/>
        </w:rPr>
      </w:pPr>
      <w:r>
        <w:rPr>
          <w:rFonts w:ascii="Calibri" w:cs="Calibri" w:eastAsia="Calibri" w:hAnsi="Calibri"/>
          <w:sz w:val="11"/>
          <w:szCs w:val="11"/>
          <w:color w:val="auto"/>
        </w:rPr>
        <w:t xml:space="preserve">23.2 </w:t>
      </w:r>
      <w:r>
        <w:rPr>
          <w:rFonts w:ascii="Calibri" w:cs="Calibri" w:eastAsia="Calibri" w:hAnsi="Calibri"/>
          <w:sz w:val="11"/>
          <w:szCs w:val="11"/>
          <w:b w:val="1"/>
          <w:bCs w:val="1"/>
          <w:color w:val="auto"/>
        </w:rPr>
        <w:t>Date of Notce</w:t>
      </w:r>
      <w:r>
        <w:rPr>
          <w:rFonts w:ascii="Calibri" w:cs="Calibri" w:eastAsia="Calibri" w:hAnsi="Calibri"/>
          <w:sz w:val="11"/>
          <w:szCs w:val="11"/>
          <w:color w:val="auto"/>
        </w:rPr>
        <w:t>. Any notce sent by registered or certfied mail, return receipt requested, shall be deemed given on the date of delivery shown on the receipt card, or if no delivery date is shown, the postmark thereon. If sent by regular mail the notce shall be deemed given 72 hours afer the same is addressed as required herein and mailed with postage prepaid. Notces delivered by United States Express Mail or overnight courier that guarantees next day delivery shall be deemed given 24 hours afer delivery of the same to the Postal Service or courier. Notces delivered by hand, or transmited by facsimile transmission or by email shall be deemed delivered upon actual receipt. If notce is received on a Saturday, Sunday or legal holiday, it shall be deemed received on the next business day.</w:t>
      </w:r>
    </w:p>
    <w:p>
      <w:pPr>
        <w:ind w:left="640" w:right="839" w:firstLine="258"/>
        <w:spacing w:after="0" w:line="251" w:lineRule="auto"/>
        <w:rPr>
          <w:sz w:val="20"/>
          <w:szCs w:val="20"/>
          <w:color w:val="auto"/>
        </w:rPr>
      </w:pPr>
      <w:r>
        <w:rPr>
          <w:rFonts w:ascii="Calibri" w:cs="Calibri" w:eastAsia="Calibri" w:hAnsi="Calibri"/>
          <w:sz w:val="11"/>
          <w:szCs w:val="11"/>
          <w:color w:val="auto"/>
        </w:rPr>
        <w:t xml:space="preserve">23.3 </w:t>
      </w:r>
      <w:r>
        <w:rPr>
          <w:rFonts w:ascii="Calibri" w:cs="Calibri" w:eastAsia="Calibri" w:hAnsi="Calibri"/>
          <w:sz w:val="11"/>
          <w:szCs w:val="11"/>
          <w:b w:val="1"/>
          <w:bCs w:val="1"/>
          <w:color w:val="auto"/>
        </w:rPr>
        <w:t>Optons.</w:t>
      </w:r>
      <w:r>
        <w:rPr>
          <w:rFonts w:ascii="Calibri" w:cs="Calibri" w:eastAsia="Calibri" w:hAnsi="Calibri"/>
          <w:sz w:val="11"/>
          <w:szCs w:val="11"/>
          <w:color w:val="auto"/>
        </w:rPr>
        <w:t xml:space="preserve"> Notwithstanding the foregoing, in order to exercise any Optons (see paragraph 39), the Notce must be sent by Certfied Mail (return receipt requested), Express Mail (signature required), courier (signature required) or some other methodology that provides a receipt establishing the date the notce was received by the Lessor.</w:t>
      </w:r>
    </w:p>
    <w:p>
      <w:pPr>
        <w:spacing w:after="0" w:line="84" w:lineRule="exact"/>
        <w:rPr>
          <w:sz w:val="20"/>
          <w:szCs w:val="20"/>
          <w:color w:val="auto"/>
        </w:rPr>
      </w:pPr>
    </w:p>
    <w:p>
      <w:pPr>
        <w:ind w:left="800" w:hanging="169"/>
        <w:spacing w:after="0"/>
        <w:tabs>
          <w:tab w:leader="none" w:pos="800" w:val="left"/>
        </w:tabs>
        <w:numPr>
          <w:ilvl w:val="0"/>
          <w:numId w:val="77"/>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Waivers.</w:t>
      </w:r>
    </w:p>
    <w:p>
      <w:pPr>
        <w:spacing w:after="0" w:line="5" w:lineRule="exact"/>
        <w:rPr>
          <w:rFonts w:ascii="Calibri" w:cs="Calibri" w:eastAsia="Calibri" w:hAnsi="Calibri"/>
          <w:sz w:val="11"/>
          <w:szCs w:val="11"/>
          <w:b w:val="1"/>
          <w:bCs w:val="1"/>
          <w:color w:val="auto"/>
        </w:rPr>
      </w:pPr>
    </w:p>
    <w:p>
      <w:pPr>
        <w:ind w:left="640" w:right="639" w:firstLine="249"/>
        <w:spacing w:after="0" w:line="250" w:lineRule="auto"/>
        <w:tabs>
          <w:tab w:leader="none" w:pos="1049" w:val="left"/>
        </w:tabs>
        <w:numPr>
          <w:ilvl w:val="1"/>
          <w:numId w:val="77"/>
        </w:numPr>
        <w:rPr>
          <w:rFonts w:ascii="Calibri" w:cs="Calibri" w:eastAsia="Calibri" w:hAnsi="Calibri"/>
          <w:sz w:val="11"/>
          <w:szCs w:val="11"/>
          <w:color w:val="auto"/>
        </w:rPr>
      </w:pPr>
      <w:r>
        <w:rPr>
          <w:rFonts w:ascii="Calibri" w:cs="Calibri" w:eastAsia="Calibri" w:hAnsi="Calibri"/>
          <w:sz w:val="11"/>
          <w:szCs w:val="11"/>
          <w:color w:val="auto"/>
        </w:rPr>
        <w:t>No waiver by Lessor of the Default or Breach of any term, covenant or conditon hereof by Lessee, shall be deemed a waiver of any other term, covenant or conditon hereof, or of any subsequent Default or Breach by Lessee of the same or of any other term, covenant or conditon hereof. Lessor's consent to, or approval of, any act shall not be deemed to render unnecessary the obtaining of Lessor's consent to, or approval of, any subsequent or similar act by Lessee, or be construed as the basis of an estoppel to enforce the provision or provisions of this Lease requiring such consent.</w:t>
      </w:r>
    </w:p>
    <w:p>
      <w:pPr>
        <w:ind w:left="640" w:right="739" w:firstLine="249"/>
        <w:spacing w:after="0" w:line="250" w:lineRule="auto"/>
        <w:tabs>
          <w:tab w:leader="none" w:pos="1054" w:val="left"/>
        </w:tabs>
        <w:numPr>
          <w:ilvl w:val="1"/>
          <w:numId w:val="77"/>
        </w:numPr>
        <w:rPr>
          <w:rFonts w:ascii="Calibri" w:cs="Calibri" w:eastAsia="Calibri" w:hAnsi="Calibri"/>
          <w:sz w:val="11"/>
          <w:szCs w:val="11"/>
          <w:color w:val="auto"/>
        </w:rPr>
      </w:pPr>
      <w:r>
        <w:rPr>
          <w:rFonts w:ascii="Calibri" w:cs="Calibri" w:eastAsia="Calibri" w:hAnsi="Calibri"/>
          <w:sz w:val="11"/>
          <w:szCs w:val="11"/>
          <w:color w:val="auto"/>
        </w:rPr>
        <w:t>The acceptance of Rent by Lessor shall not be a waiver of any Default or Breach by Lessee. Any payment by Lessee may be accepted by Lessor on account of monies or damages due Lessor, notwithstanding any qualifying statements or conditons made by Lessee in connecton therewith, which such statements and/or conditons shall be of no force or eﬀect whatsoever unless specifically agreed to in writng by Lessor at or before the tme of deposit of such payment.</w:t>
      </w:r>
    </w:p>
    <w:p>
      <w:pPr>
        <w:ind w:left="640" w:right="639" w:firstLine="249"/>
        <w:spacing w:after="0" w:line="253" w:lineRule="auto"/>
        <w:tabs>
          <w:tab w:leader="none" w:pos="1042" w:val="left"/>
        </w:tabs>
        <w:numPr>
          <w:ilvl w:val="1"/>
          <w:numId w:val="77"/>
        </w:numPr>
        <w:rPr>
          <w:rFonts w:ascii="Calibri" w:cs="Calibri" w:eastAsia="Calibri" w:hAnsi="Calibri"/>
          <w:sz w:val="11"/>
          <w:szCs w:val="11"/>
          <w:color w:val="auto"/>
        </w:rPr>
      </w:pPr>
      <w:r>
        <w:rPr>
          <w:rFonts w:ascii="Calibri" w:cs="Calibri" w:eastAsia="Calibri" w:hAnsi="Calibri"/>
          <w:sz w:val="11"/>
          <w:szCs w:val="11"/>
          <w:color w:val="auto"/>
        </w:rPr>
        <w:t>THE PARTIES AGREE THAT THE TERMS OF THIS LEASE SHALL GOVERN WITH REGARD TO ALL MATTERS RELATED THERETO AND HEREBY WAIVE THE PROVISIONS OF ANY PRESENT OR FUTURE STATUTE TO THE EXTENT THAT SUCH STATUTE IS INCONSISTENT WITH THIS LEASE.</w:t>
      </w:r>
    </w:p>
    <w:p>
      <w:pPr>
        <w:spacing w:after="0" w:line="82" w:lineRule="exact"/>
        <w:rPr>
          <w:rFonts w:ascii="Calibri" w:cs="Calibri" w:eastAsia="Calibri" w:hAnsi="Calibri"/>
          <w:sz w:val="11"/>
          <w:szCs w:val="11"/>
          <w:color w:val="auto"/>
        </w:rPr>
      </w:pPr>
    </w:p>
    <w:p>
      <w:pPr>
        <w:ind w:left="800" w:hanging="169"/>
        <w:spacing w:after="0"/>
        <w:tabs>
          <w:tab w:leader="none" w:pos="800" w:val="left"/>
        </w:tabs>
        <w:numPr>
          <w:ilvl w:val="0"/>
          <w:numId w:val="77"/>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Disclosures Regarding The Nature of a Real Estate Agency Relatonship.</w:t>
      </w:r>
    </w:p>
    <w:p>
      <w:pPr>
        <w:spacing w:after="0" w:line="5" w:lineRule="exact"/>
        <w:rPr>
          <w:rFonts w:ascii="Calibri" w:cs="Calibri" w:eastAsia="Calibri" w:hAnsi="Calibri"/>
          <w:sz w:val="11"/>
          <w:szCs w:val="11"/>
          <w:b w:val="1"/>
          <w:bCs w:val="1"/>
          <w:color w:val="auto"/>
        </w:rPr>
      </w:pPr>
    </w:p>
    <w:p>
      <w:pPr>
        <w:ind w:left="640" w:right="719" w:firstLine="249"/>
        <w:spacing w:after="0" w:line="250" w:lineRule="auto"/>
        <w:tabs>
          <w:tab w:leader="none" w:pos="1049" w:val="left"/>
        </w:tabs>
        <w:numPr>
          <w:ilvl w:val="1"/>
          <w:numId w:val="77"/>
        </w:numPr>
        <w:rPr>
          <w:rFonts w:ascii="Calibri" w:cs="Calibri" w:eastAsia="Calibri" w:hAnsi="Calibri"/>
          <w:sz w:val="11"/>
          <w:szCs w:val="11"/>
          <w:color w:val="auto"/>
        </w:rPr>
      </w:pPr>
      <w:r>
        <w:rPr>
          <w:rFonts w:ascii="Calibri" w:cs="Calibri" w:eastAsia="Calibri" w:hAnsi="Calibri"/>
          <w:sz w:val="11"/>
          <w:szCs w:val="11"/>
          <w:color w:val="auto"/>
        </w:rPr>
        <w:t>When entering into a discussion with a real estate agent regarding a real estate transacton, a Lessor or Lessee should from the outset understand what type of agency relatonship or representaton it has with the agent or agents in the transacton. Lessor and Lessee acknowledge being advised by the Brokers in this transacton, as follows:</w:t>
      </w:r>
    </w:p>
    <w:p>
      <w:pPr>
        <w:ind w:left="640" w:right="699" w:firstLine="342"/>
        <w:spacing w:after="0" w:line="250" w:lineRule="auto"/>
        <w:tabs>
          <w:tab w:leader="none" w:pos="1113" w:val="left"/>
        </w:tabs>
        <w:numPr>
          <w:ilvl w:val="2"/>
          <w:numId w:val="77"/>
        </w:numPr>
        <w:rPr>
          <w:rFonts w:ascii="Calibri" w:cs="Calibri" w:eastAsia="Calibri" w:hAnsi="Calibri"/>
          <w:sz w:val="11"/>
          <w:szCs w:val="11"/>
          <w:color w:val="auto"/>
        </w:rPr>
      </w:pPr>
      <w:r>
        <w:rPr>
          <w:rFonts w:ascii="Calibri" w:cs="Calibri" w:eastAsia="Calibri" w:hAnsi="Calibri"/>
          <w:sz w:val="11"/>
          <w:szCs w:val="11"/>
          <w:i w:val="1"/>
          <w:iCs w:val="1"/>
          <w:u w:val="single" w:color="auto"/>
          <w:color w:val="auto"/>
        </w:rPr>
        <w:t>Lessor's Agent</w:t>
      </w:r>
      <w:r>
        <w:rPr>
          <w:rFonts w:ascii="Calibri" w:cs="Calibri" w:eastAsia="Calibri" w:hAnsi="Calibri"/>
          <w:sz w:val="11"/>
          <w:szCs w:val="11"/>
          <w:color w:val="auto"/>
        </w:rPr>
        <w:t>. A Lessor's agent under a listng agreement with the Lessor acts as the agent for the Lessor only. A Lessor's agent or subagent has the</w:t>
      </w:r>
      <w:r>
        <w:rPr>
          <w:rFonts w:ascii="Calibri" w:cs="Calibri" w:eastAsia="Calibri" w:hAnsi="Calibri"/>
          <w:sz w:val="11"/>
          <w:szCs w:val="11"/>
          <w:i w:val="1"/>
          <w:iCs w:val="1"/>
          <w:color w:val="auto"/>
        </w:rPr>
        <w:t xml:space="preserve"> </w:t>
      </w:r>
      <w:r>
        <w:rPr>
          <w:rFonts w:ascii="Calibri" w:cs="Calibri" w:eastAsia="Calibri" w:hAnsi="Calibri"/>
          <w:sz w:val="11"/>
          <w:szCs w:val="11"/>
          <w:color w:val="auto"/>
        </w:rPr>
        <w:t xml:space="preserve">following aﬃrmatve obligatons: </w:t>
      </w:r>
      <w:r>
        <w:rPr>
          <w:rFonts w:ascii="Calibri" w:cs="Calibri" w:eastAsia="Calibri" w:hAnsi="Calibri"/>
          <w:sz w:val="11"/>
          <w:szCs w:val="11"/>
          <w:i w:val="1"/>
          <w:iCs w:val="1"/>
          <w:u w:val="single" w:color="auto"/>
          <w:color w:val="auto"/>
        </w:rPr>
        <w:t>To the Lessor</w:t>
      </w:r>
      <w:r>
        <w:rPr>
          <w:rFonts w:ascii="Calibri" w:cs="Calibri" w:eastAsia="Calibri" w:hAnsi="Calibri"/>
          <w:sz w:val="11"/>
          <w:szCs w:val="11"/>
          <w:color w:val="auto"/>
        </w:rPr>
        <w:t xml:space="preserve">: A fiduciary duty of utmost care, integrity, honesty, and loyalty in dealings with the Lessor. </w:t>
      </w:r>
      <w:r>
        <w:rPr>
          <w:rFonts w:ascii="Calibri" w:cs="Calibri" w:eastAsia="Calibri" w:hAnsi="Calibri"/>
          <w:sz w:val="11"/>
          <w:szCs w:val="11"/>
          <w:i w:val="1"/>
          <w:iCs w:val="1"/>
          <w:u w:val="single" w:color="auto"/>
          <w:color w:val="auto"/>
        </w:rPr>
        <w:t>To the Lessee and the Lessor</w:t>
      </w:r>
      <w:r>
        <w:rPr>
          <w:rFonts w:ascii="Calibri" w:cs="Calibri" w:eastAsia="Calibri" w:hAnsi="Calibri"/>
          <w:sz w:val="11"/>
          <w:szCs w:val="11"/>
          <w:color w:val="auto"/>
        </w:rPr>
        <w:t>:</w:t>
      </w:r>
    </w:p>
    <w:p>
      <w:pPr>
        <w:ind w:left="640" w:right="679"/>
        <w:spacing w:after="0" w:line="252" w:lineRule="auto"/>
        <w:rPr>
          <w:rFonts w:ascii="Calibri" w:cs="Calibri" w:eastAsia="Calibri" w:hAnsi="Calibri"/>
          <w:sz w:val="11"/>
          <w:szCs w:val="11"/>
          <w:color w:val="auto"/>
        </w:rPr>
      </w:pPr>
      <w:r>
        <w:rPr>
          <w:rFonts w:ascii="Calibri" w:cs="Calibri" w:eastAsia="Calibri" w:hAnsi="Calibri"/>
          <w:sz w:val="11"/>
          <w:szCs w:val="11"/>
          <w:color w:val="auto"/>
        </w:rPr>
        <w:t>(a) Diligent exercise of reasonable skills and care in performance of the agent's dutes. (b) A duty of honest and fair dealing and good faith. (c) A duty to disclose all facts known to the agent materially aﬀectng the value or desirability of the property that are not known to, or within the diligent atenton and observaton of, the Partes. An agent is not obligated to reveal to either Party any confidental informaton obtained from the other Party which does not involve the aﬃrmatve dutes set forth above.</w:t>
      </w:r>
    </w:p>
    <w:p>
      <w:pPr>
        <w:spacing w:after="0" w:line="136" w:lineRule="exact"/>
        <w:rPr>
          <w:rFonts w:ascii="Calibri" w:cs="Calibri" w:eastAsia="Calibri" w:hAnsi="Calibri"/>
          <w:sz w:val="11"/>
          <w:szCs w:val="11"/>
          <w:color w:val="auto"/>
        </w:rPr>
      </w:pPr>
    </w:p>
    <w:p>
      <w:pPr>
        <w:ind w:left="640" w:right="699" w:firstLine="342"/>
        <w:spacing w:after="0" w:line="250" w:lineRule="auto"/>
        <w:tabs>
          <w:tab w:leader="none" w:pos="1139" w:val="left"/>
        </w:tabs>
        <w:numPr>
          <w:ilvl w:val="2"/>
          <w:numId w:val="78"/>
        </w:numPr>
        <w:rPr>
          <w:rFonts w:ascii="Calibri" w:cs="Calibri" w:eastAsia="Calibri" w:hAnsi="Calibri"/>
          <w:sz w:val="11"/>
          <w:szCs w:val="11"/>
          <w:color w:val="auto"/>
        </w:rPr>
      </w:pPr>
      <w:r>
        <w:rPr>
          <w:rFonts w:ascii="Calibri" w:cs="Calibri" w:eastAsia="Calibri" w:hAnsi="Calibri"/>
          <w:sz w:val="11"/>
          <w:szCs w:val="11"/>
          <w:i w:val="1"/>
          <w:iCs w:val="1"/>
          <w:u w:val="single" w:color="auto"/>
          <w:color w:val="auto"/>
        </w:rPr>
        <w:t>Lessee's Agent</w:t>
      </w:r>
      <w:r>
        <w:rPr>
          <w:rFonts w:ascii="Calibri" w:cs="Calibri" w:eastAsia="Calibri" w:hAnsi="Calibri"/>
          <w:sz w:val="11"/>
          <w:szCs w:val="11"/>
          <w:color w:val="auto"/>
        </w:rPr>
        <w:t>. An agent can agree to act as agent for the Lessee only. In these situatons, the agent is not the Lessor's agent, even if by agreement the</w:t>
      </w:r>
      <w:r>
        <w:rPr>
          <w:rFonts w:ascii="Calibri" w:cs="Calibri" w:eastAsia="Calibri" w:hAnsi="Calibri"/>
          <w:sz w:val="11"/>
          <w:szCs w:val="11"/>
          <w:i w:val="1"/>
          <w:iCs w:val="1"/>
          <w:color w:val="auto"/>
        </w:rPr>
        <w:t xml:space="preserve"> </w:t>
      </w:r>
      <w:r>
        <w:rPr>
          <w:rFonts w:ascii="Calibri" w:cs="Calibri" w:eastAsia="Calibri" w:hAnsi="Calibri"/>
          <w:sz w:val="11"/>
          <w:szCs w:val="11"/>
          <w:color w:val="auto"/>
        </w:rPr>
        <w:t xml:space="preserve">agent may receive compensaton for services rendered, either in full or in part from the Lessor. An agent actng only for a Lessee has the following aﬃrmatve obligatons. </w:t>
      </w:r>
      <w:r>
        <w:rPr>
          <w:rFonts w:ascii="Calibri" w:cs="Calibri" w:eastAsia="Calibri" w:hAnsi="Calibri"/>
          <w:sz w:val="11"/>
          <w:szCs w:val="11"/>
          <w:i w:val="1"/>
          <w:iCs w:val="1"/>
          <w:u w:val="single" w:color="auto"/>
          <w:color w:val="auto"/>
        </w:rPr>
        <w:t>To the Lessee</w:t>
      </w:r>
      <w:r>
        <w:rPr>
          <w:rFonts w:ascii="Calibri" w:cs="Calibri" w:eastAsia="Calibri" w:hAnsi="Calibri"/>
          <w:sz w:val="11"/>
          <w:szCs w:val="11"/>
          <w:color w:val="auto"/>
        </w:rPr>
        <w:t xml:space="preserve">: A fiduciary duty of utmost care, integrity, honesty, and loyalty in dealings with the Lessee. </w:t>
      </w:r>
      <w:r>
        <w:rPr>
          <w:rFonts w:ascii="Calibri" w:cs="Calibri" w:eastAsia="Calibri" w:hAnsi="Calibri"/>
          <w:sz w:val="11"/>
          <w:szCs w:val="11"/>
          <w:i w:val="1"/>
          <w:iCs w:val="1"/>
          <w:u w:val="single" w:color="auto"/>
          <w:color w:val="auto"/>
        </w:rPr>
        <w:t>To the Lessee and the Lessor</w:t>
      </w:r>
      <w:r>
        <w:rPr>
          <w:rFonts w:ascii="Calibri" w:cs="Calibri" w:eastAsia="Calibri" w:hAnsi="Calibri"/>
          <w:sz w:val="11"/>
          <w:szCs w:val="11"/>
          <w:color w:val="auto"/>
        </w:rPr>
        <w:t>: (a) Diligent exercise of reasonable skills and care in performance of the agent's dutes. (b) A duty of honest and fair dealing and good faith. (c) A duty to disclose all facts known to the agent materially aﬀectng the value or desirability of the property that are not known to, or within the diligent atenton and observaton of, the Partes. An agent is not obligated to reveal to either Party any confidental informaton obtained from the other Party which does not involve the aﬃrmatve dutes set forth above.</w:t>
      </w:r>
    </w:p>
    <w:p>
      <w:pPr>
        <w:ind w:left="640" w:right="659" w:firstLine="342"/>
        <w:spacing w:after="0" w:line="250" w:lineRule="auto"/>
        <w:tabs>
          <w:tab w:leader="none" w:pos="1166" w:val="left"/>
        </w:tabs>
        <w:numPr>
          <w:ilvl w:val="2"/>
          <w:numId w:val="79"/>
        </w:numPr>
        <w:rPr>
          <w:rFonts w:ascii="Calibri" w:cs="Calibri" w:eastAsia="Calibri" w:hAnsi="Calibri"/>
          <w:sz w:val="11"/>
          <w:szCs w:val="11"/>
          <w:color w:val="auto"/>
        </w:rPr>
      </w:pPr>
      <w:r>
        <w:rPr>
          <w:rFonts w:ascii="Calibri" w:cs="Calibri" w:eastAsia="Calibri" w:hAnsi="Calibri"/>
          <w:sz w:val="11"/>
          <w:szCs w:val="11"/>
          <w:i w:val="1"/>
          <w:iCs w:val="1"/>
          <w:u w:val="single" w:color="auto"/>
          <w:color w:val="auto"/>
        </w:rPr>
        <w:t>Agent Representng Both Lessor and Lessee</w:t>
      </w:r>
      <w:r>
        <w:rPr>
          <w:rFonts w:ascii="Calibri" w:cs="Calibri" w:eastAsia="Calibri" w:hAnsi="Calibri"/>
          <w:sz w:val="11"/>
          <w:szCs w:val="11"/>
          <w:color w:val="auto"/>
        </w:rPr>
        <w:t>. A real estate agent, either actng directly or through one or more associate licensees, can legally be the agent</w:t>
      </w:r>
      <w:r>
        <w:rPr>
          <w:rFonts w:ascii="Calibri" w:cs="Calibri" w:eastAsia="Calibri" w:hAnsi="Calibri"/>
          <w:sz w:val="11"/>
          <w:szCs w:val="11"/>
          <w:i w:val="1"/>
          <w:iCs w:val="1"/>
          <w:color w:val="auto"/>
        </w:rPr>
        <w:t xml:space="preserve"> </w:t>
      </w:r>
      <w:r>
        <w:rPr>
          <w:rFonts w:ascii="Calibri" w:cs="Calibri" w:eastAsia="Calibri" w:hAnsi="Calibri"/>
          <w:sz w:val="11"/>
          <w:szCs w:val="11"/>
          <w:color w:val="auto"/>
        </w:rPr>
        <w:t>of both the Lessor and the Lessee in a transacton, but only with the knowledge and consent of both the Lessor and the Lessee. In a dual agency situaton, the agent has the following aﬃrmatve obligatons to both the Lessor and the Lessee: (a) A fiduciary duty of utmost care, integrity, honesty and loyalty in the dealings with either Lessor or the Lessee. (b) Other dutes to the Lessor and the Lessee as stated above in subparagraphs (i) or (ii). In representng both Lessor and Lessee, the agent may not, without the express permission of the respectve Party, disclose to the other Party confidental informaton, including, but not limited to, facts relatng to either Lessee's or Lessor's financial positon, motvatons, bargaining positon, or other personal informaton that may impact rent, including Lessor's willingness to accept a rent less than the listng rent or Lessee's willingness to pay rent greater than the rent oﬀered. The above dutes of the agent in a real estate transacton do not relieve a Lessor or Lessee from the responsibility to protect their own interests. Lessor and Lessee should carefully read all agreements to assure that they adequately express their understanding of the transacton. A real estate agent is a person qualified to advise about real estate. If legal or tax advice is desired, consult a competent professional. Both Lessor and Lessee should strongly consider obtaining tax advice from a competent professional because the federal and state tax consequences of a transacton can be complex and subject to change.</w:t>
      </w:r>
    </w:p>
    <w:p>
      <w:pPr>
        <w:ind w:left="640" w:right="739" w:firstLine="249"/>
        <w:spacing w:after="0" w:line="251" w:lineRule="auto"/>
        <w:tabs>
          <w:tab w:leader="none" w:pos="1054" w:val="left"/>
        </w:tabs>
        <w:numPr>
          <w:ilvl w:val="1"/>
          <w:numId w:val="80"/>
        </w:numPr>
        <w:rPr>
          <w:rFonts w:ascii="Calibri" w:cs="Calibri" w:eastAsia="Calibri" w:hAnsi="Calibri"/>
          <w:sz w:val="11"/>
          <w:szCs w:val="11"/>
          <w:color w:val="auto"/>
        </w:rPr>
      </w:pPr>
      <w:r>
        <w:rPr>
          <w:rFonts w:ascii="Calibri" w:cs="Calibri" w:eastAsia="Calibri" w:hAnsi="Calibri"/>
          <w:sz w:val="11"/>
          <w:szCs w:val="11"/>
          <w:color w:val="auto"/>
        </w:rPr>
        <w:t>Brokers have no responsibility with respect to any default or breach hereof by either Party. The Partes agree that no lawsuit or other legal proceeding involving any breach of duty, error or omission relatng to this Lease may be brought against Broker more than one year afer the Start Date and that the liability (including court costs and atorneys' fees), of any Broker with respect to any such lawsuit and/or legal proceeding shall not exceed the fee received by such Broker pursuant to this Lease; provided, however, that the foregoing limitaton on each Broker's liability shall not be applicable to any gross negligence or willful misconduct of such Broker.</w:t>
      </w:r>
    </w:p>
    <w:p>
      <w:pPr>
        <w:spacing w:after="0" w:line="137" w:lineRule="exact"/>
        <w:rPr>
          <w:rFonts w:ascii="Calibri" w:cs="Calibri" w:eastAsia="Calibri" w:hAnsi="Calibri"/>
          <w:sz w:val="11"/>
          <w:szCs w:val="11"/>
          <w:color w:val="auto"/>
        </w:rPr>
      </w:pPr>
    </w:p>
    <w:p>
      <w:pPr>
        <w:ind w:left="640" w:right="999" w:firstLine="249"/>
        <w:spacing w:after="0" w:line="253" w:lineRule="auto"/>
        <w:tabs>
          <w:tab w:leader="none" w:pos="1042" w:val="left"/>
        </w:tabs>
        <w:numPr>
          <w:ilvl w:val="1"/>
          <w:numId w:val="80"/>
        </w:numPr>
        <w:rPr>
          <w:rFonts w:ascii="Calibri" w:cs="Calibri" w:eastAsia="Calibri" w:hAnsi="Calibri"/>
          <w:sz w:val="11"/>
          <w:szCs w:val="11"/>
          <w:color w:val="auto"/>
        </w:rPr>
      </w:pPr>
      <w:r>
        <w:rPr>
          <w:rFonts w:ascii="Calibri" w:cs="Calibri" w:eastAsia="Calibri" w:hAnsi="Calibri"/>
          <w:sz w:val="11"/>
          <w:szCs w:val="11"/>
          <w:color w:val="auto"/>
        </w:rPr>
        <w:t>Lessor and Lessee agree to identfy to Brokers as "Confidental" any communicaton or informaton given Brokers that is considered by such Party to be confidental.</w:t>
      </w:r>
    </w:p>
    <w:p>
      <w:pPr>
        <w:spacing w:after="0" w:line="82" w:lineRule="exact"/>
        <w:rPr>
          <w:rFonts w:ascii="Calibri" w:cs="Calibri" w:eastAsia="Calibri" w:hAnsi="Calibri"/>
          <w:sz w:val="11"/>
          <w:szCs w:val="11"/>
          <w:color w:val="auto"/>
        </w:rPr>
      </w:pPr>
    </w:p>
    <w:p>
      <w:pPr>
        <w:ind w:left="640" w:right="659" w:hanging="9"/>
        <w:spacing w:after="0" w:line="250" w:lineRule="auto"/>
        <w:tabs>
          <w:tab w:leader="none" w:pos="813" w:val="left"/>
        </w:tabs>
        <w:numPr>
          <w:ilvl w:val="0"/>
          <w:numId w:val="81"/>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No Right To Holdover</w:t>
      </w:r>
      <w:r>
        <w:rPr>
          <w:rFonts w:ascii="Calibri" w:cs="Calibri" w:eastAsia="Calibri" w:hAnsi="Calibri"/>
          <w:sz w:val="11"/>
          <w:szCs w:val="11"/>
          <w:color w:val="auto"/>
        </w:rPr>
        <w:t>. Lessee has no right to retain possession of the Premises or any part thereof beyond the expiraton or terminaton of this Lease. At or prior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to the expiraton or terminaton of this Lease Lessee shall deliver exclusive possession of the Premises to Lessor. For purposes of this provision and Paragraph 13.1(a), exclusive possession shall mean that Lessee shall have vacated the Premises, removed all of its personal property therefrom and that the Premises have been returned in the conditon specified in this Lease. In the event that Lessee does not deliver exclusive possession to Lessor as specified above, then Lessor's damages during any holdover period shall be computed at the amount of the Rent (as defined in Paragraph 4.1) due during the last full month before the expiraton or terminaton of this Lease (disregarding any temporary abatement of Rent that may have been in eﬀect), but with Base Rent being 150% of the Base Rent payable during such last full month. Nothing contained herein shall be construed as consent by Lessor to any holding over by Lessee.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41275</wp:posOffset>
            </wp:positionV>
            <wp:extent cx="574040" cy="2940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41275</wp:posOffset>
            </wp:positionV>
            <wp:extent cx="382905" cy="2940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240"/>
              <w:spacing w:after="0"/>
              <w:rPr>
                <w:sz w:val="20"/>
                <w:szCs w:val="20"/>
                <w:color w:val="auto"/>
              </w:rPr>
            </w:pPr>
            <w:r>
              <w:rPr>
                <w:rFonts w:ascii="Calibri" w:cs="Calibri" w:eastAsia="Calibri" w:hAnsi="Calibri"/>
                <w:sz w:val="13"/>
                <w:szCs w:val="13"/>
                <w:color w:val="auto"/>
                <w:w w:val="97"/>
              </w:rPr>
              <w:t>Page 13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11" w:name="page112"/>
    <w:bookmarkEnd w:id="111"/>
    <w:p>
      <w:pPr>
        <w:ind w:left="640" w:right="659" w:hanging="9"/>
        <w:spacing w:after="0" w:line="246" w:lineRule="auto"/>
        <w:tabs>
          <w:tab w:leader="none" w:pos="813" w:val="left"/>
        </w:tabs>
        <w:numPr>
          <w:ilvl w:val="0"/>
          <w:numId w:val="82"/>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Cumulatve Remedies. </w:t>
      </w:r>
      <w:r>
        <w:rPr>
          <w:rFonts w:ascii="Calibri" w:cs="Calibri" w:eastAsia="Calibri" w:hAnsi="Calibri"/>
          <w:sz w:val="11"/>
          <w:szCs w:val="11"/>
          <w:color w:val="auto"/>
        </w:rPr>
        <w:t>No remedy or electon hereunder shall be deemed exclusive but shall, wherever possible, be cumulatve with all other remedies at law or in</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equity.</w:t>
      </w:r>
    </w:p>
    <w:p>
      <w:pPr>
        <w:spacing w:after="0" w:line="228" w:lineRule="exact"/>
        <w:rPr>
          <w:rFonts w:ascii="Calibri" w:cs="Calibri" w:eastAsia="Calibri" w:hAnsi="Calibri"/>
          <w:sz w:val="11"/>
          <w:szCs w:val="11"/>
          <w:b w:val="1"/>
          <w:bCs w:val="1"/>
          <w:color w:val="auto"/>
        </w:rPr>
      </w:pPr>
    </w:p>
    <w:p>
      <w:pPr>
        <w:ind w:left="640" w:right="719" w:hanging="9"/>
        <w:spacing w:after="0" w:line="251" w:lineRule="auto"/>
        <w:tabs>
          <w:tab w:leader="none" w:pos="813" w:val="left"/>
        </w:tabs>
        <w:numPr>
          <w:ilvl w:val="0"/>
          <w:numId w:val="82"/>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Covenants and Conditons; Constructon of Agreement. </w:t>
      </w:r>
      <w:r>
        <w:rPr>
          <w:rFonts w:ascii="Calibri" w:cs="Calibri" w:eastAsia="Calibri" w:hAnsi="Calibri"/>
          <w:sz w:val="11"/>
          <w:szCs w:val="11"/>
          <w:color w:val="auto"/>
        </w:rPr>
        <w:t>All provisions of this Lease to be observed or performed by Lessee are both covenants and conditons. In</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construing this Lease, all headings and ttles are for the convenience of the Partes only and shall not be considered a part of this Lease. Whenever required by the context, the singular shall include the plural and vice versa. This Lease shall not be construed as if prepared by one of the Partes, but rather according to its fair meaning as a whole, as if both Partes had prepared it.</w:t>
      </w:r>
    </w:p>
    <w:p>
      <w:pPr>
        <w:spacing w:after="0" w:line="83" w:lineRule="exact"/>
        <w:rPr>
          <w:rFonts w:ascii="Calibri" w:cs="Calibri" w:eastAsia="Calibri" w:hAnsi="Calibri"/>
          <w:sz w:val="11"/>
          <w:szCs w:val="11"/>
          <w:b w:val="1"/>
          <w:bCs w:val="1"/>
          <w:color w:val="auto"/>
        </w:rPr>
      </w:pPr>
    </w:p>
    <w:p>
      <w:pPr>
        <w:jc w:val="both"/>
        <w:ind w:left="640" w:right="739" w:hanging="9"/>
        <w:spacing w:after="0" w:line="251" w:lineRule="auto"/>
        <w:tabs>
          <w:tab w:leader="none" w:pos="813" w:val="left"/>
        </w:tabs>
        <w:numPr>
          <w:ilvl w:val="0"/>
          <w:numId w:val="82"/>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Binding Eﬀect; Choice of Law. </w:t>
      </w:r>
      <w:r>
        <w:rPr>
          <w:rFonts w:ascii="Calibri" w:cs="Calibri" w:eastAsia="Calibri" w:hAnsi="Calibri"/>
          <w:sz w:val="11"/>
          <w:szCs w:val="11"/>
          <w:color w:val="auto"/>
        </w:rPr>
        <w:t>This Lease shall be binding upon the Partes, their personal representatves, successors and assigns and be governed by the laws of</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the State in which the Premises are located. Any litgaton between the Partes hereto concerning this Lease shall be initated in the county in which the Premises are located. Signatures to this Lease accomplished by means of electronic signature or similar technology shall be legal and binding.</w:t>
      </w:r>
    </w:p>
    <w:p>
      <w:pPr>
        <w:spacing w:after="0" w:line="84" w:lineRule="exact"/>
        <w:rPr>
          <w:rFonts w:ascii="Calibri" w:cs="Calibri" w:eastAsia="Calibri" w:hAnsi="Calibri"/>
          <w:sz w:val="11"/>
          <w:szCs w:val="11"/>
          <w:b w:val="1"/>
          <w:bCs w:val="1"/>
          <w:color w:val="auto"/>
        </w:rPr>
      </w:pPr>
    </w:p>
    <w:p>
      <w:pPr>
        <w:ind w:left="800" w:hanging="169"/>
        <w:spacing w:after="0"/>
        <w:tabs>
          <w:tab w:leader="none" w:pos="800" w:val="left"/>
        </w:tabs>
        <w:numPr>
          <w:ilvl w:val="0"/>
          <w:numId w:val="82"/>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Subordinaton; Atornment; Non-Disturbance.</w:t>
      </w:r>
    </w:p>
    <w:p>
      <w:pPr>
        <w:spacing w:after="0" w:line="6" w:lineRule="exact"/>
        <w:rPr>
          <w:sz w:val="20"/>
          <w:szCs w:val="20"/>
          <w:color w:val="auto"/>
        </w:rPr>
      </w:pPr>
    </w:p>
    <w:p>
      <w:pPr>
        <w:ind w:left="640" w:right="719" w:firstLine="258"/>
        <w:spacing w:after="0" w:line="250" w:lineRule="auto"/>
        <w:rPr>
          <w:sz w:val="20"/>
          <w:szCs w:val="20"/>
          <w:color w:val="auto"/>
        </w:rPr>
      </w:pPr>
      <w:r>
        <w:rPr>
          <w:rFonts w:ascii="Calibri" w:cs="Calibri" w:eastAsia="Calibri" w:hAnsi="Calibri"/>
          <w:sz w:val="11"/>
          <w:szCs w:val="11"/>
          <w:color w:val="auto"/>
        </w:rPr>
        <w:t xml:space="preserve">30.1 </w:t>
      </w:r>
      <w:r>
        <w:rPr>
          <w:rFonts w:ascii="Calibri" w:cs="Calibri" w:eastAsia="Calibri" w:hAnsi="Calibri"/>
          <w:sz w:val="11"/>
          <w:szCs w:val="11"/>
          <w:b w:val="1"/>
          <w:bCs w:val="1"/>
          <w:color w:val="auto"/>
        </w:rPr>
        <w:t>Subordinaton</w:t>
      </w:r>
      <w:r>
        <w:rPr>
          <w:rFonts w:ascii="Calibri" w:cs="Calibri" w:eastAsia="Calibri" w:hAnsi="Calibri"/>
          <w:sz w:val="11"/>
          <w:szCs w:val="11"/>
          <w:color w:val="auto"/>
        </w:rPr>
        <w:t>. This Lease and any Opton granted hereby shall be subject and subordinate to any ground lease, mortgage, deed of trust, or other hypothecaton or security device (collectvely, "</w:t>
      </w:r>
      <w:r>
        <w:rPr>
          <w:rFonts w:ascii="Calibri" w:cs="Calibri" w:eastAsia="Calibri" w:hAnsi="Calibri"/>
          <w:sz w:val="11"/>
          <w:szCs w:val="11"/>
          <w:b w:val="1"/>
          <w:bCs w:val="1"/>
          <w:color w:val="auto"/>
        </w:rPr>
        <w:t>Security Device</w:t>
      </w:r>
      <w:r>
        <w:rPr>
          <w:rFonts w:ascii="Calibri" w:cs="Calibri" w:eastAsia="Calibri" w:hAnsi="Calibri"/>
          <w:sz w:val="11"/>
          <w:szCs w:val="11"/>
          <w:color w:val="auto"/>
        </w:rPr>
        <w:t>"), now or hereafer placed upon the Premises, to any and all advances made on the security thereof, and to all renewals, modificatons, and extensions thereof. Lessee agrees that the holders of any such Security Devices (in this Lease together referred to as "</w:t>
      </w:r>
      <w:r>
        <w:rPr>
          <w:rFonts w:ascii="Calibri" w:cs="Calibri" w:eastAsia="Calibri" w:hAnsi="Calibri"/>
          <w:sz w:val="11"/>
          <w:szCs w:val="11"/>
          <w:b w:val="1"/>
          <w:bCs w:val="1"/>
          <w:color w:val="auto"/>
        </w:rPr>
        <w:t>Lender</w:t>
      </w:r>
      <w:r>
        <w:rPr>
          <w:rFonts w:ascii="Calibri" w:cs="Calibri" w:eastAsia="Calibri" w:hAnsi="Calibri"/>
          <w:sz w:val="11"/>
          <w:szCs w:val="11"/>
          <w:color w:val="auto"/>
        </w:rPr>
        <w:t>") shall have no liability or obligaton to perform any of the obligatons of Lessor under this Lease. Any Lender may elect to have this Lease and/or any Opton granted hereby superior to the lien of its Security Device by giving writen notce thereof to Lessee, whereupon this Lease and such Optons shall be deemed prior to such Security Device, notwithstanding the relatve dates of the documentaton or recordaton thereof.</w:t>
      </w:r>
    </w:p>
    <w:p>
      <w:pPr>
        <w:ind w:left="640" w:right="679" w:firstLine="258"/>
        <w:spacing w:after="0" w:line="250" w:lineRule="auto"/>
        <w:rPr>
          <w:sz w:val="20"/>
          <w:szCs w:val="20"/>
          <w:color w:val="auto"/>
        </w:rPr>
      </w:pPr>
      <w:r>
        <w:rPr>
          <w:rFonts w:ascii="Calibri" w:cs="Calibri" w:eastAsia="Calibri" w:hAnsi="Calibri"/>
          <w:sz w:val="11"/>
          <w:szCs w:val="11"/>
          <w:color w:val="auto"/>
        </w:rPr>
        <w:t xml:space="preserve">30.2 </w:t>
      </w:r>
      <w:r>
        <w:rPr>
          <w:rFonts w:ascii="Calibri" w:cs="Calibri" w:eastAsia="Calibri" w:hAnsi="Calibri"/>
          <w:sz w:val="11"/>
          <w:szCs w:val="11"/>
          <w:b w:val="1"/>
          <w:bCs w:val="1"/>
          <w:color w:val="auto"/>
        </w:rPr>
        <w:t>Atornment</w:t>
      </w:r>
      <w:r>
        <w:rPr>
          <w:rFonts w:ascii="Calibri" w:cs="Calibri" w:eastAsia="Calibri" w:hAnsi="Calibri"/>
          <w:sz w:val="11"/>
          <w:szCs w:val="11"/>
          <w:color w:val="auto"/>
        </w:rPr>
        <w:t>. In the event that Lessor transfers ttle to the Premises, or the Premises are acquired by another upon the foreclosure or terminaton of a Security Device to which this Lease is subordinated (i) Lessee shall, subject to the non-disturbance provisions of Paragraph 30.3, atorn to such new owner, and upon request, enter into a new lease, containing all of the terms and provisions of this Lease, with such new owner for the remainder of the term hereof, or, at the electon of the new owner, this Lease will automatcally become a new lease between Lessee and such new owner, and (ii) Lessor shall thereafer be relieved of any further obligatons hereunder and such new owner shall assume all of Lessor's obligatons, except that such new owner shall not: (a) be liable for any act or omission of any prior lessor or with respect to events occurring prior to acquisiton of ownership; (b) be subject to any oﬀsets or defenses which Lessee might have against any prior lessor, (c) be bound by prepayment of more than one month's rent, or (d) be liable for the return of any security deposit paid to any prior lessor which was not paid or credited to such new owner.</w:t>
      </w:r>
    </w:p>
    <w:p>
      <w:pPr>
        <w:spacing w:after="0" w:line="140" w:lineRule="exact"/>
        <w:rPr>
          <w:sz w:val="20"/>
          <w:szCs w:val="20"/>
          <w:color w:val="auto"/>
        </w:rPr>
      </w:pPr>
    </w:p>
    <w:p>
      <w:pPr>
        <w:ind w:left="640" w:right="639" w:firstLine="258"/>
        <w:spacing w:after="0" w:line="250" w:lineRule="auto"/>
        <w:rPr>
          <w:sz w:val="20"/>
          <w:szCs w:val="20"/>
          <w:color w:val="auto"/>
        </w:rPr>
      </w:pPr>
      <w:r>
        <w:rPr>
          <w:rFonts w:ascii="Calibri" w:cs="Calibri" w:eastAsia="Calibri" w:hAnsi="Calibri"/>
          <w:sz w:val="11"/>
          <w:szCs w:val="11"/>
          <w:color w:val="auto"/>
        </w:rPr>
        <w:t xml:space="preserve">30.3 </w:t>
      </w:r>
      <w:r>
        <w:rPr>
          <w:rFonts w:ascii="Calibri" w:cs="Calibri" w:eastAsia="Calibri" w:hAnsi="Calibri"/>
          <w:sz w:val="11"/>
          <w:szCs w:val="11"/>
          <w:b w:val="1"/>
          <w:bCs w:val="1"/>
          <w:color w:val="auto"/>
        </w:rPr>
        <w:t>Non-Disturbance</w:t>
      </w:r>
      <w:r>
        <w:rPr>
          <w:rFonts w:ascii="Calibri" w:cs="Calibri" w:eastAsia="Calibri" w:hAnsi="Calibri"/>
          <w:sz w:val="11"/>
          <w:szCs w:val="11"/>
          <w:color w:val="auto"/>
        </w:rPr>
        <w:t>. With respect to Security Devices entered into by Lessor afer the executon of this Lease, Lessee's subordinaton of this Lease shall be subject to receiving a commercially reasonable non-disturbance agreement (a "</w:t>
      </w:r>
      <w:r>
        <w:rPr>
          <w:rFonts w:ascii="Calibri" w:cs="Calibri" w:eastAsia="Calibri" w:hAnsi="Calibri"/>
          <w:sz w:val="11"/>
          <w:szCs w:val="11"/>
          <w:b w:val="1"/>
          <w:bCs w:val="1"/>
          <w:color w:val="auto"/>
        </w:rPr>
        <w:t>Non-Disturbance Agreement</w:t>
      </w:r>
      <w:r>
        <w:rPr>
          <w:rFonts w:ascii="Calibri" w:cs="Calibri" w:eastAsia="Calibri" w:hAnsi="Calibri"/>
          <w:sz w:val="11"/>
          <w:szCs w:val="11"/>
          <w:color w:val="auto"/>
        </w:rPr>
        <w:t>") from the Lender which Non-Disturbance Agreement provides that Lessee's possession of the Premises, and this Lease, including any optons to extend the term hereof, will not be disturbed so long as Lessee is not in Breach hereof and atorns to the record owner of the Premises. Further, within 60 days afer the executon of this Lease, Lessor shall, if requested by Lessee, use its commercially reasonable eﬀorts to obtain a Non-Disturbance Agreement from the holder of any pre-existng Security Device which is secured by the Premises. In the event that Lessor is unable to provide the Non-Disturbance Agreement within said 60 days, then Lessee may, at Lessee's opton, directly contact Lender and atempt to negotate for the executon and delivery of a Non-Disturbance Agreement.</w:t>
      </w:r>
    </w:p>
    <w:p>
      <w:pPr>
        <w:jc w:val="both"/>
        <w:ind w:left="640" w:right="699" w:firstLine="258"/>
        <w:spacing w:after="0" w:line="251" w:lineRule="auto"/>
        <w:rPr>
          <w:sz w:val="20"/>
          <w:szCs w:val="20"/>
          <w:color w:val="auto"/>
        </w:rPr>
      </w:pPr>
      <w:r>
        <w:rPr>
          <w:rFonts w:ascii="Calibri" w:cs="Calibri" w:eastAsia="Calibri" w:hAnsi="Calibri"/>
          <w:sz w:val="11"/>
          <w:szCs w:val="11"/>
          <w:color w:val="auto"/>
        </w:rPr>
        <w:t xml:space="preserve">30.4 </w:t>
      </w:r>
      <w:r>
        <w:rPr>
          <w:rFonts w:ascii="Calibri" w:cs="Calibri" w:eastAsia="Calibri" w:hAnsi="Calibri"/>
          <w:sz w:val="11"/>
          <w:szCs w:val="11"/>
          <w:b w:val="1"/>
          <w:bCs w:val="1"/>
          <w:color w:val="auto"/>
        </w:rPr>
        <w:t>Self-Executng</w:t>
      </w:r>
      <w:r>
        <w:rPr>
          <w:rFonts w:ascii="Calibri" w:cs="Calibri" w:eastAsia="Calibri" w:hAnsi="Calibri"/>
          <w:sz w:val="11"/>
          <w:szCs w:val="11"/>
          <w:color w:val="auto"/>
        </w:rPr>
        <w:t>. The agreements contained in this Paragraph 30 shall be eﬀectve without the executon of any further documents; provided, however, that, upon writen request from Lessor or a Lender in connecton with a sale, financing or refinancing of the Premises, Lessee and Lessor shall execute such further writngs as may be reasonably required to separately document any subordinaton, atornment and/or Non-Disturbance Agreement provided for herein.</w:t>
      </w:r>
    </w:p>
    <w:p>
      <w:pPr>
        <w:spacing w:after="0" w:line="84" w:lineRule="exact"/>
        <w:rPr>
          <w:sz w:val="20"/>
          <w:szCs w:val="20"/>
          <w:color w:val="auto"/>
        </w:rPr>
      </w:pPr>
    </w:p>
    <w:p>
      <w:pPr>
        <w:ind w:left="640" w:right="639" w:hanging="9"/>
        <w:spacing w:after="0" w:line="250" w:lineRule="auto"/>
        <w:tabs>
          <w:tab w:leader="none" w:pos="813" w:val="left"/>
        </w:tabs>
        <w:numPr>
          <w:ilvl w:val="0"/>
          <w:numId w:val="83"/>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Atorneys' Fees. </w:t>
      </w:r>
      <w:r>
        <w:rPr>
          <w:rFonts w:ascii="Calibri" w:cs="Calibri" w:eastAsia="Calibri" w:hAnsi="Calibri"/>
          <w:sz w:val="11"/>
          <w:szCs w:val="11"/>
          <w:color w:val="auto"/>
        </w:rPr>
        <w:t>If any Party or Broker brings an acton or proceeding involving the Premises whether founded in tort, contract or equity, or to declare rights</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hereunder, the Prevailing Party (as hereafer defined) in any such proceeding, acton, or appeal thereon, shall be enttled to reasonable atorneys' fees. Such fees may be awarded in the same suit or recovered in a separate suit, whether or not such acton or proceeding is pursued to decision or judgment. The term, "</w:t>
      </w:r>
      <w:r>
        <w:rPr>
          <w:rFonts w:ascii="Calibri" w:cs="Calibri" w:eastAsia="Calibri" w:hAnsi="Calibri"/>
          <w:sz w:val="11"/>
          <w:szCs w:val="11"/>
          <w:b w:val="1"/>
          <w:bCs w:val="1"/>
          <w:color w:val="auto"/>
        </w:rPr>
        <w:t>Prevailing Party</w:t>
      </w:r>
      <w:r>
        <w:rPr>
          <w:rFonts w:ascii="Calibri" w:cs="Calibri" w:eastAsia="Calibri" w:hAnsi="Calibri"/>
          <w:sz w:val="11"/>
          <w:szCs w:val="11"/>
          <w:color w:val="auto"/>
        </w:rPr>
        <w:t>" shall include, without limitaton, a Party or Broker who substantally obtains or defeats the relief sought, as the case may be, whether by compromise, setlement, judgment, or the abandonment by the other Party or Broker of its claim or defense. The atorneys' fees award shall not be computed in accordance with any court fee schedule, but shall be such as to fully reimburse all atorneys' fees reasonably incurred. In additon, Lessor shall be enttled to atorneys' fees, costs and expenses incurred in the preparaton and service of notces of Default and consultatons in connecton therewith, whether or not a legal acton is subsequently commenced in connecton with such Default or resultng Breach ($200 is a reasonable minimum per occurrence for such services and consultaton).</w:t>
      </w:r>
    </w:p>
    <w:p>
      <w:pPr>
        <w:spacing w:after="0" w:line="86" w:lineRule="exact"/>
        <w:rPr>
          <w:rFonts w:ascii="Calibri" w:cs="Calibri" w:eastAsia="Calibri" w:hAnsi="Calibri"/>
          <w:sz w:val="11"/>
          <w:szCs w:val="11"/>
          <w:b w:val="1"/>
          <w:bCs w:val="1"/>
          <w:color w:val="auto"/>
        </w:rPr>
      </w:pPr>
    </w:p>
    <w:p>
      <w:pPr>
        <w:ind w:left="640" w:right="839" w:hanging="9"/>
        <w:spacing w:after="0" w:line="250" w:lineRule="auto"/>
        <w:tabs>
          <w:tab w:leader="none" w:pos="813" w:val="left"/>
        </w:tabs>
        <w:numPr>
          <w:ilvl w:val="0"/>
          <w:numId w:val="83"/>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Lessor's Access; Showing Premises; Repairs. </w:t>
      </w:r>
      <w:r>
        <w:rPr>
          <w:rFonts w:ascii="Calibri" w:cs="Calibri" w:eastAsia="Calibri" w:hAnsi="Calibri"/>
          <w:sz w:val="11"/>
          <w:szCs w:val="11"/>
          <w:color w:val="auto"/>
        </w:rPr>
        <w:t>Lessor and Lessor's agents shall have the right to enter the Premises at any tme, in the case of an emergency, and</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otherwise at reasonable tmes afer reasonable prior notce for the purpose of showing the same to prospectve purchasers, lenders, or tenants, and making such alteratons, repairs, improvements or additons to the Premises as Lessor may deem necessary or desirable and the erectng, using and maintaining of utlites, services, pipes and conduits through the Premises and/or other premises as long as there is no material adverse eﬀect on Lessee's use of the Premises. All such actvites shall be without abatement of rent or liability to Lessee.</w:t>
      </w:r>
    </w:p>
    <w:p>
      <w:pPr>
        <w:spacing w:after="0" w:line="86" w:lineRule="exact"/>
        <w:rPr>
          <w:rFonts w:ascii="Calibri" w:cs="Calibri" w:eastAsia="Calibri" w:hAnsi="Calibri"/>
          <w:sz w:val="11"/>
          <w:szCs w:val="11"/>
          <w:b w:val="1"/>
          <w:bCs w:val="1"/>
          <w:color w:val="auto"/>
        </w:rPr>
      </w:pPr>
    </w:p>
    <w:p>
      <w:pPr>
        <w:ind w:left="640" w:right="1079" w:hanging="9"/>
        <w:spacing w:after="0" w:line="253" w:lineRule="auto"/>
        <w:tabs>
          <w:tab w:leader="none" w:pos="813" w:val="left"/>
        </w:tabs>
        <w:numPr>
          <w:ilvl w:val="0"/>
          <w:numId w:val="83"/>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Auctons. </w:t>
      </w:r>
      <w:r>
        <w:rPr>
          <w:rFonts w:ascii="Calibri" w:cs="Calibri" w:eastAsia="Calibri" w:hAnsi="Calibri"/>
          <w:sz w:val="11"/>
          <w:szCs w:val="11"/>
          <w:color w:val="auto"/>
        </w:rPr>
        <w:t>Lessee shall not conduct, nor permit to be conducted, any aucton upon the Premises without Lessor's prior writen consent. Lessor shall not be</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obligated to exercise any standard of reasonableness in determining whether to permit an aucton.</w:t>
      </w:r>
    </w:p>
    <w:p>
      <w:pPr>
        <w:spacing w:after="0" w:line="82" w:lineRule="exact"/>
        <w:rPr>
          <w:rFonts w:ascii="Calibri" w:cs="Calibri" w:eastAsia="Calibri" w:hAnsi="Calibri"/>
          <w:sz w:val="11"/>
          <w:szCs w:val="11"/>
          <w:b w:val="1"/>
          <w:bCs w:val="1"/>
          <w:color w:val="auto"/>
        </w:rPr>
      </w:pPr>
    </w:p>
    <w:p>
      <w:pPr>
        <w:ind w:left="640" w:right="639" w:hanging="9"/>
        <w:spacing w:after="0" w:line="251" w:lineRule="auto"/>
        <w:tabs>
          <w:tab w:leader="none" w:pos="813" w:val="left"/>
        </w:tabs>
        <w:numPr>
          <w:ilvl w:val="0"/>
          <w:numId w:val="83"/>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Signs. </w:t>
      </w:r>
      <w:r>
        <w:rPr>
          <w:rFonts w:ascii="Calibri" w:cs="Calibri" w:eastAsia="Calibri" w:hAnsi="Calibri"/>
          <w:sz w:val="11"/>
          <w:szCs w:val="11"/>
          <w:color w:val="auto"/>
        </w:rPr>
        <w:t>Lessor may place on the Premises ordinary "For Sale" signs at any tme and ordinary "For Lease" signs during the last 6 months of the term hereof. Except for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ordinary "for sublease" signs, Lessee shall not place any sign upon the Premises without Lessor's prior writen consent. All signs must comply with all Applicable Requirements.</w:t>
      </w:r>
    </w:p>
    <w:p>
      <w:pPr>
        <w:spacing w:after="0" w:line="84" w:lineRule="exact"/>
        <w:rPr>
          <w:rFonts w:ascii="Calibri" w:cs="Calibri" w:eastAsia="Calibri" w:hAnsi="Calibri"/>
          <w:sz w:val="11"/>
          <w:szCs w:val="11"/>
          <w:b w:val="1"/>
          <w:bCs w:val="1"/>
          <w:color w:val="auto"/>
        </w:rPr>
      </w:pPr>
    </w:p>
    <w:p>
      <w:pPr>
        <w:ind w:left="640" w:right="719" w:hanging="9"/>
        <w:spacing w:after="0" w:line="251" w:lineRule="auto"/>
        <w:tabs>
          <w:tab w:leader="none" w:pos="813" w:val="left"/>
        </w:tabs>
        <w:numPr>
          <w:ilvl w:val="0"/>
          <w:numId w:val="83"/>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Terminaton; Merger. </w:t>
      </w:r>
      <w:r>
        <w:rPr>
          <w:rFonts w:ascii="Calibri" w:cs="Calibri" w:eastAsia="Calibri" w:hAnsi="Calibri"/>
          <w:sz w:val="11"/>
          <w:szCs w:val="11"/>
          <w:color w:val="auto"/>
        </w:rPr>
        <w:t>Unless specifically stated otherwise in writng by Lessor, the voluntary or other surrender of this Lease by Lessee, the mutual terminaton or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cancellaton hereof, or a terminaton hereof by Lessor for Breach by Lessee, shall automatcally terminate any sublease or lesser estate in the Premises; provided, however, that Lessor may elect to contnue any one or all existng subtenancies. Lessor's failure within 10 days following any such event to elect to the contrary by writen notce to the holder of any such lesser interest, shall consttute Lessor's electon to have such event consttute the terminaton of such interest.</w:t>
      </w:r>
    </w:p>
    <w:p>
      <w:pPr>
        <w:spacing w:after="0" w:line="83" w:lineRule="exact"/>
        <w:rPr>
          <w:rFonts w:ascii="Calibri" w:cs="Calibri" w:eastAsia="Calibri" w:hAnsi="Calibri"/>
          <w:sz w:val="11"/>
          <w:szCs w:val="11"/>
          <w:b w:val="1"/>
          <w:bCs w:val="1"/>
          <w:color w:val="auto"/>
        </w:rPr>
      </w:pPr>
    </w:p>
    <w:p>
      <w:pPr>
        <w:jc w:val="both"/>
        <w:ind w:left="640" w:right="639" w:hanging="9"/>
        <w:spacing w:after="0" w:line="251" w:lineRule="auto"/>
        <w:tabs>
          <w:tab w:leader="none" w:pos="813" w:val="left"/>
        </w:tabs>
        <w:numPr>
          <w:ilvl w:val="0"/>
          <w:numId w:val="83"/>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Consents. </w:t>
      </w:r>
      <w:r>
        <w:rPr>
          <w:rFonts w:ascii="Calibri" w:cs="Calibri" w:eastAsia="Calibri" w:hAnsi="Calibri"/>
          <w:sz w:val="11"/>
          <w:szCs w:val="11"/>
          <w:color w:val="auto"/>
        </w:rPr>
        <w:t>All requests for consent shall be in writng. Except as otherwise provided herein, wherever in this Lease the consent of a Party is required to an act by or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for the other Party, such consent shall not be unreasonably withheld or delayed. Lessor's actual reasonable costs and expenses (including but not limited to architects', atorneys', engineers' and other consultants' fees) incurred in the consideraton of, or response to, a request by Lessee for any Lessor consent,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40005</wp:posOffset>
            </wp:positionV>
            <wp:extent cx="574040" cy="2940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40005</wp:posOffset>
            </wp:positionV>
            <wp:extent cx="382905" cy="2940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240"/>
              <w:spacing w:after="0"/>
              <w:rPr>
                <w:sz w:val="20"/>
                <w:szCs w:val="20"/>
                <w:color w:val="auto"/>
              </w:rPr>
            </w:pPr>
            <w:r>
              <w:rPr>
                <w:rFonts w:ascii="Calibri" w:cs="Calibri" w:eastAsia="Calibri" w:hAnsi="Calibri"/>
                <w:sz w:val="13"/>
                <w:szCs w:val="13"/>
                <w:color w:val="auto"/>
                <w:w w:val="97"/>
              </w:rPr>
              <w:t>Page 14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sectPr>
      </w:pPr>
    </w:p>
    <w:bookmarkStart w:id="112" w:name="page113"/>
    <w:bookmarkEnd w:id="112"/>
    <w:p>
      <w:pPr>
        <w:ind w:left="640" w:right="659"/>
        <w:spacing w:after="0" w:line="250" w:lineRule="auto"/>
        <w:rPr>
          <w:sz w:val="20"/>
          <w:szCs w:val="20"/>
          <w:color w:val="auto"/>
        </w:rPr>
      </w:pPr>
      <w:r>
        <w:rPr>
          <w:rFonts w:ascii="Calibri" w:cs="Calibri" w:eastAsia="Calibri" w:hAnsi="Calibri"/>
          <w:sz w:val="11"/>
          <w:szCs w:val="11"/>
          <w:color w:val="auto"/>
        </w:rPr>
        <w:t>but not limited to consents to an assignment, a subletng or the presence or use of a Hazardous Substance, shall be paid by Lessee upon receipt of an invoice and supportng documentaton therefor. Lessor's consent to any act, assignment or subletng shall not consttute an acknowledgment that no Default or Breach by Lessee of this Lease exists, nor shall such consent be deemed a waiver of any then existng Default or Breach, except as may be otherwise specifically stated in writng by Lessor at the tme of such consent. The failure to specify herein any partcular conditon to Lessor's consent shall not preclude the impositon by Lessor at the tme of consent of such further or other conditons as are then reasonable with reference to the partcular mater for which consent is being given. In the event that either Party disagrees with any determinaton made by the other hereunder and reasonably requests the reasons for such determinaton, the determining party shall furnish its reasons in writng and in reasonable detail within 10 business days following such request.</w:t>
      </w:r>
    </w:p>
    <w:p>
      <w:pPr>
        <w:spacing w:after="0" w:line="86" w:lineRule="exact"/>
        <w:rPr>
          <w:sz w:val="20"/>
          <w:szCs w:val="20"/>
          <w:color w:val="auto"/>
        </w:rPr>
      </w:pPr>
    </w:p>
    <w:p>
      <w:pPr>
        <w:ind w:left="640"/>
        <w:spacing w:after="0"/>
        <w:rPr>
          <w:sz w:val="20"/>
          <w:szCs w:val="20"/>
          <w:color w:val="auto"/>
        </w:rPr>
      </w:pPr>
      <w:r>
        <w:rPr>
          <w:rFonts w:ascii="Calibri" w:cs="Calibri" w:eastAsia="Calibri" w:hAnsi="Calibri"/>
          <w:sz w:val="11"/>
          <w:szCs w:val="11"/>
          <w:b w:val="1"/>
          <w:bCs w:val="1"/>
          <w:color w:val="auto"/>
        </w:rPr>
        <w:t>37. Guarantor.</w:t>
      </w:r>
    </w:p>
    <w:p>
      <w:pPr>
        <w:spacing w:after="0" w:line="6" w:lineRule="exact"/>
        <w:rPr>
          <w:sz w:val="20"/>
          <w:szCs w:val="20"/>
          <w:color w:val="auto"/>
        </w:rPr>
      </w:pPr>
    </w:p>
    <w:p>
      <w:pPr>
        <w:ind w:left="640" w:right="839" w:firstLine="258"/>
        <w:spacing w:after="0" w:line="250" w:lineRule="auto"/>
        <w:rPr>
          <w:sz w:val="20"/>
          <w:szCs w:val="20"/>
          <w:color w:val="auto"/>
        </w:rPr>
      </w:pPr>
      <w:r>
        <w:rPr>
          <w:rFonts w:ascii="Calibri" w:cs="Calibri" w:eastAsia="Calibri" w:hAnsi="Calibri"/>
          <w:sz w:val="11"/>
          <w:szCs w:val="11"/>
          <w:color w:val="auto"/>
        </w:rPr>
        <w:t xml:space="preserve">37.1 </w:t>
      </w:r>
      <w:r>
        <w:rPr>
          <w:rFonts w:ascii="Calibri" w:cs="Calibri" w:eastAsia="Calibri" w:hAnsi="Calibri"/>
          <w:sz w:val="11"/>
          <w:szCs w:val="11"/>
          <w:b w:val="1"/>
          <w:bCs w:val="1"/>
          <w:color w:val="auto"/>
        </w:rPr>
        <w:t>Executon</w:t>
      </w:r>
      <w:r>
        <w:rPr>
          <w:rFonts w:ascii="Calibri" w:cs="Calibri" w:eastAsia="Calibri" w:hAnsi="Calibri"/>
          <w:sz w:val="11"/>
          <w:szCs w:val="11"/>
          <w:color w:val="auto"/>
        </w:rPr>
        <w:t>. The Guarantors, if any, shall each execute a guaranty in the form most recently published by AIR CRE, and each such Guarantor shall have the same obligatons as Lessee under this Lease.</w:t>
      </w:r>
    </w:p>
    <w:p>
      <w:pPr>
        <w:ind w:left="640" w:right="679" w:firstLine="258"/>
        <w:spacing w:after="0" w:line="252" w:lineRule="auto"/>
        <w:rPr>
          <w:sz w:val="20"/>
          <w:szCs w:val="20"/>
          <w:color w:val="auto"/>
        </w:rPr>
      </w:pPr>
      <w:r>
        <w:rPr>
          <w:rFonts w:ascii="Calibri" w:cs="Calibri" w:eastAsia="Calibri" w:hAnsi="Calibri"/>
          <w:sz w:val="11"/>
          <w:szCs w:val="11"/>
          <w:color w:val="auto"/>
        </w:rPr>
        <w:t xml:space="preserve">37.2 </w:t>
      </w:r>
      <w:r>
        <w:rPr>
          <w:rFonts w:ascii="Calibri" w:cs="Calibri" w:eastAsia="Calibri" w:hAnsi="Calibri"/>
          <w:sz w:val="11"/>
          <w:szCs w:val="11"/>
          <w:b w:val="1"/>
          <w:bCs w:val="1"/>
          <w:color w:val="auto"/>
        </w:rPr>
        <w:t>Default</w:t>
      </w:r>
      <w:r>
        <w:rPr>
          <w:rFonts w:ascii="Calibri" w:cs="Calibri" w:eastAsia="Calibri" w:hAnsi="Calibri"/>
          <w:sz w:val="11"/>
          <w:szCs w:val="11"/>
          <w:color w:val="auto"/>
        </w:rPr>
        <w:t>. It shall consttute a Default of the Lessee if any Guarantor fails or refuses, upon request to provide: (a) evidence of the executon of the guaranty, including the authority of the party signing on Guarantor's behalf to obligate Guarantor, and in the case of a corporate Guarantor, a certfied copy of a resoluton of its board of directors authorizing the making of such guaranty, (b) current financial statements, (c) an Estoppel Certficate, or (d) writen confirmaton that the guaranty is stll in eﬀect.</w:t>
      </w:r>
    </w:p>
    <w:p>
      <w:pPr>
        <w:spacing w:after="0" w:line="223" w:lineRule="exact"/>
        <w:rPr>
          <w:sz w:val="20"/>
          <w:szCs w:val="20"/>
          <w:color w:val="auto"/>
        </w:rPr>
      </w:pPr>
    </w:p>
    <w:p>
      <w:pPr>
        <w:ind w:left="640" w:right="819" w:hanging="9"/>
        <w:spacing w:after="0" w:line="253" w:lineRule="auto"/>
        <w:tabs>
          <w:tab w:leader="none" w:pos="813" w:val="left"/>
        </w:tabs>
        <w:numPr>
          <w:ilvl w:val="0"/>
          <w:numId w:val="84"/>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Quiet Possession. </w:t>
      </w:r>
      <w:r>
        <w:rPr>
          <w:rFonts w:ascii="Calibri" w:cs="Calibri" w:eastAsia="Calibri" w:hAnsi="Calibri"/>
          <w:sz w:val="11"/>
          <w:szCs w:val="11"/>
          <w:color w:val="auto"/>
        </w:rPr>
        <w:t>Subject to payment by Lessee of the Rent and performance of all of the covenants, conditons and provisions on Lessee's part to be observed</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and performed under this Lease, Lessee shall have quiet possession and quiet enjoyment of the Premises during the term hereof.</w:t>
      </w:r>
    </w:p>
    <w:p>
      <w:pPr>
        <w:spacing w:after="0" w:line="82" w:lineRule="exact"/>
        <w:rPr>
          <w:rFonts w:ascii="Calibri" w:cs="Calibri" w:eastAsia="Calibri" w:hAnsi="Calibri"/>
          <w:sz w:val="11"/>
          <w:szCs w:val="11"/>
          <w:b w:val="1"/>
          <w:bCs w:val="1"/>
          <w:color w:val="auto"/>
        </w:rPr>
      </w:pPr>
    </w:p>
    <w:p>
      <w:pPr>
        <w:ind w:left="800" w:hanging="169"/>
        <w:spacing w:after="0"/>
        <w:tabs>
          <w:tab w:leader="none" w:pos="800" w:val="left"/>
        </w:tabs>
        <w:numPr>
          <w:ilvl w:val="0"/>
          <w:numId w:val="84"/>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Optons. </w:t>
      </w:r>
      <w:r>
        <w:rPr>
          <w:rFonts w:ascii="Calibri" w:cs="Calibri" w:eastAsia="Calibri" w:hAnsi="Calibri"/>
          <w:sz w:val="11"/>
          <w:szCs w:val="11"/>
          <w:color w:val="auto"/>
        </w:rPr>
        <w:t>If Lessee is granted any Opton, as defined below, then the following provisions shall apply.</w:t>
      </w:r>
    </w:p>
    <w:p>
      <w:pPr>
        <w:spacing w:after="0" w:line="6" w:lineRule="exact"/>
        <w:rPr>
          <w:sz w:val="20"/>
          <w:szCs w:val="20"/>
          <w:color w:val="auto"/>
        </w:rPr>
      </w:pPr>
    </w:p>
    <w:p>
      <w:pPr>
        <w:ind w:left="640" w:right="639" w:firstLine="258"/>
        <w:spacing w:after="0" w:line="250" w:lineRule="auto"/>
        <w:rPr>
          <w:sz w:val="20"/>
          <w:szCs w:val="20"/>
          <w:color w:val="auto"/>
        </w:rPr>
      </w:pPr>
      <w:r>
        <w:rPr>
          <w:rFonts w:ascii="Calibri" w:cs="Calibri" w:eastAsia="Calibri" w:hAnsi="Calibri"/>
          <w:sz w:val="11"/>
          <w:szCs w:val="11"/>
          <w:color w:val="auto"/>
        </w:rPr>
        <w:t xml:space="preserve">39.1 </w:t>
      </w:r>
      <w:r>
        <w:rPr>
          <w:rFonts w:ascii="Calibri" w:cs="Calibri" w:eastAsia="Calibri" w:hAnsi="Calibri"/>
          <w:sz w:val="11"/>
          <w:szCs w:val="11"/>
          <w:b w:val="1"/>
          <w:bCs w:val="1"/>
          <w:color w:val="auto"/>
        </w:rPr>
        <w:t>Definiton</w:t>
      </w:r>
      <w:r>
        <w:rPr>
          <w:rFonts w:ascii="Calibri" w:cs="Calibri" w:eastAsia="Calibri" w:hAnsi="Calibri"/>
          <w:sz w:val="11"/>
          <w:szCs w:val="11"/>
          <w:color w:val="auto"/>
        </w:rPr>
        <w:t>. "</w:t>
      </w:r>
      <w:r>
        <w:rPr>
          <w:rFonts w:ascii="Calibri" w:cs="Calibri" w:eastAsia="Calibri" w:hAnsi="Calibri"/>
          <w:sz w:val="11"/>
          <w:szCs w:val="11"/>
          <w:b w:val="1"/>
          <w:bCs w:val="1"/>
          <w:color w:val="auto"/>
        </w:rPr>
        <w:t>Opton</w:t>
      </w:r>
      <w:r>
        <w:rPr>
          <w:rFonts w:ascii="Calibri" w:cs="Calibri" w:eastAsia="Calibri" w:hAnsi="Calibri"/>
          <w:sz w:val="11"/>
          <w:szCs w:val="11"/>
          <w:color w:val="auto"/>
        </w:rPr>
        <w:t>" shall mean: (a) the right to extend or reduce the term of or renew this Lease or to extend or reduce the term of or renew any lease that Lessee has on other property of Lessor; (b) the right of first refusal or first oﬀer to lease either the Premises or other property of Lessor; (c) the right to purchase, the right of first oﬀer to purchase or the right of first refusal to purchase the Premises or other property of Lessor.</w:t>
      </w:r>
    </w:p>
    <w:p>
      <w:pPr>
        <w:jc w:val="both"/>
        <w:ind w:left="640" w:right="779" w:firstLine="258"/>
        <w:spacing w:after="0" w:line="250" w:lineRule="auto"/>
        <w:rPr>
          <w:sz w:val="20"/>
          <w:szCs w:val="20"/>
          <w:color w:val="auto"/>
        </w:rPr>
      </w:pPr>
      <w:r>
        <w:rPr>
          <w:rFonts w:ascii="Calibri" w:cs="Calibri" w:eastAsia="Calibri" w:hAnsi="Calibri"/>
          <w:sz w:val="11"/>
          <w:szCs w:val="11"/>
          <w:color w:val="auto"/>
        </w:rPr>
        <w:t xml:space="preserve">39.2 </w:t>
      </w:r>
      <w:r>
        <w:rPr>
          <w:rFonts w:ascii="Calibri" w:cs="Calibri" w:eastAsia="Calibri" w:hAnsi="Calibri"/>
          <w:sz w:val="11"/>
          <w:szCs w:val="11"/>
          <w:b w:val="1"/>
          <w:bCs w:val="1"/>
          <w:color w:val="auto"/>
        </w:rPr>
        <w:t>Optons Personal To Original Lessee</w:t>
      </w:r>
      <w:r>
        <w:rPr>
          <w:rFonts w:ascii="Calibri" w:cs="Calibri" w:eastAsia="Calibri" w:hAnsi="Calibri"/>
          <w:sz w:val="11"/>
          <w:szCs w:val="11"/>
          <w:color w:val="auto"/>
        </w:rPr>
        <w:t>. Any Opton granted to Lessee in this Lease is personal to the original Lessee, and cannot be assigned or exercised by anyone other than said original Lessee and only while the original Lessee is in full possession of the Premises and, if requested by Lessor, with Lessee certfying that Lessee has no intenton of thereafer assigning or subletng.</w:t>
      </w:r>
    </w:p>
    <w:p>
      <w:pPr>
        <w:ind w:left="640" w:right="959" w:firstLine="258"/>
        <w:spacing w:after="0" w:line="250" w:lineRule="auto"/>
        <w:rPr>
          <w:sz w:val="20"/>
          <w:szCs w:val="20"/>
          <w:color w:val="auto"/>
        </w:rPr>
      </w:pPr>
      <w:r>
        <w:rPr>
          <w:rFonts w:ascii="Calibri" w:cs="Calibri" w:eastAsia="Calibri" w:hAnsi="Calibri"/>
          <w:sz w:val="11"/>
          <w:szCs w:val="11"/>
          <w:color w:val="auto"/>
        </w:rPr>
        <w:t xml:space="preserve">39.3 </w:t>
      </w:r>
      <w:r>
        <w:rPr>
          <w:rFonts w:ascii="Calibri" w:cs="Calibri" w:eastAsia="Calibri" w:hAnsi="Calibri"/>
          <w:sz w:val="11"/>
          <w:szCs w:val="11"/>
          <w:b w:val="1"/>
          <w:bCs w:val="1"/>
          <w:color w:val="auto"/>
        </w:rPr>
        <w:t>Multple Optons</w:t>
      </w:r>
      <w:r>
        <w:rPr>
          <w:rFonts w:ascii="Calibri" w:cs="Calibri" w:eastAsia="Calibri" w:hAnsi="Calibri"/>
          <w:sz w:val="11"/>
          <w:szCs w:val="11"/>
          <w:color w:val="auto"/>
        </w:rPr>
        <w:t>. In the event that Lessee has any multple Optons to extend or renew this Lease, a later Opton cannot be exercised unless the prior Optons have been validly exercised.</w:t>
      </w:r>
    </w:p>
    <w:p>
      <w:pPr>
        <w:ind w:left="880"/>
        <w:spacing w:after="0"/>
        <w:rPr>
          <w:sz w:val="20"/>
          <w:szCs w:val="20"/>
          <w:color w:val="auto"/>
        </w:rPr>
      </w:pPr>
      <w:r>
        <w:rPr>
          <w:rFonts w:ascii="Calibri" w:cs="Calibri" w:eastAsia="Calibri" w:hAnsi="Calibri"/>
          <w:sz w:val="11"/>
          <w:szCs w:val="11"/>
          <w:color w:val="auto"/>
        </w:rPr>
        <w:t xml:space="preserve">39.4 </w:t>
      </w:r>
      <w:r>
        <w:rPr>
          <w:rFonts w:ascii="Calibri" w:cs="Calibri" w:eastAsia="Calibri" w:hAnsi="Calibri"/>
          <w:sz w:val="11"/>
          <w:szCs w:val="11"/>
          <w:b w:val="1"/>
          <w:bCs w:val="1"/>
          <w:color w:val="auto"/>
        </w:rPr>
        <w:t>Eﬀect of Default on Optons</w:t>
      </w:r>
      <w:r>
        <w:rPr>
          <w:rFonts w:ascii="Calibri" w:cs="Calibri" w:eastAsia="Calibri" w:hAnsi="Calibri"/>
          <w:sz w:val="11"/>
          <w:szCs w:val="11"/>
          <w:color w:val="auto"/>
        </w:rPr>
        <w:t>.</w:t>
      </w:r>
    </w:p>
    <w:p>
      <w:pPr>
        <w:spacing w:after="0" w:line="6" w:lineRule="exact"/>
        <w:rPr>
          <w:sz w:val="20"/>
          <w:szCs w:val="20"/>
          <w:color w:val="auto"/>
        </w:rPr>
      </w:pPr>
    </w:p>
    <w:p>
      <w:pPr>
        <w:ind w:left="640" w:right="719" w:firstLine="507"/>
        <w:spacing w:after="0" w:line="250" w:lineRule="auto"/>
        <w:tabs>
          <w:tab w:leader="none" w:pos="1307" w:val="left"/>
        </w:tabs>
        <w:numPr>
          <w:ilvl w:val="1"/>
          <w:numId w:val="85"/>
        </w:numPr>
        <w:rPr>
          <w:rFonts w:ascii="Calibri" w:cs="Calibri" w:eastAsia="Calibri" w:hAnsi="Calibri"/>
          <w:sz w:val="11"/>
          <w:szCs w:val="11"/>
          <w:color w:val="auto"/>
        </w:rPr>
      </w:pPr>
      <w:r>
        <w:rPr>
          <w:rFonts w:ascii="Calibri" w:cs="Calibri" w:eastAsia="Calibri" w:hAnsi="Calibri"/>
          <w:sz w:val="11"/>
          <w:szCs w:val="11"/>
          <w:color w:val="auto"/>
        </w:rPr>
        <w:t>Lessee shall have no right to exercise an Opton: (i) during the period commencing with the giving of any notce of Default and contnuing untl said Default is cured, (ii) during the period of tme any Rent is unpaid (without regard to whether notce thereof is given Lessee), (iii) during the tme Lessee is in Breach of this Lease, or (iv) in the event that Lessee has been given 3 or more notces of separate Default, whether or not the Defaults are cured, during the 12 month period immediately preceding the exercise of the Opton.</w:t>
      </w:r>
    </w:p>
    <w:p>
      <w:pPr>
        <w:ind w:left="640" w:right="919" w:firstLine="507"/>
        <w:spacing w:after="0" w:line="250" w:lineRule="auto"/>
        <w:tabs>
          <w:tab w:leader="none" w:pos="1312" w:val="left"/>
        </w:tabs>
        <w:numPr>
          <w:ilvl w:val="1"/>
          <w:numId w:val="85"/>
        </w:numPr>
        <w:rPr>
          <w:rFonts w:ascii="Calibri" w:cs="Calibri" w:eastAsia="Calibri" w:hAnsi="Calibri"/>
          <w:sz w:val="11"/>
          <w:szCs w:val="11"/>
          <w:color w:val="auto"/>
        </w:rPr>
      </w:pPr>
      <w:r>
        <w:rPr>
          <w:rFonts w:ascii="Calibri" w:cs="Calibri" w:eastAsia="Calibri" w:hAnsi="Calibri"/>
          <w:sz w:val="11"/>
          <w:szCs w:val="11"/>
          <w:color w:val="auto"/>
        </w:rPr>
        <w:t>The period of tme within which an Opton may be exercised shall not be extended or enlarged by reason of Lessee's inability to exercise an Opton because of the provisions of Paragraph 39.4(a).</w:t>
      </w:r>
    </w:p>
    <w:p>
      <w:pPr>
        <w:ind w:left="640" w:right="659" w:firstLine="507"/>
        <w:spacing w:after="0" w:line="251" w:lineRule="auto"/>
        <w:tabs>
          <w:tab w:leader="none" w:pos="1300" w:val="left"/>
        </w:tabs>
        <w:numPr>
          <w:ilvl w:val="1"/>
          <w:numId w:val="85"/>
        </w:numPr>
        <w:rPr>
          <w:rFonts w:ascii="Calibri" w:cs="Calibri" w:eastAsia="Calibri" w:hAnsi="Calibri"/>
          <w:sz w:val="11"/>
          <w:szCs w:val="11"/>
          <w:color w:val="auto"/>
        </w:rPr>
      </w:pPr>
      <w:r>
        <w:rPr>
          <w:rFonts w:ascii="Calibri" w:cs="Calibri" w:eastAsia="Calibri" w:hAnsi="Calibri"/>
          <w:sz w:val="11"/>
          <w:szCs w:val="11"/>
          <w:color w:val="auto"/>
        </w:rPr>
        <w:t>An Opton shall terminate and be of no further force or eﬀect, notwithstanding Lessee's due and tmely exercise of the Opton, if, afer such exercise and prior to the commencement of the extended term or completon of the purchase, (i) Lessee fails to pay Rent for a period of 30 days afer such Rent becomes due (without any necessity of Lessor to give notce thereof), or (ii) if Lessee commits a Breach of this Lease.</w:t>
      </w:r>
    </w:p>
    <w:p>
      <w:pPr>
        <w:spacing w:after="0" w:line="84" w:lineRule="exact"/>
        <w:rPr>
          <w:rFonts w:ascii="Calibri" w:cs="Calibri" w:eastAsia="Calibri" w:hAnsi="Calibri"/>
          <w:sz w:val="11"/>
          <w:szCs w:val="11"/>
          <w:color w:val="auto"/>
        </w:rPr>
      </w:pPr>
    </w:p>
    <w:p>
      <w:pPr>
        <w:ind w:left="640" w:right="759" w:hanging="9"/>
        <w:spacing w:after="0" w:line="251" w:lineRule="auto"/>
        <w:tabs>
          <w:tab w:leader="none" w:pos="813" w:val="left"/>
        </w:tabs>
        <w:numPr>
          <w:ilvl w:val="0"/>
          <w:numId w:val="86"/>
        </w:numPr>
        <w:rPr>
          <w:rFonts w:ascii="Calibri" w:cs="Calibri" w:eastAsia="Calibri" w:hAnsi="Calibri"/>
          <w:sz w:val="11"/>
          <w:szCs w:val="11"/>
          <w:b w:val="1"/>
          <w:bCs w:val="1"/>
          <w:color w:val="FF0000"/>
          <w:strike w:val="1"/>
        </w:rPr>
      </w:pPr>
      <w:r>
        <w:rPr>
          <w:rFonts w:ascii="Calibri" w:cs="Calibri" w:eastAsia="Calibri" w:hAnsi="Calibri"/>
          <w:sz w:val="11"/>
          <w:szCs w:val="11"/>
          <w:b w:val="1"/>
          <w:bCs w:val="1"/>
          <w:color w:val="FF0000"/>
          <w:strike w:val="1"/>
        </w:rPr>
        <w:t xml:space="preserve">Multple Buildings. </w:t>
      </w:r>
      <w:r>
        <w:rPr>
          <w:rFonts w:ascii="Calibri" w:cs="Calibri" w:eastAsia="Calibri" w:hAnsi="Calibri"/>
          <w:sz w:val="11"/>
          <w:szCs w:val="11"/>
          <w:color w:val="FF0000"/>
          <w:strike w:val="1"/>
        </w:rPr>
        <w:t>If the Premises are a part of a group of buildings controlled by Lessor, Lessee agrees that it will abide by and conform to all reasonable rules</w:t>
      </w:r>
      <w:r>
        <w:rPr>
          <w:rFonts w:ascii="Calibri" w:cs="Calibri" w:eastAsia="Calibri" w:hAnsi="Calibri"/>
          <w:sz w:val="11"/>
          <w:szCs w:val="11"/>
          <w:b w:val="1"/>
          <w:bCs w:val="1"/>
          <w:color w:val="FF0000"/>
          <w:strike w:val="1"/>
        </w:rPr>
        <w:t xml:space="preserve"> </w:t>
      </w:r>
      <w:r>
        <w:rPr>
          <w:rFonts w:ascii="Calibri" w:cs="Calibri" w:eastAsia="Calibri" w:hAnsi="Calibri"/>
          <w:sz w:val="11"/>
          <w:szCs w:val="11"/>
          <w:color w:val="FF0000"/>
          <w:strike w:val="1"/>
        </w:rPr>
        <w:t>and regulatons which Lessor may make from tme to tme for the management, safety, and care of said propertes, including the care and cleanliness of the grounds and including the parking, loading and unloading of vehicles, and to cause its employees, suppliers, shippers, customers, contractors and invitees to so abide and conform. Lessee also agrees to pay its fair share of common expenses incurred in connecton with such rules and regulatons.</w:t>
      </w:r>
    </w:p>
    <w:p>
      <w:pPr>
        <w:spacing w:after="0" w:line="83" w:lineRule="exact"/>
        <w:rPr>
          <w:rFonts w:ascii="Calibri" w:cs="Calibri" w:eastAsia="Calibri" w:hAnsi="Calibri"/>
          <w:sz w:val="11"/>
          <w:szCs w:val="11"/>
          <w:b w:val="1"/>
          <w:bCs w:val="1"/>
          <w:color w:val="FF0000"/>
          <w:strike w:val="1"/>
        </w:rPr>
      </w:pPr>
    </w:p>
    <w:p>
      <w:pPr>
        <w:ind w:left="640" w:right="679" w:hanging="9"/>
        <w:spacing w:after="0" w:line="251" w:lineRule="auto"/>
        <w:tabs>
          <w:tab w:leader="none" w:pos="813" w:val="left"/>
        </w:tabs>
        <w:numPr>
          <w:ilvl w:val="0"/>
          <w:numId w:val="8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Security Measures. </w:t>
      </w:r>
      <w:r>
        <w:rPr>
          <w:rFonts w:ascii="Calibri" w:cs="Calibri" w:eastAsia="Calibri" w:hAnsi="Calibri"/>
          <w:sz w:val="11"/>
          <w:szCs w:val="11"/>
          <w:color w:val="auto"/>
        </w:rPr>
        <w:t>Lessee hereby acknowledges that the Rent payable to Lessor hereunder does not include the cost of guard service or other security measures,</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and that Lessor shall have no obligaton whatsoever to provide same. Lessee assumes all responsibility for the protecton of the Premises, Lessee, its agents and invitees and their property from the acts of third partes.</w:t>
      </w:r>
    </w:p>
    <w:p>
      <w:pPr>
        <w:spacing w:after="0" w:line="84" w:lineRule="exact"/>
        <w:rPr>
          <w:rFonts w:ascii="Calibri" w:cs="Calibri" w:eastAsia="Calibri" w:hAnsi="Calibri"/>
          <w:sz w:val="11"/>
          <w:szCs w:val="11"/>
          <w:b w:val="1"/>
          <w:bCs w:val="1"/>
          <w:color w:val="auto"/>
        </w:rPr>
      </w:pPr>
    </w:p>
    <w:p>
      <w:pPr>
        <w:ind w:left="640" w:right="699" w:hanging="9"/>
        <w:spacing w:after="0" w:line="251" w:lineRule="auto"/>
        <w:tabs>
          <w:tab w:leader="none" w:pos="813" w:val="left"/>
        </w:tabs>
        <w:numPr>
          <w:ilvl w:val="0"/>
          <w:numId w:val="8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Reservatons</w:t>
      </w:r>
      <w:r>
        <w:rPr>
          <w:rFonts w:ascii="Calibri" w:cs="Calibri" w:eastAsia="Calibri" w:hAnsi="Calibri"/>
          <w:sz w:val="11"/>
          <w:szCs w:val="11"/>
          <w:color w:val="auto"/>
        </w:rPr>
        <w:t>. Lessor reserves to itself the right, from tme to tme, to grant, without the consent or joinder of Lessee, such easements, rights and dedicatons that</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Lessor deems necessary, and to cause the recordaton of parcel maps and restrictons, so long as such easements, rights, dedicatons, maps and restrictons do not unreasonably interfere with the use of the Premises by Lessee. Lessee agrees to sign any documents reasonably requested by Lessor to efectuate any such easement rights, dedicaton, map or restrictons.</w:t>
      </w:r>
    </w:p>
    <w:p>
      <w:pPr>
        <w:spacing w:after="0" w:line="83" w:lineRule="exact"/>
        <w:rPr>
          <w:rFonts w:ascii="Calibri" w:cs="Calibri" w:eastAsia="Calibri" w:hAnsi="Calibri"/>
          <w:sz w:val="11"/>
          <w:szCs w:val="11"/>
          <w:b w:val="1"/>
          <w:bCs w:val="1"/>
          <w:color w:val="auto"/>
        </w:rPr>
      </w:pPr>
    </w:p>
    <w:p>
      <w:pPr>
        <w:ind w:left="640" w:right="739" w:hanging="9"/>
        <w:spacing w:after="0" w:line="251" w:lineRule="auto"/>
        <w:tabs>
          <w:tab w:leader="none" w:pos="813" w:val="left"/>
        </w:tabs>
        <w:numPr>
          <w:ilvl w:val="0"/>
          <w:numId w:val="8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Performance Under Protest. </w:t>
      </w:r>
      <w:r>
        <w:rPr>
          <w:rFonts w:ascii="Calibri" w:cs="Calibri" w:eastAsia="Calibri" w:hAnsi="Calibri"/>
          <w:sz w:val="11"/>
          <w:szCs w:val="11"/>
          <w:color w:val="auto"/>
        </w:rPr>
        <w:t>If at any tme a dispute shall arise as to any amount or sum of money to be paid by one Party to the other under the provisions</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hereof, the Party against whom the obligaton to pay the money is asserted shall have the right to make payment "under protest" and such payment shall not be regarded as a voluntary payment and there shall survive the right on the part of said Party to insttute suit for recovery of such sum. If it shall be adjudged that there was no legal obligaton on the part of said Party to pay such sum or any part thereof, said Party shall be enttled to recover such sum or so much thereof as it was not legally required to pay. A Party who does not initate suit for the recovery of sums paid "under protest" within 6 months shall be deemed to have waived its right to protest such payment.</w:t>
      </w:r>
    </w:p>
    <w:p>
      <w:pPr>
        <w:spacing w:after="0" w:line="223" w:lineRule="exact"/>
        <w:rPr>
          <w:rFonts w:ascii="Calibri" w:cs="Calibri" w:eastAsia="Calibri" w:hAnsi="Calibri"/>
          <w:sz w:val="11"/>
          <w:szCs w:val="11"/>
          <w:b w:val="1"/>
          <w:bCs w:val="1"/>
          <w:color w:val="auto"/>
        </w:rPr>
      </w:pPr>
    </w:p>
    <w:p>
      <w:pPr>
        <w:ind w:left="800" w:hanging="169"/>
        <w:spacing w:after="0"/>
        <w:tabs>
          <w:tab w:leader="none" w:pos="800" w:val="left"/>
        </w:tabs>
        <w:numPr>
          <w:ilvl w:val="0"/>
          <w:numId w:val="86"/>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Authority; Multple Partes; Executon.</w:t>
      </w:r>
    </w:p>
    <w:p>
      <w:pPr>
        <w:spacing w:after="0" w:line="5" w:lineRule="exact"/>
        <w:rPr>
          <w:rFonts w:ascii="Calibri" w:cs="Calibri" w:eastAsia="Calibri" w:hAnsi="Calibri"/>
          <w:sz w:val="11"/>
          <w:szCs w:val="11"/>
          <w:b w:val="1"/>
          <w:bCs w:val="1"/>
          <w:color w:val="auto"/>
        </w:rPr>
      </w:pPr>
    </w:p>
    <w:p>
      <w:pPr>
        <w:jc w:val="both"/>
        <w:ind w:left="640" w:right="859" w:firstLine="507"/>
        <w:spacing w:after="0" w:line="250" w:lineRule="auto"/>
        <w:tabs>
          <w:tab w:leader="none" w:pos="1307" w:val="left"/>
        </w:tabs>
        <w:numPr>
          <w:ilvl w:val="1"/>
          <w:numId w:val="86"/>
        </w:numPr>
        <w:rPr>
          <w:rFonts w:ascii="Calibri" w:cs="Calibri" w:eastAsia="Calibri" w:hAnsi="Calibri"/>
          <w:sz w:val="11"/>
          <w:szCs w:val="11"/>
          <w:color w:val="auto"/>
        </w:rPr>
      </w:pPr>
      <w:r>
        <w:rPr>
          <w:rFonts w:ascii="Calibri" w:cs="Calibri" w:eastAsia="Calibri" w:hAnsi="Calibri"/>
          <w:sz w:val="11"/>
          <w:szCs w:val="11"/>
          <w:color w:val="auto"/>
        </w:rPr>
        <w:t>If either Party hereto is a corporaton, trust, limited liability company, partnership, or similar entty, each individual executng this Lease on behalf of such entty represents and warrants that he or she is duly authorized to execute and deliver this Lease on its behalf. Each Party shall, within 30 days afer request, deliver to the other Party satsfactory evidence of such authority.</w:t>
      </w:r>
    </w:p>
    <w:p>
      <w:pPr>
        <w:ind w:left="640" w:right="839" w:firstLine="507"/>
        <w:spacing w:after="0" w:line="251" w:lineRule="auto"/>
        <w:tabs>
          <w:tab w:leader="none" w:pos="1312" w:val="left"/>
        </w:tabs>
        <w:numPr>
          <w:ilvl w:val="1"/>
          <w:numId w:val="86"/>
        </w:numPr>
        <w:rPr>
          <w:rFonts w:ascii="Calibri" w:cs="Calibri" w:eastAsia="Calibri" w:hAnsi="Calibri"/>
          <w:sz w:val="11"/>
          <w:szCs w:val="11"/>
          <w:color w:val="auto"/>
        </w:rPr>
      </w:pPr>
      <w:r>
        <w:rPr>
          <w:rFonts w:ascii="Calibri" w:cs="Calibri" w:eastAsia="Calibri" w:hAnsi="Calibri"/>
          <w:sz w:val="11"/>
          <w:szCs w:val="11"/>
          <w:color w:val="auto"/>
        </w:rPr>
        <w:t>If this Lease is executed by more than one person or entty as "Lessee", each such person or entty shall be jointly and severally liable hereunder. It is agreed that any one of the named Lessees shall be empowered to execute any amendment to this Lease, or other document ancillary thereto and bind all of the named Lessees, and Lessor may rely on the same as if all of the named Lessees had executed such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40005</wp:posOffset>
            </wp:positionV>
            <wp:extent cx="574040" cy="2940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40005</wp:posOffset>
            </wp:positionV>
            <wp:extent cx="382905" cy="2940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240"/>
              <w:spacing w:after="0"/>
              <w:rPr>
                <w:sz w:val="20"/>
                <w:szCs w:val="20"/>
                <w:color w:val="auto"/>
              </w:rPr>
            </w:pPr>
            <w:r>
              <w:rPr>
                <w:rFonts w:ascii="Calibri" w:cs="Calibri" w:eastAsia="Calibri" w:hAnsi="Calibri"/>
                <w:sz w:val="13"/>
                <w:szCs w:val="13"/>
                <w:color w:val="auto"/>
                <w:w w:val="97"/>
              </w:rPr>
              <w:t>Page 15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sectPr>
      </w:pPr>
    </w:p>
    <w:bookmarkStart w:id="113" w:name="page114"/>
    <w:bookmarkEnd w:id="113"/>
    <w:p>
      <w:pPr>
        <w:ind w:left="640" w:right="699" w:firstLine="507"/>
        <w:spacing w:after="0" w:line="253" w:lineRule="auto"/>
        <w:tabs>
          <w:tab w:leader="none" w:pos="1300" w:val="left"/>
        </w:tabs>
        <w:numPr>
          <w:ilvl w:val="2"/>
          <w:numId w:val="87"/>
        </w:numPr>
        <w:rPr>
          <w:rFonts w:ascii="Calibri" w:cs="Calibri" w:eastAsia="Calibri" w:hAnsi="Calibri"/>
          <w:sz w:val="11"/>
          <w:szCs w:val="11"/>
          <w:color w:val="auto"/>
        </w:rPr>
      </w:pPr>
      <w:r>
        <w:rPr>
          <w:rFonts w:ascii="Calibri" w:cs="Calibri" w:eastAsia="Calibri" w:hAnsi="Calibri"/>
          <w:sz w:val="11"/>
          <w:szCs w:val="11"/>
          <w:color w:val="auto"/>
        </w:rPr>
        <w:t>This Lease may be executed by the Partes in counterparts, each of which shall be deemed an original and all of which together shall consttute one and the same instrument.</w:t>
      </w:r>
    </w:p>
    <w:p>
      <w:pPr>
        <w:spacing w:after="0" w:line="82" w:lineRule="exact"/>
        <w:rPr>
          <w:rFonts w:ascii="Calibri" w:cs="Calibri" w:eastAsia="Calibri" w:hAnsi="Calibri"/>
          <w:sz w:val="11"/>
          <w:szCs w:val="11"/>
          <w:color w:val="auto"/>
        </w:rPr>
      </w:pPr>
    </w:p>
    <w:p>
      <w:pPr>
        <w:ind w:left="640" w:right="1099" w:hanging="9"/>
        <w:spacing w:after="0" w:line="253" w:lineRule="auto"/>
        <w:tabs>
          <w:tab w:leader="none" w:pos="813" w:val="left"/>
        </w:tabs>
        <w:numPr>
          <w:ilvl w:val="0"/>
          <w:numId w:val="88"/>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Conflict. </w:t>
      </w:r>
      <w:r>
        <w:rPr>
          <w:rFonts w:ascii="Calibri" w:cs="Calibri" w:eastAsia="Calibri" w:hAnsi="Calibri"/>
          <w:sz w:val="11"/>
          <w:szCs w:val="11"/>
          <w:color w:val="auto"/>
        </w:rPr>
        <w:t>Any conflict between the printed provisions of this Lease and the typewriten or handwriten provisions shall be controlled by the typewriten or</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handwriten provisions.</w:t>
      </w:r>
    </w:p>
    <w:p>
      <w:pPr>
        <w:spacing w:after="0" w:line="82" w:lineRule="exact"/>
        <w:rPr>
          <w:rFonts w:ascii="Calibri" w:cs="Calibri" w:eastAsia="Calibri" w:hAnsi="Calibri"/>
          <w:sz w:val="11"/>
          <w:szCs w:val="11"/>
          <w:b w:val="1"/>
          <w:bCs w:val="1"/>
          <w:color w:val="auto"/>
        </w:rPr>
      </w:pPr>
    </w:p>
    <w:p>
      <w:pPr>
        <w:ind w:left="640" w:right="759" w:hanging="9"/>
        <w:spacing w:after="0" w:line="253" w:lineRule="auto"/>
        <w:tabs>
          <w:tab w:leader="none" w:pos="813" w:val="left"/>
        </w:tabs>
        <w:numPr>
          <w:ilvl w:val="0"/>
          <w:numId w:val="88"/>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Oﬀer</w:t>
      </w:r>
      <w:r>
        <w:rPr>
          <w:rFonts w:ascii="Calibri" w:cs="Calibri" w:eastAsia="Calibri" w:hAnsi="Calibri"/>
          <w:sz w:val="11"/>
          <w:szCs w:val="11"/>
          <w:color w:val="auto"/>
        </w:rPr>
        <w:t>. Preparaton of this Lease by either Party or their agent and submission of same to the other Party shall not be deemed an oﬀer to lease to the other Party.</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This Lease is not intended to be binding untl executed and delivered by all Partes hereto.</w:t>
      </w:r>
    </w:p>
    <w:p>
      <w:pPr>
        <w:spacing w:after="0" w:line="82" w:lineRule="exact"/>
        <w:rPr>
          <w:rFonts w:ascii="Calibri" w:cs="Calibri" w:eastAsia="Calibri" w:hAnsi="Calibri"/>
          <w:sz w:val="11"/>
          <w:szCs w:val="11"/>
          <w:b w:val="1"/>
          <w:bCs w:val="1"/>
          <w:color w:val="auto"/>
        </w:rPr>
      </w:pPr>
    </w:p>
    <w:p>
      <w:pPr>
        <w:ind w:left="640" w:right="639" w:hanging="9"/>
        <w:spacing w:after="0" w:line="251" w:lineRule="auto"/>
        <w:tabs>
          <w:tab w:leader="none" w:pos="813" w:val="left"/>
        </w:tabs>
        <w:numPr>
          <w:ilvl w:val="0"/>
          <w:numId w:val="88"/>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Amendments. </w:t>
      </w:r>
      <w:r>
        <w:rPr>
          <w:rFonts w:ascii="Calibri" w:cs="Calibri" w:eastAsia="Calibri" w:hAnsi="Calibri"/>
          <w:sz w:val="11"/>
          <w:szCs w:val="11"/>
          <w:color w:val="auto"/>
        </w:rPr>
        <w:t>This Lease may be modified only in writng, signed by the Partes in interest at the tme of the modificaton. As long as they do not materially change</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Lessee's obligatons hereunder, Lessee agrees to make such reasonable non-monetary modificatons to this Lease as may be reasonably required by a Lender in connecton with the obtaining of normal financing or refinancing of the Premises.</w:t>
      </w:r>
    </w:p>
    <w:p>
      <w:pPr>
        <w:spacing w:after="0" w:line="84" w:lineRule="exact"/>
        <w:rPr>
          <w:rFonts w:ascii="Calibri" w:cs="Calibri" w:eastAsia="Calibri" w:hAnsi="Calibri"/>
          <w:sz w:val="11"/>
          <w:szCs w:val="11"/>
          <w:b w:val="1"/>
          <w:bCs w:val="1"/>
          <w:color w:val="auto"/>
        </w:rPr>
      </w:pPr>
    </w:p>
    <w:p>
      <w:pPr>
        <w:ind w:left="640" w:right="739" w:hanging="9"/>
        <w:spacing w:after="0" w:line="253" w:lineRule="auto"/>
        <w:tabs>
          <w:tab w:leader="none" w:pos="813" w:val="left"/>
        </w:tabs>
        <w:numPr>
          <w:ilvl w:val="0"/>
          <w:numId w:val="88"/>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Waiver of Jury Trial. THE PARTIES HEREBY WAIVE THEIR RESPECTIVE RIGHTS TO TRIAL BY JURY IN ANY ACTION OR PROCEEDING INVOLVING THE PROPERTY OR ARISING OUT OF THIS LEASE.</w:t>
      </w:r>
    </w:p>
    <w:p>
      <w:pPr>
        <w:spacing w:after="0" w:line="47" w:lineRule="exact"/>
        <w:rPr>
          <w:rFonts w:ascii="Calibri" w:cs="Calibri" w:eastAsia="Calibri" w:hAnsi="Calibri"/>
          <w:sz w:val="11"/>
          <w:szCs w:val="11"/>
          <w:b w:val="1"/>
          <w:bCs w:val="1"/>
          <w:color w:val="auto"/>
        </w:rPr>
      </w:pPr>
    </w:p>
    <w:p>
      <w:pPr>
        <w:ind w:left="640" w:right="639" w:hanging="9"/>
        <w:spacing w:after="0" w:line="172" w:lineRule="exact"/>
        <w:tabs>
          <w:tab w:leader="none" w:pos="813" w:val="left"/>
        </w:tabs>
        <w:numPr>
          <w:ilvl w:val="0"/>
          <w:numId w:val="88"/>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 xml:space="preserve">Arbitraton of Disputes. </w:t>
      </w:r>
      <w:r>
        <w:rPr>
          <w:rFonts w:ascii="Calibri" w:cs="Calibri" w:eastAsia="Calibri" w:hAnsi="Calibri"/>
          <w:sz w:val="11"/>
          <w:szCs w:val="11"/>
          <w:color w:val="auto"/>
        </w:rPr>
        <w:t>An Addendum requiring the Arbitraton of all disputes between the Partes and/or Brokers arising out of this Lease</w:t>
      </w:r>
      <w:r>
        <w:rPr>
          <w:rFonts w:ascii="Calibri" w:cs="Calibri" w:eastAsia="Calibri" w:hAnsi="Calibri"/>
          <w:sz w:val="11"/>
          <w:szCs w:val="11"/>
          <w:b w:val="1"/>
          <w:bCs w:val="1"/>
          <w:color w:val="auto"/>
        </w:rPr>
        <w:t xml:space="preserve"> </w:t>
      </w:r>
      <w:r>
        <w:rPr>
          <w:rFonts w:ascii="MS PGothic" w:cs="MS PGothic" w:eastAsia="MS PGothic" w:hAnsi="MS PGothic"/>
          <w:sz w:val="14"/>
          <w:szCs w:val="14"/>
          <w:color w:val="0000FF"/>
        </w:rPr>
        <w:t>☑</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is</w:t>
      </w:r>
      <w:r>
        <w:rPr>
          <w:rFonts w:ascii="Calibri" w:cs="Calibri" w:eastAsia="Calibri" w:hAnsi="Calibri"/>
          <w:sz w:val="11"/>
          <w:szCs w:val="11"/>
          <w:b w:val="1"/>
          <w:bCs w:val="1"/>
          <w:color w:val="auto"/>
        </w:rPr>
        <w:t xml:space="preserve"> </w:t>
      </w:r>
      <w:r>
        <w:rPr>
          <w:rFonts w:ascii="MS PGothic" w:cs="MS PGothic" w:eastAsia="MS PGothic" w:hAnsi="MS PGothic"/>
          <w:sz w:val="14"/>
          <w:szCs w:val="14"/>
          <w:color w:val="0000FF"/>
        </w:rPr>
        <w:t>☐</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is not atached</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to this Lease.</w:t>
      </w:r>
    </w:p>
    <w:p>
      <w:pPr>
        <w:spacing w:after="0" w:line="90" w:lineRule="exact"/>
        <w:rPr>
          <w:rFonts w:ascii="Calibri" w:cs="Calibri" w:eastAsia="Calibri" w:hAnsi="Calibri"/>
          <w:sz w:val="11"/>
          <w:szCs w:val="11"/>
          <w:b w:val="1"/>
          <w:bCs w:val="1"/>
          <w:color w:val="auto"/>
        </w:rPr>
      </w:pPr>
    </w:p>
    <w:p>
      <w:pPr>
        <w:ind w:left="800" w:hanging="169"/>
        <w:spacing w:after="0"/>
        <w:tabs>
          <w:tab w:leader="none" w:pos="800" w:val="left"/>
        </w:tabs>
        <w:numPr>
          <w:ilvl w:val="0"/>
          <w:numId w:val="88"/>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Accessibility; Americans with Disabilites Act.</w:t>
      </w:r>
    </w:p>
    <w:p>
      <w:pPr>
        <w:spacing w:after="0" w:line="5" w:lineRule="exact"/>
        <w:rPr>
          <w:rFonts w:ascii="Calibri" w:cs="Calibri" w:eastAsia="Calibri" w:hAnsi="Calibri"/>
          <w:sz w:val="11"/>
          <w:szCs w:val="11"/>
          <w:b w:val="1"/>
          <w:bCs w:val="1"/>
          <w:color w:val="auto"/>
        </w:rPr>
      </w:pPr>
    </w:p>
    <w:p>
      <w:pPr>
        <w:ind w:left="1300" w:hanging="153"/>
        <w:spacing w:after="0"/>
        <w:tabs>
          <w:tab w:leader="none" w:pos="1300" w:val="left"/>
        </w:tabs>
        <w:numPr>
          <w:ilvl w:val="2"/>
          <w:numId w:val="88"/>
        </w:numPr>
        <w:rPr>
          <w:rFonts w:ascii="Calibri" w:cs="Calibri" w:eastAsia="Calibri" w:hAnsi="Calibri"/>
          <w:sz w:val="11"/>
          <w:szCs w:val="11"/>
          <w:color w:val="auto"/>
        </w:rPr>
      </w:pPr>
      <w:r>
        <w:rPr>
          <w:rFonts w:ascii="Calibri" w:cs="Calibri" w:eastAsia="Calibri" w:hAnsi="Calibri"/>
          <w:sz w:val="11"/>
          <w:szCs w:val="11"/>
          <w:color w:val="auto"/>
        </w:rPr>
        <w:t>The Premises:</w:t>
      </w:r>
    </w:p>
    <w:p>
      <w:pPr>
        <w:spacing w:after="0" w:line="37" w:lineRule="exact"/>
        <w:rPr>
          <w:rFonts w:ascii="Calibri" w:cs="Calibri" w:eastAsia="Calibri" w:hAnsi="Calibri"/>
          <w:sz w:val="11"/>
          <w:szCs w:val="11"/>
          <w:color w:val="auto"/>
        </w:rPr>
      </w:pPr>
    </w:p>
    <w:p>
      <w:pPr>
        <w:ind w:left="640" w:right="679" w:firstLine="249"/>
        <w:spacing w:after="0" w:line="256" w:lineRule="auto"/>
        <w:tabs>
          <w:tab w:leader="none" w:pos="1042" w:val="left"/>
        </w:tabs>
        <w:numPr>
          <w:ilvl w:val="1"/>
          <w:numId w:val="88"/>
        </w:numPr>
        <w:rPr>
          <w:rFonts w:ascii="MS PGothic" w:cs="MS PGothic" w:eastAsia="MS PGothic" w:hAnsi="MS PGothic"/>
          <w:sz w:val="11"/>
          <w:szCs w:val="11"/>
          <w:color w:val="0000FF"/>
        </w:rPr>
      </w:pPr>
      <w:r>
        <w:rPr>
          <w:rFonts w:ascii="Calibri" w:cs="Calibri" w:eastAsia="Calibri" w:hAnsi="Calibri"/>
          <w:sz w:val="11"/>
          <w:szCs w:val="11"/>
          <w:color w:val="auto"/>
        </w:rPr>
        <w:t>have not undergone an inspecton by a Certfied Access Specialist (CASp). Note: A Certfied Access Specialist (CASp) can inspect the subject premises and determine whether the subject premises comply with all of the applicable constructon-related accessibility standards under state law. Although state law does not require a CASp inspecton of the subject premises, the commercial property owner or lessor may not prohibit the lessee or tenant from obtaining a CASp inspecton of the subject premises for the occupancy or potental occupancy of the lessee or tenant, if requested by the lessee or tenant. The partes shall mutually agree on the arrangements for the tme and manner of the CASp inspecton, the payment of the fee for the CASp inspecton, and the cost of making any repairs necessary to correct violatons of constructon-related accessibility standards within the premises.</w:t>
      </w:r>
    </w:p>
    <w:p>
      <w:pPr>
        <w:spacing w:after="0" w:line="34" w:lineRule="exact"/>
        <w:rPr>
          <w:sz w:val="20"/>
          <w:szCs w:val="20"/>
          <w:color w:val="auto"/>
        </w:rPr>
      </w:pPr>
    </w:p>
    <w:p>
      <w:pPr>
        <w:ind w:left="640" w:right="779" w:firstLine="249"/>
        <w:spacing w:after="0" w:line="262" w:lineRule="auto"/>
        <w:tabs>
          <w:tab w:leader="none" w:pos="1042" w:val="left"/>
        </w:tabs>
        <w:numPr>
          <w:ilvl w:val="0"/>
          <w:numId w:val="89"/>
        </w:numPr>
        <w:rPr>
          <w:rFonts w:ascii="MS PGothic" w:cs="MS PGothic" w:eastAsia="MS PGothic" w:hAnsi="MS PGothic"/>
          <w:sz w:val="11"/>
          <w:szCs w:val="11"/>
          <w:color w:val="0000FF"/>
        </w:rPr>
      </w:pPr>
      <w:r>
        <w:rPr>
          <w:rFonts w:ascii="Calibri" w:cs="Calibri" w:eastAsia="Calibri" w:hAnsi="Calibri"/>
          <w:sz w:val="11"/>
          <w:szCs w:val="11"/>
          <w:color w:val="auto"/>
        </w:rPr>
        <w:t>have undergone an inspecton by a Certfied Access Specialist (CASp) and it was determined that the Premises met all applicable constructon-related accessibility standards pursuant to California Civil Code §55.51 et seq. Lessee acknowledges that it received a copy of the inspecton report at least 48 hours prior to executng this Lease and agrees to keep such report confidental.</w:t>
      </w:r>
    </w:p>
    <w:p>
      <w:pPr>
        <w:spacing w:after="0" w:line="33" w:lineRule="exact"/>
        <w:rPr>
          <w:rFonts w:ascii="MS PGothic" w:cs="MS PGothic" w:eastAsia="MS PGothic" w:hAnsi="MS PGothic"/>
          <w:sz w:val="11"/>
          <w:szCs w:val="11"/>
          <w:color w:val="0000FF"/>
        </w:rPr>
      </w:pPr>
    </w:p>
    <w:p>
      <w:pPr>
        <w:ind w:left="640" w:right="659" w:firstLine="249"/>
        <w:spacing w:after="0" w:line="263" w:lineRule="auto"/>
        <w:tabs>
          <w:tab w:leader="none" w:pos="1042" w:val="left"/>
        </w:tabs>
        <w:numPr>
          <w:ilvl w:val="0"/>
          <w:numId w:val="89"/>
        </w:numPr>
        <w:rPr>
          <w:rFonts w:ascii="MS PGothic" w:cs="MS PGothic" w:eastAsia="MS PGothic" w:hAnsi="MS PGothic"/>
          <w:sz w:val="11"/>
          <w:szCs w:val="11"/>
          <w:color w:val="0000FF"/>
        </w:rPr>
      </w:pPr>
      <w:r>
        <w:rPr>
          <w:rFonts w:ascii="Calibri" w:cs="Calibri" w:eastAsia="Calibri" w:hAnsi="Calibri"/>
          <w:sz w:val="11"/>
          <w:szCs w:val="11"/>
          <w:color w:val="auto"/>
        </w:rPr>
        <w:t>have undergone an inspecton by a Certfied Access Specialist (CASp) and it was determined that the Premises did not meet all applicable constructon-related accessibility standards pursuant to California Civil Code §55.51 et seq. Lessee acknowledges that it received a copy of the inspecton report at least 48 hours prior to executng this Lease and agrees to keep such report confidental except as necessary to complete repairs and correctons of violatons of constructon related accessibility standards.</w:t>
      </w:r>
    </w:p>
    <w:p>
      <w:pPr>
        <w:spacing w:after="0" w:line="79" w:lineRule="exact"/>
        <w:rPr>
          <w:sz w:val="20"/>
          <w:szCs w:val="20"/>
          <w:color w:val="auto"/>
        </w:rPr>
      </w:pPr>
    </w:p>
    <w:p>
      <w:pPr>
        <w:ind w:left="640" w:right="739"/>
        <w:spacing w:after="0" w:line="250" w:lineRule="auto"/>
        <w:rPr>
          <w:sz w:val="20"/>
          <w:szCs w:val="20"/>
          <w:color w:val="auto"/>
        </w:rPr>
      </w:pPr>
      <w:r>
        <w:rPr>
          <w:rFonts w:ascii="Calibri" w:cs="Calibri" w:eastAsia="Calibri" w:hAnsi="Calibri"/>
          <w:sz w:val="11"/>
          <w:szCs w:val="11"/>
          <w:color w:val="auto"/>
        </w:rPr>
        <w:t>In the event that the Premises have been issued an inspecton report by a CASp the Lessor shall provide a copy of the disability access inspecton certficate to Lessee within 7 days of the executon of this Lease.</w:t>
      </w:r>
    </w:p>
    <w:p>
      <w:pPr>
        <w:ind w:left="640" w:right="639" w:firstLine="507"/>
        <w:spacing w:after="0" w:line="251" w:lineRule="auto"/>
        <w:tabs>
          <w:tab w:leader="none" w:pos="1312" w:val="left"/>
        </w:tabs>
        <w:numPr>
          <w:ilvl w:val="0"/>
          <w:numId w:val="90"/>
        </w:numPr>
        <w:rPr>
          <w:rFonts w:ascii="Calibri" w:cs="Calibri" w:eastAsia="Calibri" w:hAnsi="Calibri"/>
          <w:sz w:val="11"/>
          <w:szCs w:val="11"/>
          <w:color w:val="auto"/>
        </w:rPr>
      </w:pPr>
      <w:r>
        <w:rPr>
          <w:rFonts w:ascii="Calibri" w:cs="Calibri" w:eastAsia="Calibri" w:hAnsi="Calibri"/>
          <w:sz w:val="11"/>
          <w:szCs w:val="11"/>
          <w:color w:val="auto"/>
        </w:rPr>
        <w:t>Since compliance with the Americans with Disabilites Act (ADA) and other state and local accessibility statutes are dependent upon Lessee's specific use of the Premises, Lessor makes no warranty or representaton as to whether or not the Premises comply with ADA or any similar legislaton. In the event that Lessee's use of the Premises requires modificatons or additons to the Premises in order to be in compliance with ADA or other accessibility statutes, Lessee agrees to make any such necessary modificatons and/or additons at Lessee's expense.</w:t>
      </w:r>
    </w:p>
    <w:p>
      <w:pPr>
        <w:spacing w:after="0" w:line="84" w:lineRule="exact"/>
        <w:rPr>
          <w:sz w:val="20"/>
          <w:szCs w:val="20"/>
          <w:color w:val="auto"/>
        </w:rPr>
      </w:pPr>
    </w:p>
    <w:p>
      <w:pPr>
        <w:ind w:left="640" w:right="659"/>
        <w:spacing w:after="0" w:line="251" w:lineRule="auto"/>
        <w:rPr>
          <w:sz w:val="20"/>
          <w:szCs w:val="20"/>
          <w:color w:val="auto"/>
        </w:rPr>
      </w:pPr>
      <w:r>
        <w:rPr>
          <w:rFonts w:ascii="Calibri" w:cs="Calibri" w:eastAsia="Calibri" w:hAnsi="Calibri"/>
          <w:sz w:val="11"/>
          <w:szCs w:val="11"/>
          <w:b w:val="1"/>
          <w:bCs w:val="1"/>
          <w:color w:val="auto"/>
        </w:rPr>
        <w:t>LESSOR AND LESSEE HAVE CAREFULLY READ AND REVIEWED THIS LEASE AND EACH TERM AND PROVISION CONTAINED HEREIN, AND BY THE EXECUTION OF THIS LEASE SHOW THEIR INFORMED AND VOLUNTARY CONSENT THERETO. THE PARTIES HEREBY AGREE THAT, AT THE TIME THIS LEASE IS EXECUTED, THE TERMS OF THIS LEASE ARE COMMERCIALLY REASONABLE AND EFFECTUATE THE INTENT AND PURPOSE OF LESSOR AND LESSEE WITH RESPECT TO THE PREMISES.</w:t>
      </w:r>
    </w:p>
    <w:p>
      <w:pPr>
        <w:spacing w:after="0" w:line="84" w:lineRule="exact"/>
        <w:rPr>
          <w:sz w:val="20"/>
          <w:szCs w:val="20"/>
          <w:color w:val="auto"/>
        </w:rPr>
      </w:pPr>
    </w:p>
    <w:p>
      <w:pPr>
        <w:ind w:left="640" w:right="1119"/>
        <w:spacing w:after="0" w:line="250" w:lineRule="auto"/>
        <w:rPr>
          <w:sz w:val="20"/>
          <w:szCs w:val="20"/>
          <w:color w:val="auto"/>
        </w:rPr>
      </w:pPr>
      <w:r>
        <w:rPr>
          <w:rFonts w:ascii="Calibri" w:cs="Calibri" w:eastAsia="Calibri" w:hAnsi="Calibri"/>
          <w:sz w:val="11"/>
          <w:szCs w:val="11"/>
          <w:b w:val="1"/>
          <w:bCs w:val="1"/>
          <w:color w:val="auto"/>
        </w:rPr>
        <w:t>ATTENTION: NO REPRESENTATION OR RECOMMENDATION IS MADE BY AIR CRE OR BY ANY BROKER AS TO THE LEGAL SUFFICIENCY, LEGAL EFFECT, OR TAX CONSEQUENCES OF THIS LEASE OR THE TRANSACTION TO WHICH IT RELATES. THE PARTIES ARE URGED TO:</w:t>
      </w:r>
    </w:p>
    <w:p>
      <w:pPr>
        <w:ind w:left="740" w:hanging="109"/>
        <w:spacing w:after="0"/>
        <w:tabs>
          <w:tab w:leader="none" w:pos="740" w:val="left"/>
        </w:tabs>
        <w:numPr>
          <w:ilvl w:val="0"/>
          <w:numId w:val="91"/>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SEEK ADVICE OF COUNSEL AS TO THE LEGAL AND TAX CONSEQUENCES OF THIS LEASE.</w:t>
      </w:r>
    </w:p>
    <w:p>
      <w:pPr>
        <w:spacing w:after="0" w:line="16" w:lineRule="exact"/>
        <w:rPr>
          <w:rFonts w:ascii="Calibri" w:cs="Calibri" w:eastAsia="Calibri" w:hAnsi="Calibri"/>
          <w:sz w:val="11"/>
          <w:szCs w:val="11"/>
          <w:b w:val="1"/>
          <w:bCs w:val="1"/>
          <w:color w:val="auto"/>
        </w:rPr>
      </w:pPr>
    </w:p>
    <w:p>
      <w:pPr>
        <w:ind w:left="640" w:right="899" w:hanging="9"/>
        <w:spacing w:after="0" w:line="251" w:lineRule="auto"/>
        <w:tabs>
          <w:tab w:leader="none" w:pos="755" w:val="left"/>
        </w:tabs>
        <w:numPr>
          <w:ilvl w:val="0"/>
          <w:numId w:val="91"/>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RETAIN APPROPRIATE CONSULTANTS TO REVIEW AND INVESTIGATE THE CONDITION OF THE PREMISES. SAID INVESTIGATION SHOULD INCLUDE BUT NOT BE LIMITED TO: THE POSSIBLE PRESENCE OF HAZARDOUS SUBSTANCES, THE ZONING OF THE PREMISES, THE STRUCTURAL INTEGRITY, THE CONDITION OF THE ROOF AND OPERATING SYSTEMS, AND THE SUITABILITY OF THE PREMISES FOR LESSEE'S INTENDED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40005</wp:posOffset>
            </wp:positionV>
            <wp:extent cx="574040" cy="2940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40005</wp:posOffset>
            </wp:positionV>
            <wp:extent cx="382905" cy="2940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240"/>
              <w:spacing w:after="0"/>
              <w:rPr>
                <w:sz w:val="20"/>
                <w:szCs w:val="20"/>
                <w:color w:val="auto"/>
              </w:rPr>
            </w:pPr>
            <w:r>
              <w:rPr>
                <w:rFonts w:ascii="Calibri" w:cs="Calibri" w:eastAsia="Calibri" w:hAnsi="Calibri"/>
                <w:sz w:val="13"/>
                <w:szCs w:val="13"/>
                <w:color w:val="auto"/>
                <w:w w:val="97"/>
              </w:rPr>
              <w:t>Page 16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7" w:right="1440" w:bottom="1440" w:gutter="0" w:footer="0" w:header="0"/>
        </w:sectPr>
      </w:pPr>
    </w:p>
    <w:bookmarkStart w:id="114" w:name="page115"/>
    <w:bookmarkEnd w:id="114"/>
    <w:p>
      <w:pPr>
        <w:ind w:left="640" w:right="719"/>
        <w:spacing w:after="0" w:line="253" w:lineRule="auto"/>
        <w:rPr>
          <w:sz w:val="20"/>
          <w:szCs w:val="20"/>
          <w:color w:val="auto"/>
        </w:rPr>
      </w:pPr>
      <w:r>
        <w:rPr>
          <w:rFonts w:ascii="Calibri" w:cs="Calibri" w:eastAsia="Calibri" w:hAnsi="Calibri"/>
          <w:sz w:val="11"/>
          <w:szCs w:val="11"/>
          <w:b w:val="1"/>
          <w:bCs w:val="1"/>
          <w:color w:val="auto"/>
        </w:rPr>
        <w:t>WARNING: IF THE PREMISES ARE LOCATED IN A STATE OTHER THAN CALIFORNIA, CERTAIN PROVISIONS OF THE LEASE MAY NEED TO BE REVISED TO COMPLY WITH THE LAWS OF THE STATE IN WHICH THE PREMISES ARE LOCATED.</w:t>
      </w:r>
    </w:p>
    <w:p>
      <w:pPr>
        <w:spacing w:after="0" w:line="83" w:lineRule="exact"/>
        <w:rPr>
          <w:sz w:val="20"/>
          <w:szCs w:val="20"/>
          <w:color w:val="auto"/>
        </w:rPr>
      </w:pPr>
    </w:p>
    <w:p>
      <w:pPr>
        <w:ind w:left="640"/>
        <w:spacing w:after="0"/>
        <w:rPr>
          <w:sz w:val="20"/>
          <w:szCs w:val="20"/>
          <w:color w:val="auto"/>
        </w:rPr>
      </w:pPr>
      <w:r>
        <w:rPr>
          <w:rFonts w:ascii="Calibri" w:cs="Calibri" w:eastAsia="Calibri" w:hAnsi="Calibri"/>
          <w:sz w:val="11"/>
          <w:szCs w:val="11"/>
          <w:color w:val="auto"/>
        </w:rPr>
        <w:t>The partes hereto have executed this Lease at the place and on the dates specified above their respectve signatures.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36"/>
        </w:trPr>
        <w:tc>
          <w:tcPr>
            <w:tcW w:w="1080" w:type="dxa"/>
            <w:vAlign w:val="bottom"/>
            <w:gridSpan w:val="6"/>
          </w:tcPr>
          <w:p>
            <w:pPr>
              <w:spacing w:after="0"/>
              <w:rPr>
                <w:sz w:val="20"/>
                <w:szCs w:val="20"/>
                <w:color w:val="auto"/>
              </w:rPr>
            </w:pPr>
            <w:r>
              <w:rPr>
                <w:rFonts w:ascii="Calibri" w:cs="Calibri" w:eastAsia="Calibri" w:hAnsi="Calibri"/>
                <w:sz w:val="11"/>
                <w:szCs w:val="11"/>
                <w:color w:val="auto"/>
              </w:rPr>
              <w:t>Executed at:</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380" w:type="dxa"/>
            <w:vAlign w:val="bottom"/>
            <w:gridSpan w:val="6"/>
          </w:tcPr>
          <w:p>
            <w:pPr>
              <w:ind w:left="320"/>
              <w:spacing w:after="0"/>
              <w:rPr>
                <w:sz w:val="20"/>
                <w:szCs w:val="20"/>
                <w:color w:val="auto"/>
              </w:rPr>
            </w:pPr>
            <w:r>
              <w:rPr>
                <w:rFonts w:ascii="Calibri" w:cs="Calibri" w:eastAsia="Calibri" w:hAnsi="Calibri"/>
                <w:sz w:val="11"/>
                <w:szCs w:val="11"/>
                <w:color w:val="auto"/>
              </w:rPr>
              <w:t>Executed at:</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0" w:type="dxa"/>
            <w:vAlign w:val="bottom"/>
            <w:gridSpan w:val="2"/>
          </w:tcPr>
          <w:p>
            <w:pPr>
              <w:spacing w:after="0"/>
              <w:rPr>
                <w:sz w:val="20"/>
                <w:szCs w:val="20"/>
                <w:color w:val="auto"/>
              </w:rPr>
            </w:pPr>
            <w:r>
              <w:rPr>
                <w:rFonts w:ascii="Calibri" w:cs="Calibri" w:eastAsia="Calibri" w:hAnsi="Calibri"/>
                <w:sz w:val="11"/>
                <w:szCs w:val="11"/>
                <w:color w:val="auto"/>
              </w:rPr>
              <w:t>On:</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080" w:type="dxa"/>
            <w:vAlign w:val="bottom"/>
            <w:gridSpan w:val="6"/>
          </w:tcPr>
          <w:p>
            <w:pPr>
              <w:spacing w:after="0"/>
              <w:rPr>
                <w:sz w:val="20"/>
                <w:szCs w:val="20"/>
                <w:color w:val="auto"/>
              </w:rPr>
            </w:pPr>
            <w:r>
              <w:rPr>
                <w:rFonts w:ascii="Calibri" w:cs="Calibri" w:eastAsia="Calibri" w:hAnsi="Calibri"/>
                <w:sz w:val="11"/>
                <w:szCs w:val="11"/>
                <w:b w:val="1"/>
                <w:bCs w:val="1"/>
                <w:color w:val="auto"/>
              </w:rPr>
              <w:t>By LESSOR</w:t>
            </w:r>
            <w:r>
              <w:rPr>
                <w:rFonts w:ascii="Calibri" w:cs="Calibri" w:eastAsia="Calibri" w:hAnsi="Calibri"/>
                <w:sz w:val="11"/>
                <w:szCs w:val="11"/>
                <w:color w:val="auto"/>
              </w:rPr>
              <w: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80" w:type="dxa"/>
            <w:vAlign w:val="bottom"/>
            <w:gridSpan w:val="6"/>
          </w:tcPr>
          <w:p>
            <w:pPr>
              <w:ind w:left="320"/>
              <w:spacing w:after="0"/>
              <w:rPr>
                <w:sz w:val="20"/>
                <w:szCs w:val="20"/>
                <w:color w:val="auto"/>
              </w:rPr>
            </w:pPr>
            <w:r>
              <w:rPr>
                <w:rFonts w:ascii="Calibri" w:cs="Calibri" w:eastAsia="Calibri" w:hAnsi="Calibri"/>
                <w:sz w:val="11"/>
                <w:szCs w:val="11"/>
                <w:b w:val="1"/>
                <w:bCs w:val="1"/>
                <w:color w:val="auto"/>
              </w:rPr>
              <w:t>By LESSEE</w:t>
            </w:r>
            <w:r>
              <w:rPr>
                <w:rFonts w:ascii="Calibri" w:cs="Calibri" w:eastAsia="Calibri" w:hAnsi="Calibri"/>
                <w:sz w:val="11"/>
                <w:szCs w:val="11"/>
                <w:color w:val="auto"/>
              </w:rPr>
              <w:t>:</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320" w:type="dxa"/>
            <w:vAlign w:val="bottom"/>
            <w:gridSpan w:val="6"/>
          </w:tcPr>
          <w:p>
            <w:pPr>
              <w:spacing w:after="0" w:line="166" w:lineRule="exact"/>
              <w:rPr>
                <w:sz w:val="20"/>
                <w:szCs w:val="20"/>
                <w:color w:val="auto"/>
              </w:rPr>
            </w:pPr>
            <w:r>
              <w:rPr>
                <w:rFonts w:ascii="Calibri" w:cs="Calibri" w:eastAsia="Calibri" w:hAnsi="Calibri"/>
                <w:sz w:val="14"/>
                <w:szCs w:val="14"/>
                <w:color w:val="0000FF"/>
                <w:w w:val="99"/>
              </w:rPr>
              <w:t>BML Management, LLC</w:t>
            </w:r>
          </w:p>
        </w:tc>
        <w:tc>
          <w:tcPr>
            <w:tcW w:w="2300" w:type="dxa"/>
            <w:vAlign w:val="bottom"/>
            <w:gridSpan w:val="2"/>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5"/>
          </w:tcPr>
          <w:p>
            <w:pPr>
              <w:spacing w:after="0" w:line="166" w:lineRule="exact"/>
              <w:rPr>
                <w:sz w:val="20"/>
                <w:szCs w:val="20"/>
                <w:color w:val="auto"/>
              </w:rPr>
            </w:pPr>
            <w:r>
              <w:rPr>
                <w:rFonts w:ascii="Calibri" w:cs="Calibri" w:eastAsia="Calibri" w:hAnsi="Calibri"/>
                <w:sz w:val="14"/>
                <w:szCs w:val="14"/>
                <w:color w:val="0000FF"/>
              </w:rPr>
              <w:t>RxSight, Inc.</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00" w:type="dxa"/>
            <w:vAlign w:val="bottom"/>
            <w:gridSpan w:val="2"/>
          </w:tcPr>
          <w:p>
            <w:pPr>
              <w:spacing w:after="0"/>
              <w:rPr>
                <w:sz w:val="20"/>
                <w:szCs w:val="20"/>
                <w:color w:val="auto"/>
              </w:rPr>
            </w:pPr>
            <w:r>
              <w:rPr>
                <w:rFonts w:ascii="Calibri" w:cs="Calibri" w:eastAsia="Calibri" w:hAnsi="Calibri"/>
                <w:sz w:val="11"/>
                <w:szCs w:val="11"/>
                <w:color w:val="auto"/>
              </w:rPr>
              <w:t>By:</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20" w:type="dxa"/>
            <w:vAlign w:val="bottom"/>
            <w:gridSpan w:val="5"/>
          </w:tcPr>
          <w:p>
            <w:pPr>
              <w:spacing w:after="0"/>
              <w:rPr>
                <w:sz w:val="20"/>
                <w:szCs w:val="20"/>
                <w:color w:val="auto"/>
              </w:rPr>
            </w:pPr>
            <w:r>
              <w:rPr>
                <w:rFonts w:ascii="Calibri" w:cs="Calibri" w:eastAsia="Calibri" w:hAnsi="Calibri"/>
                <w:sz w:val="14"/>
                <w:szCs w:val="14"/>
                <w:color w:val="auto"/>
              </w:rPr>
              <w:t>/s/ Peter Lim</w:t>
            </w: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By:</w:t>
            </w:r>
          </w:p>
        </w:tc>
        <w:tc>
          <w:tcPr>
            <w:tcW w:w="300" w:type="dxa"/>
            <w:vAlign w:val="bottom"/>
          </w:tcPr>
          <w:p>
            <w:pPr>
              <w:spacing w:after="0"/>
              <w:rPr>
                <w:sz w:val="24"/>
                <w:szCs w:val="24"/>
                <w:color w:val="auto"/>
              </w:rPr>
            </w:pPr>
          </w:p>
        </w:tc>
        <w:tc>
          <w:tcPr>
            <w:tcW w:w="3020" w:type="dxa"/>
            <w:vAlign w:val="bottom"/>
            <w:gridSpan w:val="6"/>
          </w:tcPr>
          <w:p>
            <w:pPr>
              <w:ind w:left="20"/>
              <w:spacing w:after="0"/>
              <w:rPr>
                <w:sz w:val="20"/>
                <w:szCs w:val="20"/>
                <w:color w:val="auto"/>
              </w:rPr>
            </w:pPr>
            <w:r>
              <w:rPr>
                <w:rFonts w:ascii="Calibri" w:cs="Calibri" w:eastAsia="Calibri" w:hAnsi="Calibri"/>
                <w:sz w:val="14"/>
                <w:szCs w:val="14"/>
                <w:color w:val="auto"/>
              </w:rPr>
              <w:t>/s/ Ron Kurtz</w:t>
            </w:r>
          </w:p>
        </w:tc>
        <w:tc>
          <w:tcPr>
            <w:tcW w:w="0" w:type="dxa"/>
            <w:vAlign w:val="bottom"/>
          </w:tcPr>
          <w:p>
            <w:pPr>
              <w:spacing w:after="0"/>
              <w:rPr>
                <w:sz w:val="1"/>
                <w:szCs w:val="1"/>
                <w:color w:val="auto"/>
              </w:rPr>
            </w:pPr>
          </w:p>
        </w:tc>
      </w:tr>
      <w:tr>
        <w:trPr>
          <w:trHeight w:val="31"/>
        </w:trPr>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700" w:type="dxa"/>
            <w:vAlign w:val="bottom"/>
            <w:gridSpan w:val="4"/>
          </w:tcPr>
          <w:p>
            <w:pPr>
              <w:spacing w:after="0" w:line="126" w:lineRule="exact"/>
              <w:rPr>
                <w:sz w:val="20"/>
                <w:szCs w:val="20"/>
                <w:color w:val="auto"/>
              </w:rPr>
            </w:pPr>
            <w:r>
              <w:rPr>
                <w:rFonts w:ascii="Calibri" w:cs="Calibri" w:eastAsia="Calibri" w:hAnsi="Calibri"/>
                <w:sz w:val="11"/>
                <w:szCs w:val="11"/>
                <w:color w:val="auto"/>
              </w:rPr>
              <w:t>Name Printed:</w:t>
            </w:r>
          </w:p>
        </w:tc>
        <w:tc>
          <w:tcPr>
            <w:tcW w:w="3020" w:type="dxa"/>
            <w:vAlign w:val="bottom"/>
            <w:tcBorders>
              <w:top w:val="single" w:sz="8" w:color="auto"/>
            </w:tcBorders>
            <w:gridSpan w:val="5"/>
          </w:tcPr>
          <w:p>
            <w:pPr>
              <w:spacing w:after="0" w:line="161" w:lineRule="exact"/>
              <w:rPr>
                <w:sz w:val="20"/>
                <w:szCs w:val="20"/>
                <w:color w:val="auto"/>
              </w:rPr>
            </w:pPr>
            <w:r>
              <w:rPr>
                <w:rFonts w:ascii="Calibri" w:cs="Calibri" w:eastAsia="Calibri" w:hAnsi="Calibri"/>
                <w:sz w:val="14"/>
                <w:szCs w:val="14"/>
                <w:color w:val="auto"/>
              </w:rPr>
              <w:t>Peter Lim</w:t>
            </w:r>
          </w:p>
        </w:tc>
        <w:tc>
          <w:tcPr>
            <w:tcW w:w="1000" w:type="dxa"/>
            <w:vAlign w:val="bottom"/>
            <w:gridSpan w:val="3"/>
          </w:tcPr>
          <w:p>
            <w:pPr>
              <w:ind w:left="320"/>
              <w:spacing w:after="0" w:line="126" w:lineRule="exact"/>
              <w:rPr>
                <w:sz w:val="20"/>
                <w:szCs w:val="20"/>
                <w:color w:val="auto"/>
              </w:rPr>
            </w:pPr>
            <w:r>
              <w:rPr>
                <w:rFonts w:ascii="Calibri" w:cs="Calibri" w:eastAsia="Calibri" w:hAnsi="Calibri"/>
                <w:sz w:val="11"/>
                <w:szCs w:val="11"/>
                <w:color w:val="auto"/>
              </w:rPr>
              <w:t>Name Printed:</w:t>
            </w:r>
          </w:p>
        </w:tc>
        <w:tc>
          <w:tcPr>
            <w:tcW w:w="3020" w:type="dxa"/>
            <w:vAlign w:val="bottom"/>
            <w:tcBorders>
              <w:top w:val="single" w:sz="8" w:color="auto"/>
            </w:tcBorders>
            <w:gridSpan w:val="6"/>
          </w:tcPr>
          <w:p>
            <w:pPr>
              <w:ind w:left="20"/>
              <w:spacing w:after="0" w:line="161" w:lineRule="exact"/>
              <w:rPr>
                <w:sz w:val="20"/>
                <w:szCs w:val="20"/>
                <w:color w:val="auto"/>
              </w:rPr>
            </w:pPr>
            <w:r>
              <w:rPr>
                <w:rFonts w:ascii="Calibri" w:cs="Calibri" w:eastAsia="Calibri" w:hAnsi="Calibri"/>
                <w:sz w:val="14"/>
                <w:szCs w:val="14"/>
                <w:color w:val="auto"/>
              </w:rPr>
              <w:t>Ron Kurtz</w:t>
            </w:r>
          </w:p>
        </w:tc>
        <w:tc>
          <w:tcPr>
            <w:tcW w:w="0" w:type="dxa"/>
            <w:vAlign w:val="bottom"/>
          </w:tcPr>
          <w:p>
            <w:pPr>
              <w:spacing w:after="0"/>
              <w:rPr>
                <w:sz w:val="1"/>
                <w:szCs w:val="1"/>
                <w:color w:val="auto"/>
              </w:rPr>
            </w:pPr>
          </w:p>
        </w:tc>
      </w:tr>
      <w:tr>
        <w:trPr>
          <w:trHeight w:val="187"/>
        </w:trPr>
        <w:tc>
          <w:tcPr>
            <w:tcW w:w="400" w:type="dxa"/>
            <w:vAlign w:val="bottom"/>
            <w:gridSpan w:val="2"/>
          </w:tcPr>
          <w:p>
            <w:pPr>
              <w:spacing w:after="0"/>
              <w:rPr>
                <w:sz w:val="20"/>
                <w:szCs w:val="20"/>
                <w:color w:val="auto"/>
              </w:rPr>
            </w:pPr>
            <w:r>
              <w:rPr>
                <w:rFonts w:ascii="Calibri" w:cs="Calibri" w:eastAsia="Calibri" w:hAnsi="Calibri"/>
                <w:sz w:val="11"/>
                <w:szCs w:val="11"/>
                <w:color w:val="auto"/>
              </w:rPr>
              <w:t>Title:</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Calibri" w:cs="Calibri" w:eastAsia="Calibri" w:hAnsi="Calibri"/>
                <w:sz w:val="14"/>
                <w:szCs w:val="14"/>
                <w:color w:val="auto"/>
              </w:rPr>
              <w:t>Manager</w:t>
            </w: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Title:</w:t>
            </w:r>
          </w:p>
        </w:tc>
        <w:tc>
          <w:tcPr>
            <w:tcW w:w="300" w:type="dxa"/>
            <w:vAlign w:val="bottom"/>
          </w:tcPr>
          <w:p>
            <w:pPr>
              <w:spacing w:after="0"/>
              <w:rPr>
                <w:sz w:val="16"/>
                <w:szCs w:val="16"/>
                <w:color w:val="auto"/>
              </w:rPr>
            </w:pPr>
          </w:p>
        </w:tc>
        <w:tc>
          <w:tcPr>
            <w:tcW w:w="3020" w:type="dxa"/>
            <w:vAlign w:val="bottom"/>
            <w:gridSpan w:val="6"/>
          </w:tcPr>
          <w:p>
            <w:pPr>
              <w:ind w:left="20"/>
              <w:spacing w:after="0"/>
              <w:rPr>
                <w:sz w:val="20"/>
                <w:szCs w:val="20"/>
                <w:color w:val="auto"/>
              </w:rPr>
            </w:pPr>
            <w:r>
              <w:rPr>
                <w:rFonts w:ascii="Calibri" w:cs="Calibri" w:eastAsia="Calibri" w:hAnsi="Calibri"/>
                <w:sz w:val="14"/>
                <w:szCs w:val="14"/>
                <w:color w:val="auto"/>
              </w:rPr>
              <w:t>President and CEO</w:t>
            </w:r>
          </w:p>
        </w:tc>
        <w:tc>
          <w:tcPr>
            <w:tcW w:w="0" w:type="dxa"/>
            <w:vAlign w:val="bottom"/>
          </w:tcPr>
          <w:p>
            <w:pPr>
              <w:spacing w:after="0"/>
              <w:rPr>
                <w:sz w:val="1"/>
                <w:szCs w:val="1"/>
                <w:color w:val="auto"/>
              </w:rPr>
            </w:pPr>
          </w:p>
        </w:tc>
      </w:tr>
      <w:tr>
        <w:trPr>
          <w:trHeight w:val="166"/>
        </w:trPr>
        <w:tc>
          <w:tcPr>
            <w:tcW w:w="400" w:type="dxa"/>
            <w:vAlign w:val="bottom"/>
            <w:gridSpan w:val="2"/>
          </w:tcPr>
          <w:p>
            <w:pPr>
              <w:spacing w:after="0"/>
              <w:rPr>
                <w:sz w:val="20"/>
                <w:szCs w:val="20"/>
                <w:color w:val="auto"/>
              </w:rPr>
            </w:pPr>
            <w:r>
              <w:rPr>
                <w:rFonts w:ascii="Calibri" w:cs="Calibri" w:eastAsia="Calibri" w:hAnsi="Calibri"/>
                <w:sz w:val="11"/>
                <w:szCs w:val="11"/>
                <w:color w:val="auto"/>
              </w:rPr>
              <w:t>Phone: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Phone: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 w:type="dxa"/>
            <w:vAlign w:val="bottom"/>
            <w:gridSpan w:val="2"/>
          </w:tcPr>
          <w:p>
            <w:pPr>
              <w:spacing w:after="0"/>
              <w:rPr>
                <w:sz w:val="20"/>
                <w:szCs w:val="20"/>
                <w:color w:val="auto"/>
              </w:rPr>
            </w:pPr>
            <w:r>
              <w:rPr>
                <w:rFonts w:ascii="Calibri" w:cs="Calibri" w:eastAsia="Calibri" w:hAnsi="Calibri"/>
                <w:sz w:val="11"/>
                <w:szCs w:val="11"/>
                <w:color w:val="auto"/>
              </w:rPr>
              <w:t>Fax:</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Fax:</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 w:type="dxa"/>
            <w:vAlign w:val="bottom"/>
            <w:gridSpan w:val="2"/>
          </w:tcPr>
          <w:p>
            <w:pPr>
              <w:spacing w:after="0"/>
              <w:rPr>
                <w:sz w:val="20"/>
                <w:szCs w:val="20"/>
                <w:color w:val="auto"/>
              </w:rPr>
            </w:pPr>
            <w:r>
              <w:rPr>
                <w:rFonts w:ascii="Calibri" w:cs="Calibri" w:eastAsia="Calibri" w:hAnsi="Calibri"/>
                <w:sz w:val="11"/>
                <w:szCs w:val="11"/>
                <w:color w:val="auto"/>
              </w:rPr>
              <w:t>Email:</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Calibri" w:cs="Calibri" w:eastAsia="Calibri" w:hAnsi="Calibri"/>
                <w:sz w:val="14"/>
                <w:szCs w:val="14"/>
                <w:color w:val="auto"/>
              </w:rPr>
              <w:t>peter.lim@bureauveritas.com</w:t>
            </w: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Email:</w:t>
            </w:r>
          </w:p>
        </w:tc>
        <w:tc>
          <w:tcPr>
            <w:tcW w:w="300" w:type="dxa"/>
            <w:vAlign w:val="bottom"/>
          </w:tcPr>
          <w:p>
            <w:pPr>
              <w:spacing w:after="0"/>
              <w:rPr>
                <w:sz w:val="16"/>
                <w:szCs w:val="16"/>
                <w:color w:val="auto"/>
              </w:rPr>
            </w:pPr>
          </w:p>
        </w:tc>
        <w:tc>
          <w:tcPr>
            <w:tcW w:w="3020" w:type="dxa"/>
            <w:vAlign w:val="bottom"/>
            <w:gridSpan w:val="6"/>
          </w:tcPr>
          <w:p>
            <w:pPr>
              <w:ind w:left="20"/>
              <w:spacing w:after="0"/>
              <w:rPr>
                <w:sz w:val="20"/>
                <w:szCs w:val="20"/>
                <w:color w:val="auto"/>
              </w:rPr>
            </w:pPr>
            <w:r>
              <w:rPr>
                <w:rFonts w:ascii="Calibri" w:cs="Calibri" w:eastAsia="Calibri" w:hAnsi="Calibri"/>
                <w:sz w:val="14"/>
                <w:szCs w:val="14"/>
                <w:color w:val="auto"/>
              </w:rPr>
              <w:t>rkurtz@rxsight.com</w:t>
            </w:r>
          </w:p>
        </w:tc>
        <w:tc>
          <w:tcPr>
            <w:tcW w:w="0" w:type="dxa"/>
            <w:vAlign w:val="bottom"/>
          </w:tcPr>
          <w:p>
            <w:pPr>
              <w:spacing w:after="0"/>
              <w:rPr>
                <w:sz w:val="1"/>
                <w:szCs w:val="1"/>
                <w:color w:val="auto"/>
              </w:rPr>
            </w:pPr>
          </w:p>
        </w:tc>
      </w:tr>
      <w:tr>
        <w:trPr>
          <w:trHeight w:val="338"/>
        </w:trPr>
        <w:tc>
          <w:tcPr>
            <w:tcW w:w="400" w:type="dxa"/>
            <w:vAlign w:val="bottom"/>
            <w:gridSpan w:val="2"/>
          </w:tcPr>
          <w:p>
            <w:pPr>
              <w:spacing w:after="0"/>
              <w:rPr>
                <w:sz w:val="20"/>
                <w:szCs w:val="20"/>
                <w:color w:val="auto"/>
              </w:rPr>
            </w:pPr>
            <w:r>
              <w:rPr>
                <w:rFonts w:ascii="Calibri" w:cs="Calibri" w:eastAsia="Calibri" w:hAnsi="Calibri"/>
                <w:sz w:val="11"/>
                <w:szCs w:val="11"/>
                <w:color w:val="auto"/>
              </w:rPr>
              <w:t>By:</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By:</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700" w:type="dxa"/>
            <w:vAlign w:val="bottom"/>
            <w:gridSpan w:val="4"/>
          </w:tcPr>
          <w:p>
            <w:pPr>
              <w:spacing w:after="0" w:line="126" w:lineRule="exact"/>
              <w:rPr>
                <w:sz w:val="20"/>
                <w:szCs w:val="20"/>
                <w:color w:val="auto"/>
              </w:rPr>
            </w:pPr>
            <w:r>
              <w:rPr>
                <w:rFonts w:ascii="Calibri" w:cs="Calibri" w:eastAsia="Calibri" w:hAnsi="Calibri"/>
                <w:sz w:val="11"/>
                <w:szCs w:val="11"/>
                <w:color w:val="auto"/>
              </w:rPr>
              <w:t>Name Printed:</w:t>
            </w:r>
          </w:p>
        </w:tc>
        <w:tc>
          <w:tcPr>
            <w:tcW w:w="3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1000" w:type="dxa"/>
            <w:vAlign w:val="bottom"/>
            <w:gridSpan w:val="3"/>
          </w:tcPr>
          <w:p>
            <w:pPr>
              <w:ind w:left="320"/>
              <w:spacing w:after="0" w:line="126" w:lineRule="exact"/>
              <w:rPr>
                <w:sz w:val="20"/>
                <w:szCs w:val="20"/>
                <w:color w:val="auto"/>
              </w:rPr>
            </w:pPr>
            <w:r>
              <w:rPr>
                <w:rFonts w:ascii="Calibri" w:cs="Calibri" w:eastAsia="Calibri" w:hAnsi="Calibri"/>
                <w:sz w:val="11"/>
                <w:szCs w:val="11"/>
                <w:color w:val="auto"/>
              </w:rPr>
              <w:t>Name Printed:</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00" w:type="dxa"/>
            <w:vAlign w:val="bottom"/>
            <w:gridSpan w:val="2"/>
          </w:tcPr>
          <w:p>
            <w:pPr>
              <w:spacing w:after="0"/>
              <w:rPr>
                <w:sz w:val="20"/>
                <w:szCs w:val="20"/>
                <w:color w:val="auto"/>
              </w:rPr>
            </w:pPr>
            <w:r>
              <w:rPr>
                <w:rFonts w:ascii="Calibri" w:cs="Calibri" w:eastAsia="Calibri" w:hAnsi="Calibri"/>
                <w:sz w:val="11"/>
                <w:szCs w:val="11"/>
                <w:color w:val="auto"/>
              </w:rPr>
              <w:t>Title: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Title: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 w:type="dxa"/>
            <w:vAlign w:val="bottom"/>
            <w:gridSpan w:val="2"/>
          </w:tcPr>
          <w:p>
            <w:pPr>
              <w:spacing w:after="0"/>
              <w:rPr>
                <w:sz w:val="20"/>
                <w:szCs w:val="20"/>
                <w:color w:val="auto"/>
              </w:rPr>
            </w:pPr>
            <w:r>
              <w:rPr>
                <w:rFonts w:ascii="Calibri" w:cs="Calibri" w:eastAsia="Calibri" w:hAnsi="Calibri"/>
                <w:sz w:val="11"/>
                <w:szCs w:val="11"/>
                <w:color w:val="auto"/>
              </w:rPr>
              <w:t>Phone: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Phone: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 w:type="dxa"/>
            <w:vAlign w:val="bottom"/>
            <w:gridSpan w:val="2"/>
          </w:tcPr>
          <w:p>
            <w:pPr>
              <w:spacing w:after="0"/>
              <w:rPr>
                <w:sz w:val="20"/>
                <w:szCs w:val="20"/>
                <w:color w:val="auto"/>
              </w:rPr>
            </w:pPr>
            <w:r>
              <w:rPr>
                <w:rFonts w:ascii="Calibri" w:cs="Calibri" w:eastAsia="Calibri" w:hAnsi="Calibri"/>
                <w:sz w:val="11"/>
                <w:szCs w:val="11"/>
                <w:color w:val="auto"/>
              </w:rPr>
              <w:t>Fax:</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Fax:</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 w:type="dxa"/>
            <w:vAlign w:val="bottom"/>
            <w:gridSpan w:val="2"/>
          </w:tcPr>
          <w:p>
            <w:pPr>
              <w:spacing w:after="0"/>
              <w:rPr>
                <w:sz w:val="20"/>
                <w:szCs w:val="20"/>
                <w:color w:val="auto"/>
              </w:rPr>
            </w:pPr>
            <w:r>
              <w:rPr>
                <w:rFonts w:ascii="Calibri" w:cs="Calibri" w:eastAsia="Calibri" w:hAnsi="Calibri"/>
                <w:sz w:val="11"/>
                <w:szCs w:val="11"/>
                <w:color w:val="auto"/>
              </w:rPr>
              <w:t>Email:</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Email: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1080" w:type="dxa"/>
            <w:vAlign w:val="bottom"/>
            <w:gridSpan w:val="6"/>
          </w:tcPr>
          <w:p>
            <w:pPr>
              <w:spacing w:after="0"/>
              <w:rPr>
                <w:sz w:val="20"/>
                <w:szCs w:val="20"/>
                <w:color w:val="auto"/>
              </w:rPr>
            </w:pPr>
            <w:r>
              <w:rPr>
                <w:rFonts w:ascii="Calibri" w:cs="Calibri" w:eastAsia="Calibri" w:hAnsi="Calibri"/>
                <w:sz w:val="11"/>
                <w:szCs w:val="11"/>
                <w:color w:val="auto"/>
              </w:rPr>
              <w:t>Address: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380" w:type="dxa"/>
            <w:vAlign w:val="bottom"/>
            <w:gridSpan w:val="6"/>
          </w:tcPr>
          <w:p>
            <w:pPr>
              <w:ind w:left="320"/>
              <w:spacing w:after="0"/>
              <w:rPr>
                <w:sz w:val="20"/>
                <w:szCs w:val="20"/>
                <w:color w:val="auto"/>
              </w:rPr>
            </w:pPr>
            <w:r>
              <w:rPr>
                <w:rFonts w:ascii="Calibri" w:cs="Calibri" w:eastAsia="Calibri" w:hAnsi="Calibri"/>
                <w:sz w:val="11"/>
                <w:szCs w:val="11"/>
                <w:color w:val="auto"/>
              </w:rPr>
              <w:t>Address: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080" w:type="dxa"/>
            <w:vAlign w:val="bottom"/>
            <w:gridSpan w:val="6"/>
          </w:tcPr>
          <w:p>
            <w:pPr>
              <w:spacing w:after="0"/>
              <w:rPr>
                <w:sz w:val="20"/>
                <w:szCs w:val="20"/>
                <w:color w:val="auto"/>
              </w:rPr>
            </w:pPr>
            <w:r>
              <w:rPr>
                <w:rFonts w:ascii="Calibri" w:cs="Calibri" w:eastAsia="Calibri" w:hAnsi="Calibri"/>
                <w:sz w:val="11"/>
                <w:szCs w:val="11"/>
                <w:color w:val="auto"/>
              </w:rPr>
              <w:t>Federal ID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80" w:type="dxa"/>
            <w:vAlign w:val="bottom"/>
            <w:gridSpan w:val="6"/>
          </w:tcPr>
          <w:p>
            <w:pPr>
              <w:ind w:left="320"/>
              <w:spacing w:after="0"/>
              <w:rPr>
                <w:sz w:val="20"/>
                <w:szCs w:val="20"/>
                <w:color w:val="auto"/>
              </w:rPr>
            </w:pPr>
            <w:r>
              <w:rPr>
                <w:rFonts w:ascii="Calibri" w:cs="Calibri" w:eastAsia="Calibri" w:hAnsi="Calibri"/>
                <w:sz w:val="11"/>
                <w:szCs w:val="11"/>
                <w:color w:val="auto"/>
              </w:rPr>
              <w:t>Federal ID</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00" w:type="dxa"/>
            <w:vAlign w:val="bottom"/>
            <w:gridSpan w:val="2"/>
          </w:tcPr>
          <w:p>
            <w:pPr>
              <w:spacing w:after="0"/>
              <w:rPr>
                <w:sz w:val="20"/>
                <w:szCs w:val="20"/>
                <w:color w:val="auto"/>
              </w:rPr>
            </w:pPr>
            <w:r>
              <w:rPr>
                <w:rFonts w:ascii="Calibri" w:cs="Calibri" w:eastAsia="Calibri" w:hAnsi="Calibri"/>
                <w:sz w:val="11"/>
                <w:szCs w:val="11"/>
                <w:color w:val="auto"/>
              </w:rPr>
              <w:t>No.:</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No.:</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4"/>
        </w:trPr>
        <w:tc>
          <w:tcPr>
            <w:tcW w:w="400" w:type="dxa"/>
            <w:vAlign w:val="bottom"/>
            <w:gridSpan w:val="2"/>
          </w:tcPr>
          <w:p>
            <w:pPr>
              <w:spacing w:after="0"/>
              <w:rPr>
                <w:sz w:val="20"/>
                <w:szCs w:val="20"/>
                <w:color w:val="auto"/>
              </w:rPr>
            </w:pPr>
            <w:r>
              <w:rPr>
                <w:rFonts w:ascii="Calibri" w:cs="Calibri" w:eastAsia="Calibri" w:hAnsi="Calibri"/>
                <w:sz w:val="11"/>
                <w:szCs w:val="11"/>
                <w:b w:val="1"/>
                <w:bCs w:val="1"/>
                <w:color w:val="auto"/>
              </w:rPr>
              <w:t>BROKER</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b w:val="1"/>
                <w:bCs w:val="1"/>
                <w:color w:val="auto"/>
                <w:w w:val="96"/>
              </w:rPr>
              <w:t>BROKER</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580" w:type="dxa"/>
            <w:vAlign w:val="bottom"/>
            <w:gridSpan w:val="2"/>
          </w:tcPr>
          <w:p>
            <w:pPr>
              <w:spacing w:after="0"/>
              <w:rPr>
                <w:sz w:val="20"/>
                <w:szCs w:val="20"/>
                <w:color w:val="auto"/>
              </w:rPr>
            </w:pPr>
            <w:r>
              <w:rPr>
                <w:rFonts w:ascii="Calibri" w:cs="Calibri" w:eastAsia="Calibri" w:hAnsi="Calibri"/>
                <w:sz w:val="14"/>
                <w:szCs w:val="14"/>
                <w:color w:val="0000FF"/>
                <w:w w:val="99"/>
              </w:rPr>
              <w:t>CBRE, Inc.</w:t>
            </w:r>
          </w:p>
        </w:tc>
        <w:tc>
          <w:tcPr>
            <w:tcW w:w="400" w:type="dxa"/>
            <w:vAlign w:val="bottom"/>
            <w:gridSpan w:val="3"/>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gridSpan w:val="5"/>
          </w:tcPr>
          <w:p>
            <w:pPr>
              <w:spacing w:after="0"/>
              <w:rPr>
                <w:sz w:val="20"/>
                <w:szCs w:val="20"/>
                <w:color w:val="auto"/>
              </w:rPr>
            </w:pPr>
            <w:r>
              <w:rPr>
                <w:rFonts w:ascii="Calibri" w:cs="Calibri" w:eastAsia="Calibri" w:hAnsi="Calibri"/>
                <w:sz w:val="14"/>
                <w:szCs w:val="14"/>
                <w:color w:val="0000FF"/>
                <w:w w:val="98"/>
              </w:rPr>
              <w:t>Lee &amp; Associates</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00" w:type="dxa"/>
            <w:vAlign w:val="bottom"/>
            <w:gridSpan w:val="2"/>
          </w:tcPr>
          <w:p>
            <w:pPr>
              <w:spacing w:after="0"/>
              <w:rPr>
                <w:sz w:val="20"/>
                <w:szCs w:val="20"/>
                <w:color w:val="auto"/>
              </w:rPr>
            </w:pPr>
            <w:r>
              <w:rPr>
                <w:rFonts w:ascii="Calibri" w:cs="Calibri" w:eastAsia="Calibri" w:hAnsi="Calibri"/>
                <w:sz w:val="11"/>
                <w:szCs w:val="11"/>
                <w:color w:val="auto"/>
              </w:rPr>
              <w:t>Atn:</w:t>
            </w:r>
          </w:p>
        </w:tc>
        <w:tc>
          <w:tcPr>
            <w:tcW w:w="680" w:type="dxa"/>
            <w:vAlign w:val="bottom"/>
            <w:gridSpan w:val="4"/>
          </w:tcPr>
          <w:p>
            <w:pPr>
              <w:spacing w:after="0"/>
              <w:rPr>
                <w:sz w:val="20"/>
                <w:szCs w:val="20"/>
                <w:color w:val="auto"/>
              </w:rPr>
            </w:pPr>
            <w:r>
              <w:rPr>
                <w:rFonts w:ascii="Calibri" w:cs="Calibri" w:eastAsia="Calibri" w:hAnsi="Calibri"/>
                <w:sz w:val="14"/>
                <w:szCs w:val="14"/>
                <w:color w:val="0000FF"/>
              </w:rPr>
              <w:t>Keith Black</w:t>
            </w: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Atn:</w:t>
            </w:r>
          </w:p>
        </w:tc>
        <w:tc>
          <w:tcPr>
            <w:tcW w:w="3320" w:type="dxa"/>
            <w:vAlign w:val="bottom"/>
            <w:gridSpan w:val="7"/>
          </w:tcPr>
          <w:p>
            <w:pPr>
              <w:spacing w:after="0"/>
              <w:rPr>
                <w:sz w:val="20"/>
                <w:szCs w:val="20"/>
                <w:color w:val="auto"/>
              </w:rPr>
            </w:pPr>
            <w:r>
              <w:rPr>
                <w:rFonts w:ascii="Calibri" w:cs="Calibri" w:eastAsia="Calibri" w:hAnsi="Calibri"/>
                <w:sz w:val="14"/>
                <w:szCs w:val="14"/>
                <w:color w:val="0000FF"/>
              </w:rPr>
              <w:t>Guy Laferrara</w:t>
            </w:r>
          </w:p>
        </w:tc>
        <w:tc>
          <w:tcPr>
            <w:tcW w:w="0" w:type="dxa"/>
            <w:vAlign w:val="bottom"/>
          </w:tcPr>
          <w:p>
            <w:pPr>
              <w:spacing w:after="0"/>
              <w:rPr>
                <w:sz w:val="1"/>
                <w:szCs w:val="1"/>
                <w:color w:val="auto"/>
              </w:rPr>
            </w:pPr>
          </w:p>
        </w:tc>
      </w:tr>
      <w:tr>
        <w:trPr>
          <w:trHeight w:val="169"/>
        </w:trPr>
        <w:tc>
          <w:tcPr>
            <w:tcW w:w="400" w:type="dxa"/>
            <w:vAlign w:val="bottom"/>
            <w:gridSpan w:val="2"/>
          </w:tcPr>
          <w:p>
            <w:pPr>
              <w:spacing w:after="0"/>
              <w:rPr>
                <w:sz w:val="20"/>
                <w:szCs w:val="20"/>
                <w:color w:val="auto"/>
              </w:rPr>
            </w:pPr>
            <w:r>
              <w:rPr>
                <w:rFonts w:ascii="Calibri" w:cs="Calibri" w:eastAsia="Calibri" w:hAnsi="Calibri"/>
                <w:sz w:val="11"/>
                <w:szCs w:val="11"/>
                <w:color w:val="auto"/>
              </w:rPr>
              <w:t>Title:</w:t>
            </w: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Title:</w:t>
            </w:r>
          </w:p>
        </w:tc>
        <w:tc>
          <w:tcPr>
            <w:tcW w:w="3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080" w:type="dxa"/>
            <w:vAlign w:val="bottom"/>
            <w:gridSpan w:val="6"/>
          </w:tcPr>
          <w:p>
            <w:pPr>
              <w:spacing w:after="0"/>
              <w:rPr>
                <w:sz w:val="20"/>
                <w:szCs w:val="20"/>
                <w:color w:val="auto"/>
              </w:rPr>
            </w:pPr>
            <w:r>
              <w:rPr>
                <w:rFonts w:ascii="Calibri" w:cs="Calibri" w:eastAsia="Calibri" w:hAnsi="Calibri"/>
                <w:sz w:val="11"/>
                <w:szCs w:val="11"/>
                <w:color w:val="auto"/>
              </w:rPr>
              <w:t>Address:</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380" w:type="dxa"/>
            <w:vAlign w:val="bottom"/>
            <w:gridSpan w:val="6"/>
          </w:tcPr>
          <w:p>
            <w:pPr>
              <w:ind w:left="320"/>
              <w:spacing w:after="0"/>
              <w:rPr>
                <w:sz w:val="20"/>
                <w:szCs w:val="20"/>
                <w:color w:val="auto"/>
              </w:rPr>
            </w:pPr>
            <w:r>
              <w:rPr>
                <w:rFonts w:ascii="Calibri" w:cs="Calibri" w:eastAsia="Calibri" w:hAnsi="Calibri"/>
                <w:sz w:val="11"/>
                <w:szCs w:val="11"/>
                <w:color w:val="auto"/>
              </w:rPr>
              <w:t>Address:</w:t>
            </w: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1"/>
        </w:trPr>
        <w:tc>
          <w:tcPr>
            <w:tcW w:w="400" w:type="dxa"/>
            <w:vAlign w:val="bottom"/>
            <w:gridSpan w:val="2"/>
          </w:tcPr>
          <w:p>
            <w:pPr>
              <w:spacing w:after="0"/>
              <w:rPr>
                <w:sz w:val="20"/>
                <w:szCs w:val="20"/>
                <w:color w:val="auto"/>
              </w:rPr>
            </w:pPr>
            <w:r>
              <w:rPr>
                <w:rFonts w:ascii="Calibri" w:cs="Calibri" w:eastAsia="Calibri" w:hAnsi="Calibri"/>
                <w:sz w:val="11"/>
                <w:szCs w:val="11"/>
                <w:color w:val="auto"/>
              </w:rPr>
              <w:t>Phone:</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Phone: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 w:type="dxa"/>
            <w:vAlign w:val="bottom"/>
            <w:gridSpan w:val="2"/>
          </w:tcPr>
          <w:p>
            <w:pPr>
              <w:spacing w:after="0"/>
              <w:rPr>
                <w:sz w:val="20"/>
                <w:szCs w:val="20"/>
                <w:color w:val="auto"/>
              </w:rPr>
            </w:pPr>
            <w:r>
              <w:rPr>
                <w:rFonts w:ascii="Calibri" w:cs="Calibri" w:eastAsia="Calibri" w:hAnsi="Calibri"/>
                <w:sz w:val="11"/>
                <w:szCs w:val="11"/>
                <w:color w:val="auto"/>
              </w:rPr>
              <w:t>Fax:</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Fax:</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0" w:type="dxa"/>
            <w:vAlign w:val="bottom"/>
            <w:gridSpan w:val="2"/>
          </w:tcPr>
          <w:p>
            <w:pPr>
              <w:spacing w:after="0"/>
              <w:rPr>
                <w:sz w:val="20"/>
                <w:szCs w:val="20"/>
                <w:color w:val="auto"/>
              </w:rPr>
            </w:pPr>
            <w:r>
              <w:rPr>
                <w:rFonts w:ascii="Calibri" w:cs="Calibri" w:eastAsia="Calibri" w:hAnsi="Calibri"/>
                <w:sz w:val="11"/>
                <w:szCs w:val="11"/>
                <w:color w:val="auto"/>
              </w:rPr>
              <w:t>Email:</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Calibri" w:cs="Calibri" w:eastAsia="Calibri" w:hAnsi="Calibri"/>
                <w:sz w:val="11"/>
                <w:szCs w:val="11"/>
                <w:color w:val="auto"/>
              </w:rPr>
              <w:t>Email: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080" w:type="dxa"/>
            <w:vAlign w:val="bottom"/>
            <w:gridSpan w:val="6"/>
          </w:tcPr>
          <w:p>
            <w:pPr>
              <w:spacing w:after="0"/>
              <w:rPr>
                <w:sz w:val="20"/>
                <w:szCs w:val="20"/>
                <w:color w:val="auto"/>
              </w:rPr>
            </w:pPr>
            <w:r>
              <w:rPr>
                <w:rFonts w:ascii="Calibri" w:cs="Calibri" w:eastAsia="Calibri" w:hAnsi="Calibri"/>
                <w:sz w:val="11"/>
                <w:szCs w:val="11"/>
                <w:color w:val="auto"/>
              </w:rPr>
              <w:t>Federal ID No.:</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380" w:type="dxa"/>
            <w:vAlign w:val="bottom"/>
            <w:gridSpan w:val="6"/>
          </w:tcPr>
          <w:p>
            <w:pPr>
              <w:ind w:left="320"/>
              <w:spacing w:after="0"/>
              <w:rPr>
                <w:sz w:val="20"/>
                <w:szCs w:val="20"/>
                <w:color w:val="auto"/>
              </w:rPr>
            </w:pPr>
            <w:r>
              <w:rPr>
                <w:rFonts w:ascii="Calibri" w:cs="Calibri" w:eastAsia="Calibri" w:hAnsi="Calibri"/>
                <w:sz w:val="11"/>
                <w:szCs w:val="11"/>
                <w:color w:val="auto"/>
              </w:rPr>
              <w:t>Federal ID No.:</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080" w:type="dxa"/>
            <w:vAlign w:val="bottom"/>
            <w:gridSpan w:val="6"/>
          </w:tcPr>
          <w:p>
            <w:pPr>
              <w:spacing w:after="0"/>
              <w:rPr>
                <w:sz w:val="20"/>
                <w:szCs w:val="20"/>
                <w:color w:val="auto"/>
              </w:rPr>
            </w:pPr>
            <w:r>
              <w:rPr>
                <w:rFonts w:ascii="Calibri" w:cs="Calibri" w:eastAsia="Calibri" w:hAnsi="Calibri"/>
                <w:sz w:val="11"/>
                <w:szCs w:val="11"/>
                <w:color w:val="auto"/>
              </w:rPr>
              <w:t>Broker DRE License</w:t>
            </w:r>
          </w:p>
        </w:tc>
        <w:tc>
          <w:tcPr>
            <w:tcW w:w="580" w:type="dxa"/>
            <w:vAlign w:val="bottom"/>
            <w:tcBorders>
              <w:bottom w:val="single" w:sz="8" w:color="0000FF"/>
            </w:tcBorders>
            <w:gridSpan w:val="2"/>
          </w:tcPr>
          <w:p>
            <w:pPr>
              <w:jc w:val="right"/>
              <w:spacing w:after="0" w:line="166" w:lineRule="exact"/>
              <w:rPr>
                <w:sz w:val="20"/>
                <w:szCs w:val="20"/>
                <w:color w:val="auto"/>
              </w:rPr>
            </w:pPr>
            <w:r>
              <w:rPr>
                <w:rFonts w:ascii="Calibri" w:cs="Calibri" w:eastAsia="Calibri" w:hAnsi="Calibri"/>
                <w:sz w:val="14"/>
                <w:szCs w:val="14"/>
                <w:color w:val="0000FF"/>
                <w:w w:val="98"/>
              </w:rPr>
              <w:t>00409987</w:t>
            </w:r>
          </w:p>
        </w:tc>
        <w:tc>
          <w:tcPr>
            <w:tcW w:w="2060" w:type="dxa"/>
            <w:vAlign w:val="bottom"/>
          </w:tcPr>
          <w:p>
            <w:pPr>
              <w:spacing w:after="0"/>
              <w:rPr>
                <w:sz w:val="14"/>
                <w:szCs w:val="14"/>
                <w:color w:val="auto"/>
              </w:rPr>
            </w:pPr>
          </w:p>
        </w:tc>
        <w:tc>
          <w:tcPr>
            <w:tcW w:w="1380" w:type="dxa"/>
            <w:vAlign w:val="bottom"/>
            <w:gridSpan w:val="6"/>
          </w:tcPr>
          <w:p>
            <w:pPr>
              <w:ind w:left="320"/>
              <w:spacing w:after="0"/>
              <w:rPr>
                <w:sz w:val="20"/>
                <w:szCs w:val="20"/>
                <w:color w:val="auto"/>
              </w:rPr>
            </w:pPr>
            <w:r>
              <w:rPr>
                <w:rFonts w:ascii="Calibri" w:cs="Calibri" w:eastAsia="Calibri" w:hAnsi="Calibri"/>
                <w:sz w:val="11"/>
                <w:szCs w:val="11"/>
                <w:color w:val="auto"/>
              </w:rPr>
              <w:t>Broker DRE License</w:t>
            </w:r>
          </w:p>
        </w:tc>
        <w:tc>
          <w:tcPr>
            <w:tcW w:w="580" w:type="dxa"/>
            <w:vAlign w:val="bottom"/>
            <w:tcBorders>
              <w:bottom w:val="single" w:sz="8" w:color="0000FF"/>
            </w:tcBorders>
            <w:gridSpan w:val="2"/>
          </w:tcPr>
          <w:p>
            <w:pPr>
              <w:jc w:val="right"/>
              <w:spacing w:after="0" w:line="166" w:lineRule="exact"/>
              <w:rPr>
                <w:sz w:val="20"/>
                <w:szCs w:val="20"/>
                <w:color w:val="auto"/>
              </w:rPr>
            </w:pPr>
            <w:r>
              <w:rPr>
                <w:rFonts w:ascii="Calibri" w:cs="Calibri" w:eastAsia="Calibri" w:hAnsi="Calibri"/>
                <w:sz w:val="14"/>
                <w:szCs w:val="14"/>
                <w:color w:val="0000FF"/>
                <w:w w:val="98"/>
              </w:rPr>
              <w:t>01044791</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100" w:type="dxa"/>
            <w:vAlign w:val="bottom"/>
          </w:tcPr>
          <w:p>
            <w:pPr>
              <w:spacing w:after="0" w:line="116" w:lineRule="exact"/>
              <w:rPr>
                <w:sz w:val="20"/>
                <w:szCs w:val="20"/>
                <w:color w:val="auto"/>
              </w:rPr>
            </w:pPr>
            <w:r>
              <w:rPr>
                <w:rFonts w:ascii="Calibri" w:cs="Calibri" w:eastAsia="Calibri" w:hAnsi="Calibri"/>
                <w:sz w:val="11"/>
                <w:szCs w:val="11"/>
                <w:color w:val="auto"/>
                <w:w w:val="94"/>
              </w:rPr>
              <w:t>#:</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Calibri" w:cs="Calibri" w:eastAsia="Calibri" w:hAnsi="Calibri"/>
                <w:sz w:val="14"/>
                <w:szCs w:val="14"/>
                <w:color w:val="0000FF"/>
                <w:w w:val="98"/>
              </w:rPr>
              <w:t>01266477</w:t>
            </w:r>
          </w:p>
        </w:tc>
        <w:tc>
          <w:tcPr>
            <w:tcW w:w="2060" w:type="dxa"/>
            <w:vAlign w:val="bottom"/>
          </w:tcPr>
          <w:p>
            <w:pPr>
              <w:spacing w:after="0"/>
              <w:rPr>
                <w:sz w:val="10"/>
                <w:szCs w:val="10"/>
                <w:color w:val="auto"/>
              </w:rPr>
            </w:pPr>
          </w:p>
        </w:tc>
        <w:tc>
          <w:tcPr>
            <w:tcW w:w="420" w:type="dxa"/>
            <w:vAlign w:val="bottom"/>
          </w:tcPr>
          <w:p>
            <w:pPr>
              <w:ind w:left="320"/>
              <w:spacing w:after="0" w:line="116" w:lineRule="exact"/>
              <w:rPr>
                <w:sz w:val="20"/>
                <w:szCs w:val="20"/>
                <w:color w:val="auto"/>
              </w:rPr>
            </w:pPr>
            <w:r>
              <w:rPr>
                <w:rFonts w:ascii="Calibri" w:cs="Calibri" w:eastAsia="Calibri" w:hAnsi="Calibri"/>
                <w:sz w:val="11"/>
                <w:szCs w:val="11"/>
                <w:color w:val="auto"/>
                <w:w w:val="94"/>
              </w:rPr>
              <w:t>#:</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Calibri" w:cs="Calibri" w:eastAsia="Calibri" w:hAnsi="Calibri"/>
                <w:sz w:val="14"/>
                <w:szCs w:val="14"/>
                <w:color w:val="0000FF"/>
                <w:w w:val="98"/>
              </w:rPr>
              <w:t>01012355</w:t>
            </w:r>
          </w:p>
        </w:tc>
        <w:tc>
          <w:tcPr>
            <w:tcW w:w="20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080" w:type="dxa"/>
            <w:vAlign w:val="bottom"/>
            <w:gridSpan w:val="6"/>
          </w:tcPr>
          <w:p>
            <w:pPr>
              <w:spacing w:after="0"/>
              <w:rPr>
                <w:sz w:val="20"/>
                <w:szCs w:val="20"/>
                <w:color w:val="auto"/>
              </w:rPr>
            </w:pPr>
            <w:r>
              <w:rPr>
                <w:rFonts w:ascii="Calibri" w:cs="Calibri" w:eastAsia="Calibri" w:hAnsi="Calibri"/>
                <w:sz w:val="11"/>
                <w:szCs w:val="11"/>
                <w:color w:val="auto"/>
              </w:rPr>
              <w:t>Agent DRE License #:</w:t>
            </w:r>
          </w:p>
        </w:tc>
        <w:tc>
          <w:tcPr>
            <w:tcW w:w="580" w:type="dxa"/>
            <w:vAlign w:val="bottom"/>
            <w:tcBorders>
              <w:bottom w:val="single" w:sz="8" w:color="0000FF"/>
            </w:tcBorders>
            <w:gridSpan w:val="2"/>
            <w:vMerge w:val="continue"/>
          </w:tcPr>
          <w:p>
            <w:pPr>
              <w:spacing w:after="0"/>
              <w:rPr>
                <w:sz w:val="14"/>
                <w:szCs w:val="14"/>
                <w:color w:val="auto"/>
              </w:rPr>
            </w:pPr>
          </w:p>
        </w:tc>
        <w:tc>
          <w:tcPr>
            <w:tcW w:w="2060" w:type="dxa"/>
            <w:vAlign w:val="bottom"/>
          </w:tcPr>
          <w:p>
            <w:pPr>
              <w:spacing w:after="0"/>
              <w:rPr>
                <w:sz w:val="14"/>
                <w:szCs w:val="14"/>
                <w:color w:val="auto"/>
              </w:rPr>
            </w:pPr>
          </w:p>
        </w:tc>
        <w:tc>
          <w:tcPr>
            <w:tcW w:w="1380" w:type="dxa"/>
            <w:vAlign w:val="bottom"/>
            <w:gridSpan w:val="6"/>
          </w:tcPr>
          <w:p>
            <w:pPr>
              <w:ind w:left="320"/>
              <w:spacing w:after="0"/>
              <w:rPr>
                <w:sz w:val="20"/>
                <w:szCs w:val="20"/>
                <w:color w:val="auto"/>
              </w:rPr>
            </w:pPr>
            <w:r>
              <w:rPr>
                <w:rFonts w:ascii="Calibri" w:cs="Calibri" w:eastAsia="Calibri" w:hAnsi="Calibri"/>
                <w:sz w:val="11"/>
                <w:szCs w:val="11"/>
                <w:color w:val="auto"/>
              </w:rPr>
              <w:t>Agent DRE License #:</w:t>
            </w:r>
          </w:p>
        </w:tc>
        <w:tc>
          <w:tcPr>
            <w:tcW w:w="580" w:type="dxa"/>
            <w:vAlign w:val="bottom"/>
            <w:tcBorders>
              <w:bottom w:val="single" w:sz="8" w:color="0000FF"/>
            </w:tcBorders>
            <w:gridSpan w:val="2"/>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center"/>
        <w:spacing w:after="0"/>
        <w:rPr>
          <w:sz w:val="20"/>
          <w:szCs w:val="20"/>
          <w:color w:val="auto"/>
        </w:rPr>
      </w:pPr>
      <w:r>
        <w:rPr>
          <w:rFonts w:ascii="Calibri" w:cs="Calibri" w:eastAsia="Calibri" w:hAnsi="Calibri"/>
          <w:sz w:val="11"/>
          <w:szCs w:val="11"/>
          <w:b w:val="1"/>
          <w:bCs w:val="1"/>
          <w:color w:val="auto"/>
        </w:rPr>
        <w:t>AIR CRE * htps://www.aircre.com * 213-687-8777 * contracts@aircre.com</w:t>
      </w:r>
    </w:p>
    <w:p>
      <w:pPr>
        <w:spacing w:after="0" w:line="6" w:lineRule="exact"/>
        <w:rPr>
          <w:sz w:val="20"/>
          <w:szCs w:val="20"/>
          <w:color w:val="auto"/>
        </w:rPr>
      </w:pPr>
    </w:p>
    <w:p>
      <w:pPr>
        <w:jc w:val="center"/>
        <w:spacing w:after="0"/>
        <w:rPr>
          <w:sz w:val="20"/>
          <w:szCs w:val="20"/>
          <w:color w:val="auto"/>
        </w:rPr>
      </w:pPr>
      <w:r>
        <w:rPr>
          <w:rFonts w:ascii="Calibri" w:cs="Calibri" w:eastAsia="Calibri" w:hAnsi="Calibri"/>
          <w:sz w:val="11"/>
          <w:szCs w:val="11"/>
          <w:b w:val="1"/>
          <w:bCs w:val="1"/>
          <w:color w:val="auto"/>
        </w:rPr>
        <w:t>NOTICE: No part of these works may be reproduced in any form without permission in writng.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45085</wp:posOffset>
            </wp:positionV>
            <wp:extent cx="574040" cy="2940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45085</wp:posOffset>
            </wp:positionV>
            <wp:extent cx="382905" cy="2940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2019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STN-27.30, Revised 10-22-2020</w:t>
            </w:r>
          </w:p>
        </w:tc>
        <w:tc>
          <w:tcPr>
            <w:tcW w:w="4960" w:type="dxa"/>
            <w:vAlign w:val="bottom"/>
          </w:tcPr>
          <w:p>
            <w:pPr>
              <w:ind w:left="4240"/>
              <w:spacing w:after="0"/>
              <w:rPr>
                <w:sz w:val="20"/>
                <w:szCs w:val="20"/>
                <w:color w:val="auto"/>
              </w:rPr>
            </w:pPr>
            <w:r>
              <w:rPr>
                <w:rFonts w:ascii="Calibri" w:cs="Calibri" w:eastAsia="Calibri" w:hAnsi="Calibri"/>
                <w:sz w:val="13"/>
                <w:szCs w:val="13"/>
                <w:color w:val="auto"/>
                <w:w w:val="97"/>
              </w:rPr>
              <w:t>Page 17 of 17</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115" w:name="page116"/>
    <w:bookmarkEnd w:id="115"/>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1362710</wp:posOffset>
            </wp:positionH>
            <wp:positionV relativeFrom="page">
              <wp:posOffset>526415</wp:posOffset>
            </wp:positionV>
            <wp:extent cx="1038225" cy="32766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clrChange>
                        <a:clrFrom>
                          <a:srgbClr val="FFFFFF"/>
                        </a:clrFrom>
                        <a:clrTo>
                          <a:srgbClr val="FFFFFF">
                            <a:alpha val="0"/>
                          </a:srgbClr>
                        </a:clrTo>
                      </a:clrChange>
                      <a:extLst>
                        <a:ext uri="{28A0092B-C50C-407E-A947-70E740481C1C}"/>
                      </a:extLst>
                    </a:blip>
                    <a:srcRect/>
                    <a:stretch>
                      <a:fillRect/>
                    </a:stretch>
                  </pic:blipFill>
                  <pic:spPr bwMode="auto">
                    <a:xfrm>
                      <a:off x="0" y="0"/>
                      <a:ext cx="1038225" cy="327660"/>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20"/>
          <w:szCs w:val="20"/>
          <w:b w:val="1"/>
          <w:bCs w:val="1"/>
          <w:color w:val="auto"/>
        </w:rPr>
        <w:t>RENT ADJUSTMENT(S)</w:t>
      </w:r>
    </w:p>
    <w:p>
      <w:pPr>
        <w:jc w:val="center"/>
        <w:spacing w:after="0" w:line="236" w:lineRule="auto"/>
        <w:rPr>
          <w:sz w:val="20"/>
          <w:szCs w:val="20"/>
          <w:color w:val="auto"/>
        </w:rPr>
      </w:pPr>
      <w:r>
        <w:rPr>
          <w:rFonts w:ascii="Calibri" w:cs="Calibri" w:eastAsia="Calibri" w:hAnsi="Calibri"/>
          <w:sz w:val="16"/>
          <w:szCs w:val="16"/>
          <w:b w:val="1"/>
          <w:bCs w:val="1"/>
          <w:color w:val="auto"/>
        </w:rPr>
        <w:t>(ORIGINAL TERM)</w:t>
      </w:r>
    </w:p>
    <w:p>
      <w:pPr>
        <w:jc w:val="center"/>
        <w:spacing w:after="0" w:line="238" w:lineRule="auto"/>
        <w:rPr>
          <w:sz w:val="20"/>
          <w:szCs w:val="20"/>
          <w:color w:val="auto"/>
        </w:rPr>
      </w:pPr>
      <w:r>
        <w:rPr>
          <w:rFonts w:ascii="Calibri" w:cs="Calibri" w:eastAsia="Calibri" w:hAnsi="Calibri"/>
          <w:sz w:val="16"/>
          <w:szCs w:val="16"/>
          <w:b w:val="1"/>
          <w:bCs w:val="1"/>
          <w:color w:val="auto"/>
        </w:rPr>
        <w:t>STANDARD LEASE ADDENDUM</w:t>
      </w:r>
    </w:p>
    <w:p>
      <w:pPr>
        <w:spacing w:after="0" w:line="193" w:lineRule="exact"/>
        <w:rPr>
          <w:sz w:val="20"/>
          <w:szCs w:val="20"/>
          <w:color w:val="auto"/>
        </w:rPr>
      </w:pPr>
    </w:p>
    <w:p>
      <w:pPr>
        <w:ind w:left="640"/>
        <w:spacing w:after="0"/>
        <w:tabs>
          <w:tab w:leader="none" w:pos="1940" w:val="left"/>
        </w:tabs>
        <w:rPr>
          <w:sz w:val="20"/>
          <w:szCs w:val="20"/>
          <w:color w:val="auto"/>
        </w:rPr>
      </w:pPr>
      <w:r>
        <w:rPr>
          <w:rFonts w:ascii="Calibri" w:cs="Calibri" w:eastAsia="Calibri" w:hAnsi="Calibri"/>
          <w:sz w:val="14"/>
          <w:szCs w:val="14"/>
          <w:b w:val="1"/>
          <w:bCs w:val="1"/>
          <w:color w:val="auto"/>
        </w:rPr>
        <w:t>Dated:</w:t>
      </w:r>
      <w:r>
        <w:rPr>
          <w:sz w:val="20"/>
          <w:szCs w:val="20"/>
          <w:color w:val="auto"/>
        </w:rPr>
        <w:tab/>
      </w:r>
      <w:r>
        <w:rPr>
          <w:rFonts w:ascii="Arial" w:cs="Arial" w:eastAsia="Arial" w:hAnsi="Arial"/>
          <w:sz w:val="14"/>
          <w:szCs w:val="14"/>
          <w:b w:val="1"/>
          <w:bCs w:val="1"/>
          <w:u w:val="single" w:color="auto"/>
          <w:color w:val="0000FF"/>
        </w:rPr>
        <w:t>April 5, 2024</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By and Between</w:t>
      </w:r>
    </w:p>
    <w:p>
      <w:pPr>
        <w:spacing w:after="0" w:line="28" w:lineRule="exact"/>
        <w:rPr>
          <w:sz w:val="20"/>
          <w:szCs w:val="20"/>
          <w:color w:val="auto"/>
        </w:rPr>
      </w:pPr>
    </w:p>
    <w:p>
      <w:pPr>
        <w:ind w:left="740"/>
        <w:spacing w:after="0"/>
        <w:tabs>
          <w:tab w:leader="none" w:pos="1940" w:val="left"/>
        </w:tabs>
        <w:rPr>
          <w:sz w:val="20"/>
          <w:szCs w:val="20"/>
          <w:color w:val="auto"/>
        </w:rPr>
      </w:pPr>
      <w:r>
        <w:rPr>
          <w:rFonts w:ascii="Calibri" w:cs="Calibri" w:eastAsia="Calibri" w:hAnsi="Calibri"/>
          <w:sz w:val="14"/>
          <w:szCs w:val="14"/>
          <w:b w:val="1"/>
          <w:bCs w:val="1"/>
          <w:color w:val="auto"/>
        </w:rPr>
        <w:t>Lessor:</w:t>
      </w:r>
      <w:r>
        <w:rPr>
          <w:sz w:val="20"/>
          <w:szCs w:val="20"/>
          <w:color w:val="auto"/>
        </w:rPr>
        <w:tab/>
      </w:r>
      <w:r>
        <w:rPr>
          <w:rFonts w:ascii="Arial" w:cs="Arial" w:eastAsia="Arial" w:hAnsi="Arial"/>
          <w:sz w:val="14"/>
          <w:szCs w:val="14"/>
          <w:b w:val="1"/>
          <w:bCs w:val="1"/>
          <w:u w:val="single" w:color="auto"/>
          <w:color w:val="0000FF"/>
        </w:rPr>
        <w:t>BML Management, LLC</w:t>
      </w:r>
    </w:p>
    <w:p>
      <w:pPr>
        <w:spacing w:after="0" w:line="27" w:lineRule="exact"/>
        <w:rPr>
          <w:sz w:val="20"/>
          <w:szCs w:val="20"/>
          <w:color w:val="auto"/>
        </w:rPr>
      </w:pPr>
    </w:p>
    <w:p>
      <w:pPr>
        <w:ind w:left="740"/>
        <w:spacing w:after="0"/>
        <w:tabs>
          <w:tab w:leader="none" w:pos="1940" w:val="left"/>
        </w:tabs>
        <w:rPr>
          <w:sz w:val="20"/>
          <w:szCs w:val="20"/>
          <w:color w:val="auto"/>
        </w:rPr>
      </w:pPr>
      <w:r>
        <w:rPr>
          <w:rFonts w:ascii="Calibri" w:cs="Calibri" w:eastAsia="Calibri" w:hAnsi="Calibri"/>
          <w:sz w:val="14"/>
          <w:szCs w:val="14"/>
          <w:b w:val="1"/>
          <w:bCs w:val="1"/>
          <w:color w:val="auto"/>
        </w:rPr>
        <w:t>Lessee:</w:t>
      </w:r>
      <w:r>
        <w:rPr>
          <w:sz w:val="20"/>
          <w:szCs w:val="20"/>
          <w:color w:val="auto"/>
        </w:rPr>
        <w:tab/>
      </w:r>
      <w:r>
        <w:rPr>
          <w:rFonts w:ascii="Arial" w:cs="Arial" w:eastAsia="Arial" w:hAnsi="Arial"/>
          <w:sz w:val="14"/>
          <w:szCs w:val="14"/>
          <w:b w:val="1"/>
          <w:bCs w:val="1"/>
          <w:u w:val="single" w:color="auto"/>
          <w:color w:val="0000FF"/>
        </w:rPr>
        <w:t>RxSight, Inc.</w:t>
      </w:r>
    </w:p>
    <w:p>
      <w:pPr>
        <w:spacing w:after="0" w:line="17" w:lineRule="exact"/>
        <w:rPr>
          <w:sz w:val="20"/>
          <w:szCs w:val="20"/>
          <w:color w:val="auto"/>
        </w:rPr>
      </w:pPr>
    </w:p>
    <w:p>
      <w:pPr>
        <w:ind w:left="640"/>
        <w:spacing w:after="0"/>
        <w:tabs>
          <w:tab w:leader="none" w:pos="1940" w:val="left"/>
        </w:tabs>
        <w:rPr>
          <w:sz w:val="20"/>
          <w:szCs w:val="20"/>
          <w:color w:val="auto"/>
        </w:rPr>
      </w:pPr>
      <w:r>
        <w:rPr>
          <w:rFonts w:ascii="Calibri" w:cs="Calibri" w:eastAsia="Calibri" w:hAnsi="Calibri"/>
          <w:sz w:val="14"/>
          <w:szCs w:val="14"/>
          <w:b w:val="1"/>
          <w:bCs w:val="1"/>
          <w:color w:val="auto"/>
        </w:rPr>
        <w:t>Property Address:</w:t>
      </w:r>
      <w:r>
        <w:rPr>
          <w:sz w:val="20"/>
          <w:szCs w:val="20"/>
          <w:color w:val="auto"/>
        </w:rPr>
        <w:tab/>
      </w:r>
      <w:r>
        <w:rPr>
          <w:rFonts w:ascii="Arial" w:cs="Arial" w:eastAsia="Arial" w:hAnsi="Arial"/>
          <w:sz w:val="14"/>
          <w:szCs w:val="14"/>
          <w:b w:val="1"/>
          <w:bCs w:val="1"/>
          <w:u w:val="single" w:color="auto"/>
          <w:color w:val="0000FF"/>
        </w:rPr>
        <w:t>125 Columbia, Aliso Viejo, CA 92656</w:t>
      </w:r>
    </w:p>
    <w:p>
      <w:pPr>
        <w:spacing w:after="0" w:line="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(street address, city, state, zip)</w:t>
      </w:r>
    </w:p>
    <w:p>
      <w:pPr>
        <w:spacing w:after="0" w:line="192" w:lineRule="exact"/>
        <w:rPr>
          <w:sz w:val="20"/>
          <w:szCs w:val="20"/>
          <w:color w:val="auto"/>
        </w:rPr>
      </w:pPr>
    </w:p>
    <w:p>
      <w:pPr>
        <w:ind w:left="700"/>
        <w:spacing w:after="0"/>
        <w:rPr>
          <w:sz w:val="20"/>
          <w:szCs w:val="20"/>
          <w:color w:val="auto"/>
        </w:rPr>
      </w:pPr>
      <w:r>
        <w:rPr>
          <w:rFonts w:ascii="Calibri" w:cs="Calibri" w:eastAsia="Calibri" w:hAnsi="Calibri"/>
          <w:sz w:val="11"/>
          <w:szCs w:val="11"/>
          <w:color w:val="auto"/>
        </w:rPr>
        <w:t xml:space="preserve">Paragraph: </w:t>
      </w:r>
      <w:r>
        <w:rPr>
          <w:rFonts w:ascii="Arial" w:cs="Arial" w:eastAsia="Arial" w:hAnsi="Arial"/>
          <w:sz w:val="14"/>
          <w:szCs w:val="14"/>
          <w:color w:val="0000F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-9525</wp:posOffset>
            </wp:positionV>
            <wp:extent cx="126365"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6365" cy="6985"/>
                    </a:xfrm>
                    <a:prstGeom prst="rect">
                      <a:avLst/>
                    </a:prstGeom>
                    <a:noFill/>
                  </pic:spPr>
                </pic:pic>
              </a:graphicData>
            </a:graphic>
          </wp:anchor>
        </w:drawing>
      </w:r>
    </w:p>
    <w:p>
      <w:pPr>
        <w:spacing w:after="0" w:line="71" w:lineRule="exact"/>
        <w:rPr>
          <w:sz w:val="20"/>
          <w:szCs w:val="20"/>
          <w:color w:val="auto"/>
        </w:rPr>
      </w:pPr>
    </w:p>
    <w:p>
      <w:pPr>
        <w:ind w:left="640" w:right="839" w:firstLine="258"/>
        <w:spacing w:after="0" w:line="253" w:lineRule="auto"/>
        <w:rPr>
          <w:sz w:val="20"/>
          <w:szCs w:val="20"/>
          <w:color w:val="auto"/>
        </w:rPr>
      </w:pPr>
      <w:r>
        <w:rPr>
          <w:rFonts w:ascii="Calibri" w:cs="Calibri" w:eastAsia="Calibri" w:hAnsi="Calibri"/>
          <w:sz w:val="11"/>
          <w:szCs w:val="11"/>
          <w:color w:val="auto"/>
        </w:rPr>
        <w:t>The monthly Base Rent during the Original Term of the Lease shall be increased by using the method(s) selected below (</w:t>
      </w:r>
      <w:r>
        <w:rPr>
          <w:rFonts w:ascii="Calibri" w:cs="Calibri" w:eastAsia="Calibri" w:hAnsi="Calibri"/>
          <w:sz w:val="11"/>
          <w:szCs w:val="11"/>
          <w:i w:val="1"/>
          <w:iCs w:val="1"/>
          <w:color w:val="auto"/>
        </w:rPr>
        <w:t>check method(s) to be used and fill in</w:t>
      </w:r>
      <w:r>
        <w:rPr>
          <w:rFonts w:ascii="Calibri" w:cs="Calibri" w:eastAsia="Calibri" w:hAnsi="Calibri"/>
          <w:sz w:val="11"/>
          <w:szCs w:val="11"/>
          <w:color w:val="auto"/>
        </w:rPr>
        <w:t xml:space="preserve"> </w:t>
      </w:r>
      <w:r>
        <w:rPr>
          <w:rFonts w:ascii="Calibri" w:cs="Calibri" w:eastAsia="Calibri" w:hAnsi="Calibri"/>
          <w:sz w:val="11"/>
          <w:szCs w:val="11"/>
          <w:i w:val="1"/>
          <w:iCs w:val="1"/>
          <w:color w:val="auto"/>
        </w:rPr>
        <w:t>appropriately</w:t>
      </w:r>
      <w:r>
        <w:rPr>
          <w:rFonts w:ascii="Calibri" w:cs="Calibri" w:eastAsia="Calibri" w:hAnsi="Calibri"/>
          <w:sz w:val="11"/>
          <w:szCs w:val="11"/>
          <w:color w:val="auto"/>
        </w:rPr>
        <w:t>):</w:t>
      </w:r>
    </w:p>
    <w:p>
      <w:pPr>
        <w:spacing w:after="0" w:line="93" w:lineRule="exact"/>
        <w:rPr>
          <w:sz w:val="20"/>
          <w:szCs w:val="20"/>
          <w:color w:val="auto"/>
        </w:rPr>
      </w:pPr>
    </w:p>
    <w:p>
      <w:pPr>
        <w:ind w:left="800" w:hanging="169"/>
        <w:spacing w:after="0"/>
        <w:tabs>
          <w:tab w:leader="none" w:pos="800" w:val="left"/>
        </w:tabs>
        <w:numPr>
          <w:ilvl w:val="0"/>
          <w:numId w:val="92"/>
        </w:numPr>
        <w:rPr>
          <w:rFonts w:ascii="MS PGothic" w:cs="MS PGothic" w:eastAsia="MS PGothic" w:hAnsi="MS PGothic"/>
          <w:sz w:val="11"/>
          <w:szCs w:val="11"/>
          <w:color w:val="auto"/>
        </w:rPr>
      </w:pPr>
      <w:r>
        <w:rPr>
          <w:rFonts w:ascii="Calibri" w:cs="Calibri" w:eastAsia="Calibri" w:hAnsi="Calibri"/>
          <w:sz w:val="11"/>
          <w:szCs w:val="11"/>
          <w:b w:val="1"/>
          <w:bCs w:val="1"/>
          <w:color w:val="FF0000"/>
          <w:strike w:val="1"/>
        </w:rPr>
        <w:t>I.   Consumer Price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-8890</wp:posOffset>
            </wp:positionV>
            <wp:extent cx="851535"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51535" cy="6985"/>
                    </a:xfrm>
                    <a:prstGeom prst="rect">
                      <a:avLst/>
                    </a:prstGeom>
                    <a:noFill/>
                  </pic:spPr>
                </pic:pic>
              </a:graphicData>
            </a:graphic>
          </wp:anchor>
        </w:drawing>
      </w:r>
    </w:p>
    <w:p>
      <w:pPr>
        <w:spacing w:after="0" w:line="72" w:lineRule="exact"/>
        <w:rPr>
          <w:sz w:val="20"/>
          <w:szCs w:val="20"/>
          <w:color w:val="auto"/>
        </w:rPr>
      </w:pPr>
    </w:p>
    <w:p>
      <w:pPr>
        <w:ind w:left="880"/>
        <w:spacing w:after="0"/>
        <w:tabs>
          <w:tab w:leader="none" w:pos="3260" w:val="left"/>
        </w:tabs>
        <w:rPr>
          <w:sz w:val="20"/>
          <w:szCs w:val="20"/>
          <w:color w:val="auto"/>
        </w:rPr>
      </w:pPr>
      <w:r>
        <w:rPr>
          <w:rFonts w:ascii="Calibri" w:cs="Calibri" w:eastAsia="Calibri" w:hAnsi="Calibri"/>
          <w:sz w:val="11"/>
          <w:szCs w:val="11"/>
          <w:u w:val="single" w:color="auto"/>
          <w:color w:val="FF0000"/>
          <w:strike w:val="1"/>
        </w:rPr>
        <w:t>a.The monthly Base Rent shall be increased on</w:t>
      </w:r>
      <w:r>
        <w:rPr>
          <w:sz w:val="20"/>
          <w:szCs w:val="20"/>
          <w:color w:val="auto"/>
        </w:rPr>
        <w:tab/>
      </w:r>
      <w:r>
        <w:rPr>
          <w:rFonts w:ascii="Calibri" w:cs="Calibri" w:eastAsia="Calibri" w:hAnsi="Calibri"/>
          <w:sz w:val="11"/>
          <w:szCs w:val="11"/>
          <w:u w:val="single" w:color="auto"/>
          <w:color w:val="FF0000"/>
          <w:strike w:val="1"/>
        </w:rPr>
        <w:t xml:space="preserve">and every </w:t>
      </w:r>
      <w:r>
        <w:rPr>
          <w:sz w:val="1"/>
          <w:szCs w:val="1"/>
          <w:color w:val="auto"/>
        </w:rPr>
        <w:drawing>
          <wp:inline distT="0" distB="0" distL="0" distR="0">
            <wp:extent cx="182880" cy="1397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82880" cy="13970"/>
                    </a:xfrm>
                    <a:prstGeom prst="rect">
                      <a:avLst/>
                    </a:prstGeom>
                    <a:noFill/>
                    <a:ln>
                      <a:noFill/>
                    </a:ln>
                  </pic:spPr>
                </pic:pic>
              </a:graphicData>
            </a:graphic>
          </wp:inline>
        </w:drawing>
      </w:r>
      <w:r>
        <w:rPr>
          <w:rFonts w:ascii="Calibri" w:cs="Calibri" w:eastAsia="Calibri" w:hAnsi="Calibri"/>
          <w:sz w:val="11"/>
          <w:szCs w:val="11"/>
          <w:u w:val="single" w:color="auto"/>
          <w:color w:val="FF0000"/>
          <w:strike w:val="1"/>
        </w:rPr>
        <w:t>months thereafer during the Original Term ("</w:t>
      </w:r>
      <w:r>
        <w:rPr>
          <w:rFonts w:ascii="Calibri" w:cs="Calibri" w:eastAsia="Calibri" w:hAnsi="Calibri"/>
          <w:sz w:val="11"/>
          <w:szCs w:val="11"/>
          <w:b w:val="1"/>
          <w:bCs w:val="1"/>
          <w:u w:val="single" w:color="auto"/>
          <w:color w:val="FF0000"/>
          <w:strike w:val="1"/>
        </w:rPr>
        <w:t>CPI Increase Date(s)</w:t>
      </w:r>
      <w:r>
        <w:rPr>
          <w:rFonts w:ascii="Calibri" w:cs="Calibri" w:eastAsia="Calibri" w:hAnsi="Calibri"/>
          <w:sz w:val="11"/>
          <w:szCs w:val="11"/>
          <w:u w:val="single" w:color="auto"/>
          <w:color w:val="FF0000"/>
          <w:strike w:val="1"/>
        </w:rPr>
        <w:t>") commensurate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-8890</wp:posOffset>
            </wp:positionV>
            <wp:extent cx="13144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31445" cy="6985"/>
                    </a:xfrm>
                    <a:prstGeom prst="rect">
                      <a:avLst/>
                    </a:prstGeom>
                    <a:noFill/>
                  </pic:spPr>
                </pic:pic>
              </a:graphicData>
            </a:graphic>
          </wp:anchor>
        </w:drawing>
        <w:drawing>
          <wp:anchor simplePos="0" relativeHeight="251657728" behindDoc="1" locked="0" layoutInCell="0" allowOverlap="1">
            <wp:simplePos x="0" y="0"/>
            <wp:positionH relativeFrom="column">
              <wp:posOffset>1957070</wp:posOffset>
            </wp:positionH>
            <wp:positionV relativeFrom="paragraph">
              <wp:posOffset>-36830</wp:posOffset>
            </wp:positionV>
            <wp:extent cx="131445"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31445" cy="6985"/>
                    </a:xfrm>
                    <a:prstGeom prst="rect">
                      <a:avLst/>
                    </a:prstGeom>
                    <a:noFill/>
                  </pic:spPr>
                </pic:pic>
              </a:graphicData>
            </a:graphic>
          </wp:anchor>
        </w:drawing>
        <w:drawing>
          <wp:anchor simplePos="0" relativeHeight="251657728" behindDoc="1" locked="0" layoutInCell="0" allowOverlap="1">
            <wp:simplePos x="0" y="0"/>
            <wp:positionH relativeFrom="column">
              <wp:posOffset>2396490</wp:posOffset>
            </wp:positionH>
            <wp:positionV relativeFrom="paragraph">
              <wp:posOffset>-8890</wp:posOffset>
            </wp:positionV>
            <wp:extent cx="16446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64465" cy="6985"/>
                    </a:xfrm>
                    <a:prstGeom prst="rect">
                      <a:avLst/>
                    </a:prstGeom>
                    <a:noFill/>
                  </pic:spPr>
                </pic:pic>
              </a:graphicData>
            </a:graphic>
          </wp:anchor>
        </w:drawing>
      </w:r>
    </w:p>
    <w:p>
      <w:pPr>
        <w:ind w:left="640" w:right="639"/>
        <w:spacing w:after="0" w:line="251" w:lineRule="auto"/>
        <w:rPr>
          <w:sz w:val="20"/>
          <w:szCs w:val="20"/>
          <w:color w:val="auto"/>
        </w:rPr>
      </w:pPr>
      <w:r>
        <w:rPr>
          <w:rFonts w:ascii="Calibri" w:cs="Calibri" w:eastAsia="Calibri" w:hAnsi="Calibri"/>
          <w:sz w:val="11"/>
          <w:szCs w:val="11"/>
          <w:u w:val="single" w:color="auto"/>
          <w:color w:val="FF0000"/>
          <w:strike w:val="1"/>
        </w:rPr>
        <w:t>increase in the CPI (as herein defined) determined as follows: the monthly Base Rent scheduled for the first month of the Original Term shall be multplied by a fracton the denominator of which is the Base CPI (as herein defined), and the numerator of which is the Comparison CPI (as herein defined). The amount so calculated shall consttute the new Base Rent untl the next CPI Increase Date, but in no event shall any such new Base Rent be less than the Base Rent for the month immediately preceding the applicable CPI Increase Date.</w:t>
      </w:r>
    </w:p>
    <w:p>
      <w:pPr>
        <w:spacing w:after="0" w:line="20" w:lineRule="exact"/>
        <w:rPr>
          <w:sz w:val="20"/>
          <w:szCs w:val="20"/>
          <w:color w:val="auto"/>
        </w:rPr>
      </w:pPr>
    </w:p>
    <w:p>
      <w:pPr>
        <w:spacing w:after="0" w:line="42" w:lineRule="exact"/>
        <w:rPr>
          <w:sz w:val="20"/>
          <w:szCs w:val="20"/>
          <w:color w:val="auto"/>
        </w:rPr>
      </w:pPr>
    </w:p>
    <w:p>
      <w:pPr>
        <w:ind w:left="880"/>
        <w:spacing w:after="0" w:line="135" w:lineRule="exact"/>
        <w:rPr>
          <w:sz w:val="20"/>
          <w:szCs w:val="20"/>
          <w:color w:val="auto"/>
        </w:rPr>
      </w:pPr>
      <w:r>
        <w:rPr>
          <w:rFonts w:ascii="Calibri" w:cs="Calibri" w:eastAsia="Calibri" w:hAnsi="Calibri"/>
          <w:sz w:val="11"/>
          <w:szCs w:val="11"/>
          <w:u w:val="single" w:color="auto"/>
          <w:color w:val="FF0000"/>
          <w:strike w:val="1"/>
        </w:rPr>
        <w:t>b.The term "</w:t>
      </w:r>
      <w:r>
        <w:rPr>
          <w:rFonts w:ascii="Calibri" w:cs="Calibri" w:eastAsia="Calibri" w:hAnsi="Calibri"/>
          <w:sz w:val="11"/>
          <w:szCs w:val="11"/>
          <w:b w:val="1"/>
          <w:bCs w:val="1"/>
          <w:u w:val="single" w:color="auto"/>
          <w:color w:val="FF0000"/>
          <w:strike w:val="1"/>
        </w:rPr>
        <w:t>CPI</w:t>
      </w:r>
      <w:r>
        <w:rPr>
          <w:rFonts w:ascii="Calibri" w:cs="Calibri" w:eastAsia="Calibri" w:hAnsi="Calibri"/>
          <w:sz w:val="11"/>
          <w:szCs w:val="11"/>
          <w:u w:val="single" w:color="auto"/>
          <w:color w:val="FF0000"/>
          <w:strike w:val="1"/>
        </w:rPr>
        <w:t>" shall mean the Consumer Price Index of the Bureau of Labor Statstcs of the U.S. Department of Labor for (</w:t>
      </w:r>
      <w:r>
        <w:rPr>
          <w:rFonts w:ascii="Calibri" w:cs="Calibri" w:eastAsia="Calibri" w:hAnsi="Calibri"/>
          <w:sz w:val="11"/>
          <w:szCs w:val="11"/>
          <w:i w:val="1"/>
          <w:iCs w:val="1"/>
          <w:u w:val="single" w:color="auto"/>
          <w:color w:val="FF0000"/>
          <w:strike w:val="1"/>
        </w:rPr>
        <w:t>select one</w:t>
      </w:r>
      <w:r>
        <w:rPr>
          <w:rFonts w:ascii="Calibri" w:cs="Calibri" w:eastAsia="Calibri" w:hAnsi="Calibri"/>
          <w:sz w:val="11"/>
          <w:szCs w:val="11"/>
          <w:u w:val="single" w:color="auto"/>
          <w:color w:val="FF0000"/>
          <w:strike w:val="1"/>
        </w:rPr>
        <w:t>):</w:t>
      </w:r>
      <w:r>
        <w:rPr>
          <w:rFonts w:ascii="Calibri" w:cs="Calibri" w:eastAsia="Calibri" w:hAnsi="Calibri"/>
          <w:sz w:val="11"/>
          <w:szCs w:val="11"/>
          <w:color w:val="FF0000"/>
        </w:rPr>
        <w:t xml:space="preserve"> </w:t>
      </w:r>
      <w:r>
        <w:rPr>
          <w:rFonts w:ascii="MS PGothic" w:cs="MS PGothic" w:eastAsia="MS PGothic" w:hAnsi="MS PGothic"/>
          <w:sz w:val="11"/>
          <w:szCs w:val="11"/>
          <w:color w:val="0000FF"/>
        </w:rPr>
        <w:t>☐</w:t>
      </w:r>
      <w:r>
        <w:rPr>
          <w:rFonts w:ascii="Calibri" w:cs="Calibri" w:eastAsia="Calibri" w:hAnsi="Calibri"/>
          <w:sz w:val="11"/>
          <w:szCs w:val="11"/>
          <w:color w:val="FF0000"/>
        </w:rPr>
        <w:t xml:space="preserve"> </w:t>
      </w:r>
      <w:r>
        <w:rPr>
          <w:rFonts w:ascii="Calibri" w:cs="Calibri" w:eastAsia="Calibri" w:hAnsi="Calibri"/>
          <w:sz w:val="11"/>
          <w:szCs w:val="11"/>
          <w:b w:val="1"/>
          <w:bCs w:val="1"/>
          <w:u w:val="single" w:color="auto"/>
          <w:color w:val="FF0000"/>
          <w:strike w:val="1"/>
        </w:rPr>
        <w:t>CPI W (Urban Wage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10795</wp:posOffset>
            </wp:positionV>
            <wp:extent cx="100965"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00965" cy="6985"/>
                    </a:xfrm>
                    <a:prstGeom prst="rect">
                      <a:avLst/>
                    </a:prstGeom>
                    <a:noFill/>
                  </pic:spPr>
                </pic:pic>
              </a:graphicData>
            </a:graphic>
          </wp:anchor>
        </w:drawing>
      </w:r>
    </w:p>
    <w:p>
      <w:pPr>
        <w:spacing w:after="0" w:line="30" w:lineRule="exact"/>
        <w:rPr>
          <w:sz w:val="20"/>
          <w:szCs w:val="20"/>
          <w:color w:val="auto"/>
        </w:rPr>
      </w:pPr>
    </w:p>
    <w:p>
      <w:pPr>
        <w:jc w:val="both"/>
        <w:ind w:left="640" w:right="779"/>
        <w:spacing w:after="0" w:line="138" w:lineRule="exact"/>
        <w:rPr>
          <w:sz w:val="20"/>
          <w:szCs w:val="20"/>
          <w:color w:val="auto"/>
        </w:rPr>
      </w:pPr>
      <w:r>
        <w:rPr>
          <w:rFonts w:ascii="Calibri" w:cs="Calibri" w:eastAsia="Calibri" w:hAnsi="Calibri"/>
          <w:sz w:val="11"/>
          <w:szCs w:val="11"/>
          <w:b w:val="1"/>
          <w:bCs w:val="1"/>
          <w:u w:val="single" w:color="auto"/>
          <w:color w:val="FF0000"/>
          <w:strike w:val="1"/>
        </w:rPr>
        <w:t>Earners and Clerical Workers) or</w:t>
      </w:r>
      <w:r>
        <w:rPr>
          <w:rFonts w:ascii="Calibri" w:cs="Calibri" w:eastAsia="Calibri" w:hAnsi="Calibri"/>
          <w:sz w:val="11"/>
          <w:szCs w:val="11"/>
          <w:b w:val="1"/>
          <w:bCs w:val="1"/>
          <w:color w:val="FF0000"/>
        </w:rPr>
        <w:t xml:space="preserve"> </w:t>
      </w:r>
      <w:r>
        <w:rPr>
          <w:rFonts w:ascii="MS PGothic" w:cs="MS PGothic" w:eastAsia="MS PGothic" w:hAnsi="MS PGothic"/>
          <w:sz w:val="11"/>
          <w:szCs w:val="11"/>
          <w:color w:val="0000FF"/>
        </w:rPr>
        <w:t>☐</w:t>
      </w:r>
      <w:r>
        <w:rPr>
          <w:rFonts w:ascii="Calibri" w:cs="Calibri" w:eastAsia="Calibri" w:hAnsi="Calibri"/>
          <w:sz w:val="11"/>
          <w:szCs w:val="11"/>
          <w:b w:val="1"/>
          <w:bCs w:val="1"/>
          <w:color w:val="FF0000"/>
        </w:rPr>
        <w:t xml:space="preserve"> </w:t>
      </w:r>
      <w:r>
        <w:rPr>
          <w:rFonts w:ascii="Calibri" w:cs="Calibri" w:eastAsia="Calibri" w:hAnsi="Calibri"/>
          <w:sz w:val="11"/>
          <w:szCs w:val="11"/>
          <w:u w:val="single" w:color="auto"/>
          <w:color w:val="FF0000"/>
          <w:strike w:val="1"/>
        </w:rPr>
        <w:t>CPI U (All Urban Consumers), for (</w:t>
      </w:r>
      <w:r>
        <w:rPr>
          <w:rFonts w:ascii="Calibri" w:cs="Calibri" w:eastAsia="Calibri" w:hAnsi="Calibri"/>
          <w:sz w:val="11"/>
          <w:szCs w:val="11"/>
          <w:i w:val="1"/>
          <w:iCs w:val="1"/>
          <w:u w:val="single" w:color="auto"/>
          <w:color w:val="FF0000"/>
          <w:strike w:val="1"/>
        </w:rPr>
        <w:t>fill in Urban Area</w:t>
      </w:r>
      <w:r>
        <w:rPr>
          <w:rFonts w:ascii="Calibri" w:cs="Calibri" w:eastAsia="Calibri" w:hAnsi="Calibri"/>
          <w:sz w:val="11"/>
          <w:szCs w:val="11"/>
          <w:u w:val="single" w:color="auto"/>
          <w:color w:val="FF0000"/>
          <w:strike w:val="1"/>
        </w:rPr>
        <w:t>):</w:t>
      </w:r>
      <w:r>
        <w:rPr>
          <w:rFonts w:ascii="Calibri" w:cs="Calibri" w:eastAsia="Calibri" w:hAnsi="Calibri"/>
          <w:sz w:val="11"/>
          <w:szCs w:val="11"/>
          <w:b w:val="1"/>
          <w:bCs w:val="1"/>
          <w:color w:val="FF0000"/>
        </w:rPr>
        <w:t xml:space="preserve"> </w:t>
      </w:r>
      <w:r>
        <w:rPr>
          <w:rFonts w:ascii="Calibri" w:cs="Calibri" w:eastAsia="Calibri" w:hAnsi="Calibri"/>
          <w:sz w:val="11"/>
          <w:szCs w:val="11"/>
          <w:color w:val="FF0000"/>
          <w:strike w:val="1"/>
        </w:rPr>
        <w:t>or</w:t>
      </w:r>
      <w:r>
        <w:rPr>
          <w:rFonts w:ascii="Calibri" w:cs="Calibri" w:eastAsia="Calibri" w:hAnsi="Calibri"/>
          <w:sz w:val="11"/>
          <w:szCs w:val="11"/>
          <w:b w:val="1"/>
          <w:bCs w:val="1"/>
          <w:color w:val="FF0000"/>
        </w:rPr>
        <w:t xml:space="preserve"> </w:t>
      </w:r>
      <w:r>
        <w:rPr>
          <w:rFonts w:ascii="MS PGothic" w:cs="MS PGothic" w:eastAsia="MS PGothic" w:hAnsi="MS PGothic"/>
          <w:sz w:val="11"/>
          <w:szCs w:val="11"/>
          <w:u w:val="single" w:color="auto"/>
          <w:color w:val="0000FF"/>
        </w:rPr>
        <w:t>☐</w:t>
      </w:r>
      <w:r>
        <w:rPr>
          <w:rFonts w:ascii="Calibri" w:cs="Calibri" w:eastAsia="Calibri" w:hAnsi="Calibri"/>
          <w:sz w:val="11"/>
          <w:szCs w:val="11"/>
          <w:b w:val="1"/>
          <w:bCs w:val="1"/>
          <w:color w:val="FF0000"/>
        </w:rPr>
        <w:t xml:space="preserve"> </w:t>
      </w:r>
      <w:r>
        <w:rPr>
          <w:rFonts w:ascii="Calibri" w:cs="Calibri" w:eastAsia="Calibri" w:hAnsi="Calibri"/>
          <w:sz w:val="11"/>
          <w:szCs w:val="11"/>
          <w:u w:val="single" w:color="auto"/>
          <w:color w:val="FF0000"/>
          <w:strike w:val="1"/>
        </w:rPr>
        <w:t>the area in which the Premises is located, All Items (1982-1984 =</w:t>
      </w:r>
      <w:r>
        <w:rPr>
          <w:rFonts w:ascii="Calibri" w:cs="Calibri" w:eastAsia="Calibri" w:hAnsi="Calibri"/>
          <w:sz w:val="11"/>
          <w:szCs w:val="11"/>
          <w:b w:val="1"/>
          <w:bCs w:val="1"/>
          <w:color w:val="FF0000"/>
        </w:rPr>
        <w:t xml:space="preserve"> </w:t>
      </w:r>
      <w:r>
        <w:rPr>
          <w:rFonts w:ascii="Calibri" w:cs="Calibri" w:eastAsia="Calibri" w:hAnsi="Calibri"/>
          <w:sz w:val="11"/>
          <w:szCs w:val="11"/>
          <w:u w:val="single" w:color="auto"/>
          <w:color w:val="FF0000"/>
          <w:strike w:val="1"/>
        </w:rPr>
        <w:t>100). The term "</w:t>
      </w:r>
      <w:r>
        <w:rPr>
          <w:rFonts w:ascii="Calibri" w:cs="Calibri" w:eastAsia="Calibri" w:hAnsi="Calibri"/>
          <w:sz w:val="11"/>
          <w:szCs w:val="11"/>
          <w:b w:val="1"/>
          <w:bCs w:val="1"/>
          <w:u w:val="single" w:color="auto"/>
          <w:color w:val="FF0000"/>
          <w:strike w:val="1"/>
        </w:rPr>
        <w:t>Comparison CPI</w:t>
      </w:r>
      <w:r>
        <w:rPr>
          <w:rFonts w:ascii="Calibri" w:cs="Calibri" w:eastAsia="Calibri" w:hAnsi="Calibri"/>
          <w:sz w:val="11"/>
          <w:szCs w:val="11"/>
          <w:u w:val="single" w:color="auto"/>
          <w:color w:val="FF0000"/>
          <w:strike w:val="1"/>
        </w:rPr>
        <w:t>" shall mean the CPI of the calendar month which is 2 full months prior to the applicable Original Term CPI Increase Date. The term "</w:t>
      </w:r>
      <w:r>
        <w:rPr>
          <w:rFonts w:ascii="Calibri" w:cs="Calibri" w:eastAsia="Calibri" w:hAnsi="Calibri"/>
          <w:sz w:val="11"/>
          <w:szCs w:val="11"/>
          <w:b w:val="1"/>
          <w:bCs w:val="1"/>
          <w:u w:val="single" w:color="auto"/>
          <w:color w:val="FF0000"/>
          <w:strike w:val="1"/>
        </w:rPr>
        <w:t>Base CPI</w:t>
      </w:r>
      <w:r>
        <w:rPr>
          <w:rFonts w:ascii="Calibri" w:cs="Calibri" w:eastAsia="Calibri" w:hAnsi="Calibri"/>
          <w:sz w:val="11"/>
          <w:szCs w:val="11"/>
          <w:u w:val="single" w:color="auto"/>
          <w:color w:val="FF0000"/>
          <w:strike w:val="1"/>
        </w:rPr>
        <w:t>" shall mean the CPI of the calendar month which is 2 full months prior to the Commencement Date of the Original Term</w:t>
      </w:r>
      <w:r>
        <w:rPr>
          <w:rFonts w:ascii="Calibri" w:cs="Calibri" w:eastAsia="Calibri" w:hAnsi="Calibri"/>
          <w:sz w:val="11"/>
          <w:szCs w:val="11"/>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1366520</wp:posOffset>
            </wp:positionH>
            <wp:positionV relativeFrom="paragraph">
              <wp:posOffset>-187325</wp:posOffset>
            </wp:positionV>
            <wp:extent cx="100965"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00965" cy="6985"/>
                    </a:xfrm>
                    <a:prstGeom prst="rect">
                      <a:avLst/>
                    </a:prstGeom>
                    <a:noFill/>
                  </pic:spPr>
                </pic:pic>
              </a:graphicData>
            </a:graphic>
          </wp:anchor>
        </w:drawing>
        <w:drawing>
          <wp:anchor simplePos="0" relativeHeight="251657728" behindDoc="1" locked="0" layoutInCell="0" allowOverlap="1">
            <wp:simplePos x="0" y="0"/>
            <wp:positionH relativeFrom="column">
              <wp:posOffset>3038475</wp:posOffset>
            </wp:positionH>
            <wp:positionV relativeFrom="paragraph">
              <wp:posOffset>-187325</wp:posOffset>
            </wp:positionV>
            <wp:extent cx="13144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31445" cy="698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-214630</wp:posOffset>
            </wp:positionV>
            <wp:extent cx="16510"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6510" cy="6985"/>
                    </a:xfrm>
                    <a:prstGeom prst="rect">
                      <a:avLst/>
                    </a:prstGeom>
                    <a:noFill/>
                  </pic:spPr>
                </pic:pic>
              </a:graphicData>
            </a:graphic>
          </wp:anchor>
        </w:drawing>
      </w:r>
    </w:p>
    <w:p>
      <w:pPr>
        <w:spacing w:after="0" w:line="71" w:lineRule="exact"/>
        <w:rPr>
          <w:sz w:val="20"/>
          <w:szCs w:val="20"/>
          <w:color w:val="auto"/>
        </w:rPr>
      </w:pPr>
    </w:p>
    <w:p>
      <w:pPr>
        <w:jc w:val="both"/>
        <w:ind w:left="640" w:right="639" w:firstLine="249"/>
        <w:spacing w:after="0" w:line="251" w:lineRule="auto"/>
        <w:tabs>
          <w:tab w:leader="none" w:pos="1060" w:val="left"/>
        </w:tabs>
        <w:numPr>
          <w:ilvl w:val="0"/>
          <w:numId w:val="93"/>
        </w:numPr>
        <w:rPr>
          <w:rFonts w:ascii="Calibri" w:cs="Calibri" w:eastAsia="Calibri" w:hAnsi="Calibri"/>
          <w:sz w:val="11"/>
          <w:szCs w:val="11"/>
          <w:u w:val="single" w:color="auto"/>
          <w:color w:val="FF0000"/>
          <w:strike w:val="1"/>
        </w:rPr>
      </w:pPr>
      <w:r>
        <w:rPr>
          <w:rFonts w:ascii="Calibri" w:cs="Calibri" w:eastAsia="Calibri" w:hAnsi="Calibri"/>
          <w:sz w:val="11"/>
          <w:szCs w:val="11"/>
          <w:u w:val="single" w:color="auto"/>
          <w:color w:val="FF0000"/>
          <w:strike w:val="1"/>
        </w:rPr>
        <w:t>If the compilaton and/or publicaton of the CPI is transferred to another governmental department, bureau or agency or is discontnued, then instead the index most nearly the same as the CPI shall be used to calculate the Base Rent increases hereunder. If the Partes cannot agree on such alternatve index, then the mater shall be submited for decision to the American Arbitraton Associaton in accordance with the then rules of said associaton and the decision of the arbitrators shall be binding upon the partes, with the cost of such arbitraton being paid equally by the Partes</w:t>
      </w:r>
      <w:r>
        <w:rPr>
          <w:rFonts w:ascii="Calibri" w:cs="Calibri" w:eastAsia="Calibri" w:hAnsi="Calibri"/>
          <w:sz w:val="11"/>
          <w:szCs w:val="11"/>
          <w:color w:val="FF0000"/>
          <w:strike w:val="1"/>
        </w:rPr>
        <w:t>.</w:t>
      </w:r>
    </w:p>
    <w:p>
      <w:pPr>
        <w:spacing w:after="0" w:line="62" w:lineRule="exact"/>
        <w:rPr>
          <w:sz w:val="20"/>
          <w:szCs w:val="20"/>
          <w:color w:val="auto"/>
        </w:rPr>
      </w:pPr>
    </w:p>
    <w:p>
      <w:pPr>
        <w:jc w:val="both"/>
        <w:ind w:left="640" w:right="999"/>
        <w:spacing w:after="0" w:line="154" w:lineRule="exact"/>
        <w:rPr>
          <w:sz w:val="20"/>
          <w:szCs w:val="20"/>
          <w:color w:val="auto"/>
        </w:rPr>
      </w:pPr>
      <w:r>
        <w:rPr>
          <w:rFonts w:ascii="MS PGothic" w:cs="MS PGothic" w:eastAsia="MS PGothic" w:hAnsi="MS PGothic"/>
          <w:sz w:val="11"/>
          <w:szCs w:val="11"/>
          <w:color w:val="000000"/>
        </w:rPr>
        <w:t>☐</w:t>
      </w:r>
      <w:r>
        <w:rPr>
          <w:rFonts w:ascii="Calibri" w:cs="Calibri" w:eastAsia="Calibri" w:hAnsi="Calibri"/>
          <w:sz w:val="11"/>
          <w:szCs w:val="11"/>
          <w:b w:val="1"/>
          <w:bCs w:val="1"/>
          <w:color w:val="FF0000"/>
        </w:rPr>
        <w:t xml:space="preserve"> </w:t>
      </w:r>
      <w:r>
        <w:rPr>
          <w:rFonts w:ascii="Calibri" w:cs="Calibri" w:eastAsia="Calibri" w:hAnsi="Calibri"/>
          <w:sz w:val="11"/>
          <w:szCs w:val="11"/>
          <w:b w:val="1"/>
          <w:bCs w:val="1"/>
          <w:color w:val="FF0000"/>
          <w:strike w:val="1"/>
        </w:rPr>
        <w:t>II. Fixed Percentage.</w:t>
      </w:r>
      <w:r>
        <w:rPr>
          <w:rFonts w:ascii="Calibri" w:cs="Calibri" w:eastAsia="Calibri" w:hAnsi="Calibri"/>
          <w:sz w:val="11"/>
          <w:szCs w:val="11"/>
          <w:b w:val="1"/>
          <w:bCs w:val="1"/>
          <w:color w:val="FF0000"/>
        </w:rPr>
        <w:t xml:space="preserve"> </w:t>
      </w:r>
      <w:r>
        <w:rPr>
          <w:rFonts w:ascii="Calibri" w:cs="Calibri" w:eastAsia="Calibri" w:hAnsi="Calibri"/>
          <w:sz w:val="11"/>
          <w:szCs w:val="11"/>
          <w:color w:val="FF0000"/>
          <w:strike w:val="1"/>
        </w:rPr>
        <w:t>The monthly Base Rent shall be increased on and every months thereafer during the Original Term ("Percentage Increase</w:t>
      </w:r>
      <w:r>
        <w:rPr>
          <w:rFonts w:ascii="Calibri" w:cs="Calibri" w:eastAsia="Calibri" w:hAnsi="Calibri"/>
          <w:sz w:val="11"/>
          <w:szCs w:val="11"/>
          <w:b w:val="1"/>
          <w:bCs w:val="1"/>
          <w:color w:val="FF0000"/>
        </w:rPr>
        <w:t xml:space="preserve"> </w:t>
      </w:r>
      <w:r>
        <w:rPr>
          <w:rFonts w:ascii="Calibri" w:cs="Calibri" w:eastAsia="Calibri" w:hAnsi="Calibri"/>
          <w:sz w:val="11"/>
          <w:szCs w:val="11"/>
          <w:u w:val="single" w:color="auto"/>
          <w:color w:val="FF0000"/>
          <w:strike w:val="1"/>
        </w:rPr>
        <w:t>Date(s)") by percent ( %) of the monthly Base Rent scheduled to be paid for the month immediately preceding the applicable Percentage Increase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-99060</wp:posOffset>
            </wp:positionV>
            <wp:extent cx="9906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99060" cy="6985"/>
                    </a:xfrm>
                    <a:prstGeom prst="rect">
                      <a:avLst/>
                    </a:prstGeom>
                    <a:noFill/>
                  </pic:spPr>
                </pic:pic>
              </a:graphicData>
            </a:graphic>
          </wp:anchor>
        </w:drawing>
        <w:drawing>
          <wp:anchor simplePos="0" relativeHeight="251657728" behindDoc="1" locked="0" layoutInCell="0" allowOverlap="1">
            <wp:simplePos x="0" y="0"/>
            <wp:positionH relativeFrom="column">
              <wp:posOffset>2950210</wp:posOffset>
            </wp:positionH>
            <wp:positionV relativeFrom="paragraph">
              <wp:posOffset>-99060</wp:posOffset>
            </wp:positionV>
            <wp:extent cx="18097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80975" cy="6985"/>
                    </a:xfrm>
                    <a:prstGeom prst="rect">
                      <a:avLst/>
                    </a:prstGeom>
                    <a:noFill/>
                  </pic:spPr>
                </pic:pic>
              </a:graphicData>
            </a:graphic>
          </wp:anchor>
        </w:drawing>
        <w:drawing>
          <wp:anchor simplePos="0" relativeHeight="251657728" behindDoc="1" locked="0" layoutInCell="0" allowOverlap="1">
            <wp:simplePos x="0" y="0"/>
            <wp:positionH relativeFrom="column">
              <wp:posOffset>767080</wp:posOffset>
            </wp:positionH>
            <wp:positionV relativeFrom="paragraph">
              <wp:posOffset>-10160</wp:posOffset>
            </wp:positionV>
            <wp:extent cx="13144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31445" cy="6985"/>
                    </a:xfrm>
                    <a:prstGeom prst="rect">
                      <a:avLst/>
                    </a:prstGeom>
                    <a:noFill/>
                  </pic:spPr>
                </pic:pic>
              </a:graphicData>
            </a:graphic>
          </wp:anchor>
        </w:drawing>
        <w:drawing>
          <wp:anchor simplePos="0" relativeHeight="251657728" behindDoc="1" locked="0" layoutInCell="0" allowOverlap="1">
            <wp:simplePos x="0" y="0"/>
            <wp:positionH relativeFrom="column">
              <wp:posOffset>882015</wp:posOffset>
            </wp:positionH>
            <wp:positionV relativeFrom="paragraph">
              <wp:posOffset>-37465</wp:posOffset>
            </wp:positionV>
            <wp:extent cx="1651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6510" cy="6985"/>
                    </a:xfrm>
                    <a:prstGeom prst="rect">
                      <a:avLst/>
                    </a:prstGeom>
                    <a:noFill/>
                  </pic:spPr>
                </pic:pic>
              </a:graphicData>
            </a:graphic>
          </wp:anchor>
        </w:drawing>
        <w:drawing>
          <wp:anchor simplePos="0" relativeHeight="251657728" behindDoc="1" locked="0" layoutInCell="0" allowOverlap="1">
            <wp:simplePos x="0" y="0"/>
            <wp:positionH relativeFrom="column">
              <wp:posOffset>1164590</wp:posOffset>
            </wp:positionH>
            <wp:positionV relativeFrom="paragraph">
              <wp:posOffset>-10160</wp:posOffset>
            </wp:positionV>
            <wp:extent cx="114935" cy="698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4935" cy="6985"/>
                    </a:xfrm>
                    <a:prstGeom prst="rect">
                      <a:avLst/>
                    </a:prstGeom>
                    <a:noFill/>
                  </pic:spPr>
                </pic:pic>
              </a:graphicData>
            </a:graphic>
          </wp:anchor>
        </w:drawing>
      </w:r>
    </w:p>
    <w:p>
      <w:pPr>
        <w:spacing w:after="0" w:line="81" w:lineRule="exact"/>
        <w:rPr>
          <w:sz w:val="20"/>
          <w:szCs w:val="20"/>
          <w:color w:val="auto"/>
        </w:rPr>
      </w:pPr>
    </w:p>
    <w:p>
      <w:pPr>
        <w:ind w:left="760" w:hanging="129"/>
        <w:spacing w:after="0"/>
        <w:tabs>
          <w:tab w:leader="none" w:pos="760" w:val="left"/>
        </w:tabs>
        <w:numPr>
          <w:ilvl w:val="0"/>
          <w:numId w:val="94"/>
        </w:numPr>
        <w:rPr>
          <w:rFonts w:ascii="MS PGothic" w:cs="MS PGothic" w:eastAsia="MS PGothic" w:hAnsi="MS PGothic"/>
          <w:sz w:val="11"/>
          <w:szCs w:val="11"/>
          <w:u w:val="single" w:color="auto"/>
          <w:color w:val="0000FF"/>
        </w:rPr>
      </w:pPr>
      <w:r>
        <w:rPr>
          <w:rFonts w:ascii="Calibri" w:cs="Calibri" w:eastAsia="Calibri" w:hAnsi="Calibri"/>
          <w:sz w:val="11"/>
          <w:szCs w:val="11"/>
          <w:b w:val="1"/>
          <w:bCs w:val="1"/>
          <w:color w:val="auto"/>
        </w:rPr>
        <w:t>III.   Fixed Rental Adjustment(s) ("FRA").</w:t>
      </w:r>
    </w:p>
    <w:p>
      <w:pPr>
        <w:spacing w:after="0" w:line="92" w:lineRule="exact"/>
        <w:rPr>
          <w:sz w:val="20"/>
          <w:szCs w:val="20"/>
          <w:color w:val="auto"/>
        </w:rPr>
      </w:pPr>
    </w:p>
    <w:p>
      <w:pPr>
        <w:ind w:left="640"/>
        <w:spacing w:after="0"/>
        <w:rPr>
          <w:sz w:val="20"/>
          <w:szCs w:val="20"/>
          <w:color w:val="auto"/>
        </w:rPr>
      </w:pPr>
      <w:r>
        <w:rPr>
          <w:rFonts w:ascii="Calibri" w:cs="Calibri" w:eastAsia="Calibri" w:hAnsi="Calibri"/>
          <w:sz w:val="11"/>
          <w:szCs w:val="11"/>
          <w:color w:val="auto"/>
        </w:rPr>
        <w:t>The monthly Base Rent shall be increased to the following amounts on the dates set forth below:</w:t>
      </w:r>
    </w:p>
    <w:p>
      <w:pPr>
        <w:spacing w:after="0" w:line="189" w:lineRule="exact"/>
        <w:rPr>
          <w:sz w:val="20"/>
          <w:szCs w:val="20"/>
          <w:color w:val="auto"/>
        </w:rPr>
      </w:pPr>
    </w:p>
    <w:tbl>
      <w:tblPr>
        <w:tblLayout w:type="fixed"/>
        <w:tblInd w:w="2400" w:type="dxa"/>
        <w:tblCellMar>
          <w:top w:w="0" w:type="dxa"/>
          <w:left w:w="0" w:type="dxa"/>
          <w:bottom w:w="0" w:type="dxa"/>
          <w:right w:w="0" w:type="dxa"/>
        </w:tblCellMar>
      </w:tblPr>
      <w:tr>
        <w:trPr>
          <w:trHeight w:val="136"/>
        </w:trPr>
        <w:tc>
          <w:tcPr>
            <w:tcW w:w="2440" w:type="dxa"/>
            <w:vAlign w:val="bottom"/>
            <w:gridSpan w:val="7"/>
          </w:tcPr>
          <w:p>
            <w:pPr>
              <w:jc w:val="center"/>
              <w:ind w:right="820"/>
              <w:spacing w:after="0"/>
              <w:rPr>
                <w:sz w:val="20"/>
                <w:szCs w:val="20"/>
                <w:color w:val="auto"/>
              </w:rPr>
            </w:pPr>
            <w:r>
              <w:rPr>
                <w:rFonts w:ascii="Calibri" w:cs="Calibri" w:eastAsia="Calibri" w:hAnsi="Calibri"/>
                <w:sz w:val="11"/>
                <w:szCs w:val="11"/>
                <w:color w:val="auto"/>
              </w:rPr>
              <w:t>On (fill in FRA Adjustment Date(s)):</w:t>
            </w:r>
          </w:p>
        </w:tc>
        <w:tc>
          <w:tcPr>
            <w:tcW w:w="2120" w:type="dxa"/>
            <w:vAlign w:val="bottom"/>
            <w:gridSpan w:val="5"/>
          </w:tcPr>
          <w:p>
            <w:pPr>
              <w:jc w:val="center"/>
              <w:ind w:left="763"/>
              <w:spacing w:after="0"/>
              <w:rPr>
                <w:sz w:val="20"/>
                <w:szCs w:val="20"/>
                <w:color w:val="auto"/>
              </w:rPr>
            </w:pPr>
            <w:r>
              <w:rPr>
                <w:rFonts w:ascii="Calibri" w:cs="Calibri" w:eastAsia="Calibri" w:hAnsi="Calibri"/>
                <w:sz w:val="11"/>
                <w:szCs w:val="11"/>
                <w:color w:val="auto"/>
              </w:rPr>
              <w:t>The new Base Rent shall be:</w:t>
            </w:r>
          </w:p>
        </w:tc>
      </w:tr>
      <w:tr>
        <w:trPr>
          <w:trHeight w:val="144"/>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1"/>
                <w:szCs w:val="11"/>
                <w:color w:val="0000FF"/>
              </w:rPr>
              <w:t>June 1, 2024 - June 30, 2024</w:t>
            </w:r>
          </w:p>
        </w:tc>
        <w:tc>
          <w:tcPr>
            <w:tcW w:w="9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gridSpan w:val="4"/>
          </w:tcPr>
          <w:p>
            <w:pPr>
              <w:jc w:val="center"/>
              <w:ind w:right="360"/>
              <w:spacing w:after="0"/>
              <w:rPr>
                <w:sz w:val="20"/>
                <w:szCs w:val="20"/>
                <w:color w:val="auto"/>
              </w:rPr>
            </w:pPr>
            <w:r>
              <w:rPr>
                <w:rFonts w:ascii="Calibri" w:cs="Calibri" w:eastAsia="Calibri" w:hAnsi="Calibri"/>
                <w:sz w:val="11"/>
                <w:szCs w:val="11"/>
                <w:u w:val="single" w:color="auto"/>
                <w:color w:val="0000FF"/>
              </w:rPr>
              <w:t>$</w:t>
            </w:r>
            <w:r>
              <w:rPr>
                <w:rFonts w:ascii="Calibri" w:cs="Calibri" w:eastAsia="Calibri" w:hAnsi="Calibri"/>
                <w:sz w:val="11"/>
                <w:szCs w:val="11"/>
                <w:color w:val="0000FF"/>
              </w:rPr>
              <w:t>41,578.75</w:t>
            </w:r>
          </w:p>
        </w:tc>
      </w:tr>
      <w:tr>
        <w:trPr>
          <w:trHeight w:val="20"/>
        </w:trPr>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1"/>
        </w:trPr>
        <w:tc>
          <w:tcPr>
            <w:tcW w:w="60" w:type="dxa"/>
            <w:vAlign w:val="bottom"/>
          </w:tcPr>
          <w:p>
            <w:pPr>
              <w:spacing w:after="0"/>
              <w:rPr>
                <w:sz w:val="12"/>
                <w:szCs w:val="12"/>
                <w:color w:val="auto"/>
              </w:rPr>
            </w:pPr>
          </w:p>
        </w:tc>
        <w:tc>
          <w:tcPr>
            <w:tcW w:w="1540" w:type="dxa"/>
            <w:vAlign w:val="bottom"/>
            <w:gridSpan w:val="5"/>
          </w:tcPr>
          <w:p>
            <w:pPr>
              <w:jc w:val="center"/>
              <w:spacing w:after="0"/>
              <w:rPr>
                <w:sz w:val="20"/>
                <w:szCs w:val="20"/>
                <w:color w:val="auto"/>
              </w:rPr>
            </w:pPr>
            <w:r>
              <w:rPr>
                <w:rFonts w:ascii="Calibri" w:cs="Calibri" w:eastAsia="Calibri" w:hAnsi="Calibri"/>
                <w:sz w:val="11"/>
                <w:szCs w:val="11"/>
                <w:color w:val="0000FF"/>
              </w:rPr>
              <w:t>July 1, 2024 - November 30, 2024</w:t>
            </w:r>
          </w:p>
        </w:tc>
        <w:tc>
          <w:tcPr>
            <w:tcW w:w="84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380" w:type="dxa"/>
            <w:vAlign w:val="bottom"/>
            <w:gridSpan w:val="2"/>
          </w:tcPr>
          <w:p>
            <w:pPr>
              <w:jc w:val="center"/>
              <w:ind w:right="120"/>
              <w:spacing w:after="0"/>
              <w:rPr>
                <w:sz w:val="20"/>
                <w:szCs w:val="20"/>
                <w:color w:val="auto"/>
              </w:rPr>
            </w:pPr>
            <w:r>
              <w:rPr>
                <w:rFonts w:ascii="Calibri" w:cs="Calibri" w:eastAsia="Calibri" w:hAnsi="Calibri"/>
                <w:sz w:val="11"/>
                <w:szCs w:val="11"/>
                <w:color w:val="0000FF"/>
              </w:rPr>
              <w:t>$0.00</w:t>
            </w:r>
          </w:p>
        </w:tc>
        <w:tc>
          <w:tcPr>
            <w:tcW w:w="380" w:type="dxa"/>
            <w:vAlign w:val="bottom"/>
          </w:tcPr>
          <w:p>
            <w:pPr>
              <w:spacing w:after="0"/>
              <w:rPr>
                <w:sz w:val="12"/>
                <w:szCs w:val="12"/>
                <w:color w:val="auto"/>
              </w:rPr>
            </w:pPr>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tcBorders>
              <w:right w:val="single" w:sz="8" w:color="0000FF"/>
            </w:tcBorders>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r>
      <w:tr>
        <w:trPr>
          <w:trHeight w:val="141"/>
        </w:trPr>
        <w:tc>
          <w:tcPr>
            <w:tcW w:w="60" w:type="dxa"/>
            <w:vAlign w:val="bottom"/>
          </w:tcPr>
          <w:p>
            <w:pPr>
              <w:spacing w:after="0"/>
              <w:rPr>
                <w:sz w:val="12"/>
                <w:szCs w:val="12"/>
                <w:color w:val="auto"/>
              </w:rPr>
            </w:pPr>
          </w:p>
        </w:tc>
        <w:tc>
          <w:tcPr>
            <w:tcW w:w="2380" w:type="dxa"/>
            <w:vAlign w:val="bottom"/>
            <w:gridSpan w:val="6"/>
          </w:tcPr>
          <w:p>
            <w:pPr>
              <w:jc w:val="center"/>
              <w:ind w:right="840"/>
              <w:spacing w:after="0"/>
              <w:rPr>
                <w:sz w:val="20"/>
                <w:szCs w:val="20"/>
                <w:color w:val="auto"/>
              </w:rPr>
            </w:pPr>
            <w:r>
              <w:rPr>
                <w:rFonts w:ascii="Calibri" w:cs="Calibri" w:eastAsia="Calibri" w:hAnsi="Calibri"/>
                <w:sz w:val="11"/>
                <w:szCs w:val="11"/>
                <w:color w:val="0000FF"/>
              </w:rPr>
              <w:t>December 1, 2024 - May 31, 2025</w:t>
            </w:r>
          </w:p>
        </w:tc>
        <w:tc>
          <w:tcPr>
            <w:tcW w:w="2120" w:type="dxa"/>
            <w:vAlign w:val="bottom"/>
            <w:gridSpan w:val="5"/>
          </w:tcPr>
          <w:p>
            <w:pPr>
              <w:jc w:val="center"/>
              <w:ind w:left="783"/>
              <w:spacing w:after="0"/>
              <w:rPr>
                <w:sz w:val="20"/>
                <w:szCs w:val="20"/>
                <w:color w:val="auto"/>
              </w:rPr>
            </w:pPr>
            <w:r>
              <w:rPr>
                <w:rFonts w:ascii="Calibri" w:cs="Calibri" w:eastAsia="Calibri" w:hAnsi="Calibri"/>
                <w:sz w:val="11"/>
                <w:szCs w:val="11"/>
                <w:u w:val="single" w:color="auto"/>
                <w:color w:val="0000FF"/>
              </w:rPr>
              <w:t>$</w:t>
            </w:r>
            <w:r>
              <w:rPr>
                <w:rFonts w:ascii="Calibri" w:cs="Calibri" w:eastAsia="Calibri" w:hAnsi="Calibri"/>
                <w:sz w:val="11"/>
                <w:szCs w:val="11"/>
                <w:color w:val="0000FF"/>
              </w:rPr>
              <w:t>41,578.75</w:t>
            </w:r>
          </w:p>
        </w:tc>
      </w:tr>
      <w:tr>
        <w:trPr>
          <w:trHeight w:val="20"/>
        </w:trPr>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1"/>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1"/>
                <w:szCs w:val="11"/>
                <w:color w:val="0000FF"/>
              </w:rPr>
              <w:t>June 1, 2025 - May 31, 2026</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gridSpan w:val="4"/>
          </w:tcPr>
          <w:p>
            <w:pPr>
              <w:jc w:val="center"/>
              <w:ind w:right="360"/>
              <w:spacing w:after="0"/>
              <w:rPr>
                <w:sz w:val="20"/>
                <w:szCs w:val="20"/>
                <w:color w:val="auto"/>
              </w:rPr>
            </w:pPr>
            <w:r>
              <w:rPr>
                <w:rFonts w:ascii="Calibri" w:cs="Calibri" w:eastAsia="Calibri" w:hAnsi="Calibri"/>
                <w:sz w:val="11"/>
                <w:szCs w:val="11"/>
                <w:u w:val="single" w:color="auto"/>
                <w:color w:val="0000FF"/>
              </w:rPr>
              <w:t>$</w:t>
            </w:r>
            <w:r>
              <w:rPr>
                <w:rFonts w:ascii="Calibri" w:cs="Calibri" w:eastAsia="Calibri" w:hAnsi="Calibri"/>
                <w:sz w:val="11"/>
                <w:szCs w:val="11"/>
                <w:color w:val="0000FF"/>
              </w:rPr>
              <w:t>43,034.01</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1"/>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1"/>
                <w:szCs w:val="11"/>
                <w:color w:val="0000FF"/>
              </w:rPr>
              <w:t>June 1, 2026 - May 31, 2027</w:t>
            </w:r>
          </w:p>
        </w:tc>
        <w:tc>
          <w:tcPr>
            <w:tcW w:w="9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gridSpan w:val="4"/>
          </w:tcPr>
          <w:p>
            <w:pPr>
              <w:jc w:val="center"/>
              <w:ind w:right="360"/>
              <w:spacing w:after="0"/>
              <w:rPr>
                <w:sz w:val="20"/>
                <w:szCs w:val="20"/>
                <w:color w:val="auto"/>
              </w:rPr>
            </w:pPr>
            <w:r>
              <w:rPr>
                <w:rFonts w:ascii="Calibri" w:cs="Calibri" w:eastAsia="Calibri" w:hAnsi="Calibri"/>
                <w:sz w:val="11"/>
                <w:szCs w:val="11"/>
                <w:u w:val="single" w:color="auto"/>
                <w:color w:val="0000FF"/>
              </w:rPr>
              <w:t>$</w:t>
            </w:r>
            <w:r>
              <w:rPr>
                <w:rFonts w:ascii="Calibri" w:cs="Calibri" w:eastAsia="Calibri" w:hAnsi="Calibri"/>
                <w:sz w:val="11"/>
                <w:szCs w:val="11"/>
                <w:color w:val="0000FF"/>
              </w:rPr>
              <w:t>44,540.20</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1"/>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1"/>
                <w:szCs w:val="11"/>
                <w:color w:val="0000FF"/>
              </w:rPr>
              <w:t>June 1, 2027 - May 31, 2028</w:t>
            </w:r>
          </w:p>
        </w:tc>
        <w:tc>
          <w:tcPr>
            <w:tcW w:w="9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gridSpan w:val="4"/>
          </w:tcPr>
          <w:p>
            <w:pPr>
              <w:jc w:val="center"/>
              <w:ind w:right="360"/>
              <w:spacing w:after="0"/>
              <w:rPr>
                <w:sz w:val="20"/>
                <w:szCs w:val="20"/>
                <w:color w:val="auto"/>
              </w:rPr>
            </w:pPr>
            <w:r>
              <w:rPr>
                <w:rFonts w:ascii="Calibri" w:cs="Calibri" w:eastAsia="Calibri" w:hAnsi="Calibri"/>
                <w:sz w:val="11"/>
                <w:szCs w:val="11"/>
                <w:u w:val="single" w:color="auto"/>
                <w:color w:val="0000FF"/>
              </w:rPr>
              <w:t>$</w:t>
            </w:r>
            <w:r>
              <w:rPr>
                <w:rFonts w:ascii="Calibri" w:cs="Calibri" w:eastAsia="Calibri" w:hAnsi="Calibri"/>
                <w:sz w:val="11"/>
                <w:szCs w:val="11"/>
                <w:color w:val="0000FF"/>
              </w:rPr>
              <w:t>46,099.10</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1"/>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1"/>
                <w:szCs w:val="11"/>
                <w:color w:val="0000FF"/>
              </w:rPr>
              <w:t>June 1, 2028 - May 31, 2029</w:t>
            </w:r>
          </w:p>
        </w:tc>
        <w:tc>
          <w:tcPr>
            <w:tcW w:w="9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gridSpan w:val="4"/>
          </w:tcPr>
          <w:p>
            <w:pPr>
              <w:jc w:val="center"/>
              <w:ind w:right="360"/>
              <w:spacing w:after="0"/>
              <w:rPr>
                <w:sz w:val="20"/>
                <w:szCs w:val="20"/>
                <w:color w:val="auto"/>
              </w:rPr>
            </w:pPr>
            <w:r>
              <w:rPr>
                <w:rFonts w:ascii="Calibri" w:cs="Calibri" w:eastAsia="Calibri" w:hAnsi="Calibri"/>
                <w:sz w:val="11"/>
                <w:szCs w:val="11"/>
                <w:u w:val="single" w:color="auto"/>
                <w:color w:val="0000FF"/>
              </w:rPr>
              <w:t>$</w:t>
            </w:r>
            <w:r>
              <w:rPr>
                <w:rFonts w:ascii="Calibri" w:cs="Calibri" w:eastAsia="Calibri" w:hAnsi="Calibri"/>
                <w:sz w:val="11"/>
                <w:szCs w:val="11"/>
                <w:color w:val="0000FF"/>
              </w:rPr>
              <w:t>47,712.57</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1"/>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spacing w:after="0"/>
              <w:rPr>
                <w:sz w:val="20"/>
                <w:szCs w:val="20"/>
                <w:color w:val="auto"/>
              </w:rPr>
            </w:pPr>
            <w:r>
              <w:rPr>
                <w:rFonts w:ascii="Calibri" w:cs="Calibri" w:eastAsia="Calibri" w:hAnsi="Calibri"/>
                <w:sz w:val="11"/>
                <w:szCs w:val="11"/>
                <w:color w:val="0000FF"/>
              </w:rPr>
              <w:t>June 1, 2029 - May 31, 2030</w:t>
            </w:r>
          </w:p>
        </w:tc>
        <w:tc>
          <w:tcPr>
            <w:tcW w:w="960" w:type="dxa"/>
            <w:vAlign w:val="bottom"/>
            <w:gridSpan w:val="2"/>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gridSpan w:val="4"/>
          </w:tcPr>
          <w:p>
            <w:pPr>
              <w:jc w:val="center"/>
              <w:ind w:right="360"/>
              <w:spacing w:after="0"/>
              <w:rPr>
                <w:sz w:val="20"/>
                <w:szCs w:val="20"/>
                <w:color w:val="auto"/>
              </w:rPr>
            </w:pPr>
            <w:r>
              <w:rPr>
                <w:rFonts w:ascii="Calibri" w:cs="Calibri" w:eastAsia="Calibri" w:hAnsi="Calibri"/>
                <w:sz w:val="11"/>
                <w:szCs w:val="11"/>
                <w:u w:val="single" w:color="auto"/>
                <w:color w:val="0000FF"/>
              </w:rPr>
              <w:t>$</w:t>
            </w:r>
            <w:r>
              <w:rPr>
                <w:rFonts w:ascii="Calibri" w:cs="Calibri" w:eastAsia="Calibri" w:hAnsi="Calibri"/>
                <w:sz w:val="11"/>
                <w:szCs w:val="11"/>
                <w:color w:val="0000FF"/>
              </w:rPr>
              <w:t>49,382.51</w:t>
            </w: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1"/>
        </w:trPr>
        <w:tc>
          <w:tcPr>
            <w:tcW w:w="60" w:type="dxa"/>
            <w:vAlign w:val="bottom"/>
          </w:tcPr>
          <w:p>
            <w:pPr>
              <w:spacing w:after="0"/>
              <w:rPr>
                <w:sz w:val="12"/>
                <w:szCs w:val="12"/>
                <w:color w:val="auto"/>
              </w:rPr>
            </w:pPr>
          </w:p>
        </w:tc>
        <w:tc>
          <w:tcPr>
            <w:tcW w:w="1540" w:type="dxa"/>
            <w:vAlign w:val="bottom"/>
            <w:gridSpan w:val="5"/>
          </w:tcPr>
          <w:p>
            <w:pPr>
              <w:jc w:val="center"/>
              <w:spacing w:after="0"/>
              <w:rPr>
                <w:sz w:val="20"/>
                <w:szCs w:val="20"/>
                <w:color w:val="auto"/>
              </w:rPr>
            </w:pPr>
            <w:r>
              <w:rPr>
                <w:rFonts w:ascii="Calibri" w:cs="Calibri" w:eastAsia="Calibri" w:hAnsi="Calibri"/>
                <w:sz w:val="11"/>
                <w:szCs w:val="11"/>
                <w:color w:val="0000FF"/>
              </w:rPr>
              <w:t>June 1, 2030 - January 31, 2031</w:t>
            </w: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gridSpan w:val="4"/>
          </w:tcPr>
          <w:p>
            <w:pPr>
              <w:jc w:val="center"/>
              <w:ind w:right="360"/>
              <w:spacing w:after="0"/>
              <w:rPr>
                <w:sz w:val="20"/>
                <w:szCs w:val="20"/>
                <w:color w:val="auto"/>
              </w:rPr>
            </w:pPr>
            <w:r>
              <w:rPr>
                <w:rFonts w:ascii="Calibri" w:cs="Calibri" w:eastAsia="Calibri" w:hAnsi="Calibri"/>
                <w:sz w:val="11"/>
                <w:szCs w:val="11"/>
                <w:u w:val="single" w:color="auto"/>
                <w:color w:val="0000FF"/>
              </w:rPr>
              <w:t>$</w:t>
            </w:r>
            <w:r>
              <w:rPr>
                <w:rFonts w:ascii="Calibri" w:cs="Calibri" w:eastAsia="Calibri" w:hAnsi="Calibri"/>
                <w:sz w:val="11"/>
                <w:szCs w:val="11"/>
                <w:color w:val="0000FF"/>
              </w:rPr>
              <w:t>51,110.90</w:t>
            </w:r>
          </w:p>
        </w:tc>
      </w:tr>
      <w:tr>
        <w:trPr>
          <w:trHeight w:val="141"/>
        </w:trPr>
        <w:tc>
          <w:tcPr>
            <w:tcW w:w="60" w:type="dxa"/>
            <w:vAlign w:val="bottom"/>
          </w:tcPr>
          <w:p>
            <w:pPr>
              <w:spacing w:after="0"/>
              <w:rPr>
                <w:sz w:val="12"/>
                <w:szCs w:val="12"/>
                <w:color w:val="auto"/>
              </w:rPr>
            </w:pPr>
          </w:p>
        </w:tc>
        <w:tc>
          <w:tcPr>
            <w:tcW w:w="860" w:type="dxa"/>
            <w:vAlign w:val="bottom"/>
            <w:tcBorders>
              <w:top w:val="single" w:sz="8" w:color="0000FF"/>
            </w:tcBorders>
            <w:gridSpan w:val="3"/>
          </w:tcPr>
          <w:p>
            <w:pPr>
              <w:jc w:val="center"/>
              <w:ind w:left="583"/>
              <w:spacing w:after="0"/>
              <w:rPr>
                <w:sz w:val="20"/>
                <w:szCs w:val="20"/>
                <w:color w:val="auto"/>
              </w:rPr>
            </w:pPr>
            <w:r>
              <w:rPr>
                <w:rFonts w:ascii="Calibri" w:cs="Calibri" w:eastAsia="Calibri" w:hAnsi="Calibri"/>
                <w:sz w:val="11"/>
                <w:szCs w:val="11"/>
                <w:color w:val="0000FF"/>
              </w:rPr>
              <w:t>____</w:t>
            </w:r>
          </w:p>
        </w:tc>
        <w:tc>
          <w:tcPr>
            <w:tcW w:w="5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Borders>
              <w:top w:val="single" w:sz="8" w:color="0000FF"/>
            </w:tcBorders>
            <w:gridSpan w:val="2"/>
          </w:tcPr>
          <w:p>
            <w:pPr>
              <w:jc w:val="right"/>
              <w:spacing w:after="0"/>
              <w:rPr>
                <w:sz w:val="20"/>
                <w:szCs w:val="20"/>
                <w:color w:val="auto"/>
              </w:rPr>
            </w:pPr>
            <w:r>
              <w:rPr>
                <w:rFonts w:ascii="Calibri" w:cs="Calibri" w:eastAsia="Calibri" w:hAnsi="Calibri"/>
                <w:sz w:val="11"/>
                <w:szCs w:val="11"/>
                <w:color w:val="0000FF"/>
              </w:rPr>
              <w:t>____</w:t>
            </w:r>
          </w:p>
        </w:tc>
        <w:tc>
          <w:tcPr>
            <w:tcW w:w="160" w:type="dxa"/>
            <w:vAlign w:val="bottom"/>
            <w:tcBorders>
              <w:top w:val="single" w:sz="8" w:color="0000FF"/>
            </w:tcBorders>
          </w:tcPr>
          <w:p>
            <w:pPr>
              <w:spacing w:after="0"/>
              <w:rPr>
                <w:sz w:val="12"/>
                <w:szCs w:val="12"/>
                <w:color w:val="auto"/>
              </w:rPr>
            </w:pPr>
          </w:p>
        </w:tc>
        <w:tc>
          <w:tcPr>
            <w:tcW w:w="3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93" w:lineRule="exact"/>
        <w:rPr>
          <w:sz w:val="20"/>
          <w:szCs w:val="20"/>
          <w:color w:val="auto"/>
        </w:rPr>
      </w:pPr>
    </w:p>
    <w:p>
      <w:pPr>
        <w:ind w:left="640" w:right="1059"/>
        <w:spacing w:after="0" w:line="253" w:lineRule="auto"/>
        <w:rPr>
          <w:sz w:val="20"/>
          <w:szCs w:val="20"/>
          <w:color w:val="auto"/>
        </w:rPr>
      </w:pPr>
      <w:r>
        <w:rPr>
          <w:rFonts w:ascii="Calibri" w:cs="Calibri" w:eastAsia="Calibri" w:hAnsi="Calibri"/>
          <w:sz w:val="11"/>
          <w:szCs w:val="11"/>
          <w:b w:val="1"/>
          <w:bCs w:val="1"/>
          <w:color w:val="auto"/>
        </w:rPr>
        <w:t xml:space="preserve">BROKER'S FEE: </w:t>
      </w:r>
      <w:r>
        <w:rPr>
          <w:rFonts w:ascii="Calibri" w:cs="Calibri" w:eastAsia="Calibri" w:hAnsi="Calibri"/>
          <w:sz w:val="11"/>
          <w:szCs w:val="11"/>
          <w:color w:val="auto"/>
        </w:rPr>
        <w:t>For each adjustment in Base Rent specified above, the Brokers shall be paid a Brokerage Fee in accordance with paragraph 15 of the Lease or if</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applicable, paragraph 9 of the Sublease.</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11"/>
          <w:szCs w:val="11"/>
          <w:b w:val="1"/>
          <w:bCs w:val="1"/>
          <w:color w:val="auto"/>
        </w:rPr>
        <w:t>AIR CRE * htps://www.aircre.com * 213-687-8777 * contracts@aircre.com</w:t>
      </w:r>
    </w:p>
    <w:p>
      <w:pPr>
        <w:spacing w:after="0" w:line="6" w:lineRule="exact"/>
        <w:rPr>
          <w:sz w:val="20"/>
          <w:szCs w:val="20"/>
          <w:color w:val="auto"/>
        </w:rPr>
      </w:pPr>
    </w:p>
    <w:p>
      <w:pPr>
        <w:jc w:val="center"/>
        <w:spacing w:after="0"/>
        <w:rPr>
          <w:sz w:val="20"/>
          <w:szCs w:val="20"/>
          <w:color w:val="auto"/>
        </w:rPr>
      </w:pPr>
      <w:r>
        <w:rPr>
          <w:rFonts w:ascii="Calibri" w:cs="Calibri" w:eastAsia="Calibri" w:hAnsi="Calibri"/>
          <w:sz w:val="11"/>
          <w:szCs w:val="11"/>
          <w:b w:val="1"/>
          <w:bCs w:val="1"/>
          <w:color w:val="auto"/>
        </w:rPr>
        <w:t>NOTICE: No part of these works may be reproduced in any form without permission in writng.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45085</wp:posOffset>
            </wp:positionV>
            <wp:extent cx="574040" cy="2940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45085</wp:posOffset>
            </wp:positionV>
            <wp:extent cx="382905" cy="2940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2017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RA-8.00, Revised 10-13-2022</w:t>
            </w:r>
          </w:p>
        </w:tc>
        <w:tc>
          <w:tcPr>
            <w:tcW w:w="4960" w:type="dxa"/>
            <w:vAlign w:val="bottom"/>
          </w:tcPr>
          <w:p>
            <w:pPr>
              <w:ind w:left="4380"/>
              <w:spacing w:after="0"/>
              <w:rPr>
                <w:sz w:val="20"/>
                <w:szCs w:val="20"/>
                <w:color w:val="auto"/>
              </w:rPr>
            </w:pPr>
            <w:r>
              <w:rPr>
                <w:rFonts w:ascii="Calibri" w:cs="Calibri" w:eastAsia="Calibri" w:hAnsi="Calibri"/>
                <w:sz w:val="13"/>
                <w:szCs w:val="13"/>
                <w:color w:val="auto"/>
                <w:w w:val="95"/>
              </w:rPr>
              <w:t>Page 1 of 1</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6" w:name="page117"/>
    <w:bookmarkEnd w:id="116"/>
    <w:tbl>
      <w:tblPr>
        <w:tblLayout w:type="fixed"/>
        <w:tblInd w:w="1200" w:type="dxa"/>
        <w:tblCellMar>
          <w:top w:w="0" w:type="dxa"/>
          <w:left w:w="0" w:type="dxa"/>
          <w:bottom w:w="0" w:type="dxa"/>
          <w:right w:w="0" w:type="dxa"/>
        </w:tblCellMar>
      </w:tblPr>
      <w:tr>
        <w:trPr>
          <w:trHeight w:val="244"/>
        </w:trPr>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3"/>
          </w:tcPr>
          <w:p>
            <w:pPr>
              <w:jc w:val="center"/>
              <w:ind w:left="320"/>
              <w:spacing w:after="0"/>
              <w:rPr>
                <w:sz w:val="20"/>
                <w:szCs w:val="20"/>
                <w:color w:val="auto"/>
              </w:rPr>
            </w:pPr>
            <w:r>
              <w:rPr>
                <w:rFonts w:ascii="Calibri" w:cs="Calibri" w:eastAsia="Calibri" w:hAnsi="Calibri"/>
                <w:sz w:val="20"/>
                <w:szCs w:val="20"/>
                <w:b w:val="1"/>
                <w:bCs w:val="1"/>
                <w:color w:val="auto"/>
              </w:rPr>
              <w:t>OPTION(S) TO EXTEND TERM</w:t>
            </w:r>
          </w:p>
        </w:tc>
      </w:tr>
      <w:tr>
        <w:trPr>
          <w:trHeight w:val="192"/>
        </w:trPr>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gridSpan w:val="2"/>
          </w:tcPr>
          <w:p>
            <w:pPr>
              <w:jc w:val="center"/>
              <w:ind w:right="60"/>
              <w:spacing w:after="0" w:line="193" w:lineRule="exact"/>
              <w:rPr>
                <w:sz w:val="20"/>
                <w:szCs w:val="20"/>
                <w:color w:val="auto"/>
              </w:rPr>
            </w:pPr>
            <w:r>
              <w:rPr>
                <w:rFonts w:ascii="Calibri" w:cs="Calibri" w:eastAsia="Calibri" w:hAnsi="Calibri"/>
                <w:sz w:val="16"/>
                <w:szCs w:val="16"/>
                <w:b w:val="1"/>
                <w:bCs w:val="1"/>
                <w:color w:val="auto"/>
                <w:w w:val="99"/>
              </w:rPr>
              <w:t>STANDARD LEASE ADDENDUM</w:t>
            </w:r>
          </w:p>
        </w:tc>
      </w:tr>
      <w:tr>
        <w:trPr>
          <w:trHeight w:val="306"/>
        </w:trPr>
        <w:tc>
          <w:tcPr>
            <w:tcW w:w="1080" w:type="dxa"/>
            <w:vAlign w:val="bottom"/>
          </w:tcPr>
          <w:p>
            <w:pPr>
              <w:spacing w:after="0"/>
              <w:rPr>
                <w:sz w:val="20"/>
                <w:szCs w:val="20"/>
                <w:color w:val="auto"/>
              </w:rPr>
            </w:pPr>
            <w:r>
              <w:rPr>
                <w:rFonts w:ascii="Calibri" w:cs="Calibri" w:eastAsia="Calibri" w:hAnsi="Calibri"/>
                <w:sz w:val="11"/>
                <w:szCs w:val="11"/>
                <w:b w:val="1"/>
                <w:bCs w:val="1"/>
                <w:color w:val="auto"/>
              </w:rPr>
              <w:t>Dated:</w:t>
            </w:r>
          </w:p>
        </w:tc>
        <w:tc>
          <w:tcPr>
            <w:tcW w:w="3440" w:type="dxa"/>
            <w:vAlign w:val="bottom"/>
            <w:gridSpan w:val="5"/>
          </w:tcPr>
          <w:p>
            <w:pPr>
              <w:spacing w:after="0"/>
              <w:rPr>
                <w:sz w:val="20"/>
                <w:szCs w:val="20"/>
                <w:color w:val="auto"/>
              </w:rPr>
            </w:pPr>
            <w:r>
              <w:rPr>
                <w:rFonts w:ascii="Calibri" w:cs="Calibri" w:eastAsia="Calibri" w:hAnsi="Calibri"/>
                <w:sz w:val="11"/>
                <w:szCs w:val="11"/>
                <w:color w:val="0000FF"/>
              </w:rPr>
              <w:t>April 5, 2024</w:t>
            </w:r>
          </w:p>
        </w:tc>
      </w:tr>
      <w:tr>
        <w:trPr>
          <w:trHeight w:val="148"/>
        </w:trPr>
        <w:tc>
          <w:tcPr>
            <w:tcW w:w="1080" w:type="dxa"/>
            <w:vAlign w:val="bottom"/>
          </w:tcPr>
          <w:p>
            <w:pPr>
              <w:spacing w:after="0"/>
              <w:rPr>
                <w:sz w:val="20"/>
                <w:szCs w:val="20"/>
                <w:color w:val="auto"/>
              </w:rPr>
            </w:pPr>
            <w:r>
              <w:rPr>
                <w:rFonts w:ascii="Calibri" w:cs="Calibri" w:eastAsia="Calibri" w:hAnsi="Calibri"/>
                <w:sz w:val="11"/>
                <w:szCs w:val="11"/>
                <w:b w:val="1"/>
                <w:bCs w:val="1"/>
                <w:color w:val="auto"/>
              </w:rPr>
              <w:t>By and Between</w:t>
            </w:r>
          </w:p>
        </w:tc>
        <w:tc>
          <w:tcPr>
            <w:tcW w:w="5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133"/>
        </w:trPr>
        <w:tc>
          <w:tcPr>
            <w:tcW w:w="1080" w:type="dxa"/>
            <w:vAlign w:val="bottom"/>
          </w:tcPr>
          <w:p>
            <w:pPr>
              <w:ind w:left="120"/>
              <w:spacing w:after="0"/>
              <w:rPr>
                <w:sz w:val="20"/>
                <w:szCs w:val="20"/>
                <w:color w:val="auto"/>
              </w:rPr>
            </w:pPr>
            <w:r>
              <w:rPr>
                <w:rFonts w:ascii="Calibri" w:cs="Calibri" w:eastAsia="Calibri" w:hAnsi="Calibri"/>
                <w:sz w:val="11"/>
                <w:szCs w:val="11"/>
                <w:b w:val="1"/>
                <w:bCs w:val="1"/>
                <w:color w:val="auto"/>
              </w:rPr>
              <w:t>Lessor:</w:t>
            </w:r>
          </w:p>
        </w:tc>
        <w:tc>
          <w:tcPr>
            <w:tcW w:w="3440" w:type="dxa"/>
            <w:vAlign w:val="bottom"/>
            <w:gridSpan w:val="5"/>
          </w:tcPr>
          <w:p>
            <w:pPr>
              <w:spacing w:after="0"/>
              <w:rPr>
                <w:sz w:val="20"/>
                <w:szCs w:val="20"/>
                <w:color w:val="auto"/>
              </w:rPr>
            </w:pPr>
            <w:r>
              <w:rPr>
                <w:rFonts w:ascii="Calibri" w:cs="Calibri" w:eastAsia="Calibri" w:hAnsi="Calibri"/>
                <w:sz w:val="11"/>
                <w:szCs w:val="11"/>
                <w:color w:val="0000FF"/>
              </w:rPr>
              <w:t>BML Management, LLC</w:t>
            </w:r>
          </w:p>
        </w:tc>
      </w:tr>
      <w:tr>
        <w:trPr>
          <w:trHeight w:val="131"/>
        </w:trPr>
        <w:tc>
          <w:tcPr>
            <w:tcW w:w="1080" w:type="dxa"/>
            <w:vAlign w:val="bottom"/>
          </w:tcPr>
          <w:p>
            <w:pPr>
              <w:ind w:left="120"/>
              <w:spacing w:after="0" w:line="131" w:lineRule="exact"/>
              <w:rPr>
                <w:sz w:val="20"/>
                <w:szCs w:val="20"/>
                <w:color w:val="auto"/>
              </w:rPr>
            </w:pPr>
            <w:r>
              <w:rPr>
                <w:rFonts w:ascii="Calibri" w:cs="Calibri" w:eastAsia="Calibri" w:hAnsi="Calibri"/>
                <w:sz w:val="11"/>
                <w:szCs w:val="11"/>
                <w:b w:val="1"/>
                <w:bCs w:val="1"/>
                <w:color w:val="auto"/>
              </w:rPr>
              <w:t>Lessee:</w:t>
            </w:r>
          </w:p>
        </w:tc>
        <w:tc>
          <w:tcPr>
            <w:tcW w:w="1060" w:type="dxa"/>
            <w:vAlign w:val="bottom"/>
            <w:tcBorders>
              <w:top w:val="single" w:sz="8" w:color="0000FF"/>
            </w:tcBorders>
            <w:gridSpan w:val="3"/>
          </w:tcPr>
          <w:p>
            <w:pPr>
              <w:spacing w:after="0" w:line="131" w:lineRule="exact"/>
              <w:rPr>
                <w:sz w:val="20"/>
                <w:szCs w:val="20"/>
                <w:color w:val="auto"/>
              </w:rPr>
            </w:pPr>
            <w:r>
              <w:rPr>
                <w:rFonts w:ascii="Calibri" w:cs="Calibri" w:eastAsia="Calibri" w:hAnsi="Calibri"/>
                <w:sz w:val="11"/>
                <w:szCs w:val="11"/>
                <w:color w:val="0000FF"/>
              </w:rPr>
              <w:t>RxSight, Inc.</w:t>
            </w:r>
          </w:p>
        </w:tc>
        <w:tc>
          <w:tcPr>
            <w:tcW w:w="2380" w:type="dxa"/>
            <w:vAlign w:val="bottom"/>
            <w:gridSpan w:val="2"/>
          </w:tcPr>
          <w:p>
            <w:pPr>
              <w:spacing w:after="0"/>
              <w:rPr>
                <w:sz w:val="11"/>
                <w:szCs w:val="11"/>
                <w:color w:val="auto"/>
              </w:rPr>
            </w:pPr>
          </w:p>
        </w:tc>
      </w:tr>
      <w:tr>
        <w:trPr>
          <w:trHeight w:val="20"/>
        </w:trPr>
        <w:tc>
          <w:tcPr>
            <w:tcW w:w="10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31"/>
        </w:trPr>
        <w:tc>
          <w:tcPr>
            <w:tcW w:w="1080" w:type="dxa"/>
            <w:vAlign w:val="bottom"/>
          </w:tcPr>
          <w:p>
            <w:pPr>
              <w:spacing w:after="0" w:line="131" w:lineRule="exact"/>
              <w:rPr>
                <w:sz w:val="20"/>
                <w:szCs w:val="20"/>
                <w:color w:val="auto"/>
              </w:rPr>
            </w:pPr>
            <w:r>
              <w:rPr>
                <w:rFonts w:ascii="Calibri" w:cs="Calibri" w:eastAsia="Calibri" w:hAnsi="Calibri"/>
                <w:sz w:val="11"/>
                <w:szCs w:val="11"/>
                <w:b w:val="1"/>
                <w:bCs w:val="1"/>
                <w:color w:val="auto"/>
              </w:rPr>
              <w:t>Property Address:</w:t>
            </w:r>
          </w:p>
        </w:tc>
        <w:tc>
          <w:tcPr>
            <w:tcW w:w="1680" w:type="dxa"/>
            <w:vAlign w:val="bottom"/>
            <w:tcBorders>
              <w:bottom w:val="single" w:sz="8" w:color="0000FF"/>
            </w:tcBorders>
            <w:gridSpan w:val="4"/>
          </w:tcPr>
          <w:p>
            <w:pPr>
              <w:spacing w:after="0" w:line="131" w:lineRule="exact"/>
              <w:rPr>
                <w:sz w:val="20"/>
                <w:szCs w:val="20"/>
                <w:color w:val="auto"/>
              </w:rPr>
            </w:pPr>
            <w:r>
              <w:rPr>
                <w:rFonts w:ascii="Calibri" w:cs="Calibri" w:eastAsia="Calibri" w:hAnsi="Calibri"/>
                <w:sz w:val="11"/>
                <w:szCs w:val="11"/>
                <w:color w:val="0000FF"/>
              </w:rPr>
              <w:t>125 Columbia, Aliso Viejo, CA 92656</w:t>
            </w:r>
          </w:p>
        </w:tc>
        <w:tc>
          <w:tcPr>
            <w:tcW w:w="1760" w:type="dxa"/>
            <w:vAlign w:val="bottom"/>
          </w:tcPr>
          <w:p>
            <w:pPr>
              <w:spacing w:after="0"/>
              <w:rPr>
                <w:sz w:val="11"/>
                <w:szCs w:val="11"/>
                <w:color w:val="auto"/>
              </w:rPr>
            </w:pPr>
          </w:p>
        </w:tc>
      </w:tr>
      <w:tr>
        <w:trPr>
          <w:trHeight w:val="137"/>
        </w:trPr>
        <w:tc>
          <w:tcPr>
            <w:tcW w:w="1080" w:type="dxa"/>
            <w:vAlign w:val="bottom"/>
          </w:tcPr>
          <w:p>
            <w:pPr>
              <w:spacing w:after="0"/>
              <w:rPr>
                <w:sz w:val="11"/>
                <w:szCs w:val="11"/>
                <w:color w:val="auto"/>
              </w:rPr>
            </w:pPr>
          </w:p>
        </w:tc>
        <w:tc>
          <w:tcPr>
            <w:tcW w:w="3440" w:type="dxa"/>
            <w:vAlign w:val="bottom"/>
            <w:gridSpan w:val="5"/>
          </w:tcPr>
          <w:p>
            <w:pPr>
              <w:spacing w:after="0"/>
              <w:rPr>
                <w:sz w:val="20"/>
                <w:szCs w:val="20"/>
                <w:color w:val="auto"/>
              </w:rPr>
            </w:pPr>
            <w:r>
              <w:rPr>
                <w:rFonts w:ascii="Calibri" w:cs="Calibri" w:eastAsia="Calibri" w:hAnsi="Calibri"/>
                <w:sz w:val="11"/>
                <w:szCs w:val="11"/>
                <w:color w:val="auto"/>
              </w:rPr>
              <w:t>(street address, city, state, zip)</w:t>
            </w: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1315085</wp:posOffset>
            </wp:positionH>
            <wp:positionV relativeFrom="page">
              <wp:posOffset>416560</wp:posOffset>
            </wp:positionV>
            <wp:extent cx="1038225" cy="32766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clrChange>
                        <a:clrFrom>
                          <a:srgbClr val="FFFFFF"/>
                        </a:clrFrom>
                        <a:clrTo>
                          <a:srgbClr val="FFFFFF">
                            <a:alpha val="0"/>
                          </a:srgbClr>
                        </a:clrTo>
                      </a:clrChange>
                      <a:extLst>
                        <a:ext uri="{28A0092B-C50C-407E-A947-70E740481C1C}"/>
                      </a:extLst>
                    </a:blip>
                    <a:srcRect/>
                    <a:stretch>
                      <a:fillRect/>
                    </a:stretch>
                  </pic:blipFill>
                  <pic:spPr bwMode="auto">
                    <a:xfrm>
                      <a:off x="0" y="0"/>
                      <a:ext cx="1038225" cy="327660"/>
                    </a:xfrm>
                    <a:prstGeom prst="rect">
                      <a:avLst/>
                    </a:prstGeom>
                    <a:noFill/>
                  </pic:spPr>
                </pic:pic>
              </a:graphicData>
            </a:graphic>
          </wp:anchor>
        </w:drawing>
      </w:r>
    </w:p>
    <w:p>
      <w:pPr>
        <w:ind w:left="640" w:right="839"/>
        <w:spacing w:after="0" w:line="250" w:lineRule="auto"/>
        <w:rPr>
          <w:sz w:val="20"/>
          <w:szCs w:val="20"/>
          <w:color w:val="auto"/>
        </w:rPr>
      </w:pPr>
      <w:r>
        <w:rPr>
          <w:rFonts w:ascii="Calibri" w:cs="Calibri" w:eastAsia="Calibri" w:hAnsi="Calibri"/>
          <w:sz w:val="11"/>
          <w:szCs w:val="11"/>
          <w:color w:val="auto"/>
        </w:rPr>
        <w:t xml:space="preserve">Paragraph: </w:t>
      </w:r>
      <w:r>
        <w:rPr>
          <w:rFonts w:ascii="Calibri" w:cs="Calibri" w:eastAsia="Calibri" w:hAnsi="Calibri"/>
          <w:sz w:val="11"/>
          <w:szCs w:val="11"/>
          <w:u w:val="single" w:color="auto"/>
          <w:color w:val="0000FF"/>
        </w:rPr>
        <w:t>52</w:t>
      </w:r>
      <w:r>
        <w:rPr>
          <w:rFonts w:ascii="Calibri" w:cs="Calibri" w:eastAsia="Calibri" w:hAnsi="Calibri"/>
          <w:sz w:val="11"/>
          <w:szCs w:val="11"/>
          <w:color w:val="auto"/>
        </w:rPr>
        <w:t xml:space="preserve"> </w:t>
      </w:r>
      <w:r>
        <w:rPr>
          <w:rFonts w:ascii="Calibri" w:cs="Calibri" w:eastAsia="Calibri" w:hAnsi="Calibri"/>
          <w:sz w:val="11"/>
          <w:szCs w:val="11"/>
          <w:b w:val="1"/>
          <w:bCs w:val="1"/>
          <w:color w:val="auto"/>
        </w:rPr>
        <w:t>OPTION(S) TO EXTEND TERM.</w:t>
      </w:r>
      <w:r>
        <w:rPr>
          <w:rFonts w:ascii="Calibri" w:cs="Calibri" w:eastAsia="Calibri" w:hAnsi="Calibri"/>
          <w:sz w:val="11"/>
          <w:szCs w:val="11"/>
          <w:color w:val="auto"/>
        </w:rPr>
        <w:t xml:space="preserve"> Subject to the terms, conditons and provisions of Paragraph 39, Lessor grants Lessee </w:t>
      </w:r>
      <w:r>
        <w:rPr>
          <w:rFonts w:ascii="Calibri" w:cs="Calibri" w:eastAsia="Calibri" w:hAnsi="Calibri"/>
          <w:sz w:val="11"/>
          <w:szCs w:val="11"/>
          <w:u w:val="single" w:color="auto"/>
          <w:color w:val="0000FF"/>
        </w:rPr>
        <w:t>two (2)</w:t>
      </w:r>
      <w:r>
        <w:rPr>
          <w:rFonts w:ascii="Calibri" w:cs="Calibri" w:eastAsia="Calibri" w:hAnsi="Calibri"/>
          <w:sz w:val="11"/>
          <w:szCs w:val="11"/>
          <w:color w:val="auto"/>
        </w:rPr>
        <w:t xml:space="preserve"> opton(s) to extend the term of the Lease ("</w:t>
      </w:r>
      <w:r>
        <w:rPr>
          <w:rFonts w:ascii="Calibri" w:cs="Calibri" w:eastAsia="Calibri" w:hAnsi="Calibri"/>
          <w:sz w:val="11"/>
          <w:szCs w:val="11"/>
          <w:b w:val="1"/>
          <w:bCs w:val="1"/>
          <w:color w:val="auto"/>
        </w:rPr>
        <w:t>Extension Opton(s)</w:t>
      </w:r>
      <w:r>
        <w:rPr>
          <w:rFonts w:ascii="Calibri" w:cs="Calibri" w:eastAsia="Calibri" w:hAnsi="Calibri"/>
          <w:sz w:val="11"/>
          <w:szCs w:val="11"/>
          <w:color w:val="auto"/>
        </w:rPr>
        <w:t xml:space="preserve">"), with each Extension Opton being for a term of </w:t>
      </w:r>
      <w:r>
        <w:rPr>
          <w:rFonts w:ascii="Calibri" w:cs="Calibri" w:eastAsia="Calibri" w:hAnsi="Calibri"/>
          <w:sz w:val="11"/>
          <w:szCs w:val="11"/>
          <w:u w:val="single" w:color="auto"/>
          <w:color w:val="0000FF"/>
        </w:rPr>
        <w:t>sixty (60)</w:t>
      </w:r>
      <w:r>
        <w:rPr>
          <w:rFonts w:ascii="Calibri" w:cs="Calibri" w:eastAsia="Calibri" w:hAnsi="Calibri"/>
          <w:sz w:val="11"/>
          <w:szCs w:val="11"/>
          <w:color w:val="auto"/>
        </w:rPr>
        <w:t xml:space="preserve"> months, commencing when the prior term expires ("</w:t>
      </w:r>
      <w:r>
        <w:rPr>
          <w:rFonts w:ascii="Calibri" w:cs="Calibri" w:eastAsia="Calibri" w:hAnsi="Calibri"/>
          <w:sz w:val="11"/>
          <w:szCs w:val="11"/>
          <w:b w:val="1"/>
          <w:bCs w:val="1"/>
          <w:color w:val="auto"/>
        </w:rPr>
        <w:t>Opton</w:t>
      </w:r>
      <w:r>
        <w:rPr>
          <w:rFonts w:ascii="Calibri" w:cs="Calibri" w:eastAsia="Calibri" w:hAnsi="Calibri"/>
          <w:sz w:val="11"/>
          <w:szCs w:val="11"/>
          <w:color w:val="auto"/>
        </w:rPr>
        <w:t xml:space="preserve"> </w:t>
      </w:r>
      <w:r>
        <w:rPr>
          <w:rFonts w:ascii="Calibri" w:cs="Calibri" w:eastAsia="Calibri" w:hAnsi="Calibri"/>
          <w:sz w:val="11"/>
          <w:szCs w:val="11"/>
          <w:b w:val="1"/>
          <w:bCs w:val="1"/>
          <w:color w:val="auto"/>
        </w:rPr>
        <w:t>Term(s)</w:t>
      </w:r>
      <w:r>
        <w:rPr>
          <w:rFonts w:ascii="Calibri" w:cs="Calibri" w:eastAsia="Calibri" w:hAnsi="Calibri"/>
          <w:sz w:val="11"/>
          <w:szCs w:val="11"/>
          <w:color w:val="auto"/>
        </w:rPr>
        <w:t>"). In order to exercise an Extension Opton, Lessee must give writen notce of such electon to Lessor and Lessor must receive such notce at least</w:t>
      </w:r>
      <w:r>
        <w:rPr>
          <w:rFonts w:ascii="Calibri" w:cs="Calibri" w:eastAsia="Calibri" w:hAnsi="Calibri"/>
          <w:sz w:val="11"/>
          <w:szCs w:val="11"/>
          <w:b w:val="1"/>
          <w:bCs w:val="1"/>
          <w:color w:val="auto"/>
        </w:rPr>
        <w:t xml:space="preserve"> </w:t>
      </w:r>
      <w:r>
        <w:rPr>
          <w:rFonts w:ascii="Calibri" w:cs="Calibri" w:eastAsia="Calibri" w:hAnsi="Calibri"/>
          <w:sz w:val="11"/>
          <w:szCs w:val="11"/>
          <w:u w:val="single" w:color="auto"/>
          <w:color w:val="0000FF"/>
        </w:rPr>
        <w:t>nine (9)</w:t>
      </w:r>
      <w:r>
        <w:rPr>
          <w:rFonts w:ascii="Calibri" w:cs="Calibri" w:eastAsia="Calibri" w:hAnsi="Calibri"/>
          <w:sz w:val="11"/>
          <w:szCs w:val="11"/>
          <w:b w:val="1"/>
          <w:bCs w:val="1"/>
          <w:color w:val="auto"/>
        </w:rPr>
        <w:t xml:space="preserve"> </w:t>
      </w:r>
      <w:r>
        <w:rPr>
          <w:rFonts w:ascii="Calibri" w:cs="Calibri" w:eastAsia="Calibri" w:hAnsi="Calibri"/>
          <w:sz w:val="11"/>
          <w:szCs w:val="11"/>
          <w:u w:val="single" w:color="auto"/>
          <w:color w:val="0000FF"/>
        </w:rPr>
        <w:t>months</w:t>
      </w:r>
      <w:r>
        <w:rPr>
          <w:rFonts w:ascii="Calibri" w:cs="Calibri" w:eastAsia="Calibri" w:hAnsi="Calibri"/>
          <w:sz w:val="11"/>
          <w:szCs w:val="11"/>
          <w:color w:val="0000FF"/>
        </w:rPr>
        <w:t xml:space="preserve"> </w:t>
      </w:r>
      <w:r>
        <w:rPr>
          <w:rFonts w:ascii="Calibri" w:cs="Calibri" w:eastAsia="Calibri" w:hAnsi="Calibri"/>
          <w:sz w:val="11"/>
          <w:szCs w:val="11"/>
          <w:color w:val="FF0000"/>
          <w:strike w:val="1"/>
        </w:rPr>
        <w:t>but not more than</w:t>
      </w:r>
      <w:r>
        <w:rPr>
          <w:rFonts w:ascii="Calibri" w:cs="Calibri" w:eastAsia="Calibri" w:hAnsi="Calibri"/>
          <w:sz w:val="11"/>
          <w:szCs w:val="11"/>
          <w:color w:val="0000FF"/>
        </w:rPr>
        <w:t xml:space="preserve"> ____</w:t>
      </w:r>
      <w:r>
        <w:rPr>
          <w:rFonts w:ascii="Calibri" w:cs="Calibri" w:eastAsia="Calibri" w:hAnsi="Calibri"/>
          <w:sz w:val="11"/>
          <w:szCs w:val="11"/>
          <w:color w:val="000000"/>
        </w:rPr>
        <w:t>months prior to the date that the applicable Opton Term would commence, tme being of the essence. If tmely and proper</w:t>
      </w:r>
    </w:p>
    <w:p>
      <w:pPr>
        <w:ind w:left="640" w:right="1039"/>
        <w:spacing w:after="0" w:line="251" w:lineRule="auto"/>
        <w:rPr>
          <w:sz w:val="20"/>
          <w:szCs w:val="20"/>
          <w:color w:val="auto"/>
        </w:rPr>
      </w:pPr>
      <w:r>
        <w:rPr>
          <w:rFonts w:ascii="Calibri" w:cs="Calibri" w:eastAsia="Calibri" w:hAnsi="Calibri"/>
          <w:sz w:val="11"/>
          <w:szCs w:val="11"/>
          <w:color w:val="auto"/>
        </w:rPr>
        <w:t xml:space="preserve">notficaton of the exercise of an Extension Opton is not given by Lessee and/or received by Lessor, such Extension Opton shall automatcally expire. Except as specifically modified, the terms, conditons and provisions of the Lease shall apply during Opton Terms but the amount of Rent during Opton Terms shall be established by using the method(s) selected below </w:t>
      </w:r>
      <w:r>
        <w:rPr>
          <w:rFonts w:ascii="Calibri" w:cs="Calibri" w:eastAsia="Calibri" w:hAnsi="Calibri"/>
          <w:sz w:val="11"/>
          <w:szCs w:val="11"/>
          <w:i w:val="1"/>
          <w:iCs w:val="1"/>
          <w:color w:val="auto"/>
        </w:rPr>
        <w:t>(check method(s) to be used and fill in appropriately)</w:t>
      </w:r>
      <w:r>
        <w:rPr>
          <w:rFonts w:ascii="Calibri" w:cs="Calibri" w:eastAsia="Calibri" w:hAnsi="Calibri"/>
          <w:sz w:val="11"/>
          <w:szCs w:val="11"/>
          <w:color w:val="auto"/>
        </w:rPr>
        <w:t>:</w:t>
      </w:r>
    </w:p>
    <w:p>
      <w:pPr>
        <w:spacing w:after="0" w:line="95" w:lineRule="exact"/>
        <w:rPr>
          <w:sz w:val="20"/>
          <w:szCs w:val="20"/>
          <w:color w:val="auto"/>
        </w:rPr>
      </w:pPr>
    </w:p>
    <w:p>
      <w:pPr>
        <w:ind w:left="760" w:hanging="129"/>
        <w:spacing w:after="0"/>
        <w:tabs>
          <w:tab w:leader="none" w:pos="760" w:val="left"/>
        </w:tabs>
        <w:numPr>
          <w:ilvl w:val="0"/>
          <w:numId w:val="95"/>
        </w:numPr>
        <w:rPr>
          <w:rFonts w:ascii="MS PGothic" w:cs="MS PGothic" w:eastAsia="MS PGothic" w:hAnsi="MS PGothic"/>
          <w:sz w:val="11"/>
          <w:szCs w:val="11"/>
          <w:color w:val="auto"/>
          <w:highlight w:val="blue"/>
        </w:rPr>
      </w:pPr>
      <w:r>
        <w:rPr>
          <w:rFonts w:ascii="Calibri" w:cs="Calibri" w:eastAsia="Calibri" w:hAnsi="Calibri"/>
          <w:sz w:val="11"/>
          <w:szCs w:val="11"/>
          <w:b w:val="1"/>
          <w:bCs w:val="1"/>
          <w:color w:val="FF0000"/>
          <w:strike w:val="1"/>
        </w:rPr>
        <w:t>I. Consumer Price Index.</w:t>
      </w:r>
    </w:p>
    <w:p>
      <w:pPr>
        <w:spacing w:after="0" w:line="25" w:lineRule="exact"/>
        <w:rPr>
          <w:rFonts w:ascii="MS PGothic" w:cs="MS PGothic" w:eastAsia="MS PGothic" w:hAnsi="MS PGothic"/>
          <w:sz w:val="11"/>
          <w:szCs w:val="11"/>
          <w:color w:val="auto"/>
          <w:highlight w:val="blue"/>
        </w:rPr>
      </w:pPr>
    </w:p>
    <w:p>
      <w:pPr>
        <w:ind w:left="640" w:right="779" w:firstLine="249"/>
        <w:spacing w:after="0" w:line="242" w:lineRule="auto"/>
        <w:tabs>
          <w:tab w:leader="none" w:pos="1052" w:val="left"/>
        </w:tabs>
        <w:numPr>
          <w:ilvl w:val="1"/>
          <w:numId w:val="95"/>
        </w:numPr>
        <w:rPr>
          <w:rFonts w:ascii="Calibri" w:cs="Calibri" w:eastAsia="Calibri" w:hAnsi="Calibri"/>
          <w:sz w:val="11"/>
          <w:szCs w:val="11"/>
          <w:b w:val="1"/>
          <w:bCs w:val="1"/>
          <w:color w:val="FF0000"/>
          <w:strike w:val="1"/>
        </w:rPr>
      </w:pPr>
      <w:r>
        <w:rPr>
          <w:rFonts w:ascii="Calibri" w:cs="Calibri" w:eastAsia="Calibri" w:hAnsi="Calibri"/>
          <w:sz w:val="11"/>
          <w:szCs w:val="11"/>
          <w:color w:val="FF0000"/>
          <w:strike w:val="1"/>
        </w:rPr>
        <w:t>During the Opton Term(s) which start(s) on</w:t>
      </w:r>
      <w:r>
        <w:rPr>
          <w:rFonts w:ascii="Calibri" w:cs="Calibri" w:eastAsia="Calibri" w:hAnsi="Calibri"/>
          <w:sz w:val="11"/>
          <w:szCs w:val="11"/>
          <w:color w:val="FF0000"/>
        </w:rPr>
        <w:t xml:space="preserve"> </w:t>
      </w:r>
      <w:r>
        <w:rPr>
          <w:rFonts w:ascii="Calibri" w:cs="Calibri" w:eastAsia="Calibri" w:hAnsi="Calibri"/>
          <w:sz w:val="11"/>
          <w:szCs w:val="11"/>
          <w:color w:val="0000FF"/>
        </w:rPr>
        <w:t>____</w:t>
      </w:r>
      <w:r>
        <w:rPr>
          <w:rFonts w:ascii="Calibri" w:cs="Calibri" w:eastAsia="Calibri" w:hAnsi="Calibri"/>
          <w:sz w:val="11"/>
          <w:szCs w:val="11"/>
          <w:color w:val="FF0000"/>
          <w:strike w:val="1"/>
        </w:rPr>
        <w:t>, the monthly Base Rent shall be increased on</w:t>
      </w:r>
      <w:r>
        <w:rPr>
          <w:rFonts w:ascii="Calibri" w:cs="Calibri" w:eastAsia="Calibri" w:hAnsi="Calibri"/>
          <w:sz w:val="11"/>
          <w:szCs w:val="11"/>
          <w:color w:val="FF0000"/>
        </w:rPr>
        <w:t xml:space="preserve"> </w:t>
      </w:r>
      <w:r>
        <w:rPr>
          <w:rFonts w:ascii="Calibri" w:cs="Calibri" w:eastAsia="Calibri" w:hAnsi="Calibri"/>
          <w:sz w:val="11"/>
          <w:szCs w:val="11"/>
          <w:color w:val="0000FF"/>
        </w:rPr>
        <w:t>____</w:t>
      </w:r>
      <w:r>
        <w:rPr>
          <w:rFonts w:ascii="Calibri" w:cs="Calibri" w:eastAsia="Calibri" w:hAnsi="Calibri"/>
          <w:sz w:val="11"/>
          <w:szCs w:val="11"/>
          <w:color w:val="FF0000"/>
        </w:rPr>
        <w:t xml:space="preserve"> </w:t>
      </w:r>
      <w:r>
        <w:rPr>
          <w:rFonts w:ascii="Calibri" w:cs="Calibri" w:eastAsia="Calibri" w:hAnsi="Calibri"/>
          <w:sz w:val="11"/>
          <w:szCs w:val="11"/>
          <w:color w:val="FF0000"/>
          <w:strike w:val="1"/>
        </w:rPr>
        <w:t>and every</w:t>
      </w:r>
      <w:r>
        <w:rPr>
          <w:rFonts w:ascii="Calibri" w:cs="Calibri" w:eastAsia="Calibri" w:hAnsi="Calibri"/>
          <w:sz w:val="11"/>
          <w:szCs w:val="11"/>
          <w:color w:val="FF0000"/>
        </w:rPr>
        <w:t xml:space="preserve"> </w:t>
      </w:r>
      <w:r>
        <w:rPr>
          <w:rFonts w:ascii="Calibri" w:cs="Calibri" w:eastAsia="Calibri" w:hAnsi="Calibri"/>
          <w:sz w:val="11"/>
          <w:szCs w:val="11"/>
          <w:color w:val="0000FF"/>
        </w:rPr>
        <w:t>____</w:t>
      </w:r>
      <w:r>
        <w:rPr>
          <w:rFonts w:ascii="Calibri" w:cs="Calibri" w:eastAsia="Calibri" w:hAnsi="Calibri"/>
          <w:sz w:val="11"/>
          <w:szCs w:val="11"/>
          <w:color w:val="FF0000"/>
        </w:rPr>
        <w:t xml:space="preserve"> </w:t>
      </w:r>
      <w:r>
        <w:rPr>
          <w:rFonts w:ascii="Calibri" w:cs="Calibri" w:eastAsia="Calibri" w:hAnsi="Calibri"/>
          <w:sz w:val="11"/>
          <w:szCs w:val="11"/>
          <w:color w:val="FF0000"/>
          <w:strike w:val="1"/>
        </w:rPr>
        <w:t>months thereafer during such Opton</w:t>
      </w:r>
      <w:r>
        <w:rPr>
          <w:rFonts w:ascii="Calibri" w:cs="Calibri" w:eastAsia="Calibri" w:hAnsi="Calibri"/>
          <w:sz w:val="11"/>
          <w:szCs w:val="11"/>
          <w:color w:val="FF0000"/>
        </w:rPr>
        <w:t xml:space="preserve"> </w:t>
      </w:r>
      <w:r>
        <w:rPr>
          <w:rFonts w:ascii="Calibri" w:cs="Calibri" w:eastAsia="Calibri" w:hAnsi="Calibri"/>
          <w:sz w:val="11"/>
          <w:szCs w:val="11"/>
          <w:color w:val="FF0000"/>
          <w:strike w:val="1"/>
        </w:rPr>
        <w:t>Term(s) ("</w:t>
      </w:r>
      <w:r>
        <w:rPr>
          <w:rFonts w:ascii="Calibri" w:cs="Calibri" w:eastAsia="Calibri" w:hAnsi="Calibri"/>
          <w:sz w:val="11"/>
          <w:szCs w:val="11"/>
          <w:b w:val="1"/>
          <w:bCs w:val="1"/>
          <w:color w:val="FF0000"/>
          <w:strike w:val="1"/>
        </w:rPr>
        <w:t>Opton Term CPI Increase Date(s)</w:t>
      </w:r>
      <w:r>
        <w:rPr>
          <w:rFonts w:ascii="Calibri" w:cs="Calibri" w:eastAsia="Calibri" w:hAnsi="Calibri"/>
          <w:sz w:val="11"/>
          <w:szCs w:val="11"/>
          <w:color w:val="FF0000"/>
          <w:strike w:val="1"/>
        </w:rPr>
        <w:t>") commensurate with the increase in the Opton Term CPI (as herein defined) determined as follows: the monthly Base Rent scheduled for the month immediately preceding the first occurring Opton Term CPI Increase Date shall be multplied by a fracton the denominator of which is the Opton Term Base CPI (as herein defined), and the numerator of which is the Opton Term Comparison CPI (as herein defined). The amount so calculated shall consttute the new Base Rent untl the next Opton Term CPI Increase Date during the applicable Opton Term, but in no event shall any such new Base Rent be less than the Base Rent for the month immediately preceding the applicable Opton Term CPI Increase Date.</w:t>
      </w:r>
    </w:p>
    <w:p>
      <w:pPr>
        <w:spacing w:after="0" w:line="2" w:lineRule="exact"/>
        <w:rPr>
          <w:rFonts w:ascii="Calibri" w:cs="Calibri" w:eastAsia="Calibri" w:hAnsi="Calibri"/>
          <w:sz w:val="11"/>
          <w:szCs w:val="11"/>
          <w:b w:val="1"/>
          <w:bCs w:val="1"/>
          <w:color w:val="FF0000"/>
          <w:strike w:val="1"/>
        </w:rPr>
      </w:pPr>
    </w:p>
    <w:p>
      <w:pPr>
        <w:ind w:left="640" w:right="699" w:firstLine="249"/>
        <w:spacing w:after="0" w:line="153" w:lineRule="exact"/>
        <w:tabs>
          <w:tab w:leader="none" w:pos="1054" w:val="left"/>
        </w:tabs>
        <w:numPr>
          <w:ilvl w:val="1"/>
          <w:numId w:val="95"/>
        </w:numPr>
        <w:rPr>
          <w:rFonts w:ascii="Calibri" w:cs="Calibri" w:eastAsia="Calibri" w:hAnsi="Calibri"/>
          <w:sz w:val="11"/>
          <w:szCs w:val="11"/>
          <w:color w:val="FF0000"/>
          <w:strike w:val="1"/>
        </w:rPr>
      </w:pPr>
      <w:r>
        <w:rPr>
          <w:rFonts w:ascii="Calibri" w:cs="Calibri" w:eastAsia="Calibri" w:hAnsi="Calibri"/>
          <w:sz w:val="11"/>
          <w:szCs w:val="11"/>
          <w:color w:val="FF0000"/>
          <w:strike w:val="1"/>
        </w:rPr>
        <w:t>The term "</w:t>
      </w:r>
      <w:r>
        <w:rPr>
          <w:rFonts w:ascii="Calibri" w:cs="Calibri" w:eastAsia="Calibri" w:hAnsi="Calibri"/>
          <w:sz w:val="11"/>
          <w:szCs w:val="11"/>
          <w:b w:val="1"/>
          <w:bCs w:val="1"/>
          <w:color w:val="FF0000"/>
          <w:strike w:val="1"/>
        </w:rPr>
        <w:t>Opton Term CPI</w:t>
      </w:r>
      <w:r>
        <w:rPr>
          <w:rFonts w:ascii="Calibri" w:cs="Calibri" w:eastAsia="Calibri" w:hAnsi="Calibri"/>
          <w:sz w:val="11"/>
          <w:szCs w:val="11"/>
          <w:color w:val="FF0000"/>
          <w:strike w:val="1"/>
        </w:rPr>
        <w:t>" shall mean the Consumer Price Index of the Bureau of Labor Statstcs of the U.S. Department of Labor for</w:t>
      </w:r>
      <w:r>
        <w:rPr>
          <w:rFonts w:ascii="Calibri" w:cs="Calibri" w:eastAsia="Calibri" w:hAnsi="Calibri"/>
          <w:sz w:val="11"/>
          <w:szCs w:val="11"/>
          <w:color w:val="FF0000"/>
        </w:rPr>
        <w:t xml:space="preserve"> </w:t>
      </w:r>
      <w:r>
        <w:rPr>
          <w:rFonts w:ascii="Calibri" w:cs="Calibri" w:eastAsia="Calibri" w:hAnsi="Calibri"/>
          <w:sz w:val="11"/>
          <w:szCs w:val="11"/>
          <w:i w:val="1"/>
          <w:iCs w:val="1"/>
          <w:color w:val="FF0000"/>
          <w:strike w:val="1"/>
        </w:rPr>
        <w:t>(select one)</w:t>
      </w:r>
      <w:r>
        <w:rPr>
          <w:rFonts w:ascii="Calibri" w:cs="Calibri" w:eastAsia="Calibri" w:hAnsi="Calibri"/>
          <w:sz w:val="11"/>
          <w:szCs w:val="11"/>
          <w:color w:val="FF0000"/>
          <w:strike w:val="1"/>
        </w:rPr>
        <w:t>:</w:t>
      </w:r>
      <w:r>
        <w:rPr>
          <w:rFonts w:ascii="Calibri" w:cs="Calibri" w:eastAsia="Calibri" w:hAnsi="Calibri"/>
          <w:sz w:val="11"/>
          <w:szCs w:val="11"/>
          <w:color w:val="FF0000"/>
        </w:rPr>
        <w:t xml:space="preserve"> </w:t>
      </w:r>
      <w:r>
        <w:rPr>
          <w:rFonts w:ascii="MS PGothic" w:cs="MS PGothic" w:eastAsia="MS PGothic" w:hAnsi="MS PGothic"/>
          <w:sz w:val="11"/>
          <w:szCs w:val="11"/>
          <w:color w:val="0000FF"/>
        </w:rPr>
        <w:t>☐</w:t>
      </w:r>
      <w:r>
        <w:rPr>
          <w:rFonts w:ascii="Calibri" w:cs="Calibri" w:eastAsia="Calibri" w:hAnsi="Calibri"/>
          <w:sz w:val="11"/>
          <w:szCs w:val="11"/>
          <w:color w:val="FF0000"/>
        </w:rPr>
        <w:t xml:space="preserve"> CPI W </w:t>
      </w:r>
      <w:r>
        <w:rPr>
          <w:rFonts w:ascii="Calibri" w:cs="Calibri" w:eastAsia="Calibri" w:hAnsi="Calibri"/>
          <w:sz w:val="11"/>
          <w:szCs w:val="11"/>
          <w:color w:val="FF0000"/>
          <w:strike w:val="1"/>
        </w:rPr>
        <w:t>(Urban Wage Earners and Clerical Workers) or</w:t>
      </w:r>
      <w:r>
        <w:rPr>
          <w:rFonts w:ascii="Calibri" w:cs="Calibri" w:eastAsia="Calibri" w:hAnsi="Calibri"/>
          <w:sz w:val="11"/>
          <w:szCs w:val="11"/>
          <w:color w:val="FF0000"/>
        </w:rPr>
        <w:t xml:space="preserve"> </w:t>
      </w:r>
      <w:r>
        <w:rPr>
          <w:rFonts w:ascii="MS PGothic" w:cs="MS PGothic" w:eastAsia="MS PGothic" w:hAnsi="MS PGothic"/>
          <w:sz w:val="11"/>
          <w:szCs w:val="11"/>
          <w:color w:val="0000FF"/>
        </w:rPr>
        <w:t>☐</w:t>
      </w:r>
      <w:r>
        <w:rPr>
          <w:rFonts w:ascii="Calibri" w:cs="Calibri" w:eastAsia="Calibri" w:hAnsi="Calibri"/>
          <w:sz w:val="11"/>
          <w:szCs w:val="11"/>
          <w:color w:val="FF0000"/>
        </w:rPr>
        <w:t xml:space="preserve"> </w:t>
      </w:r>
      <w:r>
        <w:rPr>
          <w:rFonts w:ascii="Calibri" w:cs="Calibri" w:eastAsia="Calibri" w:hAnsi="Calibri"/>
          <w:sz w:val="11"/>
          <w:szCs w:val="11"/>
          <w:color w:val="FF0000"/>
          <w:strike w:val="1"/>
        </w:rPr>
        <w:t>CPI U (All Urban Consumers), for (</w:t>
      </w:r>
      <w:r>
        <w:rPr>
          <w:rFonts w:ascii="Calibri" w:cs="Calibri" w:eastAsia="Calibri" w:hAnsi="Calibri"/>
          <w:sz w:val="11"/>
          <w:szCs w:val="11"/>
          <w:i w:val="1"/>
          <w:iCs w:val="1"/>
          <w:color w:val="FF0000"/>
          <w:strike w:val="1"/>
        </w:rPr>
        <w:t>fill in Urban Area</w:t>
      </w:r>
      <w:r>
        <w:rPr>
          <w:rFonts w:ascii="Calibri" w:cs="Calibri" w:eastAsia="Calibri" w:hAnsi="Calibri"/>
          <w:sz w:val="11"/>
          <w:szCs w:val="11"/>
          <w:color w:val="FF0000"/>
          <w:strike w:val="1"/>
        </w:rPr>
        <w:t>):</w:t>
      </w:r>
      <w:r>
        <w:rPr>
          <w:rFonts w:ascii="Calibri" w:cs="Calibri" w:eastAsia="Calibri" w:hAnsi="Calibri"/>
          <w:sz w:val="11"/>
          <w:szCs w:val="11"/>
          <w:color w:val="FF0000"/>
        </w:rPr>
        <w:t xml:space="preserve"> </w:t>
      </w:r>
      <w:r>
        <w:rPr>
          <w:rFonts w:ascii="Calibri" w:cs="Calibri" w:eastAsia="Calibri" w:hAnsi="Calibri"/>
          <w:sz w:val="11"/>
          <w:szCs w:val="11"/>
          <w:color w:val="0000FF"/>
        </w:rPr>
        <w:t>____</w:t>
      </w:r>
      <w:r>
        <w:rPr>
          <w:rFonts w:ascii="Calibri" w:cs="Calibri" w:eastAsia="Calibri" w:hAnsi="Calibri"/>
          <w:sz w:val="11"/>
          <w:szCs w:val="11"/>
          <w:color w:val="FF0000"/>
        </w:rPr>
        <w:t xml:space="preserve"> </w:t>
      </w:r>
      <w:r>
        <w:rPr>
          <w:rFonts w:ascii="Calibri" w:cs="Calibri" w:eastAsia="Calibri" w:hAnsi="Calibri"/>
          <w:sz w:val="11"/>
          <w:szCs w:val="11"/>
          <w:color w:val="FF0000"/>
          <w:strike w:val="1"/>
        </w:rPr>
        <w:t>or</w:t>
      </w:r>
      <w:r>
        <w:rPr>
          <w:rFonts w:ascii="Calibri" w:cs="Calibri" w:eastAsia="Calibri" w:hAnsi="Calibri"/>
          <w:sz w:val="11"/>
          <w:szCs w:val="11"/>
          <w:color w:val="FF0000"/>
        </w:rPr>
        <w:t xml:space="preserve"> </w:t>
      </w:r>
      <w:r>
        <w:rPr>
          <w:rFonts w:ascii="MS PGothic" w:cs="MS PGothic" w:eastAsia="MS PGothic" w:hAnsi="MS PGothic"/>
          <w:sz w:val="11"/>
          <w:szCs w:val="11"/>
          <w:color w:val="0000FF"/>
        </w:rPr>
        <w:t>☐</w:t>
      </w:r>
      <w:r>
        <w:rPr>
          <w:rFonts w:ascii="Calibri" w:cs="Calibri" w:eastAsia="Calibri" w:hAnsi="Calibri"/>
          <w:sz w:val="11"/>
          <w:szCs w:val="11"/>
          <w:color w:val="FF0000"/>
        </w:rPr>
        <w:t xml:space="preserve"> </w:t>
      </w:r>
      <w:r>
        <w:rPr>
          <w:rFonts w:ascii="Calibri" w:cs="Calibri" w:eastAsia="Calibri" w:hAnsi="Calibri"/>
          <w:sz w:val="11"/>
          <w:szCs w:val="11"/>
          <w:color w:val="FF0000"/>
          <w:strike w:val="1"/>
        </w:rPr>
        <w:t>the area in which the Premises is located, All Items</w:t>
      </w:r>
      <w:r>
        <w:rPr>
          <w:rFonts w:ascii="Calibri" w:cs="Calibri" w:eastAsia="Calibri" w:hAnsi="Calibri"/>
          <w:sz w:val="11"/>
          <w:szCs w:val="11"/>
          <w:color w:val="FF0000"/>
        </w:rPr>
        <w:t xml:space="preserve"> </w:t>
      </w:r>
      <w:r>
        <w:rPr>
          <w:rFonts w:ascii="Calibri" w:cs="Calibri" w:eastAsia="Calibri" w:hAnsi="Calibri"/>
          <w:sz w:val="11"/>
          <w:szCs w:val="11"/>
          <w:color w:val="FF0000"/>
          <w:strike w:val="1"/>
        </w:rPr>
        <w:t>(1982-1984 = 100). The term "</w:t>
      </w:r>
      <w:r>
        <w:rPr>
          <w:rFonts w:ascii="Calibri" w:cs="Calibri" w:eastAsia="Calibri" w:hAnsi="Calibri"/>
          <w:sz w:val="11"/>
          <w:szCs w:val="11"/>
          <w:b w:val="1"/>
          <w:bCs w:val="1"/>
          <w:color w:val="FF0000"/>
          <w:strike w:val="1"/>
        </w:rPr>
        <w:t>Opton Term Comparison CPI</w:t>
      </w:r>
      <w:r>
        <w:rPr>
          <w:rFonts w:ascii="Calibri" w:cs="Calibri" w:eastAsia="Calibri" w:hAnsi="Calibri"/>
          <w:sz w:val="11"/>
          <w:szCs w:val="11"/>
          <w:color w:val="FF0000"/>
          <w:strike w:val="1"/>
        </w:rPr>
        <w:t xml:space="preserve">" shall mean the CPI of the calendar month which is 2 full months prior to the applicable Opton Term CPI Increase Date. The term "Opton Term Base CPI" shall mean the CPI of the calendar month which is 2 full months prior to (select one): </w:t>
      </w:r>
      <w:r>
        <w:rPr>
          <w:rFonts w:ascii="MS PGothic" w:cs="MS PGothic" w:eastAsia="MS PGothic" w:hAnsi="MS PGothic"/>
          <w:sz w:val="11"/>
          <w:szCs w:val="11"/>
          <w:color w:val="0000FF"/>
          <w:strike w:val="1"/>
        </w:rPr>
        <w:t>☐</w:t>
      </w:r>
      <w:r>
        <w:rPr>
          <w:rFonts w:ascii="Calibri" w:cs="Calibri" w:eastAsia="Calibri" w:hAnsi="Calibri"/>
          <w:sz w:val="11"/>
          <w:szCs w:val="11"/>
          <w:color w:val="FF0000"/>
          <w:strike w:val="1"/>
        </w:rPr>
        <w:t xml:space="preserve"> Commencement Date of the Original Term, </w:t>
      </w:r>
      <w:r>
        <w:rPr>
          <w:rFonts w:ascii="MS PGothic" w:cs="MS PGothic" w:eastAsia="MS PGothic" w:hAnsi="MS PGothic"/>
          <w:sz w:val="11"/>
          <w:szCs w:val="11"/>
          <w:color w:val="0000FF"/>
          <w:strike w:val="1"/>
        </w:rPr>
        <w:t>☐</w:t>
      </w:r>
      <w:r>
        <w:rPr>
          <w:rFonts w:ascii="Calibri" w:cs="Calibri" w:eastAsia="Calibri" w:hAnsi="Calibri"/>
          <w:sz w:val="11"/>
          <w:szCs w:val="11"/>
          <w:color w:val="FF0000"/>
          <w:strike w:val="1"/>
        </w:rPr>
        <w:t xml:space="preserve"> start of the applicable Opton Term, or </w:t>
      </w:r>
      <w:r>
        <w:rPr>
          <w:rFonts w:ascii="MS PGothic" w:cs="MS PGothic" w:eastAsia="MS PGothic" w:hAnsi="MS PGothic"/>
          <w:sz w:val="11"/>
          <w:szCs w:val="11"/>
          <w:color w:val="0000FF"/>
          <w:strike w:val="1"/>
        </w:rPr>
        <w:t>☐</w:t>
      </w:r>
      <w:r>
        <w:rPr>
          <w:rFonts w:ascii="Calibri" w:cs="Calibri" w:eastAsia="Calibri" w:hAnsi="Calibri"/>
          <w:sz w:val="11"/>
          <w:szCs w:val="11"/>
          <w:color w:val="FF0000"/>
          <w:strike w:val="1"/>
        </w:rPr>
        <w:t xml:space="preserve"> (fill in month)</w:t>
      </w:r>
      <w:r>
        <w:rPr>
          <w:rFonts w:ascii="Calibri" w:cs="Calibri" w:eastAsia="Calibri" w:hAnsi="Calibri"/>
          <w:sz w:val="11"/>
          <w:szCs w:val="11"/>
          <w:color w:val="0000FF"/>
          <w:strike w:val="1"/>
        </w:rPr>
        <w:t>____.</w:t>
      </w:r>
    </w:p>
    <w:p>
      <w:pPr>
        <w:spacing w:after="0" w:line="2" w:lineRule="exact"/>
        <w:rPr>
          <w:rFonts w:ascii="Calibri" w:cs="Calibri" w:eastAsia="Calibri" w:hAnsi="Calibri"/>
          <w:sz w:val="11"/>
          <w:szCs w:val="11"/>
          <w:color w:val="FF0000"/>
          <w:strike w:val="1"/>
        </w:rPr>
      </w:pPr>
    </w:p>
    <w:p>
      <w:pPr>
        <w:ind w:left="1040" w:hanging="151"/>
        <w:spacing w:after="0" w:line="207" w:lineRule="auto"/>
        <w:tabs>
          <w:tab w:leader="none" w:pos="1040" w:val="left"/>
        </w:tabs>
        <w:numPr>
          <w:ilvl w:val="1"/>
          <w:numId w:val="95"/>
        </w:numPr>
        <w:rPr>
          <w:rFonts w:ascii="Calibri" w:cs="Calibri" w:eastAsia="Calibri" w:hAnsi="Calibri"/>
          <w:sz w:val="11"/>
          <w:szCs w:val="11"/>
          <w:b w:val="1"/>
          <w:bCs w:val="1"/>
          <w:color w:val="FF0000"/>
          <w:strike w:val="1"/>
        </w:rPr>
      </w:pPr>
      <w:r>
        <w:rPr>
          <w:rFonts w:ascii="Calibri" w:cs="Calibri" w:eastAsia="Calibri" w:hAnsi="Calibri"/>
          <w:sz w:val="11"/>
          <w:szCs w:val="11"/>
          <w:color w:val="FF0000"/>
          <w:strike w:val="1"/>
        </w:rPr>
        <w:t>If compilaton and/or publicaton of the CPI is transferred to another governmental department, bureau or agency or is discontnued, then instead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-502285</wp:posOffset>
            </wp:positionV>
            <wp:extent cx="20891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08915" cy="6985"/>
                    </a:xfrm>
                    <a:prstGeom prst="rect">
                      <a:avLst/>
                    </a:prstGeom>
                    <a:noFill/>
                  </pic:spPr>
                </pic:pic>
              </a:graphicData>
            </a:graphic>
          </wp:anchor>
        </w:drawing>
        <w:drawing>
          <wp:anchor simplePos="0" relativeHeight="251657728" behindDoc="1" locked="0" layoutInCell="0" allowOverlap="1">
            <wp:simplePos x="0" y="0"/>
            <wp:positionH relativeFrom="column">
              <wp:posOffset>2129790</wp:posOffset>
            </wp:positionH>
            <wp:positionV relativeFrom="paragraph">
              <wp:posOffset>-126365</wp:posOffset>
            </wp:positionV>
            <wp:extent cx="417195"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17195" cy="6985"/>
                    </a:xfrm>
                    <a:prstGeom prst="rect">
                      <a:avLst/>
                    </a:prstGeom>
                    <a:noFill/>
                  </pic:spPr>
                </pic:pic>
              </a:graphicData>
            </a:graphic>
          </wp:anchor>
        </w:drawing>
      </w:r>
    </w:p>
    <w:p>
      <w:pPr>
        <w:ind w:left="640" w:right="799" w:firstLine="258"/>
        <w:spacing w:after="0" w:line="251" w:lineRule="auto"/>
        <w:rPr>
          <w:sz w:val="20"/>
          <w:szCs w:val="20"/>
          <w:color w:val="auto"/>
        </w:rPr>
      </w:pPr>
      <w:r>
        <w:rPr>
          <w:rFonts w:ascii="Calibri" w:cs="Calibri" w:eastAsia="Calibri" w:hAnsi="Calibri"/>
          <w:sz w:val="11"/>
          <w:szCs w:val="11"/>
          <w:color w:val="FF0000"/>
          <w:strike w:val="1"/>
        </w:rPr>
        <w:t>index most nearly the same as the CPI shall be used to calculate the Base Rent increases hereunder. If the Partes cannot agree on such alternatve index, then the mater shall be submited for decision to the American Arbitraton Associaton in accordance with the then rules of said associaton and the decision of the arbitrators shall be binding upon the partes, with the cost of such arbitraton being paid equally by the Partes.</w:t>
      </w:r>
    </w:p>
    <w:p>
      <w:pPr>
        <w:spacing w:after="0" w:line="95" w:lineRule="exact"/>
        <w:rPr>
          <w:sz w:val="20"/>
          <w:szCs w:val="20"/>
          <w:color w:val="auto"/>
        </w:rPr>
      </w:pPr>
    </w:p>
    <w:p>
      <w:pPr>
        <w:ind w:left="640" w:right="679" w:hanging="9"/>
        <w:spacing w:after="0" w:line="251" w:lineRule="auto"/>
        <w:tabs>
          <w:tab w:leader="none" w:pos="774" w:val="left"/>
        </w:tabs>
        <w:numPr>
          <w:ilvl w:val="0"/>
          <w:numId w:val="96"/>
        </w:numPr>
        <w:rPr>
          <w:rFonts w:ascii="MS PGothic" w:cs="MS PGothic" w:eastAsia="MS PGothic" w:hAnsi="MS PGothic"/>
          <w:sz w:val="11"/>
          <w:szCs w:val="11"/>
          <w:color w:val="auto"/>
          <w:highlight w:val="blue"/>
        </w:rPr>
      </w:pPr>
      <w:r>
        <w:rPr>
          <w:rFonts w:ascii="Calibri" w:cs="Calibri" w:eastAsia="Calibri" w:hAnsi="Calibri"/>
          <w:sz w:val="11"/>
          <w:szCs w:val="11"/>
          <w:b w:val="1"/>
          <w:bCs w:val="1"/>
          <w:color w:val="auto"/>
        </w:rPr>
        <w:t xml:space="preserve">II. Fixed Percentage. </w:t>
      </w:r>
      <w:r>
        <w:rPr>
          <w:rFonts w:ascii="Calibri" w:cs="Calibri" w:eastAsia="Calibri" w:hAnsi="Calibri"/>
          <w:sz w:val="11"/>
          <w:szCs w:val="11"/>
          <w:color w:val="auto"/>
        </w:rPr>
        <w:t>During the Opton Term(s) which start(s) on</w:t>
      </w:r>
      <w:r>
        <w:rPr>
          <w:rFonts w:ascii="Calibri" w:cs="Calibri" w:eastAsia="Calibri" w:hAnsi="Calibri"/>
          <w:sz w:val="11"/>
          <w:szCs w:val="11"/>
          <w:b w:val="1"/>
          <w:bCs w:val="1"/>
          <w:color w:val="auto"/>
        </w:rPr>
        <w:t xml:space="preserve"> </w:t>
      </w:r>
      <w:r>
        <w:rPr>
          <w:rFonts w:ascii="Calibri" w:cs="Calibri" w:eastAsia="Calibri" w:hAnsi="Calibri"/>
          <w:sz w:val="11"/>
          <w:szCs w:val="11"/>
          <w:u w:val="single" w:color="auto"/>
          <w:color w:val="0000FF"/>
        </w:rPr>
        <w:t>February 1, 2031 and February 1, 2036</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 the monthly Base Rent shall be increased on</w:t>
      </w:r>
      <w:r>
        <w:rPr>
          <w:rFonts w:ascii="Calibri" w:cs="Calibri" w:eastAsia="Calibri" w:hAnsi="Calibri"/>
          <w:sz w:val="11"/>
          <w:szCs w:val="11"/>
          <w:b w:val="1"/>
          <w:bCs w:val="1"/>
          <w:color w:val="auto"/>
        </w:rPr>
        <w:t xml:space="preserve"> </w:t>
      </w:r>
      <w:r>
        <w:rPr>
          <w:rFonts w:ascii="Calibri" w:cs="Calibri" w:eastAsia="Calibri" w:hAnsi="Calibri"/>
          <w:sz w:val="11"/>
          <w:szCs w:val="11"/>
          <w:u w:val="single" w:color="auto"/>
          <w:color w:val="0000FF"/>
        </w:rPr>
        <w:t>February 1,</w:t>
      </w:r>
      <w:r>
        <w:rPr>
          <w:rFonts w:ascii="Calibri" w:cs="Calibri" w:eastAsia="Calibri" w:hAnsi="Calibri"/>
          <w:sz w:val="11"/>
          <w:szCs w:val="11"/>
          <w:b w:val="1"/>
          <w:bCs w:val="1"/>
          <w:color w:val="auto"/>
        </w:rPr>
        <w:t xml:space="preserve"> </w:t>
      </w:r>
      <w:r>
        <w:rPr>
          <w:rFonts w:ascii="Calibri" w:cs="Calibri" w:eastAsia="Calibri" w:hAnsi="Calibri"/>
          <w:sz w:val="11"/>
          <w:szCs w:val="11"/>
          <w:u w:val="single" w:color="auto"/>
          <w:color w:val="0000FF"/>
        </w:rPr>
        <w:t>2031</w:t>
      </w:r>
      <w:r>
        <w:rPr>
          <w:rFonts w:ascii="Calibri" w:cs="Calibri" w:eastAsia="Calibri" w:hAnsi="Calibri"/>
          <w:sz w:val="11"/>
          <w:szCs w:val="11"/>
          <w:color w:val="0000FF"/>
        </w:rPr>
        <w:t xml:space="preserve"> </w:t>
      </w:r>
      <w:r>
        <w:rPr>
          <w:rFonts w:ascii="Calibri" w:cs="Calibri" w:eastAsia="Calibri" w:hAnsi="Calibri"/>
          <w:sz w:val="11"/>
          <w:szCs w:val="11"/>
          <w:color w:val="000000"/>
        </w:rPr>
        <w:t>and every</w:t>
      </w:r>
      <w:r>
        <w:rPr>
          <w:rFonts w:ascii="Calibri" w:cs="Calibri" w:eastAsia="Calibri" w:hAnsi="Calibri"/>
          <w:sz w:val="11"/>
          <w:szCs w:val="11"/>
          <w:color w:val="0000FF"/>
        </w:rPr>
        <w:t xml:space="preserve"> </w:t>
      </w:r>
      <w:r>
        <w:rPr>
          <w:rFonts w:ascii="Calibri" w:cs="Calibri" w:eastAsia="Calibri" w:hAnsi="Calibri"/>
          <w:sz w:val="11"/>
          <w:szCs w:val="11"/>
          <w:u w:val="single" w:color="auto"/>
          <w:color w:val="0000FF"/>
        </w:rPr>
        <w:t>12</w:t>
      </w:r>
      <w:r>
        <w:rPr>
          <w:rFonts w:ascii="Calibri" w:cs="Calibri" w:eastAsia="Calibri" w:hAnsi="Calibri"/>
          <w:sz w:val="11"/>
          <w:szCs w:val="11"/>
          <w:color w:val="0000FF"/>
        </w:rPr>
        <w:t xml:space="preserve"> </w:t>
      </w:r>
      <w:r>
        <w:rPr>
          <w:rFonts w:ascii="Calibri" w:cs="Calibri" w:eastAsia="Calibri" w:hAnsi="Calibri"/>
          <w:sz w:val="11"/>
          <w:szCs w:val="11"/>
          <w:color w:val="000000"/>
        </w:rPr>
        <w:t>months thereafer during such Opton Term(s) ("</w:t>
      </w:r>
      <w:r>
        <w:rPr>
          <w:rFonts w:ascii="Calibri" w:cs="Calibri" w:eastAsia="Calibri" w:hAnsi="Calibri"/>
          <w:sz w:val="11"/>
          <w:szCs w:val="11"/>
          <w:b w:val="1"/>
          <w:bCs w:val="1"/>
          <w:color w:val="000000"/>
        </w:rPr>
        <w:t>Opton Term Percentage Increase Date(s)"</w:t>
      </w:r>
      <w:r>
        <w:rPr>
          <w:rFonts w:ascii="Calibri" w:cs="Calibri" w:eastAsia="Calibri" w:hAnsi="Calibri"/>
          <w:sz w:val="11"/>
          <w:szCs w:val="11"/>
          <w:color w:val="000000"/>
        </w:rPr>
        <w:t>) by</w:t>
      </w:r>
      <w:r>
        <w:rPr>
          <w:rFonts w:ascii="Calibri" w:cs="Calibri" w:eastAsia="Calibri" w:hAnsi="Calibri"/>
          <w:sz w:val="11"/>
          <w:szCs w:val="11"/>
          <w:color w:val="0000FF"/>
        </w:rPr>
        <w:t xml:space="preserve"> </w:t>
      </w:r>
      <w:r>
        <w:rPr>
          <w:rFonts w:ascii="Calibri" w:cs="Calibri" w:eastAsia="Calibri" w:hAnsi="Calibri"/>
          <w:sz w:val="11"/>
          <w:szCs w:val="11"/>
          <w:u w:val="single" w:color="auto"/>
          <w:color w:val="0000FF"/>
        </w:rPr>
        <w:t>three</w:t>
      </w:r>
      <w:r>
        <w:rPr>
          <w:rFonts w:ascii="Calibri" w:cs="Calibri" w:eastAsia="Calibri" w:hAnsi="Calibri"/>
          <w:sz w:val="11"/>
          <w:szCs w:val="11"/>
          <w:color w:val="0000FF"/>
        </w:rPr>
        <w:t xml:space="preserve"> </w:t>
      </w:r>
      <w:r>
        <w:rPr>
          <w:rFonts w:ascii="Calibri" w:cs="Calibri" w:eastAsia="Calibri" w:hAnsi="Calibri"/>
          <w:sz w:val="11"/>
          <w:szCs w:val="11"/>
          <w:color w:val="000000"/>
        </w:rPr>
        <w:t>percent (</w:t>
      </w:r>
      <w:r>
        <w:rPr>
          <w:rFonts w:ascii="Calibri" w:cs="Calibri" w:eastAsia="Calibri" w:hAnsi="Calibri"/>
          <w:sz w:val="11"/>
          <w:szCs w:val="11"/>
          <w:color w:val="0000FF"/>
        </w:rPr>
        <w:t xml:space="preserve"> 3 </w:t>
      </w:r>
      <w:r>
        <w:rPr>
          <w:rFonts w:ascii="Calibri" w:cs="Calibri" w:eastAsia="Calibri" w:hAnsi="Calibri"/>
          <w:sz w:val="11"/>
          <w:szCs w:val="11"/>
          <w:color w:val="000000"/>
        </w:rPr>
        <w:t>%) of the monthly Base Rent</w:t>
      </w:r>
      <w:r>
        <w:rPr>
          <w:rFonts w:ascii="Calibri" w:cs="Calibri" w:eastAsia="Calibri" w:hAnsi="Calibri"/>
          <w:sz w:val="11"/>
          <w:szCs w:val="11"/>
          <w:color w:val="0000FF"/>
        </w:rPr>
        <w:t xml:space="preserve"> </w:t>
      </w:r>
      <w:r>
        <w:rPr>
          <w:rFonts w:ascii="Calibri" w:cs="Calibri" w:eastAsia="Calibri" w:hAnsi="Calibri"/>
          <w:sz w:val="11"/>
          <w:szCs w:val="11"/>
          <w:color w:val="000000"/>
        </w:rPr>
        <w:t>scheduled to be paid for the month immediately preceding the applicable Opton Term Percentage Increase Date.</w:t>
      </w:r>
    </w:p>
    <w:p>
      <w:pPr>
        <w:spacing w:after="0" w:line="95" w:lineRule="exact"/>
        <w:rPr>
          <w:rFonts w:ascii="MS PGothic" w:cs="MS PGothic" w:eastAsia="MS PGothic" w:hAnsi="MS PGothic"/>
          <w:sz w:val="11"/>
          <w:szCs w:val="11"/>
          <w:color w:val="auto"/>
          <w:highlight w:val="blue"/>
        </w:rPr>
      </w:pPr>
    </w:p>
    <w:p>
      <w:pPr>
        <w:ind w:left="760" w:hanging="129"/>
        <w:spacing w:after="0"/>
        <w:tabs>
          <w:tab w:leader="none" w:pos="760" w:val="left"/>
        </w:tabs>
        <w:numPr>
          <w:ilvl w:val="0"/>
          <w:numId w:val="96"/>
        </w:numPr>
        <w:rPr>
          <w:rFonts w:ascii="MS PGothic" w:cs="MS PGothic" w:eastAsia="MS PGothic" w:hAnsi="MS PGothic"/>
          <w:sz w:val="11"/>
          <w:szCs w:val="11"/>
          <w:color w:val="auto"/>
          <w:highlight w:val="blue"/>
        </w:rPr>
      </w:pPr>
      <w:r>
        <w:rPr>
          <w:rFonts w:ascii="Calibri" w:cs="Calibri" w:eastAsia="Calibri" w:hAnsi="Calibri"/>
          <w:sz w:val="11"/>
          <w:szCs w:val="11"/>
          <w:b w:val="1"/>
          <w:bCs w:val="1"/>
          <w:color w:val="FF0000"/>
          <w:strike w:val="1"/>
        </w:rPr>
        <w:t>III. Fair Market Value.</w:t>
      </w:r>
    </w:p>
    <w:p>
      <w:pPr>
        <w:spacing w:after="0" w:line="25" w:lineRule="exact"/>
        <w:rPr>
          <w:rFonts w:ascii="MS PGothic" w:cs="MS PGothic" w:eastAsia="MS PGothic" w:hAnsi="MS PGothic"/>
          <w:sz w:val="11"/>
          <w:szCs w:val="11"/>
          <w:color w:val="auto"/>
          <w:highlight w:val="blue"/>
        </w:rPr>
      </w:pPr>
    </w:p>
    <w:p>
      <w:pPr>
        <w:ind w:left="640" w:right="699" w:firstLine="249"/>
        <w:spacing w:after="0" w:line="243" w:lineRule="auto"/>
        <w:tabs>
          <w:tab w:leader="none" w:pos="1078" w:val="left"/>
        </w:tabs>
        <w:numPr>
          <w:ilvl w:val="1"/>
          <w:numId w:val="96"/>
        </w:numPr>
        <w:rPr>
          <w:rFonts w:ascii="Calibri" w:cs="Calibri" w:eastAsia="Calibri" w:hAnsi="Calibri"/>
          <w:sz w:val="11"/>
          <w:szCs w:val="11"/>
          <w:b w:val="1"/>
          <w:bCs w:val="1"/>
          <w:color w:val="FF0000"/>
          <w:strike w:val="1"/>
        </w:rPr>
      </w:pPr>
      <w:r>
        <w:rPr>
          <w:rFonts w:ascii="Calibri" w:cs="Calibri" w:eastAsia="Calibri" w:hAnsi="Calibri"/>
          <w:sz w:val="11"/>
          <w:szCs w:val="11"/>
          <w:color w:val="FF0000"/>
          <w:strike w:val="1"/>
        </w:rPr>
        <w:t>During the Opton Term(s) which start(s) on</w:t>
      </w:r>
      <w:r>
        <w:rPr>
          <w:rFonts w:ascii="Calibri" w:cs="Calibri" w:eastAsia="Calibri" w:hAnsi="Calibri"/>
          <w:sz w:val="11"/>
          <w:szCs w:val="11"/>
          <w:color w:val="FF0000"/>
        </w:rPr>
        <w:t xml:space="preserve"> </w:t>
      </w:r>
      <w:r>
        <w:rPr>
          <w:rFonts w:ascii="Calibri" w:cs="Calibri" w:eastAsia="Calibri" w:hAnsi="Calibri"/>
          <w:sz w:val="11"/>
          <w:szCs w:val="11"/>
          <w:color w:val="0000FF"/>
        </w:rPr>
        <w:t>____</w:t>
      </w:r>
      <w:r>
        <w:rPr>
          <w:rFonts w:ascii="Calibri" w:cs="Calibri" w:eastAsia="Calibri" w:hAnsi="Calibri"/>
          <w:sz w:val="11"/>
          <w:szCs w:val="11"/>
          <w:color w:val="FF0000"/>
          <w:strike w:val="1"/>
        </w:rPr>
        <w:t>, the amount of Rent shall be the amount forecasted to be the fair market rental value of the Premises</w:t>
      </w:r>
      <w:r>
        <w:rPr>
          <w:rFonts w:ascii="Calibri" w:cs="Calibri" w:eastAsia="Calibri" w:hAnsi="Calibri"/>
          <w:sz w:val="11"/>
          <w:szCs w:val="11"/>
          <w:color w:val="FF0000"/>
        </w:rPr>
        <w:t xml:space="preserve"> </w:t>
      </w:r>
      <w:r>
        <w:rPr>
          <w:rFonts w:ascii="Calibri" w:cs="Calibri" w:eastAsia="Calibri" w:hAnsi="Calibri"/>
          <w:sz w:val="11"/>
          <w:szCs w:val="11"/>
          <w:color w:val="FF0000"/>
          <w:strike w:val="1"/>
        </w:rPr>
        <w:t>during such Opton Term established pursuant to the procedures, terms, assumptons and conditons set forth herein ("</w:t>
      </w:r>
      <w:r>
        <w:rPr>
          <w:rFonts w:ascii="Calibri" w:cs="Calibri" w:eastAsia="Calibri" w:hAnsi="Calibri"/>
          <w:sz w:val="11"/>
          <w:szCs w:val="11"/>
          <w:b w:val="1"/>
          <w:bCs w:val="1"/>
          <w:color w:val="FF0000"/>
          <w:strike w:val="1"/>
        </w:rPr>
        <w:t>Fair Market Value</w:t>
      </w:r>
      <w:r>
        <w:rPr>
          <w:rFonts w:ascii="Calibri" w:cs="Calibri" w:eastAsia="Calibri" w:hAnsi="Calibri"/>
          <w:sz w:val="11"/>
          <w:szCs w:val="11"/>
          <w:color w:val="FF0000"/>
          <w:strike w:val="1"/>
        </w:rPr>
        <w:t>"); provided, however, regardless of such Fair Market Value, Base Rent during an Opton Term shall not be less than the Base Rent scheduled as of when the prior term expires. Startng as of Lessee's exercise of the applicable Extension Opton (but not earlier than six (6) months before start of the applicable Opton Term), the Partes shall for thirty (30) days ("</w:t>
      </w:r>
      <w:r>
        <w:rPr>
          <w:rFonts w:ascii="Calibri" w:cs="Calibri" w:eastAsia="Calibri" w:hAnsi="Calibri"/>
          <w:sz w:val="11"/>
          <w:szCs w:val="11"/>
          <w:b w:val="1"/>
          <w:bCs w:val="1"/>
          <w:color w:val="FF0000"/>
          <w:strike w:val="1"/>
        </w:rPr>
        <w:t>Negotaton Period</w:t>
      </w:r>
      <w:r>
        <w:rPr>
          <w:rFonts w:ascii="Calibri" w:cs="Calibri" w:eastAsia="Calibri" w:hAnsi="Calibri"/>
          <w:sz w:val="11"/>
          <w:szCs w:val="11"/>
          <w:color w:val="FF0000"/>
          <w:strike w:val="1"/>
        </w:rPr>
        <w:t>") atempt to agree upon the Fair Market Value. If during the Negotaton Period the Partes do not agree on the Fair Market Value, then the Fair Market Value shall be established pursuant to the procedures set forth herein, which shall be binding.</w:t>
      </w:r>
    </w:p>
    <w:p>
      <w:pPr>
        <w:spacing w:after="0" w:line="3" w:lineRule="exact"/>
        <w:rPr>
          <w:rFonts w:ascii="Calibri" w:cs="Calibri" w:eastAsia="Calibri" w:hAnsi="Calibri"/>
          <w:sz w:val="11"/>
          <w:szCs w:val="11"/>
          <w:b w:val="1"/>
          <w:bCs w:val="1"/>
          <w:color w:val="FF0000"/>
          <w:strike w:val="1"/>
        </w:rPr>
      </w:pPr>
    </w:p>
    <w:p>
      <w:pPr>
        <w:ind w:left="640" w:right="679" w:firstLine="249"/>
        <w:spacing w:after="0" w:line="250" w:lineRule="auto"/>
        <w:tabs>
          <w:tab w:leader="none" w:pos="1083" w:val="left"/>
        </w:tabs>
        <w:numPr>
          <w:ilvl w:val="1"/>
          <w:numId w:val="96"/>
        </w:numPr>
        <w:rPr>
          <w:rFonts w:ascii="Calibri" w:cs="Calibri" w:eastAsia="Calibri" w:hAnsi="Calibri"/>
          <w:sz w:val="11"/>
          <w:szCs w:val="11"/>
          <w:b w:val="1"/>
          <w:bCs w:val="1"/>
          <w:color w:val="FF0000"/>
          <w:strike w:val="1"/>
        </w:rPr>
      </w:pPr>
      <w:r>
        <w:rPr>
          <w:rFonts w:ascii="Calibri" w:cs="Calibri" w:eastAsia="Calibri" w:hAnsi="Calibri"/>
          <w:sz w:val="11"/>
          <w:szCs w:val="11"/>
          <w:color w:val="FF0000"/>
          <w:strike w:val="1"/>
        </w:rPr>
        <w:t>Each Party shall, within fifeen (15) days afer the end of the Negotaton Period, in writng submit to the other Party such Party's determinaton of the Fair Market Value ("</w:t>
      </w:r>
      <w:r>
        <w:rPr>
          <w:rFonts w:ascii="Calibri" w:cs="Calibri" w:eastAsia="Calibri" w:hAnsi="Calibri"/>
          <w:sz w:val="11"/>
          <w:szCs w:val="11"/>
          <w:b w:val="1"/>
          <w:bCs w:val="1"/>
          <w:color w:val="FF0000"/>
          <w:strike w:val="1"/>
        </w:rPr>
        <w:t>Submited Value(s)</w:t>
      </w:r>
      <w:r>
        <w:rPr>
          <w:rFonts w:ascii="Calibri" w:cs="Calibri" w:eastAsia="Calibri" w:hAnsi="Calibri"/>
          <w:sz w:val="11"/>
          <w:szCs w:val="11"/>
          <w:color w:val="FF0000"/>
          <w:strike w:val="1"/>
        </w:rPr>
        <w:t>"). If a Party fails to tmely provide a Submited Value, then the other Party's Submited Value shall be the Fair Market Value. If both Partes tmely provide Submited Values, then each Party shall, within fifeen (15) days afer both Partes have exchanged Submited Values, in writng notfy the other Party of such Party's selected valuator who shall meet the qualificatons set forth herein ("</w:t>
      </w:r>
      <w:r>
        <w:rPr>
          <w:rFonts w:ascii="Calibri" w:cs="Calibri" w:eastAsia="Calibri" w:hAnsi="Calibri"/>
          <w:sz w:val="11"/>
          <w:szCs w:val="11"/>
          <w:b w:val="1"/>
          <w:bCs w:val="1"/>
          <w:color w:val="FF0000"/>
          <w:strike w:val="1"/>
        </w:rPr>
        <w:t>Advocate Valuator(s)</w:t>
      </w:r>
      <w:r>
        <w:rPr>
          <w:rFonts w:ascii="Calibri" w:cs="Calibri" w:eastAsia="Calibri" w:hAnsi="Calibri"/>
          <w:sz w:val="11"/>
          <w:szCs w:val="11"/>
          <w:color w:val="FF0000"/>
          <w:strike w:val="1"/>
        </w:rPr>
        <w:t>"). Lessor and Lessee may select an Advocate Valuator who is favorable to such Party's positon and may, prior to or afer appointment of an Advocate Valuator, consult with such Party's Advocate Valuator. If a Party fails to tmely and properly provide notce of such Party's chosen Advocate Valuator, then the other Party's Submited Value shall be the Fair Market Value.</w:t>
      </w:r>
    </w:p>
    <w:p>
      <w:pPr>
        <w:ind w:left="640" w:right="699" w:firstLine="249"/>
        <w:spacing w:after="0" w:line="251" w:lineRule="auto"/>
        <w:tabs>
          <w:tab w:leader="none" w:pos="1043" w:val="left"/>
        </w:tabs>
        <w:numPr>
          <w:ilvl w:val="1"/>
          <w:numId w:val="96"/>
        </w:numPr>
        <w:rPr>
          <w:rFonts w:ascii="Calibri" w:cs="Calibri" w:eastAsia="Calibri" w:hAnsi="Calibri"/>
          <w:sz w:val="11"/>
          <w:szCs w:val="11"/>
          <w:b w:val="1"/>
          <w:bCs w:val="1"/>
          <w:color w:val="FF0000"/>
          <w:strike w:val="1"/>
        </w:rPr>
      </w:pPr>
      <w:r>
        <w:rPr>
          <w:rFonts w:ascii="Calibri" w:cs="Calibri" w:eastAsia="Calibri" w:hAnsi="Calibri"/>
          <w:sz w:val="11"/>
          <w:szCs w:val="11"/>
          <w:color w:val="FF0000"/>
          <w:strike w:val="1"/>
        </w:rPr>
        <w:t>If both Partes tmely and properly designate Advocate Valuators, then such Advocate Valuators shall, within fifeen (15) days afer their selecton, choose a third (3rd) neutral valuator who shall meet the qualificatons set forth herein ("</w:t>
      </w:r>
      <w:r>
        <w:rPr>
          <w:rFonts w:ascii="Calibri" w:cs="Calibri" w:eastAsia="Calibri" w:hAnsi="Calibri"/>
          <w:sz w:val="11"/>
          <w:szCs w:val="11"/>
          <w:b w:val="1"/>
          <w:bCs w:val="1"/>
          <w:color w:val="FF0000"/>
          <w:strike w:val="1"/>
        </w:rPr>
        <w:t>Neutral Valuator</w:t>
      </w:r>
      <w:r>
        <w:rPr>
          <w:rFonts w:ascii="Calibri" w:cs="Calibri" w:eastAsia="Calibri" w:hAnsi="Calibri"/>
          <w:sz w:val="11"/>
          <w:szCs w:val="11"/>
          <w:color w:val="FF0000"/>
          <w:strike w:val="1"/>
        </w:rPr>
        <w:t>"). The Neutral Valuator shall be engaged jointly by Lessor and Lessee. If Advocate Valuators fail to agree upon and tmely appoint a Neutral Valuator, then the President of AIR CRE shall appoint such Neutral Valuator within fifeen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4251325</wp:posOffset>
            </wp:positionH>
            <wp:positionV relativeFrom="paragraph">
              <wp:posOffset>-1584960</wp:posOffset>
            </wp:positionV>
            <wp:extent cx="53340"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3340" cy="698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40005</wp:posOffset>
            </wp:positionV>
            <wp:extent cx="574040" cy="2940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40005</wp:posOffset>
            </wp:positionV>
            <wp:extent cx="382905" cy="2940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2017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OE-7.02, Revised 01-13-2023</w:t>
            </w:r>
          </w:p>
        </w:tc>
        <w:tc>
          <w:tcPr>
            <w:tcW w:w="4960" w:type="dxa"/>
            <w:vAlign w:val="bottom"/>
          </w:tcPr>
          <w:p>
            <w:pPr>
              <w:ind w:left="4380"/>
              <w:spacing w:after="0"/>
              <w:rPr>
                <w:sz w:val="20"/>
                <w:szCs w:val="20"/>
                <w:color w:val="auto"/>
              </w:rPr>
            </w:pPr>
            <w:r>
              <w:rPr>
                <w:rFonts w:ascii="Calibri" w:cs="Calibri" w:eastAsia="Calibri" w:hAnsi="Calibri"/>
                <w:sz w:val="13"/>
                <w:szCs w:val="13"/>
                <w:color w:val="auto"/>
                <w:w w:val="95"/>
              </w:rPr>
              <w:t>Page 1 of 2</w:t>
            </w:r>
          </w:p>
        </w:tc>
      </w:tr>
      <w:tr>
        <w:trPr>
          <w:trHeight w:val="1487"/>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279" w:right="1440" w:bottom="1440" w:gutter="0" w:footer="0" w:header="0"/>
        </w:sectPr>
      </w:pPr>
    </w:p>
    <w:bookmarkStart w:id="117" w:name="page118"/>
    <w:bookmarkEnd w:id="117"/>
    <w:p>
      <w:pPr>
        <w:ind w:left="640" w:right="719"/>
        <w:spacing w:after="0" w:line="250" w:lineRule="auto"/>
        <w:rPr>
          <w:sz w:val="20"/>
          <w:szCs w:val="20"/>
          <w:color w:val="auto"/>
        </w:rPr>
      </w:pPr>
      <w:r>
        <w:rPr>
          <w:rFonts w:ascii="Calibri" w:cs="Calibri" w:eastAsia="Calibri" w:hAnsi="Calibri"/>
          <w:sz w:val="11"/>
          <w:szCs w:val="11"/>
          <w:color w:val="FF0000"/>
          <w:strike w:val="1"/>
        </w:rPr>
        <w:t>days afer request by either Party. If the President of AIR CRE does not tmely appoint the Neutral Valuator, then either Party may file an appropriate legal acton for a judge with competent jurisdicton over the Partes to appoint the Neutral Valuator.</w:t>
      </w:r>
    </w:p>
    <w:p>
      <w:pPr>
        <w:ind w:left="640" w:right="739" w:firstLine="249"/>
        <w:spacing w:after="0" w:line="250" w:lineRule="auto"/>
        <w:tabs>
          <w:tab w:leader="none" w:pos="1057" w:val="left"/>
        </w:tabs>
        <w:numPr>
          <w:ilvl w:val="0"/>
          <w:numId w:val="97"/>
        </w:numPr>
        <w:rPr>
          <w:rFonts w:ascii="Calibri" w:cs="Calibri" w:eastAsia="Calibri" w:hAnsi="Calibri"/>
          <w:sz w:val="11"/>
          <w:szCs w:val="11"/>
          <w:b w:val="1"/>
          <w:bCs w:val="1"/>
          <w:color w:val="FF0000"/>
          <w:strike w:val="1"/>
        </w:rPr>
      </w:pPr>
      <w:r>
        <w:rPr>
          <w:rFonts w:ascii="Calibri" w:cs="Calibri" w:eastAsia="Calibri" w:hAnsi="Calibri"/>
          <w:sz w:val="11"/>
          <w:szCs w:val="11"/>
          <w:color w:val="FF0000"/>
          <w:strike w:val="1"/>
        </w:rPr>
        <w:t>The Advocate Valuators and the Neutral Valuator ("</w:t>
      </w:r>
      <w:r>
        <w:rPr>
          <w:rFonts w:ascii="Calibri" w:cs="Calibri" w:eastAsia="Calibri" w:hAnsi="Calibri"/>
          <w:sz w:val="11"/>
          <w:szCs w:val="11"/>
          <w:b w:val="1"/>
          <w:bCs w:val="1"/>
          <w:color w:val="FF0000"/>
          <w:strike w:val="1"/>
        </w:rPr>
        <w:t>Valuator(s)</w:t>
      </w:r>
      <w:r>
        <w:rPr>
          <w:rFonts w:ascii="Calibri" w:cs="Calibri" w:eastAsia="Calibri" w:hAnsi="Calibri"/>
          <w:sz w:val="11"/>
          <w:szCs w:val="11"/>
          <w:color w:val="FF0000"/>
          <w:strike w:val="1"/>
        </w:rPr>
        <w:t>") shall be duly licensed real estate brokers or salespersons in good standing in the state in which the Premises is located, shall have been actve over the five (5) year period before their appointment in the leasing of propertes similar to the Premises within the general real estate market of the Premises. The Neutral Valuator shall additonally not be related to or aﬃliated with either Party or Advocate Valuator, and shall not have previously represented in a real estate transacton a Party or anyone related to or aﬃliated with a Party. All maters to be determined by the Valuators shall be decided by a majority vote of the Valuators, with each Valuator having one (1) vote. The Valuators may, as the Valuators determine, hold hearings and require briefs, including market data and additonal informaton.</w:t>
      </w:r>
    </w:p>
    <w:p>
      <w:pPr>
        <w:ind w:left="640" w:right="679" w:firstLine="249"/>
        <w:spacing w:after="0" w:line="250" w:lineRule="auto"/>
        <w:tabs>
          <w:tab w:leader="none" w:pos="1053" w:val="left"/>
        </w:tabs>
        <w:numPr>
          <w:ilvl w:val="0"/>
          <w:numId w:val="97"/>
        </w:numPr>
        <w:rPr>
          <w:rFonts w:ascii="Calibri" w:cs="Calibri" w:eastAsia="Calibri" w:hAnsi="Calibri"/>
          <w:sz w:val="11"/>
          <w:szCs w:val="11"/>
          <w:b w:val="1"/>
          <w:bCs w:val="1"/>
          <w:color w:val="FF0000"/>
          <w:strike w:val="1"/>
        </w:rPr>
      </w:pPr>
      <w:r>
        <w:rPr>
          <w:rFonts w:ascii="Calibri" w:cs="Calibri" w:eastAsia="Calibri" w:hAnsi="Calibri"/>
          <w:sz w:val="11"/>
          <w:szCs w:val="11"/>
          <w:color w:val="FF0000"/>
          <w:strike w:val="1"/>
        </w:rPr>
        <w:t>Within thirty (30) days afer selecton of the Neutral Valuator, the Valuators shall first determine the Fair Market Value established by taking into account the terms, assumptons and conditons set forth herein ("</w:t>
      </w:r>
      <w:r>
        <w:rPr>
          <w:rFonts w:ascii="Calibri" w:cs="Calibri" w:eastAsia="Calibri" w:hAnsi="Calibri"/>
          <w:sz w:val="11"/>
          <w:szCs w:val="11"/>
          <w:b w:val="1"/>
          <w:bCs w:val="1"/>
          <w:color w:val="FF0000"/>
          <w:strike w:val="1"/>
        </w:rPr>
        <w:t>Valuators' Market Value</w:t>
      </w:r>
      <w:r>
        <w:rPr>
          <w:rFonts w:ascii="Calibri" w:cs="Calibri" w:eastAsia="Calibri" w:hAnsi="Calibri"/>
          <w:sz w:val="11"/>
          <w:szCs w:val="11"/>
          <w:color w:val="FF0000"/>
          <w:strike w:val="1"/>
        </w:rPr>
        <w:t>"), then decide which Party's Submited Value is closer in monetary amount to the Valuators' Market Value ("</w:t>
      </w:r>
      <w:r>
        <w:rPr>
          <w:rFonts w:ascii="Calibri" w:cs="Calibri" w:eastAsia="Calibri" w:hAnsi="Calibri"/>
          <w:sz w:val="11"/>
          <w:szCs w:val="11"/>
          <w:b w:val="1"/>
          <w:bCs w:val="1"/>
          <w:color w:val="FF0000"/>
          <w:strike w:val="1"/>
        </w:rPr>
        <w:t>Selected Market Value</w:t>
      </w:r>
      <w:r>
        <w:rPr>
          <w:rFonts w:ascii="Calibri" w:cs="Calibri" w:eastAsia="Calibri" w:hAnsi="Calibri"/>
          <w:sz w:val="11"/>
          <w:szCs w:val="11"/>
          <w:color w:val="FF0000"/>
          <w:strike w:val="1"/>
        </w:rPr>
        <w:t>"), then provide the Partes a copy of the Valuators' Market Value and finally notfy the Partes of the Selected Market Value. The Selected Market Value shall be the Fair Market Value. The Valuators shall have no right to decide a Selected Market Value which is a compromise to (or modificaton of) the Submited Values. The decision of the Valuators shall be binding upon the Partes. The Party whose Submited Value is not the Selected Market Value shall, within ten (10) days afer the Valuators decide the Selected Market Value, pay the fees and costs of all three (3) Valuators.</w:t>
      </w:r>
    </w:p>
    <w:p>
      <w:pPr>
        <w:ind w:left="640" w:right="659" w:firstLine="249"/>
        <w:spacing w:after="0" w:line="250" w:lineRule="auto"/>
        <w:tabs>
          <w:tab w:leader="none" w:pos="1030" w:val="left"/>
        </w:tabs>
        <w:numPr>
          <w:ilvl w:val="0"/>
          <w:numId w:val="97"/>
        </w:numPr>
        <w:rPr>
          <w:rFonts w:ascii="Calibri" w:cs="Calibri" w:eastAsia="Calibri" w:hAnsi="Calibri"/>
          <w:sz w:val="11"/>
          <w:szCs w:val="11"/>
          <w:color w:val="FF0000"/>
          <w:strike w:val="1"/>
        </w:rPr>
      </w:pPr>
      <w:r>
        <w:rPr>
          <w:rFonts w:ascii="Calibri" w:cs="Calibri" w:eastAsia="Calibri" w:hAnsi="Calibri"/>
          <w:sz w:val="11"/>
          <w:szCs w:val="11"/>
          <w:color w:val="FF0000"/>
          <w:strike w:val="1"/>
        </w:rPr>
        <w:t>If the Fair Market Value has not been established before the start of the applicable Opton Term, then Lessee shall contnue to pay to Lessor rent in the amount payable for the month immediately preceding the start of such Opton Term and Lessor's acceptance of such rent shall not waive, adversely aﬀect or prejudice the Partes' right to complete establishment of the Fair Market Value or Lessor's right to collect the full amount of the Fair Market Value once the Fair Market Value is established. Lessee shall, within ten (10) days afer establishment of the Fair Market Value, pay to Lessor any deficiency in rent then due for the Opton Term. Following establishment of Fair Market Value, the Partes shall, within ten (10) days afer request by either Party, sign an amendment to this Lease to confirm the Fair Market Value and the expiraton date of this Lease, but the Partes' failure to request or to sign such an amendment shall not aﬀect establishment of the Fair Market Value or extension of the Lease term.</w:t>
      </w:r>
    </w:p>
    <w:p>
      <w:pPr>
        <w:spacing w:after="0" w:line="139" w:lineRule="exact"/>
        <w:rPr>
          <w:rFonts w:ascii="Calibri" w:cs="Calibri" w:eastAsia="Calibri" w:hAnsi="Calibri"/>
          <w:sz w:val="11"/>
          <w:szCs w:val="11"/>
          <w:color w:val="FF0000"/>
          <w:strike w:val="1"/>
        </w:rPr>
      </w:pPr>
    </w:p>
    <w:p>
      <w:pPr>
        <w:ind w:left="640" w:right="639" w:firstLine="249"/>
        <w:spacing w:after="0" w:line="250" w:lineRule="auto"/>
        <w:tabs>
          <w:tab w:leader="none" w:pos="1076" w:val="left"/>
        </w:tabs>
        <w:numPr>
          <w:ilvl w:val="0"/>
          <w:numId w:val="97"/>
        </w:numPr>
        <w:rPr>
          <w:rFonts w:ascii="Calibri" w:cs="Calibri" w:eastAsia="Calibri" w:hAnsi="Calibri"/>
          <w:sz w:val="11"/>
          <w:szCs w:val="11"/>
          <w:b w:val="1"/>
          <w:bCs w:val="1"/>
          <w:color w:val="FF0000"/>
          <w:strike w:val="1"/>
        </w:rPr>
      </w:pPr>
      <w:r>
        <w:rPr>
          <w:rFonts w:ascii="Calibri" w:cs="Calibri" w:eastAsia="Calibri" w:hAnsi="Calibri"/>
          <w:sz w:val="11"/>
          <w:szCs w:val="11"/>
          <w:color w:val="FF0000"/>
          <w:strike w:val="1"/>
        </w:rPr>
        <w:t>The Valuators, in deciding the Valuators' Market Value, shall take into account rent rates, rent abatements, periodic rent increases, real property taxes, insurance premiums and other operatng expenses, tenant improvement and other applicable allowances, building services, length of lease term and other factors professional real estate brokers and/or appraisers customarily consider in determining fair market rent of property in an arm's length transacton by ready, willing and able partes for space of comparable locaton, size, age, conditon, quality, parking, visibility, view, signage and accessibility if the Premises were marketed in a normal and customary manner for a reasonable length of tme on the open market to be leased to a tenant with financial strength and credit worthiness comparable to Lessee and guarantors (if any) of this Lease (as of Lessee's exercise of the Extension Opton) for a term comparable to the length of the applicable Opton Term and used for the Agreed Use (or other reasonably comparable uses). The Valuators, in deciding the Valuators' Market Value, shall not consider as a comparable transacton any of the following: a sublease, lease assignment, lease renewal or extension; lease with a tenant that has equity, is related to or aﬃliated with the landlord; or a lease of space that was subject to a right of first refusal, right of first oﬀer, expansion opton or other encumbrances. The Valuators, in deciding the Valuators' Market Value, shall reduce the Fair Market Value on account of Alteratons and improvements made by Lessee to the extent the cost thereof was paid solely by Lessee (in excess of any applicable improvement allowance, abated rent in lieu of improvement allowance or other consideraton provided by Lessor for Lessee's improvement of the Premises), shall not reduce the Fair Market Value on account of any real estate brokerage commission savings by Lessor, and shall not reduce the Fair Market Value on account of deferred maintenance or repair of the Premises for which Lessee was responsible under the Lease but did not perform.</w:t>
      </w:r>
    </w:p>
    <w:p>
      <w:pPr>
        <w:spacing w:after="0" w:line="97" w:lineRule="exact"/>
        <w:rPr>
          <w:sz w:val="20"/>
          <w:szCs w:val="20"/>
          <w:color w:val="auto"/>
        </w:rPr>
      </w:pPr>
    </w:p>
    <w:p>
      <w:pPr>
        <w:ind w:left="760" w:hanging="129"/>
        <w:spacing w:after="0"/>
        <w:tabs>
          <w:tab w:leader="none" w:pos="760" w:val="left"/>
        </w:tabs>
        <w:numPr>
          <w:ilvl w:val="0"/>
          <w:numId w:val="98"/>
        </w:numPr>
        <w:rPr>
          <w:rFonts w:ascii="MS PGothic" w:cs="MS PGothic" w:eastAsia="MS PGothic" w:hAnsi="MS PGothic"/>
          <w:sz w:val="11"/>
          <w:szCs w:val="11"/>
          <w:color w:val="auto"/>
          <w:highlight w:val="blue"/>
        </w:rPr>
      </w:pPr>
      <w:r>
        <w:rPr>
          <w:rFonts w:ascii="Calibri" w:cs="Calibri" w:eastAsia="Calibri" w:hAnsi="Calibri"/>
          <w:sz w:val="11"/>
          <w:szCs w:val="11"/>
          <w:b w:val="1"/>
          <w:bCs w:val="1"/>
          <w:color w:val="FF0000"/>
          <w:strike w:val="1"/>
        </w:rPr>
        <w:t>IV. Fixed Rental Adjustment(s) ("FRA")</w:t>
      </w:r>
      <w:r>
        <w:rPr>
          <w:rFonts w:ascii="Calibri" w:cs="Calibri" w:eastAsia="Calibri" w:hAnsi="Calibri"/>
          <w:sz w:val="11"/>
          <w:szCs w:val="11"/>
          <w:color w:val="FF0000"/>
          <w:strike w:val="1"/>
        </w:rPr>
        <w:t>.</w:t>
      </w:r>
    </w:p>
    <w:p>
      <w:pPr>
        <w:spacing w:after="0" w:line="7" w:lineRule="exact"/>
        <w:rPr>
          <w:sz w:val="20"/>
          <w:szCs w:val="20"/>
          <w:color w:val="auto"/>
        </w:rPr>
      </w:pPr>
    </w:p>
    <w:p>
      <w:pPr>
        <w:ind w:left="640"/>
        <w:spacing w:after="0"/>
        <w:rPr>
          <w:sz w:val="20"/>
          <w:szCs w:val="20"/>
          <w:color w:val="auto"/>
        </w:rPr>
      </w:pPr>
      <w:r>
        <w:rPr>
          <w:rFonts w:ascii="Calibri" w:cs="Calibri" w:eastAsia="Calibri" w:hAnsi="Calibri"/>
          <w:sz w:val="11"/>
          <w:szCs w:val="11"/>
          <w:color w:val="FF0000"/>
          <w:strike w:val="1"/>
        </w:rPr>
        <w:t>The monthly Base Rent shall be increased to the following amounts on the dates set forth below:</w:t>
      </w:r>
    </w:p>
    <w:p>
      <w:pPr>
        <w:spacing w:after="0" w:line="144" w:lineRule="exact"/>
        <w:rPr>
          <w:sz w:val="20"/>
          <w:szCs w:val="20"/>
          <w:color w:val="auto"/>
        </w:rPr>
      </w:pPr>
    </w:p>
    <w:tbl>
      <w:tblPr>
        <w:tblLayout w:type="fixed"/>
        <w:tblInd w:w="1760" w:type="dxa"/>
        <w:tblCellMar>
          <w:top w:w="0" w:type="dxa"/>
          <w:left w:w="0" w:type="dxa"/>
          <w:bottom w:w="0" w:type="dxa"/>
          <w:right w:w="0" w:type="dxa"/>
        </w:tblCellMar>
      </w:tblPr>
      <w:tr>
        <w:trPr>
          <w:trHeight w:val="22"/>
        </w:trPr>
        <w:tc>
          <w:tcPr>
            <w:tcW w:w="1620" w:type="dxa"/>
            <w:vAlign w:val="bottom"/>
            <w:gridSpan w:val="3"/>
            <w:vMerge w:val="restart"/>
          </w:tcPr>
          <w:p>
            <w:pPr>
              <w:jc w:val="center"/>
              <w:spacing w:after="0"/>
              <w:rPr>
                <w:sz w:val="20"/>
                <w:szCs w:val="20"/>
                <w:color w:val="auto"/>
              </w:rPr>
            </w:pPr>
            <w:r>
              <w:rPr>
                <w:rFonts w:ascii="Calibri" w:cs="Calibri" w:eastAsia="Calibri" w:hAnsi="Calibri"/>
                <w:sz w:val="11"/>
                <w:szCs w:val="11"/>
                <w:color w:val="FF0000"/>
                <w:strike w:val="1"/>
              </w:rPr>
              <w:t>On (fill in FRA Adjustment Date(s)):</w:t>
            </w:r>
          </w:p>
        </w:tc>
        <w:tc>
          <w:tcPr>
            <w:tcW w:w="3680" w:type="dxa"/>
            <w:vAlign w:val="bottom"/>
            <w:gridSpan w:val="3"/>
            <w:vMerge w:val="restart"/>
          </w:tcPr>
          <w:p>
            <w:pPr>
              <w:jc w:val="center"/>
              <w:ind w:left="2363"/>
              <w:spacing w:after="0"/>
              <w:rPr>
                <w:sz w:val="20"/>
                <w:szCs w:val="20"/>
                <w:color w:val="auto"/>
              </w:rPr>
            </w:pPr>
            <w:r>
              <w:rPr>
                <w:rFonts w:ascii="Calibri" w:cs="Calibri" w:eastAsia="Calibri" w:hAnsi="Calibri"/>
                <w:sz w:val="11"/>
                <w:szCs w:val="11"/>
                <w:color w:val="FF0000"/>
                <w:strike w:val="1"/>
              </w:rPr>
              <w:t>The new Base Rent shall be</w:t>
            </w:r>
          </w:p>
        </w:tc>
        <w:tc>
          <w:tcPr>
            <w:tcW w:w="20" w:type="dxa"/>
            <w:vAlign w:val="bottom"/>
            <w:vMerge w:val="restart"/>
          </w:tcPr>
          <w:p>
            <w:pPr>
              <w:jc w:val="right"/>
              <w:spacing w:after="0"/>
              <w:rPr>
                <w:sz w:val="20"/>
                <w:szCs w:val="20"/>
                <w:color w:val="auto"/>
              </w:rPr>
            </w:pPr>
            <w:r>
              <w:rPr>
                <w:rFonts w:ascii="Calibri" w:cs="Calibri" w:eastAsia="Calibri" w:hAnsi="Calibri"/>
                <w:sz w:val="1"/>
                <w:szCs w:val="1"/>
                <w:color w:val="auto"/>
                <w:w w:val="4294967278"/>
              </w:rPr>
              <w:t>:</w:t>
            </w:r>
          </w:p>
        </w:tc>
        <w:tc>
          <w:tcPr>
            <w:tcW w:w="0" w:type="dxa"/>
            <w:vAlign w:val="bottom"/>
          </w:tcPr>
          <w:p>
            <w:pPr>
              <w:spacing w:after="0" w:line="20" w:lineRule="exact"/>
              <w:rPr>
                <w:sz w:val="1"/>
                <w:szCs w:val="1"/>
                <w:color w:val="auto"/>
              </w:rPr>
            </w:pPr>
          </w:p>
        </w:tc>
      </w:tr>
      <w:tr>
        <w:trPr>
          <w:trHeight w:val="114"/>
        </w:trPr>
        <w:tc>
          <w:tcPr>
            <w:tcW w:w="1620" w:type="dxa"/>
            <w:vAlign w:val="bottom"/>
            <w:gridSpan w:val="3"/>
            <w:vMerge w:val="continue"/>
          </w:tcPr>
          <w:p>
            <w:pPr>
              <w:spacing w:after="0"/>
              <w:rPr>
                <w:sz w:val="9"/>
                <w:szCs w:val="9"/>
                <w:color w:val="auto"/>
              </w:rPr>
            </w:pPr>
          </w:p>
        </w:tc>
        <w:tc>
          <w:tcPr>
            <w:tcW w:w="3680" w:type="dxa"/>
            <w:vAlign w:val="bottom"/>
            <w:gridSpan w:val="3"/>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920" w:type="dxa"/>
            <w:vAlign w:val="bottom"/>
            <w:gridSpan w:val="2"/>
          </w:tcPr>
          <w:p>
            <w:pPr>
              <w:jc w:val="center"/>
              <w:ind w:left="643"/>
              <w:spacing w:after="0"/>
              <w:rPr>
                <w:sz w:val="20"/>
                <w:szCs w:val="20"/>
                <w:color w:val="auto"/>
              </w:rPr>
            </w:pPr>
            <w:r>
              <w:rPr>
                <w:rFonts w:ascii="Calibri" w:cs="Calibri" w:eastAsia="Calibri" w:hAnsi="Calibri"/>
                <w:sz w:val="11"/>
                <w:szCs w:val="11"/>
                <w:color w:val="0000FF"/>
              </w:rPr>
              <w:t>____</w:t>
            </w:r>
          </w:p>
        </w:tc>
        <w:tc>
          <w:tcPr>
            <w:tcW w:w="700" w:type="dxa"/>
            <w:vAlign w:val="bottom"/>
          </w:tcPr>
          <w:p>
            <w:pPr>
              <w:spacing w:after="0"/>
              <w:rPr>
                <w:sz w:val="11"/>
                <w:szCs w:val="11"/>
                <w:color w:val="auto"/>
              </w:rPr>
            </w:pPr>
          </w:p>
        </w:tc>
        <w:tc>
          <w:tcPr>
            <w:tcW w:w="3680" w:type="dxa"/>
            <w:vAlign w:val="bottom"/>
            <w:gridSpan w:val="3"/>
          </w:tcPr>
          <w:p>
            <w:pPr>
              <w:jc w:val="center"/>
              <w:ind w:left="2383"/>
              <w:spacing w:after="0"/>
              <w:rPr>
                <w:sz w:val="20"/>
                <w:szCs w:val="20"/>
                <w:color w:val="auto"/>
              </w:rPr>
            </w:pPr>
            <w:r>
              <w:rPr>
                <w:rFonts w:ascii="Calibri" w:cs="Calibri" w:eastAsia="Calibri" w:hAnsi="Calibri"/>
                <w:sz w:val="11"/>
                <w:szCs w:val="11"/>
                <w:color w:val="0000FF"/>
              </w:rPr>
              <w:t>____</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20" w:type="dxa"/>
            <w:vAlign w:val="bottom"/>
            <w:gridSpan w:val="2"/>
          </w:tcPr>
          <w:p>
            <w:pPr>
              <w:jc w:val="center"/>
              <w:ind w:left="643"/>
              <w:spacing w:after="0" w:line="131" w:lineRule="exact"/>
              <w:rPr>
                <w:sz w:val="20"/>
                <w:szCs w:val="20"/>
                <w:color w:val="auto"/>
              </w:rPr>
            </w:pPr>
            <w:r>
              <w:rPr>
                <w:rFonts w:ascii="Calibri" w:cs="Calibri" w:eastAsia="Calibri" w:hAnsi="Calibri"/>
                <w:sz w:val="11"/>
                <w:szCs w:val="11"/>
                <w:color w:val="0000FF"/>
              </w:rPr>
              <w:t>____</w:t>
            </w:r>
          </w:p>
        </w:tc>
        <w:tc>
          <w:tcPr>
            <w:tcW w:w="700" w:type="dxa"/>
            <w:vAlign w:val="bottom"/>
          </w:tcPr>
          <w:p>
            <w:pPr>
              <w:spacing w:after="0"/>
              <w:rPr>
                <w:sz w:val="11"/>
                <w:szCs w:val="11"/>
                <w:color w:val="auto"/>
              </w:rPr>
            </w:pPr>
          </w:p>
        </w:tc>
        <w:tc>
          <w:tcPr>
            <w:tcW w:w="3680" w:type="dxa"/>
            <w:vAlign w:val="bottom"/>
            <w:gridSpan w:val="3"/>
          </w:tcPr>
          <w:p>
            <w:pPr>
              <w:jc w:val="center"/>
              <w:ind w:left="2383"/>
              <w:spacing w:after="0" w:line="131" w:lineRule="exact"/>
              <w:rPr>
                <w:sz w:val="20"/>
                <w:szCs w:val="20"/>
                <w:color w:val="auto"/>
              </w:rPr>
            </w:pPr>
            <w:r>
              <w:rPr>
                <w:rFonts w:ascii="Calibri" w:cs="Calibri" w:eastAsia="Calibri" w:hAnsi="Calibri"/>
                <w:sz w:val="11"/>
                <w:szCs w:val="11"/>
                <w:color w:val="0000FF"/>
              </w:rPr>
              <w:t>____</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20" w:type="dxa"/>
            <w:vAlign w:val="bottom"/>
            <w:gridSpan w:val="2"/>
          </w:tcPr>
          <w:p>
            <w:pPr>
              <w:jc w:val="center"/>
              <w:ind w:left="643"/>
              <w:spacing w:after="0" w:line="131" w:lineRule="exact"/>
              <w:rPr>
                <w:sz w:val="20"/>
                <w:szCs w:val="20"/>
                <w:color w:val="auto"/>
              </w:rPr>
            </w:pPr>
            <w:r>
              <w:rPr>
                <w:rFonts w:ascii="Calibri" w:cs="Calibri" w:eastAsia="Calibri" w:hAnsi="Calibri"/>
                <w:sz w:val="11"/>
                <w:szCs w:val="11"/>
                <w:color w:val="0000FF"/>
              </w:rPr>
              <w:t>____</w:t>
            </w:r>
          </w:p>
        </w:tc>
        <w:tc>
          <w:tcPr>
            <w:tcW w:w="700" w:type="dxa"/>
            <w:vAlign w:val="bottom"/>
          </w:tcPr>
          <w:p>
            <w:pPr>
              <w:spacing w:after="0"/>
              <w:rPr>
                <w:sz w:val="11"/>
                <w:szCs w:val="11"/>
                <w:color w:val="auto"/>
              </w:rPr>
            </w:pPr>
          </w:p>
        </w:tc>
        <w:tc>
          <w:tcPr>
            <w:tcW w:w="3680" w:type="dxa"/>
            <w:vAlign w:val="bottom"/>
            <w:gridSpan w:val="3"/>
          </w:tcPr>
          <w:p>
            <w:pPr>
              <w:jc w:val="center"/>
              <w:ind w:left="2383"/>
              <w:spacing w:after="0" w:line="131" w:lineRule="exact"/>
              <w:rPr>
                <w:sz w:val="20"/>
                <w:szCs w:val="20"/>
                <w:color w:val="auto"/>
              </w:rPr>
            </w:pPr>
            <w:r>
              <w:rPr>
                <w:rFonts w:ascii="Calibri" w:cs="Calibri" w:eastAsia="Calibri" w:hAnsi="Calibri"/>
                <w:sz w:val="11"/>
                <w:szCs w:val="11"/>
                <w:color w:val="0000FF"/>
              </w:rPr>
              <w:t>____</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20" w:type="dxa"/>
            <w:vAlign w:val="bottom"/>
            <w:gridSpan w:val="2"/>
          </w:tcPr>
          <w:p>
            <w:pPr>
              <w:jc w:val="center"/>
              <w:ind w:left="643"/>
              <w:spacing w:after="0" w:line="131" w:lineRule="exact"/>
              <w:rPr>
                <w:sz w:val="20"/>
                <w:szCs w:val="20"/>
                <w:color w:val="auto"/>
              </w:rPr>
            </w:pPr>
            <w:r>
              <w:rPr>
                <w:rFonts w:ascii="Calibri" w:cs="Calibri" w:eastAsia="Calibri" w:hAnsi="Calibri"/>
                <w:sz w:val="11"/>
                <w:szCs w:val="11"/>
                <w:color w:val="0000FF"/>
              </w:rPr>
              <w:t>____</w:t>
            </w:r>
          </w:p>
        </w:tc>
        <w:tc>
          <w:tcPr>
            <w:tcW w:w="700" w:type="dxa"/>
            <w:vAlign w:val="bottom"/>
          </w:tcPr>
          <w:p>
            <w:pPr>
              <w:spacing w:after="0"/>
              <w:rPr>
                <w:sz w:val="11"/>
                <w:szCs w:val="11"/>
                <w:color w:val="auto"/>
              </w:rPr>
            </w:pPr>
          </w:p>
        </w:tc>
        <w:tc>
          <w:tcPr>
            <w:tcW w:w="3680" w:type="dxa"/>
            <w:vAlign w:val="bottom"/>
            <w:gridSpan w:val="3"/>
          </w:tcPr>
          <w:p>
            <w:pPr>
              <w:jc w:val="center"/>
              <w:ind w:left="2383"/>
              <w:spacing w:after="0" w:line="131" w:lineRule="exact"/>
              <w:rPr>
                <w:sz w:val="20"/>
                <w:szCs w:val="20"/>
                <w:color w:val="auto"/>
              </w:rPr>
            </w:pPr>
            <w:r>
              <w:rPr>
                <w:rFonts w:ascii="Calibri" w:cs="Calibri" w:eastAsia="Calibri" w:hAnsi="Calibri"/>
                <w:sz w:val="11"/>
                <w:szCs w:val="11"/>
                <w:color w:val="0000FF"/>
              </w:rPr>
              <w:t>____</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20" w:type="dxa"/>
            <w:vAlign w:val="bottom"/>
            <w:gridSpan w:val="2"/>
          </w:tcPr>
          <w:p>
            <w:pPr>
              <w:jc w:val="center"/>
              <w:ind w:left="643"/>
              <w:spacing w:after="0" w:line="131" w:lineRule="exact"/>
              <w:rPr>
                <w:sz w:val="20"/>
                <w:szCs w:val="20"/>
                <w:color w:val="auto"/>
              </w:rPr>
            </w:pPr>
            <w:r>
              <w:rPr>
                <w:rFonts w:ascii="Calibri" w:cs="Calibri" w:eastAsia="Calibri" w:hAnsi="Calibri"/>
                <w:sz w:val="11"/>
                <w:szCs w:val="11"/>
                <w:color w:val="0000FF"/>
              </w:rPr>
              <w:t>____</w:t>
            </w:r>
          </w:p>
        </w:tc>
        <w:tc>
          <w:tcPr>
            <w:tcW w:w="700" w:type="dxa"/>
            <w:vAlign w:val="bottom"/>
          </w:tcPr>
          <w:p>
            <w:pPr>
              <w:spacing w:after="0"/>
              <w:rPr>
                <w:sz w:val="11"/>
                <w:szCs w:val="11"/>
                <w:color w:val="auto"/>
              </w:rPr>
            </w:pPr>
          </w:p>
        </w:tc>
        <w:tc>
          <w:tcPr>
            <w:tcW w:w="3680" w:type="dxa"/>
            <w:vAlign w:val="bottom"/>
            <w:gridSpan w:val="3"/>
          </w:tcPr>
          <w:p>
            <w:pPr>
              <w:jc w:val="center"/>
              <w:ind w:left="2383"/>
              <w:spacing w:after="0" w:line="131" w:lineRule="exact"/>
              <w:rPr>
                <w:sz w:val="20"/>
                <w:szCs w:val="20"/>
                <w:color w:val="auto"/>
              </w:rPr>
            </w:pPr>
            <w:r>
              <w:rPr>
                <w:rFonts w:ascii="Calibri" w:cs="Calibri" w:eastAsia="Calibri" w:hAnsi="Calibri"/>
                <w:sz w:val="11"/>
                <w:szCs w:val="11"/>
                <w:color w:val="0000FF"/>
              </w:rPr>
              <w:t>____</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20" w:type="dxa"/>
            <w:vAlign w:val="bottom"/>
            <w:gridSpan w:val="2"/>
          </w:tcPr>
          <w:p>
            <w:pPr>
              <w:jc w:val="center"/>
              <w:ind w:left="643"/>
              <w:spacing w:after="0" w:line="131" w:lineRule="exact"/>
              <w:rPr>
                <w:sz w:val="20"/>
                <w:szCs w:val="20"/>
                <w:color w:val="auto"/>
              </w:rPr>
            </w:pPr>
            <w:r>
              <w:rPr>
                <w:rFonts w:ascii="Calibri" w:cs="Calibri" w:eastAsia="Calibri" w:hAnsi="Calibri"/>
                <w:sz w:val="11"/>
                <w:szCs w:val="11"/>
                <w:color w:val="0000FF"/>
              </w:rPr>
              <w:t>____</w:t>
            </w:r>
          </w:p>
        </w:tc>
        <w:tc>
          <w:tcPr>
            <w:tcW w:w="700" w:type="dxa"/>
            <w:vAlign w:val="bottom"/>
          </w:tcPr>
          <w:p>
            <w:pPr>
              <w:spacing w:after="0"/>
              <w:rPr>
                <w:sz w:val="11"/>
                <w:szCs w:val="11"/>
                <w:color w:val="auto"/>
              </w:rPr>
            </w:pPr>
          </w:p>
        </w:tc>
        <w:tc>
          <w:tcPr>
            <w:tcW w:w="3680" w:type="dxa"/>
            <w:vAlign w:val="bottom"/>
            <w:gridSpan w:val="3"/>
          </w:tcPr>
          <w:p>
            <w:pPr>
              <w:jc w:val="center"/>
              <w:ind w:left="2383"/>
              <w:spacing w:after="0" w:line="131" w:lineRule="exact"/>
              <w:rPr>
                <w:sz w:val="20"/>
                <w:szCs w:val="20"/>
                <w:color w:val="auto"/>
              </w:rPr>
            </w:pPr>
            <w:r>
              <w:rPr>
                <w:rFonts w:ascii="Calibri" w:cs="Calibri" w:eastAsia="Calibri" w:hAnsi="Calibri"/>
                <w:sz w:val="11"/>
                <w:szCs w:val="11"/>
                <w:color w:val="0000FF"/>
              </w:rPr>
              <w:t>____</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20" w:type="dxa"/>
            <w:vAlign w:val="bottom"/>
            <w:gridSpan w:val="2"/>
          </w:tcPr>
          <w:p>
            <w:pPr>
              <w:jc w:val="center"/>
              <w:ind w:left="643"/>
              <w:spacing w:after="0" w:line="131" w:lineRule="exact"/>
              <w:rPr>
                <w:sz w:val="20"/>
                <w:szCs w:val="20"/>
                <w:color w:val="auto"/>
              </w:rPr>
            </w:pPr>
            <w:r>
              <w:rPr>
                <w:rFonts w:ascii="Calibri" w:cs="Calibri" w:eastAsia="Calibri" w:hAnsi="Calibri"/>
                <w:sz w:val="11"/>
                <w:szCs w:val="11"/>
                <w:color w:val="0000FF"/>
              </w:rPr>
              <w:t>____</w:t>
            </w:r>
          </w:p>
        </w:tc>
        <w:tc>
          <w:tcPr>
            <w:tcW w:w="700" w:type="dxa"/>
            <w:vAlign w:val="bottom"/>
          </w:tcPr>
          <w:p>
            <w:pPr>
              <w:spacing w:after="0"/>
              <w:rPr>
                <w:sz w:val="11"/>
                <w:szCs w:val="11"/>
                <w:color w:val="auto"/>
              </w:rPr>
            </w:pPr>
          </w:p>
        </w:tc>
        <w:tc>
          <w:tcPr>
            <w:tcW w:w="3680" w:type="dxa"/>
            <w:vAlign w:val="bottom"/>
            <w:gridSpan w:val="3"/>
          </w:tcPr>
          <w:p>
            <w:pPr>
              <w:jc w:val="center"/>
              <w:ind w:left="2383"/>
              <w:spacing w:after="0" w:line="131" w:lineRule="exact"/>
              <w:rPr>
                <w:sz w:val="20"/>
                <w:szCs w:val="20"/>
                <w:color w:val="auto"/>
              </w:rPr>
            </w:pPr>
            <w:r>
              <w:rPr>
                <w:rFonts w:ascii="Calibri" w:cs="Calibri" w:eastAsia="Calibri" w:hAnsi="Calibri"/>
                <w:sz w:val="11"/>
                <w:szCs w:val="11"/>
                <w:color w:val="0000FF"/>
              </w:rPr>
              <w:t>____</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20" w:type="dxa"/>
            <w:vAlign w:val="bottom"/>
            <w:gridSpan w:val="2"/>
          </w:tcPr>
          <w:p>
            <w:pPr>
              <w:jc w:val="center"/>
              <w:ind w:left="643"/>
              <w:spacing w:after="0" w:line="131" w:lineRule="exact"/>
              <w:rPr>
                <w:sz w:val="20"/>
                <w:szCs w:val="20"/>
                <w:color w:val="auto"/>
              </w:rPr>
            </w:pPr>
            <w:r>
              <w:rPr>
                <w:rFonts w:ascii="Calibri" w:cs="Calibri" w:eastAsia="Calibri" w:hAnsi="Calibri"/>
                <w:sz w:val="11"/>
                <w:szCs w:val="11"/>
                <w:color w:val="0000FF"/>
              </w:rPr>
              <w:t>____</w:t>
            </w:r>
          </w:p>
        </w:tc>
        <w:tc>
          <w:tcPr>
            <w:tcW w:w="700" w:type="dxa"/>
            <w:vAlign w:val="bottom"/>
          </w:tcPr>
          <w:p>
            <w:pPr>
              <w:spacing w:after="0"/>
              <w:rPr>
                <w:sz w:val="11"/>
                <w:szCs w:val="11"/>
                <w:color w:val="auto"/>
              </w:rPr>
            </w:pPr>
          </w:p>
        </w:tc>
        <w:tc>
          <w:tcPr>
            <w:tcW w:w="3680" w:type="dxa"/>
            <w:vAlign w:val="bottom"/>
            <w:gridSpan w:val="3"/>
          </w:tcPr>
          <w:p>
            <w:pPr>
              <w:jc w:val="center"/>
              <w:ind w:left="2383"/>
              <w:spacing w:after="0" w:line="131" w:lineRule="exact"/>
              <w:rPr>
                <w:sz w:val="20"/>
                <w:szCs w:val="20"/>
                <w:color w:val="auto"/>
              </w:rPr>
            </w:pPr>
            <w:r>
              <w:rPr>
                <w:rFonts w:ascii="Calibri" w:cs="Calibri" w:eastAsia="Calibri" w:hAnsi="Calibri"/>
                <w:sz w:val="11"/>
                <w:szCs w:val="11"/>
                <w:color w:val="0000FF"/>
              </w:rPr>
              <w:t>____</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20" w:type="dxa"/>
            <w:vAlign w:val="bottom"/>
            <w:gridSpan w:val="2"/>
          </w:tcPr>
          <w:p>
            <w:pPr>
              <w:jc w:val="center"/>
              <w:ind w:left="643"/>
              <w:spacing w:after="0" w:line="131" w:lineRule="exact"/>
              <w:rPr>
                <w:sz w:val="20"/>
                <w:szCs w:val="20"/>
                <w:color w:val="auto"/>
              </w:rPr>
            </w:pPr>
            <w:r>
              <w:rPr>
                <w:rFonts w:ascii="Calibri" w:cs="Calibri" w:eastAsia="Calibri" w:hAnsi="Calibri"/>
                <w:sz w:val="11"/>
                <w:szCs w:val="11"/>
                <w:color w:val="0000FF"/>
              </w:rPr>
              <w:t>____</w:t>
            </w:r>
          </w:p>
        </w:tc>
        <w:tc>
          <w:tcPr>
            <w:tcW w:w="700" w:type="dxa"/>
            <w:vAlign w:val="bottom"/>
          </w:tcPr>
          <w:p>
            <w:pPr>
              <w:spacing w:after="0"/>
              <w:rPr>
                <w:sz w:val="11"/>
                <w:szCs w:val="11"/>
                <w:color w:val="auto"/>
              </w:rPr>
            </w:pPr>
          </w:p>
        </w:tc>
        <w:tc>
          <w:tcPr>
            <w:tcW w:w="3680" w:type="dxa"/>
            <w:vAlign w:val="bottom"/>
            <w:gridSpan w:val="3"/>
          </w:tcPr>
          <w:p>
            <w:pPr>
              <w:jc w:val="center"/>
              <w:ind w:left="2383"/>
              <w:spacing w:after="0" w:line="131" w:lineRule="exact"/>
              <w:rPr>
                <w:sz w:val="20"/>
                <w:szCs w:val="20"/>
                <w:color w:val="auto"/>
              </w:rPr>
            </w:pPr>
            <w:r>
              <w:rPr>
                <w:rFonts w:ascii="Calibri" w:cs="Calibri" w:eastAsia="Calibri" w:hAnsi="Calibri"/>
                <w:sz w:val="11"/>
                <w:szCs w:val="11"/>
                <w:color w:val="0000FF"/>
              </w:rPr>
              <w:t>____</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920" w:type="dxa"/>
            <w:vAlign w:val="bottom"/>
            <w:gridSpan w:val="2"/>
          </w:tcPr>
          <w:p>
            <w:pPr>
              <w:jc w:val="center"/>
              <w:ind w:left="643"/>
              <w:spacing w:after="0" w:line="131" w:lineRule="exact"/>
              <w:rPr>
                <w:sz w:val="20"/>
                <w:szCs w:val="20"/>
                <w:color w:val="auto"/>
              </w:rPr>
            </w:pPr>
            <w:r>
              <w:rPr>
                <w:rFonts w:ascii="Calibri" w:cs="Calibri" w:eastAsia="Calibri" w:hAnsi="Calibri"/>
                <w:sz w:val="11"/>
                <w:szCs w:val="11"/>
                <w:color w:val="0000FF"/>
              </w:rPr>
              <w:t>____</w:t>
            </w:r>
          </w:p>
        </w:tc>
        <w:tc>
          <w:tcPr>
            <w:tcW w:w="700" w:type="dxa"/>
            <w:vAlign w:val="bottom"/>
          </w:tcPr>
          <w:p>
            <w:pPr>
              <w:spacing w:after="0"/>
              <w:rPr>
                <w:sz w:val="11"/>
                <w:szCs w:val="11"/>
                <w:color w:val="auto"/>
              </w:rPr>
            </w:pPr>
          </w:p>
        </w:tc>
        <w:tc>
          <w:tcPr>
            <w:tcW w:w="3680" w:type="dxa"/>
            <w:vAlign w:val="bottom"/>
            <w:gridSpan w:val="3"/>
          </w:tcPr>
          <w:p>
            <w:pPr>
              <w:jc w:val="center"/>
              <w:ind w:left="2383"/>
              <w:spacing w:after="0" w:line="131" w:lineRule="exact"/>
              <w:rPr>
                <w:sz w:val="20"/>
                <w:szCs w:val="20"/>
                <w:color w:val="auto"/>
              </w:rPr>
            </w:pPr>
            <w:r>
              <w:rPr>
                <w:rFonts w:ascii="Calibri" w:cs="Calibri" w:eastAsia="Calibri" w:hAnsi="Calibri"/>
                <w:sz w:val="11"/>
                <w:szCs w:val="11"/>
                <w:color w:val="0000FF"/>
              </w:rPr>
              <w:t>____</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2" w:lineRule="exact"/>
        <w:rPr>
          <w:sz w:val="20"/>
          <w:szCs w:val="20"/>
          <w:color w:val="auto"/>
        </w:rPr>
      </w:pPr>
    </w:p>
    <w:p>
      <w:pPr>
        <w:ind w:left="760" w:hanging="129"/>
        <w:spacing w:after="0"/>
        <w:tabs>
          <w:tab w:leader="none" w:pos="760" w:val="left"/>
        </w:tabs>
        <w:numPr>
          <w:ilvl w:val="0"/>
          <w:numId w:val="99"/>
        </w:numPr>
        <w:rPr>
          <w:rFonts w:ascii="MS PGothic" w:cs="MS PGothic" w:eastAsia="MS PGothic" w:hAnsi="MS PGothic"/>
          <w:sz w:val="11"/>
          <w:szCs w:val="11"/>
          <w:color w:val="auto"/>
          <w:highlight w:val="blue"/>
        </w:rPr>
      </w:pPr>
      <w:r>
        <w:rPr>
          <w:rFonts w:ascii="Calibri" w:cs="Calibri" w:eastAsia="Calibri" w:hAnsi="Calibri"/>
          <w:sz w:val="11"/>
          <w:szCs w:val="11"/>
          <w:b w:val="1"/>
          <w:bCs w:val="1"/>
          <w:color w:val="FF0000"/>
          <w:strike w:val="1"/>
        </w:rPr>
        <w:t>V. Contnuaton of Original Term Adjustments.</w:t>
      </w:r>
    </w:p>
    <w:p>
      <w:pPr>
        <w:spacing w:after="0" w:line="7" w:lineRule="exact"/>
        <w:rPr>
          <w:sz w:val="20"/>
          <w:szCs w:val="20"/>
          <w:color w:val="auto"/>
        </w:rPr>
      </w:pPr>
    </w:p>
    <w:p>
      <w:pPr>
        <w:ind w:left="640"/>
        <w:spacing w:after="0"/>
        <w:rPr>
          <w:sz w:val="20"/>
          <w:szCs w:val="20"/>
          <w:color w:val="auto"/>
        </w:rPr>
      </w:pPr>
      <w:r>
        <w:rPr>
          <w:rFonts w:ascii="Calibri" w:cs="Calibri" w:eastAsia="Calibri" w:hAnsi="Calibri"/>
          <w:sz w:val="11"/>
          <w:szCs w:val="11"/>
          <w:color w:val="FF0000"/>
          <w:strike w:val="1"/>
        </w:rPr>
        <w:t xml:space="preserve">The monthly Base Rent during the Opton Term(s) which start(s) on </w:t>
      </w:r>
      <w:r>
        <w:rPr>
          <w:rFonts w:ascii="Calibri" w:cs="Calibri" w:eastAsia="Calibri" w:hAnsi="Calibri"/>
          <w:sz w:val="11"/>
          <w:szCs w:val="11"/>
          <w:u w:val="single" w:color="auto"/>
          <w:color w:val="0000FF"/>
          <w:strike w:val="1"/>
        </w:rPr>
        <w:t>____</w:t>
      </w:r>
      <w:r>
        <w:rPr>
          <w:rFonts w:ascii="Calibri" w:cs="Calibri" w:eastAsia="Calibri" w:hAnsi="Calibri"/>
          <w:sz w:val="11"/>
          <w:szCs w:val="11"/>
          <w:color w:val="FF0000"/>
          <w:strike w:val="1"/>
        </w:rPr>
        <w:t>shall be increased in accordance with the same formula provided in the Lease to be used to</w:t>
      </w:r>
    </w:p>
    <w:p>
      <w:pPr>
        <w:spacing w:after="0" w:line="4" w:lineRule="exact"/>
        <w:rPr>
          <w:sz w:val="20"/>
          <w:szCs w:val="20"/>
          <w:color w:val="auto"/>
        </w:rPr>
      </w:pPr>
    </w:p>
    <w:p>
      <w:pPr>
        <w:ind w:left="640"/>
        <w:spacing w:after="0"/>
        <w:rPr>
          <w:sz w:val="20"/>
          <w:szCs w:val="20"/>
          <w:color w:val="auto"/>
        </w:rPr>
      </w:pPr>
      <w:r>
        <w:rPr>
          <w:rFonts w:ascii="Calibri" w:cs="Calibri" w:eastAsia="Calibri" w:hAnsi="Calibri"/>
          <w:sz w:val="11"/>
          <w:szCs w:val="11"/>
          <w:color w:val="FF0000"/>
          <w:strike w:val="1"/>
        </w:rPr>
        <w:t>calculate increases in the Base Rent during the Original Term of the Lease.</w:t>
      </w:r>
    </w:p>
    <w:p>
      <w:pPr>
        <w:spacing w:after="0" w:line="92" w:lineRule="exact"/>
        <w:rPr>
          <w:sz w:val="20"/>
          <w:szCs w:val="20"/>
          <w:color w:val="auto"/>
        </w:rPr>
      </w:pPr>
    </w:p>
    <w:p>
      <w:pPr>
        <w:ind w:left="640" w:right="1059"/>
        <w:spacing w:after="0" w:line="253" w:lineRule="auto"/>
        <w:rPr>
          <w:sz w:val="20"/>
          <w:szCs w:val="20"/>
          <w:color w:val="auto"/>
        </w:rPr>
      </w:pPr>
      <w:r>
        <w:rPr>
          <w:rFonts w:ascii="Calibri" w:cs="Calibri" w:eastAsia="Calibri" w:hAnsi="Calibri"/>
          <w:sz w:val="11"/>
          <w:szCs w:val="11"/>
          <w:b w:val="1"/>
          <w:bCs w:val="1"/>
          <w:color w:val="auto"/>
        </w:rPr>
        <w:t>BROKER'S FEE</w:t>
      </w:r>
      <w:r>
        <w:rPr>
          <w:rFonts w:ascii="Calibri" w:cs="Calibri" w:eastAsia="Calibri" w:hAnsi="Calibri"/>
          <w:sz w:val="11"/>
          <w:szCs w:val="11"/>
          <w:color w:val="auto"/>
        </w:rPr>
        <w:t>: For each adjustment in Base Rent specified above, the Brokers shall be paid a Brokerage Fee in accordance with paragraph 15 of the Lease or if</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applicable, paragraph 9 of the Sublease.</w:t>
      </w:r>
    </w:p>
    <w:p>
      <w:pPr>
        <w:spacing w:after="0" w:line="83" w:lineRule="exact"/>
        <w:rPr>
          <w:sz w:val="20"/>
          <w:szCs w:val="20"/>
          <w:color w:val="auto"/>
        </w:rPr>
      </w:pPr>
    </w:p>
    <w:p>
      <w:pPr>
        <w:jc w:val="center"/>
        <w:spacing w:after="0"/>
        <w:rPr>
          <w:sz w:val="20"/>
          <w:szCs w:val="20"/>
          <w:color w:val="auto"/>
        </w:rPr>
      </w:pPr>
      <w:r>
        <w:rPr>
          <w:rFonts w:ascii="Calibri" w:cs="Calibri" w:eastAsia="Calibri" w:hAnsi="Calibri"/>
          <w:sz w:val="11"/>
          <w:szCs w:val="11"/>
          <w:b w:val="1"/>
          <w:bCs w:val="1"/>
          <w:color w:val="auto"/>
        </w:rPr>
        <w:t>AIR CRE * htps://www.aircre.com * 213-687-8777 * contracts@aircre.com</w:t>
      </w:r>
    </w:p>
    <w:p>
      <w:pPr>
        <w:spacing w:after="0" w:line="6" w:lineRule="exact"/>
        <w:rPr>
          <w:sz w:val="20"/>
          <w:szCs w:val="20"/>
          <w:color w:val="auto"/>
        </w:rPr>
      </w:pPr>
    </w:p>
    <w:p>
      <w:pPr>
        <w:jc w:val="center"/>
        <w:spacing w:after="0"/>
        <w:rPr>
          <w:sz w:val="20"/>
          <w:szCs w:val="20"/>
          <w:color w:val="auto"/>
        </w:rPr>
      </w:pPr>
      <w:r>
        <w:rPr>
          <w:rFonts w:ascii="Calibri" w:cs="Calibri" w:eastAsia="Calibri" w:hAnsi="Calibri"/>
          <w:sz w:val="11"/>
          <w:szCs w:val="11"/>
          <w:b w:val="1"/>
          <w:bCs w:val="1"/>
          <w:color w:val="auto"/>
        </w:rPr>
        <w:t>NOTICE: No part of these works may be reproduced in any form without permission in writng.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45085</wp:posOffset>
            </wp:positionV>
            <wp:extent cx="574040" cy="2940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45085</wp:posOffset>
            </wp:positionV>
            <wp:extent cx="382905" cy="2940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2017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OE-7.02, Revised 01-13-2023</w:t>
            </w:r>
          </w:p>
        </w:tc>
        <w:tc>
          <w:tcPr>
            <w:tcW w:w="4960" w:type="dxa"/>
            <w:vAlign w:val="bottom"/>
          </w:tcPr>
          <w:p>
            <w:pPr>
              <w:ind w:left="4380"/>
              <w:spacing w:after="0"/>
              <w:rPr>
                <w:sz w:val="20"/>
                <w:szCs w:val="20"/>
                <w:color w:val="auto"/>
              </w:rPr>
            </w:pPr>
            <w:r>
              <w:rPr>
                <w:rFonts w:ascii="Calibri" w:cs="Calibri" w:eastAsia="Calibri" w:hAnsi="Calibri"/>
                <w:sz w:val="13"/>
                <w:szCs w:val="13"/>
                <w:color w:val="auto"/>
                <w:w w:val="95"/>
              </w:rPr>
              <w:t>Page 2 of 2</w:t>
            </w:r>
          </w:p>
        </w:tc>
      </w:tr>
      <w:tr>
        <w:trPr>
          <w:trHeight w:val="1487"/>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118" w:name="page119"/>
    <w:bookmarkEnd w:id="118"/>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1315085</wp:posOffset>
            </wp:positionH>
            <wp:positionV relativeFrom="page">
              <wp:posOffset>526415</wp:posOffset>
            </wp:positionV>
            <wp:extent cx="1038225" cy="32766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clrChange>
                        <a:clrFrom>
                          <a:srgbClr val="FFFFFF"/>
                        </a:clrFrom>
                        <a:clrTo>
                          <a:srgbClr val="FFFFFF">
                            <a:alpha val="0"/>
                          </a:srgbClr>
                        </a:clrTo>
                      </a:clrChange>
                      <a:extLst>
                        <a:ext uri="{28A0092B-C50C-407E-A947-70E740481C1C}"/>
                      </a:extLst>
                    </a:blip>
                    <a:srcRect/>
                    <a:stretch>
                      <a:fillRect/>
                    </a:stretch>
                  </pic:blipFill>
                  <pic:spPr bwMode="auto">
                    <a:xfrm>
                      <a:off x="0" y="0"/>
                      <a:ext cx="1038225" cy="32766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44"/>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00" w:type="dxa"/>
            <w:vAlign w:val="bottom"/>
            <w:gridSpan w:val="2"/>
          </w:tcPr>
          <w:p>
            <w:pPr>
              <w:jc w:val="center"/>
              <w:spacing w:after="0"/>
              <w:rPr>
                <w:sz w:val="20"/>
                <w:szCs w:val="20"/>
                <w:color w:val="auto"/>
              </w:rPr>
            </w:pPr>
            <w:r>
              <w:rPr>
                <w:rFonts w:ascii="Calibri" w:cs="Calibri" w:eastAsia="Calibri" w:hAnsi="Calibri"/>
                <w:sz w:val="20"/>
                <w:szCs w:val="20"/>
                <w:b w:val="1"/>
                <w:bCs w:val="1"/>
                <w:color w:val="auto"/>
              </w:rPr>
              <w:t>ARBITRATION AGREEMENT</w:t>
            </w:r>
          </w:p>
        </w:tc>
      </w:tr>
      <w:tr>
        <w:trPr>
          <w:trHeight w:val="192"/>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00" w:type="dxa"/>
            <w:vAlign w:val="bottom"/>
            <w:gridSpan w:val="2"/>
          </w:tcPr>
          <w:p>
            <w:pPr>
              <w:jc w:val="center"/>
              <w:spacing w:after="0" w:line="193" w:lineRule="exact"/>
              <w:rPr>
                <w:sz w:val="20"/>
                <w:szCs w:val="20"/>
                <w:color w:val="auto"/>
              </w:rPr>
            </w:pPr>
            <w:r>
              <w:rPr>
                <w:rFonts w:ascii="Calibri" w:cs="Calibri" w:eastAsia="Calibri" w:hAnsi="Calibri"/>
                <w:sz w:val="16"/>
                <w:szCs w:val="16"/>
                <w:b w:val="1"/>
                <w:bCs w:val="1"/>
                <w:color w:val="auto"/>
                <w:w w:val="99"/>
              </w:rPr>
              <w:t>STANDARD LEASE ADDENDUM</w:t>
            </w:r>
          </w:p>
        </w:tc>
      </w:tr>
      <w:tr>
        <w:trPr>
          <w:trHeight w:val="306"/>
        </w:trPr>
        <w:tc>
          <w:tcPr>
            <w:tcW w:w="5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Calibri" w:cs="Calibri" w:eastAsia="Calibri" w:hAnsi="Calibri"/>
                <w:sz w:val="11"/>
                <w:szCs w:val="11"/>
                <w:b w:val="1"/>
                <w:bCs w:val="1"/>
                <w:color w:val="auto"/>
              </w:rPr>
              <w:t>Dated:</w:t>
            </w:r>
          </w:p>
        </w:tc>
        <w:tc>
          <w:tcPr>
            <w:tcW w:w="3360" w:type="dxa"/>
            <w:vAlign w:val="bottom"/>
            <w:gridSpan w:val="5"/>
          </w:tcPr>
          <w:p>
            <w:pPr>
              <w:spacing w:after="0"/>
              <w:rPr>
                <w:sz w:val="20"/>
                <w:szCs w:val="20"/>
                <w:color w:val="auto"/>
              </w:rPr>
            </w:pPr>
            <w:r>
              <w:rPr>
                <w:rFonts w:ascii="Calibri" w:cs="Calibri" w:eastAsia="Calibri" w:hAnsi="Calibri"/>
                <w:sz w:val="11"/>
                <w:szCs w:val="11"/>
                <w:color w:val="0000FF"/>
              </w:rPr>
              <w:t>April 5, 2024</w:t>
            </w:r>
          </w:p>
        </w:tc>
      </w:tr>
      <w:tr>
        <w:trPr>
          <w:trHeight w:val="148"/>
        </w:trPr>
        <w:tc>
          <w:tcPr>
            <w:tcW w:w="520" w:type="dxa"/>
            <w:vAlign w:val="bottom"/>
          </w:tcPr>
          <w:p>
            <w:pPr>
              <w:spacing w:after="0"/>
              <w:rPr>
                <w:sz w:val="12"/>
                <w:szCs w:val="12"/>
                <w:color w:val="auto"/>
              </w:rPr>
            </w:pPr>
          </w:p>
        </w:tc>
        <w:tc>
          <w:tcPr>
            <w:tcW w:w="1120" w:type="dxa"/>
            <w:vAlign w:val="bottom"/>
            <w:gridSpan w:val="2"/>
          </w:tcPr>
          <w:p>
            <w:pPr>
              <w:ind w:left="40"/>
              <w:spacing w:after="0"/>
              <w:rPr>
                <w:sz w:val="20"/>
                <w:szCs w:val="20"/>
                <w:color w:val="auto"/>
              </w:rPr>
            </w:pPr>
            <w:r>
              <w:rPr>
                <w:rFonts w:ascii="Calibri" w:cs="Calibri" w:eastAsia="Calibri" w:hAnsi="Calibri"/>
                <w:sz w:val="11"/>
                <w:szCs w:val="11"/>
                <w:b w:val="1"/>
                <w:bCs w:val="1"/>
                <w:color w:val="auto"/>
              </w:rPr>
              <w:t>By and Between</w:t>
            </w:r>
          </w:p>
        </w:tc>
        <w:tc>
          <w:tcPr>
            <w:tcW w:w="5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33"/>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Calibri" w:cs="Calibri" w:eastAsia="Calibri" w:hAnsi="Calibri"/>
                <w:sz w:val="11"/>
                <w:szCs w:val="11"/>
                <w:b w:val="1"/>
                <w:bCs w:val="1"/>
                <w:color w:val="auto"/>
              </w:rPr>
              <w:t>Lessor:</w:t>
            </w:r>
          </w:p>
        </w:tc>
        <w:tc>
          <w:tcPr>
            <w:tcW w:w="3360" w:type="dxa"/>
            <w:vAlign w:val="bottom"/>
            <w:gridSpan w:val="5"/>
          </w:tcPr>
          <w:p>
            <w:pPr>
              <w:spacing w:after="0"/>
              <w:rPr>
                <w:sz w:val="20"/>
                <w:szCs w:val="20"/>
                <w:color w:val="auto"/>
              </w:rPr>
            </w:pPr>
            <w:r>
              <w:rPr>
                <w:rFonts w:ascii="Calibri" w:cs="Calibri" w:eastAsia="Calibri" w:hAnsi="Calibri"/>
                <w:sz w:val="11"/>
                <w:szCs w:val="11"/>
                <w:color w:val="0000FF"/>
              </w:rPr>
              <w:t>BML Management, LLC</w:t>
            </w:r>
          </w:p>
        </w:tc>
      </w:tr>
      <w:tr>
        <w:trPr>
          <w:trHeight w:val="131"/>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ind w:left="40"/>
              <w:spacing w:after="0" w:line="131" w:lineRule="exact"/>
              <w:rPr>
                <w:sz w:val="20"/>
                <w:szCs w:val="20"/>
                <w:color w:val="auto"/>
              </w:rPr>
            </w:pPr>
            <w:r>
              <w:rPr>
                <w:rFonts w:ascii="Calibri" w:cs="Calibri" w:eastAsia="Calibri" w:hAnsi="Calibri"/>
                <w:sz w:val="11"/>
                <w:szCs w:val="11"/>
                <w:b w:val="1"/>
                <w:bCs w:val="1"/>
                <w:color w:val="auto"/>
              </w:rPr>
              <w:t>Lessee:</w:t>
            </w:r>
          </w:p>
        </w:tc>
        <w:tc>
          <w:tcPr>
            <w:tcW w:w="1060" w:type="dxa"/>
            <w:vAlign w:val="bottom"/>
            <w:tcBorders>
              <w:top w:val="single" w:sz="8" w:color="0000FF"/>
            </w:tcBorders>
            <w:gridSpan w:val="3"/>
          </w:tcPr>
          <w:p>
            <w:pPr>
              <w:ind w:left="20"/>
              <w:spacing w:after="0" w:line="131" w:lineRule="exact"/>
              <w:rPr>
                <w:sz w:val="20"/>
                <w:szCs w:val="20"/>
                <w:color w:val="auto"/>
              </w:rPr>
            </w:pPr>
            <w:r>
              <w:rPr>
                <w:rFonts w:ascii="Calibri" w:cs="Calibri" w:eastAsia="Calibri" w:hAnsi="Calibri"/>
                <w:sz w:val="11"/>
                <w:szCs w:val="11"/>
                <w:color w:val="0000FF"/>
              </w:rPr>
              <w:t>RxSight, Inc.</w:t>
            </w:r>
          </w:p>
        </w:tc>
        <w:tc>
          <w:tcPr>
            <w:tcW w:w="2300" w:type="dxa"/>
            <w:vAlign w:val="bottom"/>
            <w:gridSpan w:val="2"/>
          </w:tcPr>
          <w:p>
            <w:pPr>
              <w:spacing w:after="0"/>
              <w:rPr>
                <w:sz w:val="11"/>
                <w:szCs w:val="1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31"/>
        </w:trPr>
        <w:tc>
          <w:tcPr>
            <w:tcW w:w="52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Calibri" w:cs="Calibri" w:eastAsia="Calibri" w:hAnsi="Calibri"/>
                <w:sz w:val="11"/>
                <w:szCs w:val="11"/>
                <w:b w:val="1"/>
                <w:bCs w:val="1"/>
                <w:color w:val="auto"/>
              </w:rPr>
              <w:t>Property Address:</w:t>
            </w:r>
          </w:p>
        </w:tc>
        <w:tc>
          <w:tcPr>
            <w:tcW w:w="1680" w:type="dxa"/>
            <w:vAlign w:val="bottom"/>
            <w:tcBorders>
              <w:bottom w:val="single" w:sz="8" w:color="0000FF"/>
            </w:tcBorders>
            <w:gridSpan w:val="4"/>
          </w:tcPr>
          <w:p>
            <w:pPr>
              <w:spacing w:after="0" w:line="131" w:lineRule="exact"/>
              <w:rPr>
                <w:sz w:val="20"/>
                <w:szCs w:val="20"/>
                <w:color w:val="auto"/>
              </w:rPr>
            </w:pPr>
            <w:r>
              <w:rPr>
                <w:rFonts w:ascii="Calibri" w:cs="Calibri" w:eastAsia="Calibri" w:hAnsi="Calibri"/>
                <w:sz w:val="11"/>
                <w:szCs w:val="11"/>
                <w:color w:val="0000FF"/>
              </w:rPr>
              <w:t>125 Columbia, Aliso Viejo, CA 92656</w:t>
            </w:r>
          </w:p>
        </w:tc>
        <w:tc>
          <w:tcPr>
            <w:tcW w:w="1680" w:type="dxa"/>
            <w:vAlign w:val="bottom"/>
          </w:tcPr>
          <w:p>
            <w:pPr>
              <w:spacing w:after="0"/>
              <w:rPr>
                <w:sz w:val="11"/>
                <w:szCs w:val="11"/>
                <w:color w:val="auto"/>
              </w:rPr>
            </w:pPr>
          </w:p>
        </w:tc>
      </w:tr>
      <w:tr>
        <w:trPr>
          <w:trHeight w:val="137"/>
        </w:trPr>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360" w:type="dxa"/>
            <w:vAlign w:val="bottom"/>
            <w:gridSpan w:val="5"/>
          </w:tcPr>
          <w:p>
            <w:pPr>
              <w:spacing w:after="0"/>
              <w:rPr>
                <w:sz w:val="20"/>
                <w:szCs w:val="20"/>
                <w:color w:val="auto"/>
              </w:rPr>
            </w:pPr>
            <w:r>
              <w:rPr>
                <w:rFonts w:ascii="Calibri" w:cs="Calibri" w:eastAsia="Calibri" w:hAnsi="Calibri"/>
                <w:sz w:val="11"/>
                <w:szCs w:val="11"/>
                <w:color w:val="auto"/>
              </w:rPr>
              <w:t>(street address, city, state, zip)</w:t>
            </w:r>
          </w:p>
        </w:tc>
      </w:tr>
      <w:tr>
        <w:trPr>
          <w:trHeight w:val="273"/>
        </w:trPr>
        <w:tc>
          <w:tcPr>
            <w:tcW w:w="1640" w:type="dxa"/>
            <w:vAlign w:val="bottom"/>
            <w:gridSpan w:val="3"/>
          </w:tcPr>
          <w:p>
            <w:pPr>
              <w:spacing w:after="0"/>
              <w:rPr>
                <w:sz w:val="20"/>
                <w:szCs w:val="20"/>
                <w:color w:val="auto"/>
              </w:rPr>
            </w:pPr>
            <w:r>
              <w:rPr>
                <w:rFonts w:ascii="Calibri" w:cs="Calibri" w:eastAsia="Calibri" w:hAnsi="Calibri"/>
                <w:sz w:val="11"/>
                <w:szCs w:val="11"/>
                <w:color w:val="auto"/>
              </w:rPr>
              <w:t xml:space="preserve">Paragraph: </w:t>
            </w:r>
            <w:r>
              <w:rPr>
                <w:rFonts w:ascii="Calibri" w:cs="Calibri" w:eastAsia="Calibri" w:hAnsi="Calibri"/>
                <w:sz w:val="11"/>
                <w:szCs w:val="11"/>
                <w:color w:val="0000FF"/>
              </w:rPr>
              <w:t>53</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23"/>
        </w:trPr>
        <w:tc>
          <w:tcPr>
            <w:tcW w:w="1640" w:type="dxa"/>
            <w:vAlign w:val="bottom"/>
            <w:gridSpan w:val="3"/>
          </w:tcPr>
          <w:p>
            <w:pPr>
              <w:spacing w:after="0"/>
              <w:rPr>
                <w:sz w:val="20"/>
                <w:szCs w:val="20"/>
                <w:color w:val="auto"/>
              </w:rPr>
            </w:pPr>
            <w:r>
              <w:rPr>
                <w:rFonts w:ascii="Calibri" w:cs="Calibri" w:eastAsia="Calibri" w:hAnsi="Calibri"/>
                <w:sz w:val="11"/>
                <w:szCs w:val="11"/>
                <w:b w:val="1"/>
                <w:bCs w:val="1"/>
                <w:color w:val="auto"/>
              </w:rPr>
              <w:t>A. ARBITRATION OF DISPUTES</w:t>
            </w:r>
            <w:r>
              <w:rPr>
                <w:rFonts w:ascii="Calibri" w:cs="Calibri" w:eastAsia="Calibri" w:hAnsi="Calibri"/>
                <w:sz w:val="11"/>
                <w:szCs w:val="11"/>
                <w:color w:val="auto"/>
              </w:rPr>
              <w:t>:</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90" w:lineRule="exact"/>
        <w:rPr>
          <w:sz w:val="20"/>
          <w:szCs w:val="20"/>
          <w:color w:val="auto"/>
        </w:rPr>
      </w:pPr>
    </w:p>
    <w:p>
      <w:pPr>
        <w:ind w:left="640" w:right="719"/>
        <w:spacing w:after="0" w:line="250" w:lineRule="auto"/>
        <w:rPr>
          <w:sz w:val="20"/>
          <w:szCs w:val="20"/>
          <w:color w:val="auto"/>
        </w:rPr>
      </w:pPr>
      <w:r>
        <w:rPr>
          <w:rFonts w:ascii="Calibri" w:cs="Calibri" w:eastAsia="Calibri" w:hAnsi="Calibri"/>
          <w:sz w:val="11"/>
          <w:szCs w:val="11"/>
          <w:color w:val="auto"/>
        </w:rPr>
        <w:t>Except as provided in Paragraph B below, the Partes agree to resolve any and all claims, disputes or disagreements arising under this Lease, including, but not limited to any mater relatng to Lessor's failure to approve an assignment, sublease or other transfer of Lessee's interest in the Lease under Paragraph 12 of this Lease, any other defaults by Lessor, or any defaults by Lessee by and through arbitraton as provided below and irrevocably waive any and all rights to the contrary. The Partes agree to at all tmes conduct themselves in strict, full, complete and tmely accordance with the terms hereof and that any atempt to circumvent the terms of this Arbitraton Agreement shall be absolutely null and void and of no force or eﬀect whatsoever.</w:t>
      </w:r>
    </w:p>
    <w:p>
      <w:pPr>
        <w:spacing w:after="0" w:line="86" w:lineRule="exact"/>
        <w:rPr>
          <w:sz w:val="20"/>
          <w:szCs w:val="20"/>
          <w:color w:val="auto"/>
        </w:rPr>
      </w:pPr>
    </w:p>
    <w:p>
      <w:pPr>
        <w:ind w:left="640"/>
        <w:spacing w:after="0"/>
        <w:rPr>
          <w:sz w:val="20"/>
          <w:szCs w:val="20"/>
          <w:color w:val="auto"/>
        </w:rPr>
      </w:pPr>
      <w:r>
        <w:rPr>
          <w:rFonts w:ascii="Calibri" w:cs="Calibri" w:eastAsia="Calibri" w:hAnsi="Calibri"/>
          <w:sz w:val="11"/>
          <w:szCs w:val="11"/>
          <w:b w:val="1"/>
          <w:bCs w:val="1"/>
          <w:color w:val="auto"/>
        </w:rPr>
        <w:t>B.DISPUTES EXCLUDED FROM ARBITRATION</w:t>
      </w:r>
      <w:r>
        <w:rPr>
          <w:rFonts w:ascii="Calibri" w:cs="Calibri" w:eastAsia="Calibri" w:hAnsi="Calibri"/>
          <w:sz w:val="11"/>
          <w:szCs w:val="11"/>
          <w:color w:val="auto"/>
        </w:rPr>
        <w:t>:</w:t>
      </w:r>
    </w:p>
    <w:p>
      <w:pPr>
        <w:spacing w:after="0" w:line="92" w:lineRule="exact"/>
        <w:rPr>
          <w:sz w:val="20"/>
          <w:szCs w:val="20"/>
          <w:color w:val="auto"/>
        </w:rPr>
      </w:pPr>
    </w:p>
    <w:p>
      <w:pPr>
        <w:ind w:left="640" w:right="719"/>
        <w:spacing w:after="0" w:line="250" w:lineRule="auto"/>
        <w:rPr>
          <w:sz w:val="20"/>
          <w:szCs w:val="20"/>
          <w:color w:val="auto"/>
        </w:rPr>
      </w:pPr>
      <w:r>
        <w:rPr>
          <w:rFonts w:ascii="Calibri" w:cs="Calibri" w:eastAsia="Calibri" w:hAnsi="Calibri"/>
          <w:sz w:val="11"/>
          <w:szCs w:val="11"/>
          <w:color w:val="auto"/>
        </w:rPr>
        <w:t>The following claims, disputes or disagreements under this Lease are expressly excluded from the arbitraton procedures set forth herein: 1. Disputes for which a diﬀerent resoluton determinaton is specifically set forth in this Lease, 2. All claims by either party which (a) seek anything other than enforcement or determinaton of rights under this Lease, or (b) are primarily founded upon maters of fraud, willful misconduct, bad faith or any other allegatons of tortous acton, and seek the award of punitve or exemplary damages, 3. Claims relatng to (a) Lessor's exercise of any unlawful detainer rights pursuant to applicable law or (b) rights or remedies used by Lessor to gain possession of the Premises or terminate Lessee's right of possession to the Premises, all of which disputes shall be resolved by suit filed in the applicable court of jurisdicton, the decision of which court shall be subject to appeal pursuant to applicable law 4. Any claim or dispute that is within the jurisdicton of the Small Claims Court and 5. All claims arising under Paragraph 39 of this Lease.</w:t>
      </w:r>
    </w:p>
    <w:p>
      <w:pPr>
        <w:spacing w:after="0" w:line="86" w:lineRule="exact"/>
        <w:rPr>
          <w:sz w:val="20"/>
          <w:szCs w:val="20"/>
          <w:color w:val="auto"/>
        </w:rPr>
      </w:pPr>
    </w:p>
    <w:p>
      <w:pPr>
        <w:ind w:left="640"/>
        <w:spacing w:after="0"/>
        <w:rPr>
          <w:sz w:val="20"/>
          <w:szCs w:val="20"/>
          <w:color w:val="auto"/>
        </w:rPr>
      </w:pPr>
      <w:r>
        <w:rPr>
          <w:rFonts w:ascii="Calibri" w:cs="Calibri" w:eastAsia="Calibri" w:hAnsi="Calibri"/>
          <w:sz w:val="11"/>
          <w:szCs w:val="11"/>
          <w:b w:val="1"/>
          <w:bCs w:val="1"/>
          <w:color w:val="auto"/>
        </w:rPr>
        <w:t>C. APPOINTMENT OF AN ARBITRATOR</w:t>
      </w:r>
      <w:r>
        <w:rPr>
          <w:rFonts w:ascii="Calibri" w:cs="Calibri" w:eastAsia="Calibri" w:hAnsi="Calibri"/>
          <w:sz w:val="11"/>
          <w:szCs w:val="11"/>
          <w:color w:val="auto"/>
        </w:rPr>
        <w:t>:</w:t>
      </w:r>
    </w:p>
    <w:p>
      <w:pPr>
        <w:spacing w:after="0" w:line="70" w:lineRule="exact"/>
        <w:rPr>
          <w:sz w:val="20"/>
          <w:szCs w:val="20"/>
          <w:color w:val="auto"/>
        </w:rPr>
      </w:pPr>
    </w:p>
    <w:p>
      <w:pPr>
        <w:ind w:left="640" w:right="659"/>
        <w:spacing w:after="0" w:line="145" w:lineRule="exact"/>
        <w:rPr>
          <w:sz w:val="20"/>
          <w:szCs w:val="20"/>
          <w:color w:val="auto"/>
        </w:rPr>
      </w:pPr>
      <w:r>
        <w:rPr>
          <w:rFonts w:ascii="Calibri" w:cs="Calibri" w:eastAsia="Calibri" w:hAnsi="Calibri"/>
          <w:sz w:val="11"/>
          <w:szCs w:val="11"/>
          <w:color w:val="auto"/>
        </w:rPr>
        <w:t xml:space="preserve">All disputes subject to this Arbitraton Agreement, shall be determined by binding arbitraton before: </w:t>
      </w:r>
      <w:r>
        <w:rPr>
          <w:rFonts w:ascii="MS PGothic" w:cs="MS PGothic" w:eastAsia="MS PGothic" w:hAnsi="MS PGothic"/>
          <w:sz w:val="11"/>
          <w:szCs w:val="11"/>
          <w:color w:val="0000FF"/>
        </w:rPr>
        <w:t>☐</w:t>
      </w:r>
      <w:r>
        <w:rPr>
          <w:rFonts w:ascii="Calibri" w:cs="Calibri" w:eastAsia="Calibri" w:hAnsi="Calibri"/>
          <w:sz w:val="11"/>
          <w:szCs w:val="11"/>
          <w:color w:val="auto"/>
        </w:rPr>
        <w:t xml:space="preserve"> a retred judge of the applicable court of jurisdicton (e.g., the Superior Court of the State of California) aﬃliated with Judicial Arbitraton &amp; Mediaton Services, Inc. ("</w:t>
      </w:r>
      <w:r>
        <w:rPr>
          <w:rFonts w:ascii="Calibri" w:cs="Calibri" w:eastAsia="Calibri" w:hAnsi="Calibri"/>
          <w:sz w:val="11"/>
          <w:szCs w:val="11"/>
          <w:b w:val="1"/>
          <w:bCs w:val="1"/>
          <w:color w:val="auto"/>
        </w:rPr>
        <w:t>JAMS</w:t>
      </w:r>
      <w:r>
        <w:rPr>
          <w:rFonts w:ascii="Calibri" w:cs="Calibri" w:eastAsia="Calibri" w:hAnsi="Calibri"/>
          <w:sz w:val="11"/>
          <w:szCs w:val="11"/>
          <w:color w:val="auto"/>
        </w:rPr>
        <w:t xml:space="preserve">"), </w:t>
      </w:r>
      <w:r>
        <w:rPr>
          <w:rFonts w:ascii="MS PGothic" w:cs="MS PGothic" w:eastAsia="MS PGothic" w:hAnsi="MS PGothic"/>
          <w:sz w:val="11"/>
          <w:szCs w:val="11"/>
          <w:color w:val="0000FF"/>
        </w:rPr>
        <w:t>☑</w:t>
      </w:r>
      <w:r>
        <w:rPr>
          <w:rFonts w:ascii="Calibri" w:cs="Calibri" w:eastAsia="Calibri" w:hAnsi="Calibri"/>
          <w:sz w:val="11"/>
          <w:szCs w:val="11"/>
          <w:color w:val="auto"/>
        </w:rPr>
        <w:t xml:space="preserve"> the American Arbitraton Associaton ("</w:t>
      </w:r>
      <w:r>
        <w:rPr>
          <w:rFonts w:ascii="Calibri" w:cs="Calibri" w:eastAsia="Calibri" w:hAnsi="Calibri"/>
          <w:sz w:val="11"/>
          <w:szCs w:val="11"/>
          <w:b w:val="1"/>
          <w:bCs w:val="1"/>
          <w:color w:val="auto"/>
        </w:rPr>
        <w:t>AAA</w:t>
      </w:r>
      <w:r>
        <w:rPr>
          <w:rFonts w:ascii="Calibri" w:cs="Calibri" w:eastAsia="Calibri" w:hAnsi="Calibri"/>
          <w:sz w:val="11"/>
          <w:szCs w:val="11"/>
          <w:color w:val="auto"/>
        </w:rPr>
        <w:t xml:space="preserve">") under its commercial arbitraton rules, </w:t>
      </w:r>
      <w:r>
        <w:rPr>
          <w:rFonts w:ascii="MS PGothic" w:cs="MS PGothic" w:eastAsia="MS PGothic" w:hAnsi="MS PGothic"/>
          <w:sz w:val="11"/>
          <w:szCs w:val="11"/>
          <w:color w:val="0000FF"/>
        </w:rPr>
        <w:t>☐</w:t>
      </w:r>
      <w:r>
        <w:rPr>
          <w:rFonts w:ascii="Calibri" w:cs="Calibri" w:eastAsia="Calibri" w:hAnsi="Calibri"/>
          <w:sz w:val="11"/>
          <w:szCs w:val="11"/>
          <w:color w:val="auto"/>
        </w:rPr>
        <w:t xml:space="preserve"> </w:t>
      </w:r>
      <w:r>
        <w:rPr>
          <w:rFonts w:ascii="Calibri" w:cs="Calibri" w:eastAsia="Calibri" w:hAnsi="Calibri"/>
          <w:sz w:val="11"/>
          <w:szCs w:val="11"/>
          <w:color w:val="0000FF"/>
        </w:rPr>
        <w:t>___</w:t>
      </w:r>
      <w:r>
        <w:rPr>
          <w:rFonts w:ascii="Calibri" w:cs="Calibri" w:eastAsia="Calibri" w:hAnsi="Calibri"/>
          <w:sz w:val="11"/>
          <w:szCs w:val="11"/>
          <w:color w:val="auto"/>
        </w:rPr>
        <w:t>, or as may be otherwise mutually agreed by Lessor and Lessee (the "</w:t>
      </w:r>
      <w:r>
        <w:rPr>
          <w:rFonts w:ascii="Calibri" w:cs="Calibri" w:eastAsia="Calibri" w:hAnsi="Calibri"/>
          <w:sz w:val="11"/>
          <w:szCs w:val="11"/>
          <w:b w:val="1"/>
          <w:bCs w:val="1"/>
          <w:color w:val="auto"/>
        </w:rPr>
        <w:t>Arbitrator</w:t>
      </w:r>
      <w:r>
        <w:rPr>
          <w:rFonts w:ascii="Calibri" w:cs="Calibri" w:eastAsia="Calibri" w:hAnsi="Calibri"/>
          <w:sz w:val="11"/>
          <w:szCs w:val="11"/>
          <w:color w:val="auto"/>
        </w:rPr>
        <w:t>"). In the event that the partes elect to use an arbitrator other than one aﬃliated with JAMS or AAA then such arbitrator shall be obligated to comply with the Code of Ethics for Arbitrators in Commercial Disputes (see: htp://www.adr.org/aaa/ShowProperty?nodeId=/UCM/ADRSTG_003867). Such arbitraton shall be initated by the Partes, or either of them, within ten (10) days afer either party sends writen notce (the "</w:t>
      </w:r>
      <w:r>
        <w:rPr>
          <w:rFonts w:ascii="Calibri" w:cs="Calibri" w:eastAsia="Calibri" w:hAnsi="Calibri"/>
          <w:sz w:val="11"/>
          <w:szCs w:val="11"/>
          <w:b w:val="1"/>
          <w:bCs w:val="1"/>
          <w:color w:val="auto"/>
        </w:rPr>
        <w:t>Arbitraton Notce</w:t>
      </w:r>
      <w:r>
        <w:rPr>
          <w:rFonts w:ascii="Calibri" w:cs="Calibri" w:eastAsia="Calibri" w:hAnsi="Calibri"/>
          <w:sz w:val="11"/>
          <w:szCs w:val="11"/>
          <w:color w:val="auto"/>
        </w:rPr>
        <w:t>") of a demand to arbitrate by registered or certfied mail to the other party and to the Arbitrator. The Arbitraton Notce shall contain a descripton of the subject mater of the arbitraton, the dispute with respect thereto, the amount involved, if any, and the remedy or determinaton sought. If the Partes have agreed to use JAMS they may agree on a retred judge from the JAMS panel. If they are unable to agree within ten days, JAMS will provide a list of three available judges and each party may strike one. The remaining judge (or if there are two, the one selected by JAMS) will serve as the Arbitrator. If the Partes have elected to utlize AAA or some other organizaton, the Arbitrator shall be selected in accordance with said organizaton's rules. In the event the Arbitrator is not selected as provided for above for any reason, the party initatng arbitraton shall apply to the appropriate Court for the appointment of a qualified retred judge to act as the Arbitrator.</w:t>
      </w:r>
    </w:p>
    <w:p>
      <w:pPr>
        <w:spacing w:after="0" w:line="225" w:lineRule="exact"/>
        <w:rPr>
          <w:sz w:val="20"/>
          <w:szCs w:val="20"/>
          <w:color w:val="auto"/>
        </w:rPr>
      </w:pPr>
    </w:p>
    <w:p>
      <w:pPr>
        <w:ind w:left="640"/>
        <w:spacing w:after="0"/>
        <w:rPr>
          <w:sz w:val="20"/>
          <w:szCs w:val="20"/>
          <w:color w:val="auto"/>
        </w:rPr>
      </w:pPr>
      <w:r>
        <w:rPr>
          <w:rFonts w:ascii="Calibri" w:cs="Calibri" w:eastAsia="Calibri" w:hAnsi="Calibri"/>
          <w:sz w:val="11"/>
          <w:szCs w:val="11"/>
          <w:b w:val="1"/>
          <w:bCs w:val="1"/>
          <w:color w:val="auto"/>
        </w:rPr>
        <w:t>D. ARBITRATION PROCEDURE</w:t>
      </w:r>
      <w:r>
        <w:rPr>
          <w:rFonts w:ascii="Calibri" w:cs="Calibri" w:eastAsia="Calibri" w:hAnsi="Calibri"/>
          <w:sz w:val="11"/>
          <w:szCs w:val="11"/>
          <w:color w:val="auto"/>
        </w:rPr>
        <w:t>:</w:t>
      </w:r>
    </w:p>
    <w:p>
      <w:pPr>
        <w:spacing w:after="0" w:line="92" w:lineRule="exact"/>
        <w:rPr>
          <w:sz w:val="20"/>
          <w:szCs w:val="20"/>
          <w:color w:val="auto"/>
        </w:rPr>
      </w:pPr>
    </w:p>
    <w:p>
      <w:pPr>
        <w:ind w:left="640" w:right="659" w:firstLine="249"/>
        <w:spacing w:after="0" w:line="250" w:lineRule="auto"/>
        <w:tabs>
          <w:tab w:leader="none" w:pos="1013" w:val="left"/>
        </w:tabs>
        <w:numPr>
          <w:ilvl w:val="0"/>
          <w:numId w:val="100"/>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PRE-HEARING ACTIONS</w:t>
      </w:r>
      <w:r>
        <w:rPr>
          <w:rFonts w:ascii="Calibri" w:cs="Calibri" w:eastAsia="Calibri" w:hAnsi="Calibri"/>
          <w:sz w:val="11"/>
          <w:szCs w:val="11"/>
          <w:color w:val="auto"/>
        </w:rPr>
        <w:t>. The Arbitrator shall schedule a pre-hearing conference to resolve procedural maters, arrange for the exchange of informaton, obtain</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stpulatons, and narrow the issues. The Partes will submit proposed discovery schedules to the Arbitrator at the pre-hearing conference. The scope and duraton of discovery will be within the sole discreton of the Arbitrator. The Arbitrator shall have the discreton to order a pre-hearing exchange of informaton by the Partes, including, without limitaton, producton of requested documents, exchange of summaries of testmony of proposed witnesses, and examinaton by depositon of partes and third-party witnesses. This discreton shall be exercised in favor of discovery reasonable under the circumstances. The Arbitrator shall issue subpoenas and subpoenas duces tecum as provided for in the applicable statutory or case law (e.g., in California Code of Civil Procedure Secton 1282.6).</w:t>
      </w:r>
    </w:p>
    <w:p>
      <w:pPr>
        <w:spacing w:after="0" w:line="86" w:lineRule="exact"/>
        <w:rPr>
          <w:rFonts w:ascii="Calibri" w:cs="Calibri" w:eastAsia="Calibri" w:hAnsi="Calibri"/>
          <w:sz w:val="11"/>
          <w:szCs w:val="11"/>
          <w:b w:val="1"/>
          <w:bCs w:val="1"/>
          <w:color w:val="auto"/>
        </w:rPr>
      </w:pPr>
    </w:p>
    <w:p>
      <w:pPr>
        <w:ind w:left="640" w:right="679" w:firstLine="249"/>
        <w:spacing w:after="0" w:line="250" w:lineRule="auto"/>
        <w:tabs>
          <w:tab w:leader="none" w:pos="1013" w:val="left"/>
        </w:tabs>
        <w:numPr>
          <w:ilvl w:val="0"/>
          <w:numId w:val="100"/>
        </w:numPr>
        <w:rPr>
          <w:rFonts w:ascii="Calibri" w:cs="Calibri" w:eastAsia="Calibri" w:hAnsi="Calibri"/>
          <w:sz w:val="11"/>
          <w:szCs w:val="11"/>
          <w:b w:val="1"/>
          <w:bCs w:val="1"/>
          <w:color w:val="auto"/>
        </w:rPr>
      </w:pPr>
      <w:r>
        <w:rPr>
          <w:rFonts w:ascii="Calibri" w:cs="Calibri" w:eastAsia="Calibri" w:hAnsi="Calibri"/>
          <w:sz w:val="11"/>
          <w:szCs w:val="11"/>
          <w:b w:val="1"/>
          <w:bCs w:val="1"/>
          <w:color w:val="auto"/>
        </w:rPr>
        <w:t>THE DECISION</w:t>
      </w:r>
      <w:r>
        <w:rPr>
          <w:rFonts w:ascii="Calibri" w:cs="Calibri" w:eastAsia="Calibri" w:hAnsi="Calibri"/>
          <w:sz w:val="11"/>
          <w:szCs w:val="11"/>
          <w:color w:val="auto"/>
        </w:rPr>
        <w:t>. The arbitraton shall be conducted in the city or county within which the Premises are located at a reasonably convenient site. Any Party may</w:t>
      </w:r>
      <w:r>
        <w:rPr>
          <w:rFonts w:ascii="Calibri" w:cs="Calibri" w:eastAsia="Calibri" w:hAnsi="Calibri"/>
          <w:sz w:val="11"/>
          <w:szCs w:val="11"/>
          <w:b w:val="1"/>
          <w:bCs w:val="1"/>
          <w:color w:val="auto"/>
        </w:rPr>
        <w:t xml:space="preserve"> </w:t>
      </w:r>
      <w:r>
        <w:rPr>
          <w:rFonts w:ascii="Calibri" w:cs="Calibri" w:eastAsia="Calibri" w:hAnsi="Calibri"/>
          <w:sz w:val="11"/>
          <w:szCs w:val="11"/>
          <w:color w:val="auto"/>
        </w:rPr>
        <w:t>be represented by counsel or other authorized representatve. In rendering a decision(s), the Arbitrator shall determine the rights and obligatons of the Partes according to the substantve laws and the terms and provisions of this Lease. The Arbitrator's decision shall be based on the evidence introduced at the hearing, including all logical and reasonable inferences therefrom. The Arbitrator may make any determinaton and/or grant any remedy or relief that is just and equitable. The decision must be based on, and accompanied by, a writen statement of decision explaining the factual and legal basis for the decision as to each of the principal controverted issues. The decision shall be conclusive and binding, and it may thereafer be confirmed as a judgment by the court of applicable jurisdicton, subject only to challenge on the grounds set forth in the applicable statutory or case law (e.g., in California Code of Civil Procedure Secton 1286.2). The validity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41275</wp:posOffset>
            </wp:positionV>
            <wp:extent cx="574040" cy="2940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41275</wp:posOffset>
            </wp:positionV>
            <wp:extent cx="382905" cy="2940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2017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ARB-3.03, Revised 10-22-2020</w:t>
            </w:r>
          </w:p>
        </w:tc>
        <w:tc>
          <w:tcPr>
            <w:tcW w:w="4960" w:type="dxa"/>
            <w:vAlign w:val="bottom"/>
          </w:tcPr>
          <w:p>
            <w:pPr>
              <w:ind w:left="4380"/>
              <w:spacing w:after="0"/>
              <w:rPr>
                <w:sz w:val="20"/>
                <w:szCs w:val="20"/>
                <w:color w:val="auto"/>
              </w:rPr>
            </w:pPr>
            <w:r>
              <w:rPr>
                <w:rFonts w:ascii="Calibri" w:cs="Calibri" w:eastAsia="Calibri" w:hAnsi="Calibri"/>
                <w:sz w:val="13"/>
                <w:szCs w:val="13"/>
                <w:color w:val="auto"/>
                <w:w w:val="95"/>
              </w:rPr>
              <w:t>Page 1 of 2</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9" w:name="page120"/>
    <w:bookmarkEnd w:id="119"/>
    <w:p>
      <w:pPr>
        <w:ind w:left="640" w:right="859"/>
        <w:spacing w:after="0" w:line="251" w:lineRule="auto"/>
        <w:rPr>
          <w:sz w:val="20"/>
          <w:szCs w:val="20"/>
          <w:color w:val="auto"/>
        </w:rPr>
      </w:pPr>
      <w:r>
        <w:rPr>
          <w:rFonts w:ascii="Calibri" w:cs="Calibri" w:eastAsia="Calibri" w:hAnsi="Calibri"/>
          <w:sz w:val="11"/>
          <w:szCs w:val="11"/>
          <w:color w:val="auto"/>
        </w:rPr>
        <w:t>enforceability of the Arbitrator's decision is to be determined exclusively by the court of appropriate jurisdicton pursuant to the provisions of this Lease. The Arbitrator may award costs, including without limitaton, Arbitrator's fees and costs, atorneys' fees, and expert and witness costs, to the prevailing party, if any, as determined by the Arbitrator in his discreton.</w:t>
      </w:r>
    </w:p>
    <w:p>
      <w:pPr>
        <w:spacing w:after="0" w:line="84" w:lineRule="exact"/>
        <w:rPr>
          <w:sz w:val="20"/>
          <w:szCs w:val="20"/>
          <w:color w:val="auto"/>
        </w:rPr>
      </w:pPr>
    </w:p>
    <w:p>
      <w:pPr>
        <w:ind w:left="640" w:right="739" w:firstLine="258"/>
        <w:spacing w:after="0" w:line="251" w:lineRule="auto"/>
        <w:rPr>
          <w:sz w:val="20"/>
          <w:szCs w:val="20"/>
          <w:color w:val="auto"/>
        </w:rPr>
      </w:pPr>
      <w:r>
        <w:rPr>
          <w:rFonts w:ascii="Calibri" w:cs="Calibri" w:eastAsia="Calibri" w:hAnsi="Calibri"/>
          <w:sz w:val="11"/>
          <w:szCs w:val="11"/>
          <w:color w:val="auto"/>
        </w:rPr>
        <w:t>Whenever a mater which has been submited to arbitraton involves a dispute as to whether or not a partcular act or omission (other than a failure to pay money) consttutes a Default, the tme to commence or cease such acton shall be tolled from the date that the Notce of Arbitraton is served through and untl the date the Arbitrator renders his or her decision. Provided, however, that this provision shall NOT apply in the event that the Arbitrator determines that the Arbitraton Notce was prepared in bad faith.</w:t>
      </w:r>
    </w:p>
    <w:p>
      <w:pPr>
        <w:spacing w:after="0" w:line="84" w:lineRule="exact"/>
        <w:rPr>
          <w:sz w:val="20"/>
          <w:szCs w:val="20"/>
          <w:color w:val="auto"/>
        </w:rPr>
      </w:pPr>
    </w:p>
    <w:p>
      <w:pPr>
        <w:ind w:left="640" w:right="799" w:firstLine="258"/>
        <w:spacing w:after="0" w:line="250" w:lineRule="auto"/>
        <w:rPr>
          <w:sz w:val="20"/>
          <w:szCs w:val="20"/>
          <w:color w:val="auto"/>
        </w:rPr>
      </w:pPr>
      <w:r>
        <w:rPr>
          <w:rFonts w:ascii="Calibri" w:cs="Calibri" w:eastAsia="Calibri" w:hAnsi="Calibri"/>
          <w:sz w:val="11"/>
          <w:szCs w:val="11"/>
          <w:color w:val="auto"/>
        </w:rPr>
        <w:t>Whenever a dispute arises between the Partes concerning whether or not the failure to make a payment of money consttutes a default, the service of an Arbitraton Notce shall NOT toll the tme period in which to pay the money. The Party allegedly obligated to pay the money may, however, elect to pay the money "under protest" by accompanying said payment with a writen statement setng forth the reasons for such protest. If thereafer, the Arbitrator determines that the Party who received said money was not enttled to such payment, said money shall be promptly returned to the Party who paid such money under protest together with Interest thereon as defined in Paragraph 13.5. If a Party makes a payment "under protest" but no Notce of Arbitraton is filed within thirty days, then such protest shall be deemed waived. (See also Paragraph 42 or 43)</w:t>
      </w:r>
    </w:p>
    <w:p>
      <w:pPr>
        <w:spacing w:after="0" w:line="86" w:lineRule="exact"/>
        <w:rPr>
          <w:sz w:val="20"/>
          <w:szCs w:val="20"/>
          <w:color w:val="auto"/>
        </w:rPr>
      </w:pPr>
    </w:p>
    <w:p>
      <w:pPr>
        <w:jc w:val="center"/>
        <w:spacing w:after="0"/>
        <w:rPr>
          <w:sz w:val="20"/>
          <w:szCs w:val="20"/>
          <w:color w:val="auto"/>
        </w:rPr>
      </w:pPr>
      <w:r>
        <w:rPr>
          <w:rFonts w:ascii="Calibri" w:cs="Calibri" w:eastAsia="Calibri" w:hAnsi="Calibri"/>
          <w:sz w:val="11"/>
          <w:szCs w:val="11"/>
          <w:b w:val="1"/>
          <w:bCs w:val="1"/>
          <w:color w:val="auto"/>
        </w:rPr>
        <w:t>AIR CRE * htps://www.aircre.com * 213-687-8777 * contracts@aircre.com</w:t>
      </w:r>
    </w:p>
    <w:p>
      <w:pPr>
        <w:spacing w:after="0" w:line="6" w:lineRule="exact"/>
        <w:rPr>
          <w:sz w:val="20"/>
          <w:szCs w:val="20"/>
          <w:color w:val="auto"/>
        </w:rPr>
      </w:pPr>
    </w:p>
    <w:p>
      <w:pPr>
        <w:jc w:val="center"/>
        <w:spacing w:after="0"/>
        <w:rPr>
          <w:sz w:val="20"/>
          <w:szCs w:val="20"/>
          <w:color w:val="auto"/>
        </w:rPr>
      </w:pPr>
      <w:r>
        <w:rPr>
          <w:rFonts w:ascii="Calibri" w:cs="Calibri" w:eastAsia="Calibri" w:hAnsi="Calibri"/>
          <w:sz w:val="11"/>
          <w:szCs w:val="11"/>
          <w:b w:val="1"/>
          <w:bCs w:val="1"/>
          <w:color w:val="auto"/>
        </w:rPr>
        <w:t>NOTICE: No part of these works may be reproduced in any form without permission in writng.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45085</wp:posOffset>
            </wp:positionV>
            <wp:extent cx="574040" cy="2940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45085</wp:posOffset>
            </wp:positionV>
            <wp:extent cx="382905" cy="2940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2017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ARB-3.03, Revised 10-22-2020</w:t>
            </w:r>
          </w:p>
        </w:tc>
        <w:tc>
          <w:tcPr>
            <w:tcW w:w="4960" w:type="dxa"/>
            <w:vAlign w:val="bottom"/>
          </w:tcPr>
          <w:p>
            <w:pPr>
              <w:ind w:left="4380"/>
              <w:spacing w:after="0"/>
              <w:rPr>
                <w:sz w:val="20"/>
                <w:szCs w:val="20"/>
                <w:color w:val="auto"/>
              </w:rPr>
            </w:pPr>
            <w:r>
              <w:rPr>
                <w:rFonts w:ascii="Calibri" w:cs="Calibri" w:eastAsia="Calibri" w:hAnsi="Calibri"/>
                <w:sz w:val="13"/>
                <w:szCs w:val="13"/>
                <w:color w:val="auto"/>
                <w:w w:val="95"/>
              </w:rPr>
              <w:t>Page 2 of 2</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03" w:right="1440" w:bottom="1440" w:gutter="0" w:footer="0" w:header="0"/>
        </w:sectPr>
      </w:pPr>
    </w:p>
    <w:bookmarkStart w:id="120" w:name="page121"/>
    <w:bookmarkEnd w:id="120"/>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1362710</wp:posOffset>
            </wp:positionH>
            <wp:positionV relativeFrom="page">
              <wp:posOffset>525780</wp:posOffset>
            </wp:positionV>
            <wp:extent cx="1038225" cy="32766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clrChange>
                        <a:clrFrom>
                          <a:srgbClr val="FFFFFF"/>
                        </a:clrFrom>
                        <a:clrTo>
                          <a:srgbClr val="FFFFFF">
                            <a:alpha val="0"/>
                          </a:srgbClr>
                        </a:clrTo>
                      </a:clrChange>
                      <a:extLst>
                        <a:ext uri="{28A0092B-C50C-407E-A947-70E740481C1C}"/>
                      </a:extLst>
                    </a:blip>
                    <a:srcRect/>
                    <a:stretch>
                      <a:fillRect/>
                    </a:stretch>
                  </pic:blipFill>
                  <pic:spPr bwMode="auto">
                    <a:xfrm>
                      <a:off x="0" y="0"/>
                      <a:ext cx="1038225" cy="327660"/>
                    </a:xfrm>
                    <a:prstGeom prst="rect">
                      <a:avLst/>
                    </a:prstGeom>
                    <a:noFill/>
                  </pic:spPr>
                </pic:pic>
              </a:graphicData>
            </a:graphic>
          </wp:anchor>
        </w:drawing>
      </w:r>
    </w:p>
    <w:tbl>
      <w:tblPr>
        <w:tblLayout w:type="fixed"/>
        <w:tblInd w:w="640" w:type="dxa"/>
        <w:tblCellMar>
          <w:top w:w="0" w:type="dxa"/>
          <w:left w:w="0" w:type="dxa"/>
          <w:bottom w:w="0" w:type="dxa"/>
          <w:right w:w="0" w:type="dxa"/>
        </w:tblCellMar>
      </w:tblPr>
      <w:tr>
        <w:trPr>
          <w:trHeight w:val="244"/>
        </w:trPr>
        <w:tc>
          <w:tcPr>
            <w:tcW w:w="14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20" w:type="dxa"/>
            <w:vAlign w:val="bottom"/>
            <w:gridSpan w:val="2"/>
          </w:tcPr>
          <w:p>
            <w:pPr>
              <w:ind w:left="140"/>
              <w:spacing w:after="0"/>
              <w:rPr>
                <w:sz w:val="20"/>
                <w:szCs w:val="20"/>
                <w:color w:val="auto"/>
              </w:rPr>
            </w:pPr>
            <w:r>
              <w:rPr>
                <w:rFonts w:ascii="Calibri" w:cs="Calibri" w:eastAsia="Calibri" w:hAnsi="Calibri"/>
                <w:sz w:val="20"/>
                <w:szCs w:val="20"/>
                <w:b w:val="1"/>
                <w:bCs w:val="1"/>
                <w:color w:val="auto"/>
              </w:rPr>
              <w:t>ADDENDUM TO LEASE</w:t>
            </w:r>
          </w:p>
        </w:tc>
      </w:tr>
      <w:tr>
        <w:trPr>
          <w:trHeight w:val="380"/>
        </w:trPr>
        <w:tc>
          <w:tcPr>
            <w:tcW w:w="1480" w:type="dxa"/>
            <w:vAlign w:val="bottom"/>
          </w:tcPr>
          <w:p>
            <w:pPr>
              <w:spacing w:after="0"/>
              <w:rPr>
                <w:sz w:val="20"/>
                <w:szCs w:val="20"/>
                <w:color w:val="auto"/>
              </w:rPr>
            </w:pPr>
            <w:r>
              <w:rPr>
                <w:rFonts w:ascii="Calibri" w:cs="Calibri" w:eastAsia="Calibri" w:hAnsi="Calibri"/>
                <w:sz w:val="14"/>
                <w:szCs w:val="14"/>
                <w:b w:val="1"/>
                <w:bCs w:val="1"/>
                <w:color w:val="auto"/>
              </w:rPr>
              <w:t>Date:</w:t>
            </w:r>
          </w:p>
        </w:tc>
        <w:tc>
          <w:tcPr>
            <w:tcW w:w="3320" w:type="dxa"/>
            <w:vAlign w:val="bottom"/>
            <w:gridSpan w:val="5"/>
          </w:tcPr>
          <w:p>
            <w:pPr>
              <w:spacing w:after="0"/>
              <w:rPr>
                <w:sz w:val="20"/>
                <w:szCs w:val="20"/>
                <w:color w:val="auto"/>
              </w:rPr>
            </w:pPr>
            <w:r>
              <w:rPr>
                <w:rFonts w:ascii="Calibri" w:cs="Calibri" w:eastAsia="Calibri" w:hAnsi="Calibri"/>
                <w:sz w:val="14"/>
                <w:szCs w:val="14"/>
                <w:color w:val="0000FF"/>
              </w:rPr>
              <w:t>April 5, 2024</w:t>
            </w:r>
          </w:p>
        </w:tc>
      </w:tr>
      <w:tr>
        <w:trPr>
          <w:trHeight w:val="197"/>
        </w:trPr>
        <w:tc>
          <w:tcPr>
            <w:tcW w:w="1480" w:type="dxa"/>
            <w:vAlign w:val="bottom"/>
          </w:tcPr>
          <w:p>
            <w:pPr>
              <w:spacing w:after="0"/>
              <w:rPr>
                <w:sz w:val="20"/>
                <w:szCs w:val="20"/>
                <w:color w:val="auto"/>
              </w:rPr>
            </w:pPr>
            <w:r>
              <w:rPr>
                <w:rFonts w:ascii="Calibri" w:cs="Calibri" w:eastAsia="Calibri" w:hAnsi="Calibri"/>
                <w:sz w:val="14"/>
                <w:szCs w:val="14"/>
                <w:b w:val="1"/>
                <w:bCs w:val="1"/>
                <w:color w:val="auto"/>
              </w:rPr>
              <w:t>By and Between</w:t>
            </w:r>
          </w:p>
        </w:tc>
        <w:tc>
          <w:tcPr>
            <w:tcW w:w="6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0"/>
        </w:trPr>
        <w:tc>
          <w:tcPr>
            <w:tcW w:w="1480" w:type="dxa"/>
            <w:vAlign w:val="bottom"/>
          </w:tcPr>
          <w:p>
            <w:pPr>
              <w:ind w:left="100"/>
              <w:spacing w:after="0"/>
              <w:rPr>
                <w:sz w:val="20"/>
                <w:szCs w:val="20"/>
                <w:color w:val="auto"/>
              </w:rPr>
            </w:pPr>
            <w:r>
              <w:rPr>
                <w:rFonts w:ascii="Calibri" w:cs="Calibri" w:eastAsia="Calibri" w:hAnsi="Calibri"/>
                <w:sz w:val="14"/>
                <w:szCs w:val="14"/>
                <w:b w:val="1"/>
                <w:bCs w:val="1"/>
                <w:color w:val="auto"/>
              </w:rPr>
              <w:t>Lessor:</w:t>
            </w:r>
          </w:p>
        </w:tc>
        <w:tc>
          <w:tcPr>
            <w:tcW w:w="3320" w:type="dxa"/>
            <w:vAlign w:val="bottom"/>
            <w:gridSpan w:val="5"/>
          </w:tcPr>
          <w:p>
            <w:pPr>
              <w:spacing w:after="0"/>
              <w:rPr>
                <w:sz w:val="20"/>
                <w:szCs w:val="20"/>
                <w:color w:val="auto"/>
              </w:rPr>
            </w:pPr>
            <w:r>
              <w:rPr>
                <w:rFonts w:ascii="Calibri" w:cs="Calibri" w:eastAsia="Calibri" w:hAnsi="Calibri"/>
                <w:sz w:val="14"/>
                <w:szCs w:val="14"/>
                <w:color w:val="0000FF"/>
              </w:rPr>
              <w:t>BML Management, LLC</w:t>
            </w:r>
          </w:p>
        </w:tc>
      </w:tr>
      <w:tr>
        <w:trPr>
          <w:trHeight w:val="174"/>
        </w:trPr>
        <w:tc>
          <w:tcPr>
            <w:tcW w:w="1480" w:type="dxa"/>
            <w:vAlign w:val="bottom"/>
          </w:tcPr>
          <w:p>
            <w:pPr>
              <w:ind w:left="100"/>
              <w:spacing w:after="0"/>
              <w:rPr>
                <w:sz w:val="20"/>
                <w:szCs w:val="20"/>
                <w:color w:val="auto"/>
              </w:rPr>
            </w:pPr>
            <w:r>
              <w:rPr>
                <w:rFonts w:ascii="Calibri" w:cs="Calibri" w:eastAsia="Calibri" w:hAnsi="Calibri"/>
                <w:sz w:val="14"/>
                <w:szCs w:val="14"/>
                <w:b w:val="1"/>
                <w:bCs w:val="1"/>
                <w:color w:val="auto"/>
              </w:rPr>
              <w:t>Lessee:</w:t>
            </w:r>
          </w:p>
        </w:tc>
        <w:tc>
          <w:tcPr>
            <w:tcW w:w="1300" w:type="dxa"/>
            <w:vAlign w:val="bottom"/>
            <w:tcBorders>
              <w:top w:val="single" w:sz="8" w:color="0000FF"/>
            </w:tcBorders>
            <w:gridSpan w:val="3"/>
          </w:tcPr>
          <w:p>
            <w:pPr>
              <w:spacing w:after="0"/>
              <w:rPr>
                <w:sz w:val="20"/>
                <w:szCs w:val="20"/>
                <w:color w:val="auto"/>
              </w:rPr>
            </w:pPr>
            <w:r>
              <w:rPr>
                <w:rFonts w:ascii="Calibri" w:cs="Calibri" w:eastAsia="Calibri" w:hAnsi="Calibri"/>
                <w:sz w:val="14"/>
                <w:szCs w:val="14"/>
                <w:color w:val="0000FF"/>
              </w:rPr>
              <w:t>RxSight, Inc.</w:t>
            </w:r>
          </w:p>
        </w:tc>
        <w:tc>
          <w:tcPr>
            <w:tcW w:w="2020" w:type="dxa"/>
            <w:vAlign w:val="bottom"/>
            <w:gridSpan w:val="2"/>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74"/>
        </w:trPr>
        <w:tc>
          <w:tcPr>
            <w:tcW w:w="1480" w:type="dxa"/>
            <w:vAlign w:val="bottom"/>
          </w:tcPr>
          <w:p>
            <w:pPr>
              <w:spacing w:after="0"/>
              <w:rPr>
                <w:sz w:val="20"/>
                <w:szCs w:val="20"/>
                <w:color w:val="auto"/>
              </w:rPr>
            </w:pPr>
            <w:r>
              <w:rPr>
                <w:rFonts w:ascii="Calibri" w:cs="Calibri" w:eastAsia="Calibri" w:hAnsi="Calibri"/>
                <w:sz w:val="14"/>
                <w:szCs w:val="14"/>
                <w:b w:val="1"/>
                <w:bCs w:val="1"/>
                <w:color w:val="auto"/>
              </w:rPr>
              <w:t>Property Address:</w:t>
            </w:r>
          </w:p>
        </w:tc>
        <w:tc>
          <w:tcPr>
            <w:tcW w:w="3320" w:type="dxa"/>
            <w:vAlign w:val="bottom"/>
            <w:gridSpan w:val="5"/>
          </w:tcPr>
          <w:p>
            <w:pPr>
              <w:spacing w:after="0"/>
              <w:rPr>
                <w:sz w:val="20"/>
                <w:szCs w:val="20"/>
                <w:color w:val="auto"/>
              </w:rPr>
            </w:pPr>
            <w:r>
              <w:rPr>
                <w:rFonts w:ascii="Calibri" w:cs="Calibri" w:eastAsia="Calibri" w:hAnsi="Calibri"/>
                <w:sz w:val="14"/>
                <w:szCs w:val="14"/>
                <w:color w:val="0000FF"/>
              </w:rPr>
              <w:t>125 Columbia, Aliso Viejo, CA 92656</w:t>
            </w:r>
          </w:p>
        </w:tc>
      </w:tr>
      <w:tr>
        <w:trPr>
          <w:trHeight w:val="197"/>
        </w:trPr>
        <w:tc>
          <w:tcPr>
            <w:tcW w:w="1480" w:type="dxa"/>
            <w:vAlign w:val="bottom"/>
          </w:tcPr>
          <w:p>
            <w:pPr>
              <w:spacing w:after="0"/>
              <w:rPr>
                <w:sz w:val="17"/>
                <w:szCs w:val="17"/>
                <w:color w:val="auto"/>
              </w:rPr>
            </w:pPr>
          </w:p>
        </w:tc>
        <w:tc>
          <w:tcPr>
            <w:tcW w:w="2040" w:type="dxa"/>
            <w:vAlign w:val="bottom"/>
            <w:tcBorders>
              <w:top w:val="single" w:sz="8" w:color="0000FF"/>
            </w:tcBorders>
            <w:gridSpan w:val="4"/>
          </w:tcPr>
          <w:p>
            <w:pPr>
              <w:spacing w:after="0"/>
              <w:rPr>
                <w:sz w:val="20"/>
                <w:szCs w:val="20"/>
                <w:color w:val="auto"/>
              </w:rPr>
            </w:pPr>
            <w:r>
              <w:rPr>
                <w:rFonts w:ascii="Calibri" w:cs="Calibri" w:eastAsia="Calibri" w:hAnsi="Calibri"/>
                <w:sz w:val="14"/>
                <w:szCs w:val="14"/>
                <w:color w:val="auto"/>
              </w:rPr>
              <w:t>(street address, city, state, zip)</w:t>
            </w:r>
          </w:p>
        </w:tc>
        <w:tc>
          <w:tcPr>
            <w:tcW w:w="1280" w:type="dxa"/>
            <w:vAlign w:val="bottom"/>
          </w:tcPr>
          <w:p>
            <w:pPr>
              <w:spacing w:after="0"/>
              <w:rPr>
                <w:sz w:val="17"/>
                <w:szCs w:val="17"/>
                <w:color w:val="auto"/>
              </w:rPr>
            </w:pPr>
          </w:p>
        </w:tc>
      </w:tr>
    </w:tbl>
    <w:p>
      <w:pPr>
        <w:spacing w:after="0" w:line="227" w:lineRule="exact"/>
        <w:rPr>
          <w:sz w:val="20"/>
          <w:szCs w:val="20"/>
          <w:color w:val="auto"/>
        </w:rPr>
      </w:pPr>
    </w:p>
    <w:p>
      <w:pPr>
        <w:ind w:left="640"/>
        <w:spacing w:after="0"/>
        <w:rPr>
          <w:sz w:val="20"/>
          <w:szCs w:val="20"/>
          <w:color w:val="auto"/>
        </w:rPr>
      </w:pPr>
      <w:r>
        <w:rPr>
          <w:rFonts w:ascii="Calibri" w:cs="Calibri" w:eastAsia="Calibri" w:hAnsi="Calibri"/>
          <w:sz w:val="11"/>
          <w:szCs w:val="11"/>
          <w:color w:val="auto"/>
        </w:rPr>
        <w:t xml:space="preserve">Paragraph: </w:t>
      </w:r>
      <w:r>
        <w:rPr>
          <w:rFonts w:ascii="Calibri" w:cs="Calibri" w:eastAsia="Calibri" w:hAnsi="Calibri"/>
          <w:sz w:val="14"/>
          <w:szCs w:val="14"/>
          <w:color w:val="0000FF"/>
        </w:rPr>
        <w:t>54 - 61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-13970</wp:posOffset>
            </wp:positionV>
            <wp:extent cx="26733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67335" cy="6985"/>
                    </a:xfrm>
                    <a:prstGeom prst="rect">
                      <a:avLst/>
                    </a:prstGeom>
                    <a:noFill/>
                  </pic:spPr>
                </pic:pic>
              </a:graphicData>
            </a:graphic>
          </wp:anchor>
        </w:drawing>
      </w:r>
    </w:p>
    <w:p>
      <w:pPr>
        <w:spacing w:after="0" w:line="75" w:lineRule="exact"/>
        <w:rPr>
          <w:sz w:val="20"/>
          <w:szCs w:val="20"/>
          <w:color w:val="auto"/>
        </w:rPr>
      </w:pPr>
    </w:p>
    <w:p>
      <w:pPr>
        <w:ind w:left="640"/>
        <w:spacing w:after="0"/>
        <w:rPr>
          <w:sz w:val="20"/>
          <w:szCs w:val="20"/>
          <w:color w:val="auto"/>
        </w:rPr>
      </w:pPr>
      <w:r>
        <w:rPr>
          <w:rFonts w:ascii="Calibri" w:cs="Calibri" w:eastAsia="Calibri" w:hAnsi="Calibri"/>
          <w:sz w:val="11"/>
          <w:szCs w:val="11"/>
          <w:color w:val="auto"/>
        </w:rPr>
        <w:t>In the event of any conflict between the provisions of this Addendum and the printed provisions of the Lease, this Addendum shall control.</w:t>
      </w:r>
    </w:p>
    <w:p>
      <w:pPr>
        <w:spacing w:after="0" w:line="106" w:lineRule="exact"/>
        <w:rPr>
          <w:sz w:val="20"/>
          <w:szCs w:val="20"/>
          <w:color w:val="auto"/>
        </w:rPr>
      </w:pPr>
    </w:p>
    <w:p>
      <w:pPr>
        <w:ind w:left="640" w:right="779" w:hanging="9"/>
        <w:spacing w:after="0" w:line="254" w:lineRule="auto"/>
        <w:tabs>
          <w:tab w:leader="none" w:pos="916" w:val="left"/>
        </w:tabs>
        <w:numPr>
          <w:ilvl w:val="0"/>
          <w:numId w:val="101"/>
        </w:numPr>
        <w:rPr>
          <w:rFonts w:ascii="Georgia" w:cs="Georgia" w:eastAsia="Georgia" w:hAnsi="Georgia"/>
          <w:sz w:val="17"/>
          <w:szCs w:val="17"/>
          <w:u w:val="single" w:color="auto"/>
          <w:color w:val="FF0000"/>
        </w:rPr>
      </w:pPr>
      <w:r>
        <w:rPr>
          <w:rFonts w:ascii="Georgia" w:cs="Georgia" w:eastAsia="Georgia" w:hAnsi="Georgia"/>
          <w:sz w:val="17"/>
          <w:szCs w:val="17"/>
          <w:u w:val="single" w:color="auto"/>
          <w:color w:val="FF0000"/>
        </w:rPr>
        <w:t>Operating Expenses:</w:t>
      </w:r>
      <w:r>
        <w:rPr>
          <w:rFonts w:ascii="Georgia" w:cs="Georgia" w:eastAsia="Georgia" w:hAnsi="Georgia"/>
          <w:sz w:val="17"/>
          <w:szCs w:val="17"/>
          <w:color w:val="FF0000"/>
        </w:rPr>
        <w:t xml:space="preserve"> In addition to the base rent, Tenant shall be responsible for the Operating Expenses each month of the term currently estimated to be $0.43/PSF. The Operating Expense shall also be paid during the abated months of July-November 2024.</w:t>
      </w:r>
    </w:p>
    <w:p>
      <w:pPr>
        <w:spacing w:after="0" w:line="172" w:lineRule="exact"/>
        <w:rPr>
          <w:rFonts w:ascii="Georgia" w:cs="Georgia" w:eastAsia="Georgia" w:hAnsi="Georgia"/>
          <w:sz w:val="17"/>
          <w:szCs w:val="17"/>
          <w:u w:val="single" w:color="auto"/>
          <w:color w:val="FF0000"/>
        </w:rPr>
      </w:pPr>
    </w:p>
    <w:p>
      <w:pPr>
        <w:ind w:left="640" w:right="959" w:hanging="9"/>
        <w:spacing w:after="0" w:line="254" w:lineRule="auto"/>
        <w:tabs>
          <w:tab w:leader="none" w:pos="910" w:val="left"/>
        </w:tabs>
        <w:numPr>
          <w:ilvl w:val="0"/>
          <w:numId w:val="101"/>
        </w:numPr>
        <w:rPr>
          <w:rFonts w:ascii="Georgia" w:cs="Georgia" w:eastAsia="Georgia" w:hAnsi="Georgia"/>
          <w:sz w:val="17"/>
          <w:szCs w:val="17"/>
          <w:u w:val="single" w:color="auto"/>
          <w:color w:val="FF0000"/>
        </w:rPr>
      </w:pPr>
      <w:r>
        <w:rPr>
          <w:rFonts w:ascii="Georgia" w:cs="Georgia" w:eastAsia="Georgia" w:hAnsi="Georgia"/>
          <w:sz w:val="17"/>
          <w:szCs w:val="17"/>
          <w:u w:val="single" w:color="auto"/>
          <w:color w:val="FF0000"/>
        </w:rPr>
        <w:t>Improvement Allowance :</w:t>
      </w:r>
      <w:r>
        <w:rPr>
          <w:rFonts w:ascii="Georgia" w:cs="Georgia" w:eastAsia="Georgia" w:hAnsi="Georgia"/>
          <w:sz w:val="17"/>
          <w:szCs w:val="17"/>
          <w:color w:val="FF0000"/>
        </w:rPr>
        <w:t xml:space="preserve"> Landlord shall provide a $30,000 Allowance for all mutually agreed upon building improvements.</w:t>
      </w:r>
    </w:p>
    <w:p>
      <w:pPr>
        <w:spacing w:after="0" w:line="172" w:lineRule="exact"/>
        <w:rPr>
          <w:rFonts w:ascii="Georgia" w:cs="Georgia" w:eastAsia="Georgia" w:hAnsi="Georgia"/>
          <w:sz w:val="17"/>
          <w:szCs w:val="17"/>
          <w:u w:val="single" w:color="auto"/>
          <w:color w:val="FF0000"/>
        </w:rPr>
      </w:pPr>
    </w:p>
    <w:p>
      <w:pPr>
        <w:ind w:left="640" w:right="759" w:hanging="9"/>
        <w:spacing w:after="0" w:line="254" w:lineRule="auto"/>
        <w:tabs>
          <w:tab w:leader="none" w:pos="916" w:val="left"/>
        </w:tabs>
        <w:numPr>
          <w:ilvl w:val="0"/>
          <w:numId w:val="101"/>
        </w:numPr>
        <w:rPr>
          <w:rFonts w:ascii="Georgia" w:cs="Georgia" w:eastAsia="Georgia" w:hAnsi="Georgia"/>
          <w:sz w:val="17"/>
          <w:szCs w:val="17"/>
          <w:u w:val="single" w:color="auto"/>
          <w:color w:val="FF0000"/>
        </w:rPr>
      </w:pPr>
      <w:r>
        <w:rPr>
          <w:rFonts w:ascii="Georgia" w:cs="Georgia" w:eastAsia="Georgia" w:hAnsi="Georgia"/>
          <w:sz w:val="17"/>
          <w:szCs w:val="17"/>
          <w:u w:val="single" w:color="auto"/>
          <w:color w:val="FF0000"/>
        </w:rPr>
        <w:t>Tenant Improvements :</w:t>
      </w:r>
      <w:r>
        <w:rPr>
          <w:rFonts w:ascii="Georgia" w:cs="Georgia" w:eastAsia="Georgia" w:hAnsi="Georgia"/>
          <w:sz w:val="17"/>
          <w:szCs w:val="17"/>
          <w:color w:val="FF0000"/>
        </w:rPr>
        <w:t xml:space="preserve"> Landlord approves the attached Tenant Improvement plan, (Exhibit A), but understands Tenant may perform minor changes to said plan prior to commencing construction. Tenant at Tenant’s sole cost shall perform all interior improvements to include the following:</w:t>
      </w:r>
    </w:p>
    <w:p>
      <w:pPr>
        <w:spacing w:after="0" w:line="172" w:lineRule="exact"/>
        <w:rPr>
          <w:sz w:val="20"/>
          <w:szCs w:val="20"/>
          <w:color w:val="auto"/>
        </w:rPr>
      </w:pPr>
    </w:p>
    <w:p>
      <w:pPr>
        <w:ind w:left="640" w:right="979" w:hanging="9"/>
        <w:spacing w:after="0" w:line="253" w:lineRule="auto"/>
        <w:tabs>
          <w:tab w:leader="none" w:pos="820" w:val="left"/>
        </w:tabs>
        <w:numPr>
          <w:ilvl w:val="0"/>
          <w:numId w:val="102"/>
        </w:numPr>
        <w:rPr>
          <w:rFonts w:ascii="Georgia" w:cs="Georgia" w:eastAsia="Georgia" w:hAnsi="Georgia"/>
          <w:sz w:val="17"/>
          <w:szCs w:val="17"/>
          <w:color w:val="FF0000"/>
        </w:rPr>
      </w:pPr>
      <w:r>
        <w:rPr>
          <w:rFonts w:ascii="Georgia" w:cs="Georgia" w:eastAsia="Georgia" w:hAnsi="Georgia"/>
          <w:sz w:val="17"/>
          <w:szCs w:val="17"/>
          <w:color w:val="FF0000"/>
        </w:rPr>
        <w:t>Building out a Light Manufacturing Space of approximately 9,000 sq ft (including a clean room area of 6,000 sq ft)</w:t>
      </w:r>
    </w:p>
    <w:p>
      <w:pPr>
        <w:spacing w:after="0" w:line="1" w:lineRule="exact"/>
        <w:rPr>
          <w:rFonts w:ascii="Georgia" w:cs="Georgia" w:eastAsia="Georgia" w:hAnsi="Georgia"/>
          <w:sz w:val="17"/>
          <w:szCs w:val="17"/>
          <w:color w:val="FF0000"/>
        </w:rPr>
      </w:pPr>
    </w:p>
    <w:p>
      <w:pPr>
        <w:ind w:left="840" w:hanging="209"/>
        <w:spacing w:after="0"/>
        <w:tabs>
          <w:tab w:leader="none" w:pos="840" w:val="left"/>
        </w:tabs>
        <w:numPr>
          <w:ilvl w:val="0"/>
          <w:numId w:val="102"/>
        </w:numPr>
        <w:rPr>
          <w:rFonts w:ascii="Georgia" w:cs="Georgia" w:eastAsia="Georgia" w:hAnsi="Georgia"/>
          <w:sz w:val="17"/>
          <w:szCs w:val="17"/>
          <w:color w:val="FF0000"/>
        </w:rPr>
      </w:pPr>
      <w:r>
        <w:rPr>
          <w:rFonts w:ascii="Georgia" w:cs="Georgia" w:eastAsia="Georgia" w:hAnsi="Georgia"/>
          <w:sz w:val="17"/>
          <w:szCs w:val="17"/>
          <w:color w:val="FF0000"/>
        </w:rPr>
        <w:t>Building out a conference/meeting area of approximately 6,000 sf.</w:t>
      </w:r>
    </w:p>
    <w:p>
      <w:pPr>
        <w:spacing w:after="0" w:line="11" w:lineRule="exact"/>
        <w:rPr>
          <w:rFonts w:ascii="Georgia" w:cs="Georgia" w:eastAsia="Georgia" w:hAnsi="Georgia"/>
          <w:sz w:val="17"/>
          <w:szCs w:val="17"/>
          <w:color w:val="FF0000"/>
        </w:rPr>
      </w:pPr>
    </w:p>
    <w:p>
      <w:pPr>
        <w:ind w:left="840" w:hanging="209"/>
        <w:spacing w:after="0"/>
        <w:tabs>
          <w:tab w:leader="none" w:pos="840" w:val="left"/>
        </w:tabs>
        <w:numPr>
          <w:ilvl w:val="0"/>
          <w:numId w:val="102"/>
        </w:numPr>
        <w:rPr>
          <w:rFonts w:ascii="Georgia" w:cs="Georgia" w:eastAsia="Georgia" w:hAnsi="Georgia"/>
          <w:sz w:val="17"/>
          <w:szCs w:val="17"/>
          <w:color w:val="FF0000"/>
        </w:rPr>
      </w:pPr>
      <w:r>
        <w:rPr>
          <w:rFonts w:ascii="Georgia" w:cs="Georgia" w:eastAsia="Georgia" w:hAnsi="Georgia"/>
          <w:sz w:val="17"/>
          <w:szCs w:val="17"/>
          <w:color w:val="FF0000"/>
        </w:rPr>
        <w:t>Building out functional Office space of approximately 11,000 sf.</w:t>
      </w:r>
    </w:p>
    <w:p>
      <w:pPr>
        <w:spacing w:after="0" w:line="183" w:lineRule="exact"/>
        <w:rPr>
          <w:sz w:val="20"/>
          <w:szCs w:val="20"/>
          <w:color w:val="auto"/>
        </w:rPr>
      </w:pPr>
    </w:p>
    <w:p>
      <w:pPr>
        <w:ind w:left="640" w:right="819"/>
        <w:spacing w:after="0" w:line="254" w:lineRule="auto"/>
        <w:rPr>
          <w:sz w:val="20"/>
          <w:szCs w:val="20"/>
          <w:color w:val="auto"/>
        </w:rPr>
      </w:pPr>
      <w:r>
        <w:rPr>
          <w:rFonts w:ascii="Georgia" w:cs="Georgia" w:eastAsia="Georgia" w:hAnsi="Georgia"/>
          <w:sz w:val="17"/>
          <w:szCs w:val="17"/>
          <w:color w:val="FF0000"/>
        </w:rPr>
        <w:t>Landlord to provide Tenant architectural plans with dimensions so a specific improvement plan can be provided to Landlord for approval prior to lease execution. Upon Landlord’s acceptance of Tenant’s improvements and changes to the Premises, Tenant may leave the Premises in its current condition (layout, plan, setup, etc.) and shall not be obligated to restore the Premises back to its original condition at the end of Tenant’s lease term. In addition to the above improvement items, Tenant shall paint, install flooring, and provide overall upgrades. (See Exhibit A).</w:t>
      </w:r>
    </w:p>
    <w:p>
      <w:pPr>
        <w:spacing w:after="0" w:line="172" w:lineRule="exact"/>
        <w:rPr>
          <w:sz w:val="20"/>
          <w:szCs w:val="20"/>
          <w:color w:val="auto"/>
        </w:rPr>
      </w:pPr>
    </w:p>
    <w:p>
      <w:pPr>
        <w:ind w:left="640" w:right="699" w:hanging="9"/>
        <w:spacing w:after="0" w:line="254" w:lineRule="auto"/>
        <w:tabs>
          <w:tab w:leader="none" w:pos="905" w:val="left"/>
        </w:tabs>
        <w:numPr>
          <w:ilvl w:val="0"/>
          <w:numId w:val="103"/>
        </w:numPr>
        <w:rPr>
          <w:rFonts w:ascii="Georgia" w:cs="Georgia" w:eastAsia="Georgia" w:hAnsi="Georgia"/>
          <w:sz w:val="17"/>
          <w:szCs w:val="17"/>
          <w:u w:val="single" w:color="auto"/>
          <w:color w:val="FF0000"/>
        </w:rPr>
      </w:pPr>
      <w:r>
        <w:rPr>
          <w:rFonts w:ascii="Georgia" w:cs="Georgia" w:eastAsia="Georgia" w:hAnsi="Georgia"/>
          <w:sz w:val="17"/>
          <w:szCs w:val="17"/>
          <w:u w:val="single" w:color="auto"/>
          <w:color w:val="FF0000"/>
        </w:rPr>
        <w:t>Condition of Premises :</w:t>
      </w:r>
      <w:r>
        <w:rPr>
          <w:rFonts w:ascii="Georgia" w:cs="Georgia" w:eastAsia="Georgia" w:hAnsi="Georgia"/>
          <w:sz w:val="17"/>
          <w:szCs w:val="17"/>
          <w:color w:val="FF0000"/>
        </w:rPr>
        <w:t xml:space="preserve"> Landlord shall warrant and deliver the building clean with all building systems in proper working condition including roof, electrical, fire sprinklers and plumbing. The HVAC systems, plumbing fixtures and truck doors shall be inspected by a service contractor and all recommended maintenance/repairs/ replacements shall be completed at Lessor’s cost. Thereafter, all maintenance and replacements shall be in accordance with the AIR lease form.</w:t>
      </w:r>
    </w:p>
    <w:p>
      <w:pPr>
        <w:spacing w:after="0" w:line="172" w:lineRule="exact"/>
        <w:rPr>
          <w:rFonts w:ascii="Georgia" w:cs="Georgia" w:eastAsia="Georgia" w:hAnsi="Georgia"/>
          <w:sz w:val="17"/>
          <w:szCs w:val="17"/>
          <w:u w:val="single" w:color="auto"/>
          <w:color w:val="FF0000"/>
        </w:rPr>
      </w:pPr>
    </w:p>
    <w:p>
      <w:pPr>
        <w:ind w:left="640" w:right="779" w:hanging="9"/>
        <w:spacing w:after="0" w:line="254" w:lineRule="auto"/>
        <w:tabs>
          <w:tab w:leader="none" w:pos="921" w:val="left"/>
        </w:tabs>
        <w:numPr>
          <w:ilvl w:val="0"/>
          <w:numId w:val="103"/>
        </w:numPr>
        <w:rPr>
          <w:rFonts w:ascii="Georgia" w:cs="Georgia" w:eastAsia="Georgia" w:hAnsi="Georgia"/>
          <w:sz w:val="17"/>
          <w:szCs w:val="17"/>
          <w:u w:val="single" w:color="auto"/>
          <w:color w:val="FF0000"/>
        </w:rPr>
      </w:pPr>
      <w:r>
        <w:rPr>
          <w:rFonts w:ascii="Georgia" w:cs="Georgia" w:eastAsia="Georgia" w:hAnsi="Georgia"/>
          <w:sz w:val="17"/>
          <w:szCs w:val="17"/>
          <w:u w:val="single" w:color="auto"/>
          <w:color w:val="FF0000"/>
        </w:rPr>
        <w:t>Signage :</w:t>
      </w:r>
      <w:r>
        <w:rPr>
          <w:rFonts w:ascii="Georgia" w:cs="Georgia" w:eastAsia="Georgia" w:hAnsi="Georgia"/>
          <w:sz w:val="17"/>
          <w:szCs w:val="17"/>
          <w:color w:val="FF0000"/>
        </w:rPr>
        <w:t xml:space="preserve"> Tenant shall have the right at their sole cost and expense to install building signage. All signage shall be in compliance with the City of Aliso Viejo ordinances, Association and Landlord’s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31750</wp:posOffset>
            </wp:positionV>
            <wp:extent cx="574040" cy="2940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31750</wp:posOffset>
            </wp:positionV>
            <wp:extent cx="382905" cy="2940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2017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ADD-1.03, Revised 10-22-2020</w:t>
            </w:r>
          </w:p>
        </w:tc>
        <w:tc>
          <w:tcPr>
            <w:tcW w:w="4960" w:type="dxa"/>
            <w:vAlign w:val="bottom"/>
          </w:tcPr>
          <w:p>
            <w:pPr>
              <w:ind w:left="4380"/>
              <w:spacing w:after="0"/>
              <w:rPr>
                <w:sz w:val="20"/>
                <w:szCs w:val="20"/>
                <w:color w:val="auto"/>
              </w:rPr>
            </w:pPr>
            <w:r>
              <w:rPr>
                <w:rFonts w:ascii="Calibri" w:cs="Calibri" w:eastAsia="Calibri" w:hAnsi="Calibri"/>
                <w:sz w:val="13"/>
                <w:szCs w:val="13"/>
                <w:color w:val="auto"/>
                <w:w w:val="95"/>
              </w:rPr>
              <w:t>Page 1 of 2</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1" w:name="page122"/>
    <w:bookmarkEnd w:id="121"/>
    <w:p>
      <w:pPr>
        <w:ind w:left="640" w:right="819" w:hanging="9"/>
        <w:spacing w:after="0" w:line="254" w:lineRule="auto"/>
        <w:tabs>
          <w:tab w:leader="none" w:pos="916" w:val="left"/>
        </w:tabs>
        <w:numPr>
          <w:ilvl w:val="0"/>
          <w:numId w:val="104"/>
        </w:numPr>
        <w:rPr>
          <w:rFonts w:ascii="Georgia" w:cs="Georgia" w:eastAsia="Georgia" w:hAnsi="Georgia"/>
          <w:sz w:val="17"/>
          <w:szCs w:val="17"/>
          <w:u w:val="single" w:color="auto"/>
          <w:color w:val="FF0000"/>
        </w:rPr>
      </w:pPr>
      <w:r>
        <w:rPr>
          <w:rFonts w:ascii="Georgia" w:cs="Georgia" w:eastAsia="Georgia" w:hAnsi="Georgia"/>
          <w:sz w:val="17"/>
          <w:szCs w:val="17"/>
          <w:u w:val="single" w:color="auto"/>
          <w:color w:val="FF0000"/>
        </w:rPr>
        <w:t>Parking :</w:t>
      </w:r>
      <w:r>
        <w:rPr>
          <w:rFonts w:ascii="Georgia" w:cs="Georgia" w:eastAsia="Georgia" w:hAnsi="Georgia"/>
          <w:sz w:val="17"/>
          <w:szCs w:val="17"/>
          <w:color w:val="FF0000"/>
        </w:rPr>
        <w:t xml:space="preserve"> Tenant shall receive exclusive parking for the building free and in common throughout the lease term and option periods</w:t>
      </w:r>
    </w:p>
    <w:p>
      <w:pPr>
        <w:spacing w:after="0" w:line="172" w:lineRule="exact"/>
        <w:rPr>
          <w:rFonts w:ascii="Georgia" w:cs="Georgia" w:eastAsia="Georgia" w:hAnsi="Georgia"/>
          <w:sz w:val="17"/>
          <w:szCs w:val="17"/>
          <w:u w:val="single" w:color="auto"/>
          <w:color w:val="FF0000"/>
        </w:rPr>
      </w:pPr>
    </w:p>
    <w:p>
      <w:pPr>
        <w:ind w:left="640" w:right="699" w:hanging="9"/>
        <w:spacing w:after="0" w:line="254" w:lineRule="auto"/>
        <w:tabs>
          <w:tab w:leader="none" w:pos="931" w:val="left"/>
        </w:tabs>
        <w:numPr>
          <w:ilvl w:val="0"/>
          <w:numId w:val="104"/>
        </w:numPr>
        <w:rPr>
          <w:rFonts w:ascii="Georgia" w:cs="Georgia" w:eastAsia="Georgia" w:hAnsi="Georgia"/>
          <w:sz w:val="17"/>
          <w:szCs w:val="17"/>
          <w:u w:val="single" w:color="auto"/>
          <w:color w:val="FF0000"/>
        </w:rPr>
      </w:pPr>
      <w:r>
        <w:rPr>
          <w:rFonts w:ascii="Georgia" w:cs="Georgia" w:eastAsia="Georgia" w:hAnsi="Georgia"/>
          <w:sz w:val="17"/>
          <w:szCs w:val="17"/>
          <w:u w:val="single" w:color="auto"/>
          <w:color w:val="FF0000"/>
        </w:rPr>
        <w:t>Security Deposit:</w:t>
      </w:r>
      <w:r>
        <w:rPr>
          <w:rFonts w:ascii="Georgia" w:cs="Georgia" w:eastAsia="Georgia" w:hAnsi="Georgia"/>
          <w:sz w:val="17"/>
          <w:szCs w:val="17"/>
          <w:color w:val="FF0000"/>
        </w:rPr>
        <w:t xml:space="preserve"> Upon lease execution, Tenant shall pay the first month’s Base Rent, expenses and a Security Deposit equal to the last month’s rent ($51,111.90). The existing security deposit of Unit B ($16,829.90) shall be transferred over to the new lease and Tenant shall provide the difference of $34,281.00 to fulfill the security deposit amount.</w:t>
      </w:r>
    </w:p>
    <w:p>
      <w:pPr>
        <w:spacing w:after="0" w:line="172" w:lineRule="exact"/>
        <w:rPr>
          <w:rFonts w:ascii="Georgia" w:cs="Georgia" w:eastAsia="Georgia" w:hAnsi="Georgia"/>
          <w:sz w:val="17"/>
          <w:szCs w:val="17"/>
          <w:u w:val="single" w:color="auto"/>
          <w:color w:val="FF0000"/>
        </w:rPr>
      </w:pPr>
    </w:p>
    <w:p>
      <w:pPr>
        <w:ind w:left="640" w:right="819" w:hanging="9"/>
        <w:spacing w:after="0" w:line="254" w:lineRule="auto"/>
        <w:tabs>
          <w:tab w:leader="none" w:pos="899" w:val="left"/>
        </w:tabs>
        <w:numPr>
          <w:ilvl w:val="0"/>
          <w:numId w:val="104"/>
        </w:numPr>
        <w:rPr>
          <w:rFonts w:ascii="Georgia" w:cs="Georgia" w:eastAsia="Georgia" w:hAnsi="Georgia"/>
          <w:sz w:val="17"/>
          <w:szCs w:val="17"/>
          <w:u w:val="single" w:color="auto"/>
          <w:color w:val="FF0000"/>
        </w:rPr>
      </w:pPr>
      <w:r>
        <w:rPr>
          <w:rFonts w:ascii="Georgia" w:cs="Georgia" w:eastAsia="Georgia" w:hAnsi="Georgia"/>
          <w:sz w:val="17"/>
          <w:szCs w:val="17"/>
          <w:u w:val="single" w:color="auto"/>
          <w:color w:val="FF0000"/>
        </w:rPr>
        <w:t>Existing Lease Agreement:</w:t>
      </w:r>
      <w:r>
        <w:rPr>
          <w:rFonts w:ascii="Georgia" w:cs="Georgia" w:eastAsia="Georgia" w:hAnsi="Georgia"/>
          <w:sz w:val="17"/>
          <w:szCs w:val="17"/>
          <w:color w:val="FF0000"/>
        </w:rPr>
        <w:t xml:space="preserve"> The Lease Agreement with RxSight for 125 Columbia, Suite B, shall terminate on June 1, 2024, subject to mutual execution of this Lease Agreement and the monies due upon execution being delivered to Lessor.</w:t>
      </w:r>
    </w:p>
    <w:p>
      <w:pPr>
        <w:spacing w:after="0" w:line="330" w:lineRule="exact"/>
        <w:rPr>
          <w:sz w:val="20"/>
          <w:szCs w:val="20"/>
          <w:color w:val="auto"/>
        </w:rPr>
      </w:pPr>
    </w:p>
    <w:p>
      <w:pPr>
        <w:jc w:val="center"/>
        <w:spacing w:after="0"/>
        <w:rPr>
          <w:sz w:val="20"/>
          <w:szCs w:val="20"/>
          <w:color w:val="auto"/>
        </w:rPr>
      </w:pPr>
      <w:r>
        <w:rPr>
          <w:rFonts w:ascii="Calibri" w:cs="Calibri" w:eastAsia="Calibri" w:hAnsi="Calibri"/>
          <w:sz w:val="11"/>
          <w:szCs w:val="11"/>
          <w:b w:val="1"/>
          <w:bCs w:val="1"/>
          <w:color w:val="auto"/>
        </w:rPr>
        <w:t>AIR CRE * htps://www.aircre.com * 213-687-8777 * contracts@aircre.com</w:t>
      </w:r>
    </w:p>
    <w:p>
      <w:pPr>
        <w:spacing w:after="0" w:line="6" w:lineRule="exact"/>
        <w:rPr>
          <w:sz w:val="20"/>
          <w:szCs w:val="20"/>
          <w:color w:val="auto"/>
        </w:rPr>
      </w:pPr>
    </w:p>
    <w:p>
      <w:pPr>
        <w:jc w:val="center"/>
        <w:spacing w:after="0"/>
        <w:rPr>
          <w:sz w:val="20"/>
          <w:szCs w:val="20"/>
          <w:color w:val="auto"/>
        </w:rPr>
      </w:pPr>
      <w:r>
        <w:rPr>
          <w:rFonts w:ascii="Calibri" w:cs="Calibri" w:eastAsia="Calibri" w:hAnsi="Calibri"/>
          <w:sz w:val="11"/>
          <w:szCs w:val="11"/>
          <w:b w:val="1"/>
          <w:bCs w:val="1"/>
          <w:color w:val="auto"/>
        </w:rPr>
        <w:t>NOTICE: No part of these works may be reproduced in any form without permission in writng.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45085</wp:posOffset>
            </wp:positionV>
            <wp:extent cx="574040" cy="2940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74040" cy="294005"/>
                    </a:xfrm>
                    <a:prstGeom prst="rect">
                      <a:avLst/>
                    </a:prstGeom>
                    <a:noFill/>
                  </pic:spPr>
                </pic:pic>
              </a:graphicData>
            </a:graphic>
          </wp:anchor>
        </w:drawing>
        <w:drawing>
          <wp:anchor simplePos="0" relativeHeight="251657728" behindDoc="1" locked="0" layoutInCell="0" allowOverlap="1">
            <wp:simplePos x="0" y="0"/>
            <wp:positionH relativeFrom="column">
              <wp:posOffset>2654935</wp:posOffset>
            </wp:positionH>
            <wp:positionV relativeFrom="paragraph">
              <wp:posOffset>45085</wp:posOffset>
            </wp:positionV>
            <wp:extent cx="382905" cy="2940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82905" cy="29400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2780" w:type="dxa"/>
            <w:vAlign w:val="bottom"/>
          </w:tcPr>
          <w:p>
            <w:pPr>
              <w:spacing w:after="0"/>
              <w:rPr>
                <w:sz w:val="20"/>
                <w:szCs w:val="20"/>
                <w:color w:val="auto"/>
              </w:rPr>
            </w:pPr>
            <w:r>
              <w:rPr>
                <w:rFonts w:ascii="Calibri" w:cs="Calibri" w:eastAsia="Calibri" w:hAnsi="Calibri"/>
                <w:sz w:val="13"/>
                <w:szCs w:val="13"/>
                <w:color w:val="auto"/>
              </w:rPr>
              <w:t>INITIALS</w:t>
            </w:r>
          </w:p>
        </w:tc>
        <w:tc>
          <w:tcPr>
            <w:tcW w:w="4960" w:type="dxa"/>
            <w:vAlign w:val="bottom"/>
          </w:tcPr>
          <w:p>
            <w:pPr>
              <w:ind w:left="860"/>
              <w:spacing w:after="0"/>
              <w:rPr>
                <w:sz w:val="20"/>
                <w:szCs w:val="20"/>
                <w:color w:val="auto"/>
              </w:rPr>
            </w:pPr>
            <w:r>
              <w:rPr>
                <w:rFonts w:ascii="Calibri" w:cs="Calibri" w:eastAsia="Calibri" w:hAnsi="Calibri"/>
                <w:sz w:val="13"/>
                <w:szCs w:val="13"/>
                <w:color w:val="auto"/>
              </w:rPr>
              <w:t>INITIALS</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 2017 AIR CRE. All Rights Reserved.</w:t>
            </w:r>
          </w:p>
        </w:tc>
        <w:tc>
          <w:tcPr>
            <w:tcW w:w="4960" w:type="dxa"/>
            <w:vAlign w:val="bottom"/>
          </w:tcPr>
          <w:p>
            <w:pPr>
              <w:ind w:left="3260"/>
              <w:spacing w:after="0"/>
              <w:rPr>
                <w:sz w:val="20"/>
                <w:szCs w:val="20"/>
                <w:color w:val="auto"/>
              </w:rPr>
            </w:pPr>
            <w:r>
              <w:rPr>
                <w:rFonts w:ascii="Calibri" w:cs="Calibri" w:eastAsia="Calibri" w:hAnsi="Calibri"/>
                <w:sz w:val="13"/>
                <w:szCs w:val="13"/>
                <w:color w:val="auto"/>
              </w:rPr>
              <w:t>Last Edited: 4/10/2024 2:06 PM</w:t>
            </w:r>
          </w:p>
        </w:tc>
      </w:tr>
      <w:tr>
        <w:trPr>
          <w:trHeight w:val="161"/>
        </w:trPr>
        <w:tc>
          <w:tcPr>
            <w:tcW w:w="2780" w:type="dxa"/>
            <w:vAlign w:val="bottom"/>
          </w:tcPr>
          <w:p>
            <w:pPr>
              <w:spacing w:after="0"/>
              <w:rPr>
                <w:sz w:val="20"/>
                <w:szCs w:val="20"/>
                <w:color w:val="auto"/>
              </w:rPr>
            </w:pPr>
            <w:r>
              <w:rPr>
                <w:rFonts w:ascii="Calibri" w:cs="Calibri" w:eastAsia="Calibri" w:hAnsi="Calibri"/>
                <w:sz w:val="13"/>
                <w:szCs w:val="13"/>
                <w:color w:val="auto"/>
              </w:rPr>
              <w:t>ADD-1.03, Revised 10-22-2020</w:t>
            </w:r>
          </w:p>
        </w:tc>
        <w:tc>
          <w:tcPr>
            <w:tcW w:w="4960" w:type="dxa"/>
            <w:vAlign w:val="bottom"/>
          </w:tcPr>
          <w:p>
            <w:pPr>
              <w:ind w:left="4380"/>
              <w:spacing w:after="0"/>
              <w:rPr>
                <w:sz w:val="20"/>
                <w:szCs w:val="20"/>
                <w:color w:val="auto"/>
              </w:rPr>
            </w:pPr>
            <w:r>
              <w:rPr>
                <w:rFonts w:ascii="Calibri" w:cs="Calibri" w:eastAsia="Calibri" w:hAnsi="Calibri"/>
                <w:sz w:val="13"/>
                <w:szCs w:val="13"/>
                <w:color w:val="auto"/>
                <w:w w:val="95"/>
              </w:rPr>
              <w:t>Page 2 of 2</w:t>
            </w:r>
          </w:p>
        </w:tc>
      </w:tr>
      <w:tr>
        <w:trPr>
          <w:trHeight w:val="744"/>
        </w:trPr>
        <w:tc>
          <w:tcPr>
            <w:tcW w:w="27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04" w:right="1440" w:bottom="1440" w:gutter="0" w:footer="0" w:header="0"/>
        </w:sectPr>
      </w:pPr>
    </w:p>
    <w:bookmarkStart w:id="122" w:name="page123"/>
    <w:bookmarkEnd w:id="1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509905</wp:posOffset>
            </wp:positionH>
            <wp:positionV relativeFrom="page">
              <wp:posOffset>5897245</wp:posOffset>
            </wp:positionV>
            <wp:extent cx="6584315" cy="393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584315" cy="39370"/>
                    </a:xfrm>
                    <a:prstGeom prst="rect">
                      <a:avLst/>
                    </a:prstGeom>
                    <a:noFill/>
                  </pic:spPr>
                </pic:pic>
              </a:graphicData>
            </a:graphic>
          </wp:anchor>
        </w:drawing>
        <w:drawing>
          <wp:anchor simplePos="0" relativeHeight="251657728" behindDoc="1" locked="0" layoutInCell="0" allowOverlap="1">
            <wp:simplePos x="0" y="0"/>
            <wp:positionH relativeFrom="page">
              <wp:posOffset>528955</wp:posOffset>
            </wp:positionH>
            <wp:positionV relativeFrom="page">
              <wp:posOffset>635635</wp:posOffset>
            </wp:positionV>
            <wp:extent cx="6551930" cy="467296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clrChange>
                        <a:clrFrom>
                          <a:srgbClr val="FFFFFF"/>
                        </a:clrFrom>
                        <a:clrTo>
                          <a:srgbClr val="FFFFFF">
                            <a:alpha val="0"/>
                          </a:srgbClr>
                        </a:clrTo>
                      </a:clrChange>
                      <a:extLst>
                        <a:ext uri="{28A0092B-C50C-407E-A947-70E740481C1C}"/>
                      </a:extLst>
                    </a:blip>
                    <a:srcRect/>
                    <a:stretch>
                      <a:fillRect/>
                    </a:stretch>
                  </pic:blipFill>
                  <pic:spPr bwMode="auto">
                    <a:xfrm>
                      <a:off x="0" y="0"/>
                      <a:ext cx="6551930" cy="4672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right"/>
        <w:ind w:right="639"/>
        <w:spacing w:after="0"/>
        <w:rPr>
          <w:sz w:val="20"/>
          <w:szCs w:val="20"/>
          <w:color w:val="auto"/>
        </w:rPr>
      </w:pPr>
      <w:r>
        <w:rPr>
          <w:rFonts w:ascii="Calibri" w:cs="Calibri" w:eastAsia="Calibri" w:hAnsi="Calibri"/>
          <w:sz w:val="14"/>
          <w:szCs w:val="14"/>
          <w:b w:val="1"/>
          <w:bCs w:val="1"/>
          <w:color w:val="auto"/>
        </w:rPr>
        <w:t>Exhibit 10.2</w:t>
      </w:r>
    </w:p>
    <w:p>
      <w:pPr>
        <w:spacing w:after="0" w:line="141"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LEASE AMENDMENT #2</w:t>
      </w:r>
    </w:p>
    <w:p>
      <w:pPr>
        <w:spacing w:after="0" w:line="152" w:lineRule="exact"/>
        <w:rPr>
          <w:sz w:val="20"/>
          <w:szCs w:val="20"/>
          <w:color w:val="auto"/>
        </w:rPr>
      </w:pPr>
    </w:p>
    <w:p>
      <w:pPr>
        <w:jc w:val="center"/>
        <w:spacing w:after="0"/>
        <w:rPr>
          <w:sz w:val="20"/>
          <w:szCs w:val="20"/>
          <w:color w:val="auto"/>
        </w:rPr>
      </w:pPr>
      <w:r>
        <w:rPr>
          <w:rFonts w:ascii="Calibri" w:cs="Calibri" w:eastAsia="Calibri" w:hAnsi="Calibri"/>
          <w:sz w:val="14"/>
          <w:szCs w:val="14"/>
          <w:b w:val="1"/>
          <w:bCs w:val="1"/>
          <w:color w:val="auto"/>
        </w:rPr>
        <w:t>(5 Columbia, Aliso Viejo, CA 92656)</w:t>
      </w:r>
    </w:p>
    <w:p>
      <w:pPr>
        <w:spacing w:after="0" w:line="156" w:lineRule="exact"/>
        <w:rPr>
          <w:sz w:val="20"/>
          <w:szCs w:val="20"/>
          <w:color w:val="auto"/>
        </w:rPr>
      </w:pPr>
    </w:p>
    <w:p>
      <w:pPr>
        <w:ind w:left="640" w:right="739"/>
        <w:spacing w:after="0" w:line="218" w:lineRule="auto"/>
        <w:rPr>
          <w:sz w:val="20"/>
          <w:szCs w:val="20"/>
          <w:color w:val="auto"/>
        </w:rPr>
      </w:pPr>
      <w:r>
        <w:rPr>
          <w:rFonts w:ascii="Calibri" w:cs="Calibri" w:eastAsia="Calibri" w:hAnsi="Calibri"/>
          <w:sz w:val="14"/>
          <w:szCs w:val="14"/>
          <w:color w:val="auto"/>
        </w:rPr>
        <w:t>This 2</w:t>
      </w:r>
      <w:r>
        <w:rPr>
          <w:rFonts w:ascii="Calibri" w:cs="Calibri" w:eastAsia="Calibri" w:hAnsi="Calibri"/>
          <w:sz w:val="19"/>
          <w:szCs w:val="19"/>
          <w:color w:val="auto"/>
          <w:vertAlign w:val="superscript"/>
        </w:rPr>
        <w:t>nd</w:t>
      </w:r>
      <w:r>
        <w:rPr>
          <w:rFonts w:ascii="Calibri" w:cs="Calibri" w:eastAsia="Calibri" w:hAnsi="Calibri"/>
          <w:sz w:val="14"/>
          <w:szCs w:val="14"/>
          <w:color w:val="auto"/>
        </w:rPr>
        <w:t xml:space="preserve"> Amendment to the Lease Agreement (hereinafer referred to as “</w:t>
      </w:r>
      <w:r>
        <w:rPr>
          <w:rFonts w:ascii="Calibri" w:cs="Calibri" w:eastAsia="Calibri" w:hAnsi="Calibri"/>
          <w:sz w:val="14"/>
          <w:szCs w:val="14"/>
          <w:b w:val="1"/>
          <w:bCs w:val="1"/>
          <w:color w:val="auto"/>
        </w:rPr>
        <w:t>Amendment</w:t>
      </w:r>
      <w:r>
        <w:rPr>
          <w:rFonts w:ascii="Calibri" w:cs="Calibri" w:eastAsia="Calibri" w:hAnsi="Calibri"/>
          <w:sz w:val="14"/>
          <w:szCs w:val="14"/>
          <w:color w:val="auto"/>
        </w:rPr>
        <w:t>”) is made and entered into by and between Cliford D. Downs (the “</w:t>
      </w:r>
      <w:r>
        <w:rPr>
          <w:rFonts w:ascii="Calibri" w:cs="Calibri" w:eastAsia="Calibri" w:hAnsi="Calibri"/>
          <w:sz w:val="14"/>
          <w:szCs w:val="14"/>
          <w:b w:val="1"/>
          <w:bCs w:val="1"/>
          <w:color w:val="auto"/>
        </w:rPr>
        <w:t>Lessor</w:t>
      </w:r>
      <w:r>
        <w:rPr>
          <w:rFonts w:ascii="Calibri" w:cs="Calibri" w:eastAsia="Calibri" w:hAnsi="Calibri"/>
          <w:sz w:val="14"/>
          <w:szCs w:val="14"/>
          <w:color w:val="auto"/>
        </w:rPr>
        <w:t>”) and RxSight, Inc., a Delaware Corporaton (the “</w:t>
      </w:r>
      <w:r>
        <w:rPr>
          <w:rFonts w:ascii="Calibri" w:cs="Calibri" w:eastAsia="Calibri" w:hAnsi="Calibri"/>
          <w:sz w:val="14"/>
          <w:szCs w:val="14"/>
          <w:b w:val="1"/>
          <w:bCs w:val="1"/>
          <w:color w:val="auto"/>
        </w:rPr>
        <w:t>Lessee</w:t>
      </w:r>
      <w:r>
        <w:rPr>
          <w:rFonts w:ascii="Calibri" w:cs="Calibri" w:eastAsia="Calibri" w:hAnsi="Calibri"/>
          <w:sz w:val="14"/>
          <w:szCs w:val="14"/>
          <w:color w:val="auto"/>
        </w:rPr>
        <w:t>”, and together with Lessor, the “</w:t>
      </w:r>
      <w:r>
        <w:rPr>
          <w:rFonts w:ascii="Calibri" w:cs="Calibri" w:eastAsia="Calibri" w:hAnsi="Calibri"/>
          <w:sz w:val="14"/>
          <w:szCs w:val="14"/>
          <w:b w:val="1"/>
          <w:bCs w:val="1"/>
          <w:color w:val="auto"/>
        </w:rPr>
        <w:t>Partes</w:t>
      </w:r>
      <w:r>
        <w:rPr>
          <w:rFonts w:ascii="Calibri" w:cs="Calibri" w:eastAsia="Calibri" w:hAnsi="Calibri"/>
          <w:sz w:val="14"/>
          <w:szCs w:val="14"/>
          <w:color w:val="auto"/>
        </w:rPr>
        <w:t>”) as the last date signed by the Partes (the “</w:t>
      </w:r>
      <w:r>
        <w:rPr>
          <w:rFonts w:ascii="Calibri" w:cs="Calibri" w:eastAsia="Calibri" w:hAnsi="Calibri"/>
          <w:sz w:val="14"/>
          <w:szCs w:val="14"/>
          <w:b w:val="1"/>
          <w:bCs w:val="1"/>
          <w:color w:val="auto"/>
        </w:rPr>
        <w:t>Efectve Date</w:t>
      </w:r>
      <w:r>
        <w:rPr>
          <w:rFonts w:ascii="Calibri" w:cs="Calibri" w:eastAsia="Calibri" w:hAnsi="Calibri"/>
          <w:sz w:val="14"/>
          <w:szCs w:val="14"/>
          <w:color w:val="auto"/>
        </w:rPr>
        <w:t>”).</w:t>
      </w:r>
    </w:p>
    <w:p>
      <w:pPr>
        <w:spacing w:after="0" w:line="143" w:lineRule="exact"/>
        <w:rPr>
          <w:sz w:val="20"/>
          <w:szCs w:val="20"/>
          <w:color w:val="auto"/>
        </w:rPr>
      </w:pPr>
    </w:p>
    <w:p>
      <w:pPr>
        <w:ind w:left="640" w:right="1359"/>
        <w:spacing w:after="0" w:line="239" w:lineRule="auto"/>
        <w:rPr>
          <w:sz w:val="20"/>
          <w:szCs w:val="20"/>
          <w:color w:val="auto"/>
        </w:rPr>
      </w:pPr>
      <w:r>
        <w:rPr>
          <w:rFonts w:ascii="Calibri" w:cs="Calibri" w:eastAsia="Calibri" w:hAnsi="Calibri"/>
          <w:sz w:val="14"/>
          <w:szCs w:val="14"/>
          <w:b w:val="1"/>
          <w:bCs w:val="1"/>
          <w:color w:val="auto"/>
        </w:rPr>
        <w:t>WHEREAS</w:t>
      </w:r>
      <w:r>
        <w:rPr>
          <w:rFonts w:ascii="Calibri" w:cs="Calibri" w:eastAsia="Calibri" w:hAnsi="Calibri"/>
          <w:sz w:val="14"/>
          <w:szCs w:val="14"/>
          <w:color w:val="auto"/>
        </w:rPr>
        <w:t>, the Partes entered into that certain Lease Agreement dated January 10, 2018, as amended on April 5, 2022, (the</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w:t>
      </w:r>
      <w:r>
        <w:rPr>
          <w:rFonts w:ascii="Calibri" w:cs="Calibri" w:eastAsia="Calibri" w:hAnsi="Calibri"/>
          <w:sz w:val="14"/>
          <w:szCs w:val="14"/>
          <w:b w:val="1"/>
          <w:bCs w:val="1"/>
          <w:color w:val="auto"/>
        </w:rPr>
        <w:t>Agreement</w:t>
      </w:r>
      <w:r>
        <w:rPr>
          <w:rFonts w:ascii="Calibri" w:cs="Calibri" w:eastAsia="Calibri" w:hAnsi="Calibri"/>
          <w:sz w:val="14"/>
          <w:szCs w:val="14"/>
          <w:color w:val="auto"/>
        </w:rPr>
        <w:t>”) for the property located at 5 Columbia, Aliso Viejo, CA 92656, and</w:t>
      </w:r>
    </w:p>
    <w:p>
      <w:pPr>
        <w:spacing w:after="0" w:line="153" w:lineRule="exact"/>
        <w:rPr>
          <w:sz w:val="20"/>
          <w:szCs w:val="20"/>
          <w:color w:val="auto"/>
        </w:rPr>
      </w:pPr>
    </w:p>
    <w:p>
      <w:pPr>
        <w:ind w:left="640"/>
        <w:spacing w:after="0"/>
        <w:rPr>
          <w:sz w:val="20"/>
          <w:szCs w:val="20"/>
          <w:color w:val="auto"/>
        </w:rPr>
      </w:pPr>
      <w:r>
        <w:rPr>
          <w:rFonts w:ascii="Calibri" w:cs="Calibri" w:eastAsia="Calibri" w:hAnsi="Calibri"/>
          <w:sz w:val="14"/>
          <w:szCs w:val="14"/>
          <w:b w:val="1"/>
          <w:bCs w:val="1"/>
          <w:color w:val="auto"/>
        </w:rPr>
        <w:t>WHEREAS</w:t>
      </w:r>
      <w:r>
        <w:rPr>
          <w:rFonts w:ascii="Calibri" w:cs="Calibri" w:eastAsia="Calibri" w:hAnsi="Calibri"/>
          <w:sz w:val="14"/>
          <w:szCs w:val="14"/>
          <w:color w:val="auto"/>
        </w:rPr>
        <w:t>, the Partes desire to amend the Agreement in the manner refected herein, and</w:t>
      </w:r>
    </w:p>
    <w:p>
      <w:pPr>
        <w:spacing w:after="0" w:line="141" w:lineRule="exact"/>
        <w:rPr>
          <w:sz w:val="20"/>
          <w:szCs w:val="20"/>
          <w:color w:val="auto"/>
        </w:rPr>
      </w:pPr>
    </w:p>
    <w:p>
      <w:pPr>
        <w:ind w:left="640"/>
        <w:spacing w:after="0"/>
        <w:rPr>
          <w:sz w:val="20"/>
          <w:szCs w:val="20"/>
          <w:color w:val="auto"/>
        </w:rPr>
      </w:pPr>
      <w:r>
        <w:rPr>
          <w:rFonts w:ascii="Calibri" w:cs="Calibri" w:eastAsia="Calibri" w:hAnsi="Calibri"/>
          <w:sz w:val="14"/>
          <w:szCs w:val="14"/>
          <w:b w:val="1"/>
          <w:bCs w:val="1"/>
          <w:color w:val="auto"/>
        </w:rPr>
        <w:t>WHEREAS</w:t>
      </w:r>
      <w:r>
        <w:rPr>
          <w:rFonts w:ascii="Calibri" w:cs="Calibri" w:eastAsia="Calibri" w:hAnsi="Calibri"/>
          <w:sz w:val="14"/>
          <w:szCs w:val="14"/>
          <w:color w:val="auto"/>
        </w:rPr>
        <w:t>, the Partes to the Agreement have approved the Amendment in the manner refected herein.</w:t>
      </w:r>
    </w:p>
    <w:p>
      <w:pPr>
        <w:spacing w:after="0" w:line="142" w:lineRule="exact"/>
        <w:rPr>
          <w:sz w:val="20"/>
          <w:szCs w:val="20"/>
          <w:color w:val="auto"/>
        </w:rPr>
      </w:pPr>
    </w:p>
    <w:p>
      <w:pPr>
        <w:ind w:left="640" w:right="919"/>
        <w:spacing w:after="0" w:line="239" w:lineRule="auto"/>
        <w:rPr>
          <w:sz w:val="20"/>
          <w:szCs w:val="20"/>
          <w:color w:val="auto"/>
        </w:rPr>
      </w:pPr>
      <w:r>
        <w:rPr>
          <w:rFonts w:ascii="Calibri" w:cs="Calibri" w:eastAsia="Calibri" w:hAnsi="Calibri"/>
          <w:sz w:val="14"/>
          <w:szCs w:val="14"/>
          <w:b w:val="1"/>
          <w:bCs w:val="1"/>
          <w:color w:val="auto"/>
        </w:rPr>
        <w:t>NOW THEREFORE</w:t>
      </w:r>
      <w:r>
        <w:rPr>
          <w:rFonts w:ascii="Calibri" w:cs="Calibri" w:eastAsia="Calibri" w:hAnsi="Calibri"/>
          <w:sz w:val="14"/>
          <w:szCs w:val="14"/>
          <w:color w:val="auto"/>
        </w:rPr>
        <w:t>, in consideraton of the premises and mutual covenants and conditons herein, the Partes, intending to be legally</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bound, hereby agree as follows:</w:t>
      </w:r>
    </w:p>
    <w:p>
      <w:pPr>
        <w:spacing w:after="0" w:line="153" w:lineRule="exact"/>
        <w:rPr>
          <w:sz w:val="20"/>
          <w:szCs w:val="20"/>
          <w:color w:val="auto"/>
        </w:rPr>
      </w:pPr>
    </w:p>
    <w:p>
      <w:pPr>
        <w:ind w:left="1140" w:hanging="251"/>
        <w:spacing w:after="0"/>
        <w:tabs>
          <w:tab w:leader="none" w:pos="1140" w:val="left"/>
        </w:tabs>
        <w:numPr>
          <w:ilvl w:val="0"/>
          <w:numId w:val="105"/>
        </w:numPr>
        <w:rPr>
          <w:rFonts w:ascii="Calibri" w:cs="Calibri" w:eastAsia="Calibri" w:hAnsi="Calibri"/>
          <w:sz w:val="14"/>
          <w:szCs w:val="14"/>
          <w:color w:val="auto"/>
        </w:rPr>
      </w:pPr>
      <w:r>
        <w:rPr>
          <w:rFonts w:ascii="Calibri" w:cs="Calibri" w:eastAsia="Calibri" w:hAnsi="Calibri"/>
          <w:sz w:val="14"/>
          <w:szCs w:val="14"/>
          <w:color w:val="auto"/>
        </w:rPr>
        <w:t>The Partes agree to a 70-month lease extension beginning April 1, 2025, and ending January 31, 2031 (the “</w:t>
      </w:r>
      <w:r>
        <w:rPr>
          <w:rFonts w:ascii="Calibri" w:cs="Calibri" w:eastAsia="Calibri" w:hAnsi="Calibri"/>
          <w:sz w:val="14"/>
          <w:szCs w:val="14"/>
          <w:b w:val="1"/>
          <w:bCs w:val="1"/>
          <w:color w:val="auto"/>
        </w:rPr>
        <w:t>Extension</w:t>
      </w:r>
      <w:r>
        <w:rPr>
          <w:rFonts w:ascii="Calibri" w:cs="Calibri" w:eastAsia="Calibri" w:hAnsi="Calibri"/>
          <w:sz w:val="14"/>
          <w:szCs w:val="14"/>
          <w:color w:val="auto"/>
        </w:rPr>
        <w:t>”).</w:t>
      </w:r>
    </w:p>
    <w:p>
      <w:pPr>
        <w:spacing w:after="0" w:line="142" w:lineRule="exact"/>
        <w:rPr>
          <w:rFonts w:ascii="Calibri" w:cs="Calibri" w:eastAsia="Calibri" w:hAnsi="Calibri"/>
          <w:sz w:val="14"/>
          <w:szCs w:val="14"/>
          <w:color w:val="auto"/>
        </w:rPr>
      </w:pPr>
    </w:p>
    <w:p>
      <w:pPr>
        <w:ind w:left="1140" w:right="819" w:hanging="251"/>
        <w:spacing w:after="0" w:line="239" w:lineRule="auto"/>
        <w:tabs>
          <w:tab w:leader="none" w:pos="1140" w:val="left"/>
        </w:tabs>
        <w:numPr>
          <w:ilvl w:val="0"/>
          <w:numId w:val="105"/>
        </w:numPr>
        <w:rPr>
          <w:rFonts w:ascii="Calibri" w:cs="Calibri" w:eastAsia="Calibri" w:hAnsi="Calibri"/>
          <w:sz w:val="14"/>
          <w:szCs w:val="14"/>
          <w:color w:val="auto"/>
        </w:rPr>
      </w:pPr>
      <w:r>
        <w:rPr>
          <w:rFonts w:ascii="Calibri" w:cs="Calibri" w:eastAsia="Calibri" w:hAnsi="Calibri"/>
          <w:sz w:val="14"/>
          <w:szCs w:val="14"/>
          <w:color w:val="auto"/>
        </w:rPr>
        <w:t>The monthly lease rate shall contnue as a Net Net Net (“</w:t>
      </w:r>
      <w:r>
        <w:rPr>
          <w:rFonts w:ascii="Calibri" w:cs="Calibri" w:eastAsia="Calibri" w:hAnsi="Calibri"/>
          <w:sz w:val="14"/>
          <w:szCs w:val="14"/>
          <w:b w:val="1"/>
          <w:bCs w:val="1"/>
          <w:color w:val="auto"/>
        </w:rPr>
        <w:t>NNN</w:t>
      </w:r>
      <w:r>
        <w:rPr>
          <w:rFonts w:ascii="Calibri" w:cs="Calibri" w:eastAsia="Calibri" w:hAnsi="Calibri"/>
          <w:sz w:val="14"/>
          <w:szCs w:val="14"/>
          <w:color w:val="auto"/>
        </w:rPr>
        <w:t>”) lease per the Agreement terms with the Extension base rent rate payable as follows:</w:t>
      </w:r>
    </w:p>
    <w:p>
      <w:pPr>
        <w:spacing w:after="0" w:line="169" w:lineRule="exact"/>
        <w:rPr>
          <w:sz w:val="20"/>
          <w:szCs w:val="20"/>
          <w:color w:val="auto"/>
        </w:rPr>
      </w:pPr>
    </w:p>
    <w:tbl>
      <w:tblPr>
        <w:tblLayout w:type="fixed"/>
        <w:tblInd w:w="1110" w:type="dxa"/>
        <w:tblCellMar>
          <w:top w:w="0" w:type="dxa"/>
          <w:left w:w="0" w:type="dxa"/>
          <w:bottom w:w="0" w:type="dxa"/>
          <w:right w:w="0" w:type="dxa"/>
        </w:tblCellMar>
      </w:tblPr>
      <w:tr>
        <w:trPr>
          <w:trHeight w:val="220"/>
        </w:trPr>
        <w:tc>
          <w:tcPr>
            <w:tcW w:w="188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8"/>
              </w:rPr>
              <w:t>$ per Square Foot</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9"/>
              </w:rPr>
              <w:t>Monthly Rent</w:t>
            </w:r>
          </w:p>
        </w:tc>
      </w:tr>
      <w:tr>
        <w:trPr>
          <w:trHeight w:val="154"/>
        </w:trPr>
        <w:tc>
          <w:tcPr>
            <w:tcW w:w="1880" w:type="dxa"/>
            <w:vAlign w:val="bottom"/>
            <w:tcBorders>
              <w:left w:val="single" w:sz="8" w:color="auto"/>
              <w:right w:val="single" w:sz="8" w:color="auto"/>
            </w:tcBorders>
          </w:tcPr>
          <w:p>
            <w:pPr>
              <w:ind w:left="80"/>
              <w:spacing w:after="0" w:line="154" w:lineRule="exact"/>
              <w:rPr>
                <w:sz w:val="20"/>
                <w:szCs w:val="20"/>
                <w:color w:val="auto"/>
              </w:rPr>
            </w:pPr>
            <w:r>
              <w:rPr>
                <w:rFonts w:ascii="Calibri" w:cs="Calibri" w:eastAsia="Calibri" w:hAnsi="Calibri"/>
                <w:sz w:val="14"/>
                <w:szCs w:val="14"/>
                <w:color w:val="auto"/>
              </w:rPr>
              <w:t>Month 1 (April 1, 2025)</w:t>
            </w:r>
          </w:p>
        </w:tc>
        <w:tc>
          <w:tcPr>
            <w:tcW w:w="1460" w:type="dxa"/>
            <w:vAlign w:val="bottom"/>
            <w:tcBorders>
              <w:right w:val="single" w:sz="8" w:color="auto"/>
            </w:tcBorders>
          </w:tcPr>
          <w:p>
            <w:pPr>
              <w:jc w:val="center"/>
              <w:spacing w:after="0" w:line="150" w:lineRule="exact"/>
              <w:rPr>
                <w:sz w:val="20"/>
                <w:szCs w:val="20"/>
                <w:color w:val="auto"/>
              </w:rPr>
            </w:pPr>
            <w:r>
              <w:rPr>
                <w:rFonts w:ascii="Calibri" w:cs="Calibri" w:eastAsia="Calibri" w:hAnsi="Calibri"/>
                <w:sz w:val="14"/>
                <w:szCs w:val="14"/>
                <w:color w:val="auto"/>
              </w:rPr>
              <w:t>$1.56</w:t>
            </w:r>
          </w:p>
        </w:tc>
        <w:tc>
          <w:tcPr>
            <w:tcW w:w="3480" w:type="dxa"/>
            <w:vAlign w:val="bottom"/>
            <w:tcBorders>
              <w:right w:val="single" w:sz="8" w:color="auto"/>
            </w:tcBorders>
          </w:tcPr>
          <w:p>
            <w:pPr>
              <w:jc w:val="center"/>
              <w:spacing w:after="0" w:line="150" w:lineRule="exact"/>
              <w:rPr>
                <w:sz w:val="20"/>
                <w:szCs w:val="20"/>
                <w:color w:val="auto"/>
              </w:rPr>
            </w:pPr>
            <w:r>
              <w:rPr>
                <w:rFonts w:ascii="Calibri" w:cs="Calibri" w:eastAsia="Calibri" w:hAnsi="Calibri"/>
                <w:sz w:val="14"/>
                <w:szCs w:val="14"/>
                <w:color w:val="auto"/>
                <w:w w:val="99"/>
              </w:rPr>
              <w:t>$30,700.80 plus Lessee’s NNN expenses.</w:t>
            </w:r>
          </w:p>
        </w:tc>
      </w:tr>
      <w:tr>
        <w:trPr>
          <w:trHeight w:val="30"/>
        </w:trPr>
        <w:tc>
          <w:tcPr>
            <w:tcW w:w="188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right w:val="single" w:sz="8" w:color="auto"/>
            </w:tcBorders>
          </w:tcPr>
          <w:p>
            <w:pPr>
              <w:spacing w:after="0"/>
              <w:rPr>
                <w:sz w:val="2"/>
                <w:szCs w:val="2"/>
                <w:color w:val="auto"/>
              </w:rPr>
            </w:pPr>
          </w:p>
        </w:tc>
      </w:tr>
      <w:tr>
        <w:trPr>
          <w:trHeight w:val="160"/>
        </w:trPr>
        <w:tc>
          <w:tcPr>
            <w:tcW w:w="1880" w:type="dxa"/>
            <w:vAlign w:val="bottom"/>
            <w:tcBorders>
              <w:left w:val="single" w:sz="8" w:color="auto"/>
              <w:right w:val="single" w:sz="8" w:color="auto"/>
            </w:tcBorders>
          </w:tcPr>
          <w:p>
            <w:pPr>
              <w:ind w:left="80"/>
              <w:spacing w:after="0" w:line="161" w:lineRule="exact"/>
              <w:rPr>
                <w:sz w:val="20"/>
                <w:szCs w:val="20"/>
                <w:color w:val="auto"/>
              </w:rPr>
            </w:pPr>
            <w:r>
              <w:rPr>
                <w:rFonts w:ascii="Calibri" w:cs="Calibri" w:eastAsia="Calibri" w:hAnsi="Calibri"/>
                <w:sz w:val="14"/>
                <w:szCs w:val="14"/>
                <w:color w:val="auto"/>
              </w:rPr>
              <w:t>Month 2 - 5</w:t>
            </w:r>
          </w:p>
        </w:tc>
        <w:tc>
          <w:tcPr>
            <w:tcW w:w="14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rPr>
              <w:t>$0.78</w:t>
            </w:r>
          </w:p>
        </w:tc>
        <w:tc>
          <w:tcPr>
            <w:tcW w:w="348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w w:val="99"/>
              </w:rPr>
              <w:t>$15,350.40 plus Lessee’s NNN expenses.</w:t>
            </w:r>
          </w:p>
        </w:tc>
      </w:tr>
      <w:tr>
        <w:trPr>
          <w:trHeight w:val="35"/>
        </w:trPr>
        <w:tc>
          <w:tcPr>
            <w:tcW w:w="188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60"/>
        </w:trPr>
        <w:tc>
          <w:tcPr>
            <w:tcW w:w="1880" w:type="dxa"/>
            <w:vAlign w:val="bottom"/>
            <w:tcBorders>
              <w:left w:val="single" w:sz="8" w:color="auto"/>
              <w:right w:val="single" w:sz="8" w:color="auto"/>
            </w:tcBorders>
          </w:tcPr>
          <w:p>
            <w:pPr>
              <w:ind w:left="80"/>
              <w:spacing w:after="0" w:line="161" w:lineRule="exact"/>
              <w:rPr>
                <w:sz w:val="20"/>
                <w:szCs w:val="20"/>
                <w:color w:val="auto"/>
              </w:rPr>
            </w:pPr>
            <w:r>
              <w:rPr>
                <w:rFonts w:ascii="Calibri" w:cs="Calibri" w:eastAsia="Calibri" w:hAnsi="Calibri"/>
                <w:sz w:val="14"/>
                <w:szCs w:val="14"/>
                <w:color w:val="auto"/>
              </w:rPr>
              <w:t>Months 6 - 13</w:t>
            </w:r>
          </w:p>
        </w:tc>
        <w:tc>
          <w:tcPr>
            <w:tcW w:w="14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rPr>
              <w:t>$1.56</w:t>
            </w:r>
          </w:p>
        </w:tc>
        <w:tc>
          <w:tcPr>
            <w:tcW w:w="348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w w:val="99"/>
              </w:rPr>
              <w:t>$30,700.80 plus Lessee’s NNN expenses.</w:t>
            </w:r>
          </w:p>
        </w:tc>
      </w:tr>
      <w:tr>
        <w:trPr>
          <w:trHeight w:val="35"/>
        </w:trPr>
        <w:tc>
          <w:tcPr>
            <w:tcW w:w="188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60"/>
        </w:trPr>
        <w:tc>
          <w:tcPr>
            <w:tcW w:w="1880" w:type="dxa"/>
            <w:vAlign w:val="bottom"/>
            <w:tcBorders>
              <w:left w:val="single" w:sz="8" w:color="auto"/>
              <w:right w:val="single" w:sz="8" w:color="auto"/>
            </w:tcBorders>
          </w:tcPr>
          <w:p>
            <w:pPr>
              <w:ind w:left="80"/>
              <w:spacing w:after="0" w:line="161" w:lineRule="exact"/>
              <w:rPr>
                <w:sz w:val="20"/>
                <w:szCs w:val="20"/>
                <w:color w:val="auto"/>
              </w:rPr>
            </w:pPr>
            <w:r>
              <w:rPr>
                <w:rFonts w:ascii="Calibri" w:cs="Calibri" w:eastAsia="Calibri" w:hAnsi="Calibri"/>
                <w:sz w:val="14"/>
                <w:szCs w:val="14"/>
                <w:color w:val="auto"/>
              </w:rPr>
              <w:t>Months 14 - 17</w:t>
            </w:r>
          </w:p>
        </w:tc>
        <w:tc>
          <w:tcPr>
            <w:tcW w:w="14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rPr>
              <w:t>$0.78</w:t>
            </w:r>
          </w:p>
        </w:tc>
        <w:tc>
          <w:tcPr>
            <w:tcW w:w="348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w w:val="99"/>
              </w:rPr>
              <w:t>$15,350.40 plus Lessee’s NNN expenses.</w:t>
            </w:r>
          </w:p>
        </w:tc>
      </w:tr>
      <w:tr>
        <w:trPr>
          <w:trHeight w:val="35"/>
        </w:trPr>
        <w:tc>
          <w:tcPr>
            <w:tcW w:w="188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60"/>
        </w:trPr>
        <w:tc>
          <w:tcPr>
            <w:tcW w:w="1880" w:type="dxa"/>
            <w:vAlign w:val="bottom"/>
            <w:tcBorders>
              <w:left w:val="single" w:sz="8" w:color="auto"/>
              <w:right w:val="single" w:sz="8" w:color="auto"/>
            </w:tcBorders>
          </w:tcPr>
          <w:p>
            <w:pPr>
              <w:ind w:left="80"/>
              <w:spacing w:after="0" w:line="161" w:lineRule="exact"/>
              <w:rPr>
                <w:sz w:val="20"/>
                <w:szCs w:val="20"/>
                <w:color w:val="auto"/>
              </w:rPr>
            </w:pPr>
            <w:r>
              <w:rPr>
                <w:rFonts w:ascii="Calibri" w:cs="Calibri" w:eastAsia="Calibri" w:hAnsi="Calibri"/>
                <w:sz w:val="14"/>
                <w:szCs w:val="14"/>
                <w:color w:val="auto"/>
              </w:rPr>
              <w:t>Months 18 - 24</w:t>
            </w:r>
          </w:p>
        </w:tc>
        <w:tc>
          <w:tcPr>
            <w:tcW w:w="14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rPr>
              <w:t>$1.56</w:t>
            </w:r>
          </w:p>
        </w:tc>
        <w:tc>
          <w:tcPr>
            <w:tcW w:w="348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w w:val="99"/>
              </w:rPr>
              <w:t>$30,700.80 plus Lessee’s NNN expenses.</w:t>
            </w:r>
          </w:p>
        </w:tc>
      </w:tr>
      <w:tr>
        <w:trPr>
          <w:trHeight w:val="35"/>
        </w:trPr>
        <w:tc>
          <w:tcPr>
            <w:tcW w:w="188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60"/>
        </w:trPr>
        <w:tc>
          <w:tcPr>
            <w:tcW w:w="1880" w:type="dxa"/>
            <w:vAlign w:val="bottom"/>
            <w:tcBorders>
              <w:left w:val="single" w:sz="8" w:color="auto"/>
              <w:right w:val="single" w:sz="8" w:color="auto"/>
            </w:tcBorders>
          </w:tcPr>
          <w:p>
            <w:pPr>
              <w:ind w:left="80"/>
              <w:spacing w:after="0" w:line="161" w:lineRule="exact"/>
              <w:rPr>
                <w:sz w:val="20"/>
                <w:szCs w:val="20"/>
                <w:color w:val="auto"/>
              </w:rPr>
            </w:pPr>
            <w:r>
              <w:rPr>
                <w:rFonts w:ascii="Calibri" w:cs="Calibri" w:eastAsia="Calibri" w:hAnsi="Calibri"/>
                <w:sz w:val="14"/>
                <w:szCs w:val="14"/>
                <w:color w:val="auto"/>
              </w:rPr>
              <w:t>Months 25 - 36</w:t>
            </w:r>
          </w:p>
        </w:tc>
        <w:tc>
          <w:tcPr>
            <w:tcW w:w="14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rPr>
              <w:t>$1.60</w:t>
            </w:r>
          </w:p>
        </w:tc>
        <w:tc>
          <w:tcPr>
            <w:tcW w:w="348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w w:val="99"/>
              </w:rPr>
              <w:t>$31,488.00 plus Lessee’s NNN expenses.</w:t>
            </w:r>
          </w:p>
        </w:tc>
      </w:tr>
      <w:tr>
        <w:trPr>
          <w:trHeight w:val="35"/>
        </w:trPr>
        <w:tc>
          <w:tcPr>
            <w:tcW w:w="188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60"/>
        </w:trPr>
        <w:tc>
          <w:tcPr>
            <w:tcW w:w="1880" w:type="dxa"/>
            <w:vAlign w:val="bottom"/>
            <w:tcBorders>
              <w:left w:val="single" w:sz="8" w:color="auto"/>
              <w:right w:val="single" w:sz="8" w:color="auto"/>
            </w:tcBorders>
          </w:tcPr>
          <w:p>
            <w:pPr>
              <w:ind w:left="80"/>
              <w:spacing w:after="0" w:line="161" w:lineRule="exact"/>
              <w:rPr>
                <w:sz w:val="20"/>
                <w:szCs w:val="20"/>
                <w:color w:val="auto"/>
              </w:rPr>
            </w:pPr>
            <w:r>
              <w:rPr>
                <w:rFonts w:ascii="Calibri" w:cs="Calibri" w:eastAsia="Calibri" w:hAnsi="Calibri"/>
                <w:sz w:val="14"/>
                <w:szCs w:val="14"/>
                <w:color w:val="auto"/>
              </w:rPr>
              <w:t>Months 37 - 48</w:t>
            </w:r>
          </w:p>
        </w:tc>
        <w:tc>
          <w:tcPr>
            <w:tcW w:w="14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rPr>
              <w:t>$1.65</w:t>
            </w:r>
          </w:p>
        </w:tc>
        <w:tc>
          <w:tcPr>
            <w:tcW w:w="348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w w:val="99"/>
              </w:rPr>
              <w:t>$32,472.00 plus Lessee’s NNN expenses.</w:t>
            </w:r>
          </w:p>
        </w:tc>
      </w:tr>
      <w:tr>
        <w:trPr>
          <w:trHeight w:val="35"/>
        </w:trPr>
        <w:tc>
          <w:tcPr>
            <w:tcW w:w="188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60"/>
        </w:trPr>
        <w:tc>
          <w:tcPr>
            <w:tcW w:w="1880" w:type="dxa"/>
            <w:vAlign w:val="bottom"/>
            <w:tcBorders>
              <w:left w:val="single" w:sz="8" w:color="auto"/>
              <w:right w:val="single" w:sz="8" w:color="auto"/>
            </w:tcBorders>
          </w:tcPr>
          <w:p>
            <w:pPr>
              <w:ind w:left="80"/>
              <w:spacing w:after="0" w:line="161" w:lineRule="exact"/>
              <w:rPr>
                <w:sz w:val="20"/>
                <w:szCs w:val="20"/>
                <w:color w:val="auto"/>
              </w:rPr>
            </w:pPr>
            <w:r>
              <w:rPr>
                <w:rFonts w:ascii="Calibri" w:cs="Calibri" w:eastAsia="Calibri" w:hAnsi="Calibri"/>
                <w:sz w:val="14"/>
                <w:szCs w:val="14"/>
                <w:color w:val="auto"/>
              </w:rPr>
              <w:t>Months 49 - 60</w:t>
            </w:r>
          </w:p>
        </w:tc>
        <w:tc>
          <w:tcPr>
            <w:tcW w:w="14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rPr>
              <w:t>$1.70</w:t>
            </w:r>
          </w:p>
        </w:tc>
        <w:tc>
          <w:tcPr>
            <w:tcW w:w="348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w w:val="99"/>
              </w:rPr>
              <w:t>$33,456.00 plus Lessee’s NNN expenses.</w:t>
            </w:r>
          </w:p>
        </w:tc>
      </w:tr>
      <w:tr>
        <w:trPr>
          <w:trHeight w:val="35"/>
        </w:trPr>
        <w:tc>
          <w:tcPr>
            <w:tcW w:w="188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60"/>
        </w:trPr>
        <w:tc>
          <w:tcPr>
            <w:tcW w:w="1880" w:type="dxa"/>
            <w:vAlign w:val="bottom"/>
            <w:tcBorders>
              <w:left w:val="single" w:sz="8" w:color="auto"/>
              <w:right w:val="single" w:sz="8" w:color="auto"/>
            </w:tcBorders>
          </w:tcPr>
          <w:p>
            <w:pPr>
              <w:ind w:left="80"/>
              <w:spacing w:after="0" w:line="161" w:lineRule="exact"/>
              <w:rPr>
                <w:sz w:val="20"/>
                <w:szCs w:val="20"/>
                <w:color w:val="auto"/>
              </w:rPr>
            </w:pPr>
            <w:r>
              <w:rPr>
                <w:rFonts w:ascii="Calibri" w:cs="Calibri" w:eastAsia="Calibri" w:hAnsi="Calibri"/>
                <w:sz w:val="14"/>
                <w:szCs w:val="14"/>
                <w:color w:val="auto"/>
              </w:rPr>
              <w:t>Months 61 - 70</w:t>
            </w:r>
          </w:p>
        </w:tc>
        <w:tc>
          <w:tcPr>
            <w:tcW w:w="146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rPr>
              <w:t>$1.75</w:t>
            </w:r>
          </w:p>
        </w:tc>
        <w:tc>
          <w:tcPr>
            <w:tcW w:w="3480" w:type="dxa"/>
            <w:vAlign w:val="bottom"/>
            <w:tcBorders>
              <w:right w:val="single" w:sz="8" w:color="auto"/>
            </w:tcBorders>
          </w:tcPr>
          <w:p>
            <w:pPr>
              <w:jc w:val="center"/>
              <w:spacing w:after="0" w:line="161" w:lineRule="exact"/>
              <w:rPr>
                <w:sz w:val="20"/>
                <w:szCs w:val="20"/>
                <w:color w:val="auto"/>
              </w:rPr>
            </w:pPr>
            <w:r>
              <w:rPr>
                <w:rFonts w:ascii="Calibri" w:cs="Calibri" w:eastAsia="Calibri" w:hAnsi="Calibri"/>
                <w:sz w:val="14"/>
                <w:szCs w:val="14"/>
                <w:color w:val="auto"/>
                <w:w w:val="99"/>
              </w:rPr>
              <w:t>$34,440.00 plus Lessee’s NNN expenses.</w:t>
            </w:r>
          </w:p>
        </w:tc>
      </w:tr>
      <w:tr>
        <w:trPr>
          <w:trHeight w:val="35"/>
        </w:trPr>
        <w:tc>
          <w:tcPr>
            <w:tcW w:w="188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bl>
    <w:p>
      <w:pPr>
        <w:spacing w:after="0" w:line="155" w:lineRule="exact"/>
        <w:rPr>
          <w:sz w:val="20"/>
          <w:szCs w:val="20"/>
          <w:color w:val="auto"/>
        </w:rPr>
      </w:pPr>
    </w:p>
    <w:p>
      <w:pPr>
        <w:ind w:left="1140" w:right="779" w:hanging="251"/>
        <w:spacing w:after="0" w:line="239" w:lineRule="auto"/>
        <w:tabs>
          <w:tab w:leader="none" w:pos="1140" w:val="left"/>
        </w:tabs>
        <w:numPr>
          <w:ilvl w:val="0"/>
          <w:numId w:val="106"/>
        </w:numPr>
        <w:rPr>
          <w:rFonts w:ascii="Calibri" w:cs="Calibri" w:eastAsia="Calibri" w:hAnsi="Calibri"/>
          <w:sz w:val="14"/>
          <w:szCs w:val="14"/>
          <w:color w:val="auto"/>
        </w:rPr>
      </w:pPr>
      <w:r>
        <w:rPr>
          <w:rFonts w:ascii="Calibri" w:cs="Calibri" w:eastAsia="Calibri" w:hAnsi="Calibri"/>
          <w:sz w:val="14"/>
          <w:szCs w:val="14"/>
          <w:color w:val="auto"/>
        </w:rPr>
        <w:t>Upon executon of this Amendment, Lessee shall pay $9,170.88 to Lessor as an additonal security deposit (resultng in a total security deposit amount of $34,440.00).</w:t>
      </w:r>
    </w:p>
    <w:p>
      <w:pPr>
        <w:spacing w:after="0" w:line="143" w:lineRule="exact"/>
        <w:rPr>
          <w:rFonts w:ascii="Calibri" w:cs="Calibri" w:eastAsia="Calibri" w:hAnsi="Calibri"/>
          <w:sz w:val="14"/>
          <w:szCs w:val="14"/>
          <w:color w:val="auto"/>
        </w:rPr>
      </w:pPr>
    </w:p>
    <w:p>
      <w:pPr>
        <w:ind w:left="1140" w:right="639" w:hanging="251"/>
        <w:spacing w:after="0" w:line="241" w:lineRule="auto"/>
        <w:tabs>
          <w:tab w:leader="none" w:pos="1140" w:val="left"/>
        </w:tabs>
        <w:numPr>
          <w:ilvl w:val="0"/>
          <w:numId w:val="106"/>
        </w:numPr>
        <w:rPr>
          <w:rFonts w:ascii="Calibri" w:cs="Calibri" w:eastAsia="Calibri" w:hAnsi="Calibri"/>
          <w:sz w:val="14"/>
          <w:szCs w:val="14"/>
          <w:color w:val="auto"/>
        </w:rPr>
      </w:pPr>
      <w:r>
        <w:rPr>
          <w:rFonts w:ascii="Calibri" w:cs="Calibri" w:eastAsia="Calibri" w:hAnsi="Calibri"/>
          <w:sz w:val="14"/>
          <w:szCs w:val="14"/>
          <w:color w:val="auto"/>
        </w:rPr>
        <w:t>Lessor hereby grants Lessee two (2) sixty (60)-month optons to renew/extend the lease at the end of the then-current lease term (the “</w:t>
      </w:r>
      <w:r>
        <w:rPr>
          <w:rFonts w:ascii="Calibri" w:cs="Calibri" w:eastAsia="Calibri" w:hAnsi="Calibri"/>
          <w:sz w:val="14"/>
          <w:szCs w:val="14"/>
          <w:b w:val="1"/>
          <w:bCs w:val="1"/>
          <w:color w:val="auto"/>
        </w:rPr>
        <w:t>Optons</w:t>
      </w:r>
      <w:r>
        <w:rPr>
          <w:rFonts w:ascii="Calibri" w:cs="Calibri" w:eastAsia="Calibri" w:hAnsi="Calibri"/>
          <w:sz w:val="14"/>
          <w:szCs w:val="14"/>
          <w:color w:val="auto"/>
        </w:rPr>
        <w:t>”) by providing writen notce to Lessor not less than six (6) months prior to the Opton period commencing. If proper notfcaton is not received than the Opton shall expire. The base rent rate increase for the Optons will refect the proportonate cumulatve increase in the Consumer Price Index (“CPI”) during the previous year. Notwithstanding the foregoing, the base rent increase shall never be less than 3% and never more than 6%. For purposes of this secton, CPI means the United States Department of Labor, Bureau of Labor Statstcs, All Cites Average Consumer Price Index, or if such index is no longer published, a successor or substtute index designated and mutually agreed to by the Partes. The Optons supersedes any previously agreed to optons to renew/extend.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492760</wp:posOffset>
            </wp:positionV>
            <wp:extent cx="4944745" cy="3937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24" w:name="page125"/>
    <w:bookmarkEnd w:id="124"/>
    <w:p>
      <w:pPr>
        <w:ind w:left="1140" w:right="699" w:hanging="251"/>
        <w:spacing w:after="0" w:line="241" w:lineRule="auto"/>
        <w:tabs>
          <w:tab w:leader="none" w:pos="1140" w:val="left"/>
        </w:tabs>
        <w:numPr>
          <w:ilvl w:val="0"/>
          <w:numId w:val="107"/>
        </w:numPr>
        <w:rPr>
          <w:rFonts w:ascii="Calibri" w:cs="Calibri" w:eastAsia="Calibri" w:hAnsi="Calibri"/>
          <w:sz w:val="14"/>
          <w:szCs w:val="14"/>
          <w:color w:val="auto"/>
        </w:rPr>
      </w:pPr>
      <w:r>
        <w:rPr>
          <w:rFonts w:ascii="Calibri" w:cs="Calibri" w:eastAsia="Calibri" w:hAnsi="Calibri"/>
          <w:sz w:val="14"/>
          <w:szCs w:val="14"/>
          <w:color w:val="auto"/>
        </w:rPr>
        <w:t>Provided Lessor has approved all and such Lessee improvements, Lessee’s improvements and changes to the Premises do not need to be restored back to the original conditon at the end of Lessee’s lease term; Lessee may leave the Premises in its current conditon (layout, plan, setup, etc.) and is not obligated to remove any improvements, additons, and alteratons. Lessee’s improvements to date have been previously approved by Lessor with additonal proposed plans (atached as “</w:t>
      </w:r>
      <w:r>
        <w:rPr>
          <w:rFonts w:ascii="Calibri" w:cs="Calibri" w:eastAsia="Calibri" w:hAnsi="Calibri"/>
          <w:sz w:val="14"/>
          <w:szCs w:val="14"/>
          <w:b w:val="1"/>
          <w:bCs w:val="1"/>
          <w:color w:val="auto"/>
        </w:rPr>
        <w:t>EXHIBIT</w:t>
      </w:r>
      <w:r>
        <w:rPr>
          <w:rFonts w:ascii="Calibri" w:cs="Calibri" w:eastAsia="Calibri" w:hAnsi="Calibri"/>
          <w:sz w:val="14"/>
          <w:szCs w:val="14"/>
          <w:color w:val="auto"/>
        </w:rPr>
        <w:t xml:space="preserve"> </w:t>
      </w:r>
      <w:r>
        <w:rPr>
          <w:rFonts w:ascii="Calibri" w:cs="Calibri" w:eastAsia="Calibri" w:hAnsi="Calibri"/>
          <w:sz w:val="14"/>
          <w:szCs w:val="14"/>
          <w:b w:val="1"/>
          <w:bCs w:val="1"/>
          <w:color w:val="auto"/>
        </w:rPr>
        <w:t>A</w:t>
      </w:r>
      <w:r>
        <w:rPr>
          <w:rFonts w:ascii="Calibri" w:cs="Calibri" w:eastAsia="Calibri" w:hAnsi="Calibri"/>
          <w:sz w:val="14"/>
          <w:szCs w:val="14"/>
          <w:color w:val="auto"/>
        </w:rPr>
        <w:t>”). Lessor approves EXHIBIT A, and understands Lessee may perform minor changes to said plan prior to commencing</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constructon.</w:t>
      </w:r>
    </w:p>
    <w:p>
      <w:pPr>
        <w:spacing w:after="0" w:line="153" w:lineRule="exact"/>
        <w:rPr>
          <w:rFonts w:ascii="Calibri" w:cs="Calibri" w:eastAsia="Calibri" w:hAnsi="Calibri"/>
          <w:sz w:val="14"/>
          <w:szCs w:val="14"/>
          <w:color w:val="auto"/>
        </w:rPr>
      </w:pPr>
    </w:p>
    <w:p>
      <w:pPr>
        <w:ind w:left="1140" w:right="639" w:hanging="251"/>
        <w:spacing w:after="0" w:line="239" w:lineRule="auto"/>
        <w:tabs>
          <w:tab w:leader="none" w:pos="1140" w:val="left"/>
        </w:tabs>
        <w:numPr>
          <w:ilvl w:val="0"/>
          <w:numId w:val="107"/>
        </w:numPr>
        <w:rPr>
          <w:rFonts w:ascii="Calibri" w:cs="Calibri" w:eastAsia="Calibri" w:hAnsi="Calibri"/>
          <w:sz w:val="14"/>
          <w:szCs w:val="14"/>
          <w:color w:val="auto"/>
        </w:rPr>
      </w:pPr>
      <w:r>
        <w:rPr>
          <w:rFonts w:ascii="Calibri" w:cs="Calibri" w:eastAsia="Calibri" w:hAnsi="Calibri"/>
          <w:sz w:val="14"/>
          <w:szCs w:val="14"/>
          <w:color w:val="auto"/>
        </w:rPr>
        <w:t>This Amendment may be executed in one or more facsimile, electronic, or original counterparts, each of which shall be deemed an original and both of which together shall consttute the same instrument.</w:t>
      </w:r>
    </w:p>
    <w:p>
      <w:pPr>
        <w:spacing w:after="0" w:line="143" w:lineRule="exact"/>
        <w:rPr>
          <w:rFonts w:ascii="Calibri" w:cs="Calibri" w:eastAsia="Calibri" w:hAnsi="Calibri"/>
          <w:sz w:val="14"/>
          <w:szCs w:val="14"/>
          <w:color w:val="auto"/>
        </w:rPr>
      </w:pPr>
    </w:p>
    <w:p>
      <w:pPr>
        <w:ind w:left="1140" w:right="679" w:hanging="251"/>
        <w:spacing w:after="0"/>
        <w:tabs>
          <w:tab w:leader="none" w:pos="1140" w:val="left"/>
        </w:tabs>
        <w:numPr>
          <w:ilvl w:val="0"/>
          <w:numId w:val="107"/>
        </w:numPr>
        <w:rPr>
          <w:rFonts w:ascii="Calibri" w:cs="Calibri" w:eastAsia="Calibri" w:hAnsi="Calibri"/>
          <w:sz w:val="14"/>
          <w:szCs w:val="14"/>
          <w:color w:val="auto"/>
        </w:rPr>
      </w:pPr>
      <w:r>
        <w:rPr>
          <w:rFonts w:ascii="Calibri" w:cs="Calibri" w:eastAsia="Calibri" w:hAnsi="Calibri"/>
          <w:sz w:val="14"/>
          <w:szCs w:val="14"/>
          <w:color w:val="auto"/>
        </w:rPr>
        <w:t>All Terms and provisions of the Agreement not amended hereby, either expressly or by necessary implicaton, shall remain in full force and efect. From and afer the date of this Amendment, all references to the term “Agreement” in this Amendment or the original Agreement shall include the terms contained in this Amendment.</w:t>
      </w:r>
    </w:p>
    <w:p>
      <w:pPr>
        <w:spacing w:after="0" w:line="142" w:lineRule="exact"/>
        <w:rPr>
          <w:sz w:val="20"/>
          <w:szCs w:val="20"/>
          <w:color w:val="auto"/>
        </w:rPr>
      </w:pPr>
    </w:p>
    <w:p>
      <w:pPr>
        <w:ind w:left="640"/>
        <w:spacing w:after="0"/>
        <w:rPr>
          <w:sz w:val="20"/>
          <w:szCs w:val="20"/>
          <w:color w:val="auto"/>
        </w:rPr>
      </w:pPr>
      <w:r>
        <w:rPr>
          <w:rFonts w:ascii="Calibri" w:cs="Calibri" w:eastAsia="Calibri" w:hAnsi="Calibri"/>
          <w:sz w:val="14"/>
          <w:szCs w:val="14"/>
          <w:b w:val="1"/>
          <w:bCs w:val="1"/>
          <w:color w:val="auto"/>
        </w:rPr>
        <w:t>AGREED &amp; ACCEPTED:</w:t>
      </w:r>
    </w:p>
    <w:p>
      <w:pPr>
        <w:spacing w:after="0" w:line="173" w:lineRule="exact"/>
        <w:rPr>
          <w:sz w:val="20"/>
          <w:szCs w:val="20"/>
          <w:color w:val="auto"/>
        </w:rPr>
      </w:pPr>
    </w:p>
    <w:p>
      <w:pPr>
        <w:ind w:left="640"/>
        <w:spacing w:after="0"/>
        <w:tabs>
          <w:tab w:leader="none" w:pos="4260" w:val="left"/>
        </w:tabs>
        <w:rPr>
          <w:sz w:val="20"/>
          <w:szCs w:val="20"/>
          <w:color w:val="auto"/>
        </w:rPr>
      </w:pPr>
      <w:r>
        <w:rPr>
          <w:rFonts w:ascii="Calibri" w:cs="Calibri" w:eastAsia="Calibri" w:hAnsi="Calibri"/>
          <w:sz w:val="14"/>
          <w:szCs w:val="14"/>
          <w:b w:val="1"/>
          <w:bCs w:val="1"/>
          <w:color w:val="auto"/>
        </w:rPr>
        <w:t>LESSOR:</w:t>
      </w:r>
      <w:r>
        <w:rPr>
          <w:sz w:val="20"/>
          <w:szCs w:val="20"/>
          <w:color w:val="auto"/>
        </w:rPr>
        <w:tab/>
      </w:r>
      <w:r>
        <w:rPr>
          <w:rFonts w:ascii="Calibri" w:cs="Calibri" w:eastAsia="Calibri" w:hAnsi="Calibri"/>
          <w:sz w:val="14"/>
          <w:szCs w:val="14"/>
          <w:b w:val="1"/>
          <w:bCs w:val="1"/>
          <w:color w:val="auto"/>
        </w:rPr>
        <w:t>LESSEE:</w:t>
      </w:r>
    </w:p>
    <w:p>
      <w:pPr>
        <w:spacing w:after="0" w:line="1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260" w:type="dxa"/>
            <w:vAlign w:val="bottom"/>
            <w:gridSpan w:val="2"/>
          </w:tcPr>
          <w:p>
            <w:pPr>
              <w:ind w:left="160"/>
              <w:spacing w:after="0"/>
              <w:rPr>
                <w:sz w:val="20"/>
                <w:szCs w:val="20"/>
                <w:color w:val="auto"/>
              </w:rPr>
            </w:pPr>
            <w:r>
              <w:rPr>
                <w:rFonts w:ascii="Calibri" w:cs="Calibri" w:eastAsia="Calibri" w:hAnsi="Calibri"/>
                <w:sz w:val="14"/>
                <w:szCs w:val="14"/>
                <w:color w:val="auto"/>
              </w:rPr>
              <w:t>RxSight, Inc.</w:t>
            </w:r>
          </w:p>
        </w:tc>
      </w:tr>
      <w:tr>
        <w:trPr>
          <w:trHeight w:val="387"/>
        </w:trPr>
        <w:tc>
          <w:tcPr>
            <w:tcW w:w="380" w:type="dxa"/>
            <w:vAlign w:val="bottom"/>
          </w:tcPr>
          <w:p>
            <w:pPr>
              <w:spacing w:after="0"/>
              <w:rPr>
                <w:sz w:val="20"/>
                <w:szCs w:val="20"/>
                <w:color w:val="auto"/>
              </w:rPr>
            </w:pPr>
            <w:r>
              <w:rPr>
                <w:rFonts w:ascii="Calibri" w:cs="Calibri" w:eastAsia="Calibri" w:hAnsi="Calibri"/>
                <w:sz w:val="14"/>
                <w:szCs w:val="14"/>
                <w:color w:val="auto"/>
              </w:rPr>
              <w:t>By:</w:t>
            </w:r>
          </w:p>
        </w:tc>
        <w:tc>
          <w:tcPr>
            <w:tcW w:w="31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Calibri" w:cs="Calibri" w:eastAsia="Calibri" w:hAnsi="Calibri"/>
                <w:sz w:val="14"/>
                <w:szCs w:val="14"/>
                <w:color w:val="auto"/>
              </w:rPr>
              <w:t>By:</w:t>
            </w:r>
          </w:p>
        </w:tc>
        <w:tc>
          <w:tcPr>
            <w:tcW w:w="364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auto"/>
              </w:rPr>
              <w:t>/s/ Ron Kurtz</w:t>
            </w:r>
          </w:p>
        </w:tc>
      </w:tr>
      <w:tr>
        <w:trPr>
          <w:trHeight w:val="335"/>
        </w:trPr>
        <w:tc>
          <w:tcPr>
            <w:tcW w:w="3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20" w:type="dxa"/>
            <w:vAlign w:val="bottom"/>
          </w:tcPr>
          <w:p>
            <w:pPr>
              <w:ind w:left="160"/>
              <w:spacing w:after="0"/>
              <w:rPr>
                <w:sz w:val="20"/>
                <w:szCs w:val="20"/>
                <w:color w:val="auto"/>
              </w:rPr>
            </w:pPr>
            <w:r>
              <w:rPr>
                <w:rFonts w:ascii="Calibri" w:cs="Calibri" w:eastAsia="Calibri" w:hAnsi="Calibri"/>
                <w:sz w:val="14"/>
                <w:szCs w:val="14"/>
                <w:color w:val="auto"/>
              </w:rPr>
              <w:t>Name:</w:t>
            </w:r>
          </w:p>
        </w:tc>
        <w:tc>
          <w:tcPr>
            <w:tcW w:w="3640" w:type="dxa"/>
            <w:vAlign w:val="bottom"/>
          </w:tcPr>
          <w:p>
            <w:pPr>
              <w:ind w:left="20"/>
              <w:spacing w:after="0"/>
              <w:rPr>
                <w:sz w:val="20"/>
                <w:szCs w:val="20"/>
                <w:color w:val="auto"/>
              </w:rPr>
            </w:pPr>
            <w:r>
              <w:rPr>
                <w:rFonts w:ascii="Calibri" w:cs="Calibri" w:eastAsia="Calibri" w:hAnsi="Calibri"/>
                <w:sz w:val="14"/>
                <w:szCs w:val="14"/>
                <w:color w:val="auto"/>
              </w:rPr>
              <w:t>Ron Kurtz</w:t>
            </w:r>
          </w:p>
        </w:tc>
      </w:tr>
      <w:tr>
        <w:trPr>
          <w:trHeight w:val="31"/>
        </w:trPr>
        <w:tc>
          <w:tcPr>
            <w:tcW w:w="3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326"/>
        </w:trPr>
        <w:tc>
          <w:tcPr>
            <w:tcW w:w="380" w:type="dxa"/>
            <w:vAlign w:val="bottom"/>
          </w:tcPr>
          <w:p>
            <w:pPr>
              <w:spacing w:after="0"/>
              <w:rPr>
                <w:sz w:val="20"/>
                <w:szCs w:val="20"/>
                <w:color w:val="auto"/>
              </w:rPr>
            </w:pPr>
            <w:r>
              <w:rPr>
                <w:rFonts w:ascii="Calibri" w:cs="Calibri" w:eastAsia="Calibri" w:hAnsi="Calibri"/>
                <w:sz w:val="14"/>
                <w:szCs w:val="14"/>
                <w:color w:val="auto"/>
              </w:rPr>
              <w:t>Title:</w:t>
            </w:r>
          </w:p>
        </w:tc>
        <w:tc>
          <w:tcPr>
            <w:tcW w:w="3100" w:type="dxa"/>
            <w:vAlign w:val="bottom"/>
          </w:tcPr>
          <w:p>
            <w:pPr>
              <w:ind w:left="20"/>
              <w:spacing w:after="0"/>
              <w:rPr>
                <w:sz w:val="20"/>
                <w:szCs w:val="20"/>
                <w:color w:val="auto"/>
              </w:rPr>
            </w:pPr>
            <w:r>
              <w:rPr>
                <w:rFonts w:ascii="Calibri" w:cs="Calibri" w:eastAsia="Calibri" w:hAnsi="Calibri"/>
                <w:sz w:val="14"/>
                <w:szCs w:val="14"/>
                <w:color w:val="auto"/>
              </w:rPr>
              <w:t>Lessor</w:t>
            </w:r>
          </w:p>
        </w:tc>
        <w:tc>
          <w:tcPr>
            <w:tcW w:w="620" w:type="dxa"/>
            <w:vAlign w:val="bottom"/>
          </w:tcPr>
          <w:p>
            <w:pPr>
              <w:ind w:left="160"/>
              <w:spacing w:after="0"/>
              <w:rPr>
                <w:sz w:val="20"/>
                <w:szCs w:val="20"/>
                <w:color w:val="auto"/>
              </w:rPr>
            </w:pPr>
            <w:r>
              <w:rPr>
                <w:rFonts w:ascii="Calibri" w:cs="Calibri" w:eastAsia="Calibri" w:hAnsi="Calibri"/>
                <w:sz w:val="14"/>
                <w:szCs w:val="14"/>
                <w:color w:val="auto"/>
              </w:rPr>
              <w:t>Title:</w:t>
            </w:r>
          </w:p>
        </w:tc>
        <w:tc>
          <w:tcPr>
            <w:tcW w:w="3640" w:type="dxa"/>
            <w:vAlign w:val="bottom"/>
          </w:tcPr>
          <w:p>
            <w:pPr>
              <w:ind w:left="20"/>
              <w:spacing w:after="0"/>
              <w:rPr>
                <w:sz w:val="20"/>
                <w:szCs w:val="20"/>
                <w:color w:val="auto"/>
              </w:rPr>
            </w:pPr>
            <w:r>
              <w:rPr>
                <w:rFonts w:ascii="Calibri" w:cs="Calibri" w:eastAsia="Calibri" w:hAnsi="Calibri"/>
                <w:sz w:val="14"/>
                <w:szCs w:val="14"/>
                <w:color w:val="auto"/>
              </w:rPr>
              <w:t>President &amp; CEO</w:t>
            </w:r>
          </w:p>
        </w:tc>
      </w:tr>
      <w:tr>
        <w:trPr>
          <w:trHeight w:val="31"/>
        </w:trPr>
        <w:tc>
          <w:tcPr>
            <w:tcW w:w="38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326"/>
        </w:trPr>
        <w:tc>
          <w:tcPr>
            <w:tcW w:w="380" w:type="dxa"/>
            <w:vAlign w:val="bottom"/>
          </w:tcPr>
          <w:p>
            <w:pPr>
              <w:spacing w:after="0"/>
              <w:rPr>
                <w:sz w:val="20"/>
                <w:szCs w:val="20"/>
                <w:color w:val="auto"/>
              </w:rPr>
            </w:pPr>
            <w:r>
              <w:rPr>
                <w:rFonts w:ascii="Calibri" w:cs="Calibri" w:eastAsia="Calibri" w:hAnsi="Calibri"/>
                <w:sz w:val="14"/>
                <w:szCs w:val="14"/>
                <w:color w:val="auto"/>
              </w:rPr>
              <w:t>Date:</w:t>
            </w:r>
          </w:p>
        </w:tc>
        <w:tc>
          <w:tcPr>
            <w:tcW w:w="3100" w:type="dxa"/>
            <w:vAlign w:val="bottom"/>
          </w:tcPr>
          <w:p>
            <w:pPr>
              <w:ind w:left="20"/>
              <w:spacing w:after="0"/>
              <w:rPr>
                <w:sz w:val="20"/>
                <w:szCs w:val="20"/>
                <w:color w:val="auto"/>
              </w:rPr>
            </w:pPr>
            <w:r>
              <w:rPr>
                <w:rFonts w:ascii="Calibri" w:cs="Calibri" w:eastAsia="Calibri" w:hAnsi="Calibri"/>
                <w:sz w:val="14"/>
                <w:szCs w:val="14"/>
                <w:color w:val="auto"/>
              </w:rPr>
              <w:t>4-17-24</w:t>
            </w:r>
          </w:p>
        </w:tc>
        <w:tc>
          <w:tcPr>
            <w:tcW w:w="620" w:type="dxa"/>
            <w:vAlign w:val="bottom"/>
          </w:tcPr>
          <w:p>
            <w:pPr>
              <w:ind w:left="160"/>
              <w:spacing w:after="0"/>
              <w:rPr>
                <w:sz w:val="20"/>
                <w:szCs w:val="20"/>
                <w:color w:val="auto"/>
              </w:rPr>
            </w:pPr>
            <w:r>
              <w:rPr>
                <w:rFonts w:ascii="Calibri" w:cs="Calibri" w:eastAsia="Calibri" w:hAnsi="Calibri"/>
                <w:sz w:val="14"/>
                <w:szCs w:val="14"/>
                <w:color w:val="auto"/>
              </w:rPr>
              <w:t>Date:</w:t>
            </w:r>
          </w:p>
        </w:tc>
        <w:tc>
          <w:tcPr>
            <w:tcW w:w="3640" w:type="dxa"/>
            <w:vAlign w:val="bottom"/>
          </w:tcPr>
          <w:p>
            <w:pPr>
              <w:ind w:left="20"/>
              <w:spacing w:after="0"/>
              <w:rPr>
                <w:sz w:val="20"/>
                <w:szCs w:val="20"/>
                <w:color w:val="auto"/>
              </w:rPr>
            </w:pPr>
            <w:r>
              <w:rPr>
                <w:rFonts w:ascii="Calibri" w:cs="Calibri" w:eastAsia="Calibri" w:hAnsi="Calibri"/>
                <w:sz w:val="14"/>
                <w:szCs w:val="14"/>
                <w:color w:val="auto"/>
              </w:rPr>
              <w:t>4/18/2024</w:t>
            </w:r>
          </w:p>
        </w:tc>
      </w:tr>
      <w:tr>
        <w:trPr>
          <w:trHeight w:val="31"/>
        </w:trPr>
        <w:tc>
          <w:tcPr>
            <w:tcW w:w="380" w:type="dxa"/>
            <w:vAlign w:val="bottom"/>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1111"/>
        </w:trPr>
        <w:tc>
          <w:tcPr>
            <w:tcW w:w="3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659765</wp:posOffset>
            </wp:positionH>
            <wp:positionV relativeFrom="paragraph">
              <wp:posOffset>-1659890</wp:posOffset>
            </wp:positionV>
            <wp:extent cx="1318895" cy="3003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318895" cy="300355"/>
                    </a:xfrm>
                    <a:prstGeom prst="rect">
                      <a:avLst/>
                    </a:prstGeom>
                    <a:noFill/>
                  </pic:spPr>
                </pic:pic>
              </a:graphicData>
            </a:graphic>
          </wp:anchor>
        </w:drawing>
      </w:r>
    </w:p>
    <w:p>
      <w:pPr>
        <w:sectPr>
          <w:pgSz w:w="11900" w:h="16838" w:orient="portrait"/>
          <w:cols w:equalWidth="0" w:num="1">
            <w:col w:w="9019"/>
          </w:cols>
          <w:pgMar w:left="1440" w:top="951" w:right="1440" w:bottom="1440" w:gutter="0" w:footer="0" w:header="0"/>
        </w:sectPr>
      </w:pPr>
    </w:p>
    <w:bookmarkStart w:id="125" w:name="page126"/>
    <w:bookmarkEnd w:id="125"/>
    <w:p>
      <w:pPr>
        <w:jc w:val="center"/>
        <w:spacing w:after="0"/>
        <w:rPr>
          <w:sz w:val="20"/>
          <w:szCs w:val="20"/>
          <w:color w:val="auto"/>
        </w:rPr>
      </w:pPr>
      <w:r>
        <w:rPr>
          <w:rFonts w:ascii="Calibri" w:cs="Calibri" w:eastAsia="Calibri" w:hAnsi="Calibri"/>
          <w:sz w:val="17"/>
          <w:szCs w:val="17"/>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493395</wp:posOffset>
            </wp:positionV>
            <wp:extent cx="4944745" cy="3937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3" w:right="1440" w:bottom="1440"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509905</wp:posOffset>
            </wp:positionH>
            <wp:positionV relativeFrom="page">
              <wp:posOffset>5712460</wp:posOffset>
            </wp:positionV>
            <wp:extent cx="6584315" cy="3937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584315" cy="39370"/>
                    </a:xfrm>
                    <a:prstGeom prst="rect">
                      <a:avLst/>
                    </a:prstGeom>
                    <a:noFill/>
                  </pic:spPr>
                </pic:pic>
              </a:graphicData>
            </a:graphic>
          </wp:anchor>
        </w:drawing>
        <w:drawing>
          <wp:anchor simplePos="0" relativeHeight="251657728" behindDoc="1" locked="0" layoutInCell="0" allowOverlap="1">
            <wp:simplePos x="0" y="0"/>
            <wp:positionH relativeFrom="page">
              <wp:posOffset>652145</wp:posOffset>
            </wp:positionH>
            <wp:positionV relativeFrom="page">
              <wp:posOffset>532765</wp:posOffset>
            </wp:positionV>
            <wp:extent cx="6278880" cy="46729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clrChange>
                        <a:clrFrom>
                          <a:srgbClr val="FFFFFF"/>
                        </a:clrFrom>
                        <a:clrTo>
                          <a:srgbClr val="FFFFFF">
                            <a:alpha val="0"/>
                          </a:srgbClr>
                        </a:clrTo>
                      </a:clrChange>
                      <a:extLst>
                        <a:ext uri="{28A0092B-C50C-407E-A947-70E740481C1C}"/>
                      </a:extLst>
                    </a:blip>
                    <a:srcRect/>
                    <a:stretch>
                      <a:fillRect/>
                    </a:stretch>
                  </pic:blipFill>
                  <pic:spPr bwMode="auto">
                    <a:xfrm>
                      <a:off x="0" y="0"/>
                      <a:ext cx="6278880" cy="46729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509905</wp:posOffset>
            </wp:positionH>
            <wp:positionV relativeFrom="page">
              <wp:posOffset>5781040</wp:posOffset>
            </wp:positionV>
            <wp:extent cx="6584315" cy="393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584315" cy="39370"/>
                    </a:xfrm>
                    <a:prstGeom prst="rect">
                      <a:avLst/>
                    </a:prstGeom>
                    <a:noFill/>
                  </pic:spPr>
                </pic:pic>
              </a:graphicData>
            </a:graphic>
          </wp:anchor>
        </w:drawing>
        <w:drawing>
          <wp:anchor simplePos="0" relativeHeight="251657728" behindDoc="1" locked="0" layoutInCell="0" allowOverlap="1">
            <wp:simplePos x="0" y="0"/>
            <wp:positionH relativeFrom="page">
              <wp:posOffset>652145</wp:posOffset>
            </wp:positionH>
            <wp:positionV relativeFrom="page">
              <wp:posOffset>635635</wp:posOffset>
            </wp:positionV>
            <wp:extent cx="6278880" cy="46393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6278880" cy="4639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right"/>
        <w:ind w:right="1159"/>
        <w:spacing w:after="0"/>
        <w:rPr>
          <w:sz w:val="20"/>
          <w:szCs w:val="20"/>
          <w:color w:val="auto"/>
        </w:rPr>
      </w:pPr>
      <w:r>
        <w:rPr>
          <w:rFonts w:ascii="Calibri" w:cs="Calibri" w:eastAsia="Calibri" w:hAnsi="Calibri"/>
          <w:sz w:val="14"/>
          <w:szCs w:val="14"/>
          <w:b w:val="1"/>
          <w:bCs w:val="1"/>
          <w:color w:val="auto"/>
        </w:rPr>
        <w:t>Exhibit 10.3</w:t>
      </w:r>
    </w:p>
    <w:p>
      <w:pPr>
        <w:spacing w:after="0" w:line="292"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b w:val="1"/>
          <w:bCs w:val="1"/>
          <w:color w:val="auto"/>
        </w:rPr>
        <w:t>LEASE AMENDMENT #3</w:t>
      </w:r>
    </w:p>
    <w:p>
      <w:pPr>
        <w:spacing w:after="0" w:line="109" w:lineRule="exact"/>
        <w:rPr>
          <w:sz w:val="20"/>
          <w:szCs w:val="20"/>
          <w:color w:val="auto"/>
        </w:rPr>
      </w:pPr>
    </w:p>
    <w:p>
      <w:pPr>
        <w:jc w:val="center"/>
        <w:ind w:right="19"/>
        <w:spacing w:after="0"/>
        <w:rPr>
          <w:sz w:val="20"/>
          <w:szCs w:val="20"/>
          <w:color w:val="auto"/>
        </w:rPr>
      </w:pPr>
      <w:r>
        <w:rPr>
          <w:rFonts w:ascii="Calibri" w:cs="Calibri" w:eastAsia="Calibri" w:hAnsi="Calibri"/>
          <w:sz w:val="14"/>
          <w:szCs w:val="14"/>
          <w:b w:val="1"/>
          <w:bCs w:val="1"/>
          <w:color w:val="auto"/>
        </w:rPr>
        <w:t>(5 Columbia, Aliso Viejo, CA 92656)</w:t>
      </w:r>
    </w:p>
    <w:p>
      <w:pPr>
        <w:spacing w:after="0" w:line="134" w:lineRule="exact"/>
        <w:rPr>
          <w:sz w:val="20"/>
          <w:szCs w:val="20"/>
          <w:color w:val="auto"/>
        </w:rPr>
      </w:pPr>
    </w:p>
    <w:p>
      <w:pPr>
        <w:jc w:val="both"/>
        <w:ind w:left="1140" w:right="1279"/>
        <w:spacing w:after="0" w:line="218" w:lineRule="auto"/>
        <w:rPr>
          <w:sz w:val="20"/>
          <w:szCs w:val="20"/>
          <w:color w:val="auto"/>
        </w:rPr>
      </w:pPr>
      <w:r>
        <w:rPr>
          <w:rFonts w:ascii="Calibri" w:cs="Calibri" w:eastAsia="Calibri" w:hAnsi="Calibri"/>
          <w:sz w:val="14"/>
          <w:szCs w:val="14"/>
          <w:color w:val="auto"/>
        </w:rPr>
        <w:t>This 3</w:t>
      </w:r>
      <w:r>
        <w:rPr>
          <w:rFonts w:ascii="Calibri" w:cs="Calibri" w:eastAsia="Calibri" w:hAnsi="Calibri"/>
          <w:sz w:val="19"/>
          <w:szCs w:val="19"/>
          <w:color w:val="auto"/>
          <w:vertAlign w:val="superscript"/>
        </w:rPr>
        <w:t>rd</w:t>
      </w:r>
      <w:r>
        <w:rPr>
          <w:rFonts w:ascii="Calibri" w:cs="Calibri" w:eastAsia="Calibri" w:hAnsi="Calibri"/>
          <w:sz w:val="14"/>
          <w:szCs w:val="14"/>
          <w:color w:val="auto"/>
        </w:rPr>
        <w:t xml:space="preserve"> Amendment to the Lease Agreement (hereinafer referred to as “</w:t>
      </w:r>
      <w:r>
        <w:rPr>
          <w:rFonts w:ascii="Calibri" w:cs="Calibri" w:eastAsia="Calibri" w:hAnsi="Calibri"/>
          <w:sz w:val="14"/>
          <w:szCs w:val="14"/>
          <w:b w:val="1"/>
          <w:bCs w:val="1"/>
          <w:color w:val="auto"/>
        </w:rPr>
        <w:t>Amendment</w:t>
      </w:r>
      <w:r>
        <w:rPr>
          <w:rFonts w:ascii="Calibri" w:cs="Calibri" w:eastAsia="Calibri" w:hAnsi="Calibri"/>
          <w:sz w:val="14"/>
          <w:szCs w:val="14"/>
          <w:color w:val="auto"/>
        </w:rPr>
        <w:t>”) is made and entered into by and between Cliford D. Downs (the “</w:t>
      </w:r>
      <w:r>
        <w:rPr>
          <w:rFonts w:ascii="Calibri" w:cs="Calibri" w:eastAsia="Calibri" w:hAnsi="Calibri"/>
          <w:sz w:val="14"/>
          <w:szCs w:val="14"/>
          <w:b w:val="1"/>
          <w:bCs w:val="1"/>
          <w:color w:val="auto"/>
        </w:rPr>
        <w:t>Lessor</w:t>
      </w:r>
      <w:r>
        <w:rPr>
          <w:rFonts w:ascii="Calibri" w:cs="Calibri" w:eastAsia="Calibri" w:hAnsi="Calibri"/>
          <w:sz w:val="14"/>
          <w:szCs w:val="14"/>
          <w:color w:val="auto"/>
        </w:rPr>
        <w:t>”) and RxSight, Inc., a Delaware Corporaton (the “</w:t>
      </w:r>
      <w:r>
        <w:rPr>
          <w:rFonts w:ascii="Calibri" w:cs="Calibri" w:eastAsia="Calibri" w:hAnsi="Calibri"/>
          <w:sz w:val="14"/>
          <w:szCs w:val="14"/>
          <w:b w:val="1"/>
          <w:bCs w:val="1"/>
          <w:color w:val="auto"/>
        </w:rPr>
        <w:t>Lessee</w:t>
      </w:r>
      <w:r>
        <w:rPr>
          <w:rFonts w:ascii="Calibri" w:cs="Calibri" w:eastAsia="Calibri" w:hAnsi="Calibri"/>
          <w:sz w:val="14"/>
          <w:szCs w:val="14"/>
          <w:color w:val="auto"/>
        </w:rPr>
        <w:t>”, and together with Lessor, the “</w:t>
      </w:r>
      <w:r>
        <w:rPr>
          <w:rFonts w:ascii="Calibri" w:cs="Calibri" w:eastAsia="Calibri" w:hAnsi="Calibri"/>
          <w:sz w:val="14"/>
          <w:szCs w:val="14"/>
          <w:b w:val="1"/>
          <w:bCs w:val="1"/>
          <w:color w:val="auto"/>
        </w:rPr>
        <w:t>Partes</w:t>
      </w:r>
      <w:r>
        <w:rPr>
          <w:rFonts w:ascii="Calibri" w:cs="Calibri" w:eastAsia="Calibri" w:hAnsi="Calibri"/>
          <w:sz w:val="14"/>
          <w:szCs w:val="14"/>
          <w:color w:val="auto"/>
        </w:rPr>
        <w:t>”) as the last date signed by the Partes (the “</w:t>
      </w:r>
      <w:r>
        <w:rPr>
          <w:rFonts w:ascii="Calibri" w:cs="Calibri" w:eastAsia="Calibri" w:hAnsi="Calibri"/>
          <w:sz w:val="14"/>
          <w:szCs w:val="14"/>
          <w:b w:val="1"/>
          <w:bCs w:val="1"/>
          <w:color w:val="auto"/>
        </w:rPr>
        <w:t>Efectve Date</w:t>
      </w:r>
      <w:r>
        <w:rPr>
          <w:rFonts w:ascii="Calibri" w:cs="Calibri" w:eastAsia="Calibri" w:hAnsi="Calibri"/>
          <w:sz w:val="14"/>
          <w:szCs w:val="14"/>
          <w:color w:val="auto"/>
        </w:rPr>
        <w:t>”).</w:t>
      </w:r>
    </w:p>
    <w:p>
      <w:pPr>
        <w:spacing w:after="0" w:line="176" w:lineRule="exact"/>
        <w:rPr>
          <w:sz w:val="20"/>
          <w:szCs w:val="20"/>
          <w:color w:val="auto"/>
        </w:rPr>
      </w:pPr>
    </w:p>
    <w:p>
      <w:pPr>
        <w:ind w:left="1140" w:right="1319"/>
        <w:spacing w:after="0" w:line="239" w:lineRule="auto"/>
        <w:rPr>
          <w:sz w:val="20"/>
          <w:szCs w:val="20"/>
          <w:color w:val="auto"/>
        </w:rPr>
      </w:pPr>
      <w:r>
        <w:rPr>
          <w:rFonts w:ascii="Calibri" w:cs="Calibri" w:eastAsia="Calibri" w:hAnsi="Calibri"/>
          <w:sz w:val="14"/>
          <w:szCs w:val="14"/>
          <w:b w:val="1"/>
          <w:bCs w:val="1"/>
          <w:color w:val="auto"/>
        </w:rPr>
        <w:t>WHEREAS</w:t>
      </w:r>
      <w:r>
        <w:rPr>
          <w:rFonts w:ascii="Calibri" w:cs="Calibri" w:eastAsia="Calibri" w:hAnsi="Calibri"/>
          <w:sz w:val="14"/>
          <w:szCs w:val="14"/>
          <w:color w:val="auto"/>
        </w:rPr>
        <w:t>, the Partes entered into that certain Lease Agreement dated January 10, 2018, as amended from tme to</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tme, (the “</w:t>
      </w:r>
      <w:r>
        <w:rPr>
          <w:rFonts w:ascii="Calibri" w:cs="Calibri" w:eastAsia="Calibri" w:hAnsi="Calibri"/>
          <w:sz w:val="14"/>
          <w:szCs w:val="14"/>
          <w:b w:val="1"/>
          <w:bCs w:val="1"/>
          <w:color w:val="auto"/>
        </w:rPr>
        <w:t>Agreement</w:t>
      </w:r>
      <w:r>
        <w:rPr>
          <w:rFonts w:ascii="Calibri" w:cs="Calibri" w:eastAsia="Calibri" w:hAnsi="Calibri"/>
          <w:sz w:val="14"/>
          <w:szCs w:val="14"/>
          <w:color w:val="auto"/>
        </w:rPr>
        <w:t>”) for the property located at 5 Columbia, Aliso Viejo, CA 92656, and</w:t>
      </w:r>
    </w:p>
    <w:p>
      <w:pPr>
        <w:spacing w:after="0" w:line="175" w:lineRule="exact"/>
        <w:rPr>
          <w:sz w:val="20"/>
          <w:szCs w:val="20"/>
          <w:color w:val="auto"/>
        </w:rPr>
      </w:pPr>
    </w:p>
    <w:p>
      <w:pPr>
        <w:ind w:left="1140"/>
        <w:spacing w:after="0"/>
        <w:rPr>
          <w:sz w:val="20"/>
          <w:szCs w:val="20"/>
          <w:color w:val="auto"/>
        </w:rPr>
      </w:pPr>
      <w:r>
        <w:rPr>
          <w:rFonts w:ascii="Calibri" w:cs="Calibri" w:eastAsia="Calibri" w:hAnsi="Calibri"/>
          <w:sz w:val="14"/>
          <w:szCs w:val="14"/>
          <w:b w:val="1"/>
          <w:bCs w:val="1"/>
          <w:color w:val="auto"/>
        </w:rPr>
        <w:t>WHEREAS</w:t>
      </w:r>
      <w:r>
        <w:rPr>
          <w:rFonts w:ascii="Calibri" w:cs="Calibri" w:eastAsia="Calibri" w:hAnsi="Calibri"/>
          <w:sz w:val="14"/>
          <w:szCs w:val="14"/>
          <w:color w:val="auto"/>
        </w:rPr>
        <w:t>, the Partes desire to amend the Agreement in the manner refected herein, and</w:t>
      </w:r>
    </w:p>
    <w:p>
      <w:pPr>
        <w:spacing w:after="0" w:line="173" w:lineRule="exact"/>
        <w:rPr>
          <w:sz w:val="20"/>
          <w:szCs w:val="20"/>
          <w:color w:val="auto"/>
        </w:rPr>
      </w:pPr>
    </w:p>
    <w:p>
      <w:pPr>
        <w:ind w:left="1140"/>
        <w:spacing w:after="0"/>
        <w:rPr>
          <w:sz w:val="20"/>
          <w:szCs w:val="20"/>
          <w:color w:val="auto"/>
        </w:rPr>
      </w:pPr>
      <w:r>
        <w:rPr>
          <w:rFonts w:ascii="Calibri" w:cs="Calibri" w:eastAsia="Calibri" w:hAnsi="Calibri"/>
          <w:sz w:val="14"/>
          <w:szCs w:val="14"/>
          <w:b w:val="1"/>
          <w:bCs w:val="1"/>
          <w:color w:val="auto"/>
        </w:rPr>
        <w:t>WHEREAS</w:t>
      </w:r>
      <w:r>
        <w:rPr>
          <w:rFonts w:ascii="Calibri" w:cs="Calibri" w:eastAsia="Calibri" w:hAnsi="Calibri"/>
          <w:sz w:val="14"/>
          <w:szCs w:val="14"/>
          <w:color w:val="auto"/>
        </w:rPr>
        <w:t>, the Partes to the Agreement have approved the Amendment in the manner refected herein.</w:t>
      </w:r>
    </w:p>
    <w:p>
      <w:pPr>
        <w:spacing w:after="0" w:line="175" w:lineRule="exact"/>
        <w:rPr>
          <w:sz w:val="20"/>
          <w:szCs w:val="20"/>
          <w:color w:val="auto"/>
        </w:rPr>
      </w:pPr>
    </w:p>
    <w:p>
      <w:pPr>
        <w:ind w:left="1140" w:right="1699"/>
        <w:spacing w:after="0" w:line="239" w:lineRule="auto"/>
        <w:rPr>
          <w:sz w:val="20"/>
          <w:szCs w:val="20"/>
          <w:color w:val="auto"/>
        </w:rPr>
      </w:pPr>
      <w:r>
        <w:rPr>
          <w:rFonts w:ascii="Calibri" w:cs="Calibri" w:eastAsia="Calibri" w:hAnsi="Calibri"/>
          <w:sz w:val="14"/>
          <w:szCs w:val="14"/>
          <w:b w:val="1"/>
          <w:bCs w:val="1"/>
          <w:color w:val="auto"/>
        </w:rPr>
        <w:t>NOW THEREFORE</w:t>
      </w:r>
      <w:r>
        <w:rPr>
          <w:rFonts w:ascii="Calibri" w:cs="Calibri" w:eastAsia="Calibri" w:hAnsi="Calibri"/>
          <w:sz w:val="14"/>
          <w:szCs w:val="14"/>
          <w:color w:val="auto"/>
        </w:rPr>
        <w:t>, in consideraton of the premises and mutual covenants and conditons herein, the Partes,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intending to be legally bound, hereby agree as follows:</w:t>
      </w:r>
    </w:p>
    <w:p>
      <w:pPr>
        <w:spacing w:after="0" w:line="175" w:lineRule="exact"/>
        <w:rPr>
          <w:sz w:val="20"/>
          <w:szCs w:val="20"/>
          <w:color w:val="auto"/>
        </w:rPr>
      </w:pPr>
    </w:p>
    <w:p>
      <w:pPr>
        <w:ind w:left="1660" w:hanging="255"/>
        <w:spacing w:after="0"/>
        <w:tabs>
          <w:tab w:leader="none" w:pos="1660" w:val="left"/>
        </w:tabs>
        <w:numPr>
          <w:ilvl w:val="0"/>
          <w:numId w:val="108"/>
        </w:numPr>
        <w:rPr>
          <w:rFonts w:ascii="Calibri" w:cs="Calibri" w:eastAsia="Calibri" w:hAnsi="Calibri"/>
          <w:sz w:val="14"/>
          <w:szCs w:val="14"/>
          <w:color w:val="auto"/>
        </w:rPr>
      </w:pPr>
      <w:r>
        <w:rPr>
          <w:rFonts w:ascii="Calibri" w:cs="Calibri" w:eastAsia="Calibri" w:hAnsi="Calibri"/>
          <w:sz w:val="14"/>
          <w:szCs w:val="14"/>
          <w:color w:val="auto"/>
        </w:rPr>
        <w:t>Secton 3. of Lease Amendment #2 is hereby amended and restated in its entrety as follows:</w:t>
      </w:r>
    </w:p>
    <w:p>
      <w:pPr>
        <w:spacing w:after="0" w:line="2" w:lineRule="exact"/>
        <w:rPr>
          <w:rFonts w:ascii="Calibri" w:cs="Calibri" w:eastAsia="Calibri" w:hAnsi="Calibri"/>
          <w:sz w:val="14"/>
          <w:szCs w:val="14"/>
          <w:color w:val="auto"/>
        </w:rPr>
      </w:pPr>
    </w:p>
    <w:p>
      <w:pPr>
        <w:ind w:left="2180" w:right="1299" w:hanging="258"/>
        <w:spacing w:after="0" w:line="241" w:lineRule="auto"/>
        <w:tabs>
          <w:tab w:leader="none" w:pos="2180" w:val="left"/>
        </w:tabs>
        <w:numPr>
          <w:ilvl w:val="1"/>
          <w:numId w:val="108"/>
        </w:numPr>
        <w:rPr>
          <w:rFonts w:ascii="Calibri" w:cs="Calibri" w:eastAsia="Calibri" w:hAnsi="Calibri"/>
          <w:sz w:val="14"/>
          <w:szCs w:val="14"/>
          <w:color w:val="auto"/>
        </w:rPr>
      </w:pPr>
      <w:r>
        <w:rPr>
          <w:rFonts w:ascii="Calibri" w:cs="Calibri" w:eastAsia="Calibri" w:hAnsi="Calibri"/>
          <w:sz w:val="14"/>
          <w:szCs w:val="14"/>
          <w:color w:val="auto"/>
        </w:rPr>
        <w:t>Upon executon of this Amendment, Lessee shall pay $3,739.20 to Lessor as an additonal security deposit resultng in a total security deposit amount of $34,440.00. (For reference, Lessee paid an inital security deposit when the original lease was executed of $25,269.12. Lessee then paid an additonal security deposit of $5,431.68 per the Lease Addendum dated April 5, 2022.)</w:t>
      </w:r>
    </w:p>
    <w:p>
      <w:pPr>
        <w:spacing w:after="0" w:line="174" w:lineRule="exact"/>
        <w:rPr>
          <w:rFonts w:ascii="Calibri" w:cs="Calibri" w:eastAsia="Calibri" w:hAnsi="Calibri"/>
          <w:sz w:val="14"/>
          <w:szCs w:val="14"/>
          <w:color w:val="auto"/>
        </w:rPr>
      </w:pPr>
    </w:p>
    <w:p>
      <w:pPr>
        <w:ind w:left="1660" w:right="1459" w:hanging="255"/>
        <w:spacing w:after="0" w:line="239" w:lineRule="auto"/>
        <w:tabs>
          <w:tab w:leader="none" w:pos="1660" w:val="left"/>
        </w:tabs>
        <w:numPr>
          <w:ilvl w:val="0"/>
          <w:numId w:val="108"/>
        </w:numPr>
        <w:rPr>
          <w:rFonts w:ascii="Calibri" w:cs="Calibri" w:eastAsia="Calibri" w:hAnsi="Calibri"/>
          <w:sz w:val="14"/>
          <w:szCs w:val="14"/>
          <w:color w:val="auto"/>
        </w:rPr>
      </w:pPr>
      <w:r>
        <w:rPr>
          <w:rFonts w:ascii="Calibri" w:cs="Calibri" w:eastAsia="Calibri" w:hAnsi="Calibri"/>
          <w:sz w:val="14"/>
          <w:szCs w:val="14"/>
          <w:color w:val="auto"/>
        </w:rPr>
        <w:t>This Amendment may be executed in one or more facsimile, electronic, or original counterparts, each of which shall be deemed an original and both of which together shall consttute the same instrument.</w:t>
      </w:r>
    </w:p>
    <w:p>
      <w:pPr>
        <w:spacing w:after="0" w:line="315" w:lineRule="exact"/>
        <w:rPr>
          <w:rFonts w:ascii="Calibri" w:cs="Calibri" w:eastAsia="Calibri" w:hAnsi="Calibri"/>
          <w:sz w:val="14"/>
          <w:szCs w:val="14"/>
          <w:color w:val="auto"/>
        </w:rPr>
      </w:pPr>
    </w:p>
    <w:p>
      <w:pPr>
        <w:ind w:left="1660" w:right="1159" w:hanging="255"/>
        <w:spacing w:after="0" w:line="241" w:lineRule="auto"/>
        <w:tabs>
          <w:tab w:leader="none" w:pos="1660" w:val="left"/>
        </w:tabs>
        <w:numPr>
          <w:ilvl w:val="0"/>
          <w:numId w:val="108"/>
        </w:numPr>
        <w:rPr>
          <w:rFonts w:ascii="Calibri" w:cs="Calibri" w:eastAsia="Calibri" w:hAnsi="Calibri"/>
          <w:sz w:val="14"/>
          <w:szCs w:val="14"/>
          <w:color w:val="auto"/>
        </w:rPr>
      </w:pPr>
      <w:r>
        <w:rPr>
          <w:rFonts w:ascii="Calibri" w:cs="Calibri" w:eastAsia="Calibri" w:hAnsi="Calibri"/>
          <w:sz w:val="14"/>
          <w:szCs w:val="14"/>
          <w:color w:val="auto"/>
        </w:rPr>
        <w:t>All Terms and provisions of the Agreement not amended hereby, either expressly or by necessary implicaton, shall remain in full force and efect. From and afer the date of this Amendment, all references to the term “Agreement” in this Amendment or the original Agreement shall include the terms contained in this Amendment.</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Calibri" w:cs="Calibri" w:eastAsia="Calibri" w:hAnsi="Calibri"/>
                <w:sz w:val="14"/>
                <w:szCs w:val="14"/>
                <w:b w:val="1"/>
                <w:bCs w:val="1"/>
                <w:color w:val="auto"/>
              </w:rPr>
              <w:t>AGREED &amp; ACCEPTED:</w:t>
            </w:r>
          </w:p>
        </w:tc>
        <w:tc>
          <w:tcPr>
            <w:tcW w:w="520" w:type="dxa"/>
            <w:vAlign w:val="bottom"/>
          </w:tcPr>
          <w:p>
            <w:pPr>
              <w:spacing w:after="0"/>
              <w:rPr>
                <w:sz w:val="14"/>
                <w:szCs w:val="14"/>
                <w:color w:val="auto"/>
              </w:rPr>
            </w:pPr>
          </w:p>
        </w:tc>
        <w:tc>
          <w:tcPr>
            <w:tcW w:w="3160" w:type="dxa"/>
            <w:vAlign w:val="bottom"/>
          </w:tcPr>
          <w:p>
            <w:pPr>
              <w:spacing w:after="0"/>
              <w:rPr>
                <w:sz w:val="14"/>
                <w:szCs w:val="14"/>
                <w:color w:val="auto"/>
              </w:rPr>
            </w:pPr>
          </w:p>
        </w:tc>
      </w:tr>
      <w:tr>
        <w:trPr>
          <w:trHeight w:val="344"/>
        </w:trPr>
        <w:tc>
          <w:tcPr>
            <w:tcW w:w="3040" w:type="dxa"/>
            <w:vAlign w:val="bottom"/>
            <w:gridSpan w:val="2"/>
          </w:tcPr>
          <w:p>
            <w:pPr>
              <w:ind w:left="20"/>
              <w:spacing w:after="0"/>
              <w:rPr>
                <w:sz w:val="20"/>
                <w:szCs w:val="20"/>
                <w:color w:val="auto"/>
              </w:rPr>
            </w:pPr>
            <w:r>
              <w:rPr>
                <w:rFonts w:ascii="Calibri" w:cs="Calibri" w:eastAsia="Calibri" w:hAnsi="Calibri"/>
                <w:sz w:val="14"/>
                <w:szCs w:val="14"/>
                <w:b w:val="1"/>
                <w:bCs w:val="1"/>
                <w:color w:val="auto"/>
              </w:rPr>
              <w:t>LESSOR:</w:t>
            </w:r>
          </w:p>
        </w:tc>
        <w:tc>
          <w:tcPr>
            <w:tcW w:w="3680" w:type="dxa"/>
            <w:vAlign w:val="bottom"/>
            <w:gridSpan w:val="2"/>
          </w:tcPr>
          <w:p>
            <w:pPr>
              <w:ind w:left="140"/>
              <w:spacing w:after="0"/>
              <w:rPr>
                <w:sz w:val="20"/>
                <w:szCs w:val="20"/>
                <w:color w:val="auto"/>
              </w:rPr>
            </w:pPr>
            <w:r>
              <w:rPr>
                <w:rFonts w:ascii="Calibri" w:cs="Calibri" w:eastAsia="Calibri" w:hAnsi="Calibri"/>
                <w:sz w:val="14"/>
                <w:szCs w:val="14"/>
                <w:b w:val="1"/>
                <w:bCs w:val="1"/>
                <w:color w:val="auto"/>
              </w:rPr>
              <w:t>LESSEE:</w:t>
            </w:r>
          </w:p>
        </w:tc>
      </w:tr>
      <w:tr>
        <w:trPr>
          <w:trHeight w:val="183"/>
        </w:trPr>
        <w:tc>
          <w:tcPr>
            <w:tcW w:w="360" w:type="dxa"/>
            <w:vAlign w:val="bottom"/>
          </w:tcPr>
          <w:p>
            <w:pPr>
              <w:spacing w:after="0"/>
              <w:rPr>
                <w:sz w:val="15"/>
                <w:szCs w:val="15"/>
                <w:color w:val="auto"/>
              </w:rPr>
            </w:pPr>
          </w:p>
        </w:tc>
        <w:tc>
          <w:tcPr>
            <w:tcW w:w="2680" w:type="dxa"/>
            <w:vAlign w:val="bottom"/>
          </w:tcPr>
          <w:p>
            <w:pPr>
              <w:spacing w:after="0"/>
              <w:rPr>
                <w:sz w:val="20"/>
                <w:szCs w:val="20"/>
                <w:color w:val="auto"/>
              </w:rPr>
            </w:pPr>
            <w:r>
              <w:rPr>
                <w:rFonts w:ascii="Calibri" w:cs="Calibri" w:eastAsia="Calibri" w:hAnsi="Calibri"/>
                <w:sz w:val="14"/>
                <w:szCs w:val="14"/>
                <w:color w:val="auto"/>
              </w:rPr>
              <w:t>Cliford D. Downs</w:t>
            </w:r>
          </w:p>
        </w:tc>
        <w:tc>
          <w:tcPr>
            <w:tcW w:w="3680" w:type="dxa"/>
            <w:vAlign w:val="bottom"/>
            <w:gridSpan w:val="2"/>
          </w:tcPr>
          <w:p>
            <w:pPr>
              <w:ind w:left="140"/>
              <w:spacing w:after="0"/>
              <w:rPr>
                <w:sz w:val="20"/>
                <w:szCs w:val="20"/>
                <w:color w:val="auto"/>
              </w:rPr>
            </w:pPr>
            <w:r>
              <w:rPr>
                <w:rFonts w:ascii="Calibri" w:cs="Calibri" w:eastAsia="Calibri" w:hAnsi="Calibri"/>
                <w:sz w:val="14"/>
                <w:szCs w:val="14"/>
                <w:color w:val="auto"/>
              </w:rPr>
              <w:t>RxSight, Inc.</w:t>
            </w:r>
          </w:p>
        </w:tc>
      </w:tr>
      <w:tr>
        <w:trPr>
          <w:trHeight w:val="387"/>
        </w:trPr>
        <w:tc>
          <w:tcPr>
            <w:tcW w:w="3040" w:type="dxa"/>
            <w:vAlign w:val="bottom"/>
            <w:gridSpan w:val="2"/>
          </w:tcPr>
          <w:p>
            <w:pPr>
              <w:ind w:left="20"/>
              <w:spacing w:after="0"/>
              <w:rPr>
                <w:sz w:val="20"/>
                <w:szCs w:val="20"/>
                <w:color w:val="auto"/>
              </w:rPr>
            </w:pPr>
            <w:r>
              <w:rPr>
                <w:rFonts w:ascii="Calibri" w:cs="Calibri" w:eastAsia="Calibri" w:hAnsi="Calibri"/>
                <w:sz w:val="14"/>
                <w:szCs w:val="14"/>
                <w:color w:val="auto"/>
              </w:rPr>
              <w:t>By:</w:t>
            </w:r>
          </w:p>
        </w:tc>
        <w:tc>
          <w:tcPr>
            <w:tcW w:w="520" w:type="dxa"/>
            <w:vAlign w:val="bottom"/>
          </w:tcPr>
          <w:p>
            <w:pPr>
              <w:ind w:left="140"/>
              <w:spacing w:after="0"/>
              <w:rPr>
                <w:sz w:val="20"/>
                <w:szCs w:val="20"/>
                <w:color w:val="auto"/>
              </w:rPr>
            </w:pPr>
            <w:r>
              <w:rPr>
                <w:rFonts w:ascii="Calibri" w:cs="Calibri" w:eastAsia="Calibri" w:hAnsi="Calibri"/>
                <w:sz w:val="14"/>
                <w:szCs w:val="14"/>
                <w:color w:val="auto"/>
              </w:rPr>
              <w:t>By:</w:t>
            </w:r>
          </w:p>
        </w:tc>
        <w:tc>
          <w:tcPr>
            <w:tcW w:w="3160" w:type="dxa"/>
            <w:vAlign w:val="bottom"/>
            <w:tcBorders>
              <w:bottom w:val="single" w:sz="8" w:color="auto"/>
            </w:tcBorders>
          </w:tcPr>
          <w:p>
            <w:pPr>
              <w:ind w:left="20"/>
              <w:spacing w:after="0"/>
              <w:rPr>
                <w:sz w:val="20"/>
                <w:szCs w:val="20"/>
                <w:color w:val="auto"/>
              </w:rPr>
            </w:pPr>
            <w:r>
              <w:rPr>
                <w:rFonts w:ascii="Calibri" w:cs="Calibri" w:eastAsia="Calibri" w:hAnsi="Calibri"/>
                <w:sz w:val="14"/>
                <w:szCs w:val="14"/>
                <w:color w:val="auto"/>
              </w:rPr>
              <w:t>/s/ Shelley Thunen</w:t>
            </w:r>
          </w:p>
        </w:tc>
      </w:tr>
      <w:tr>
        <w:trPr>
          <w:trHeight w:val="335"/>
        </w:trPr>
        <w:tc>
          <w:tcPr>
            <w:tcW w:w="3040" w:type="dxa"/>
            <w:vAlign w:val="bottom"/>
            <w:gridSpan w:val="2"/>
          </w:tcPr>
          <w:p>
            <w:pPr>
              <w:ind w:left="20"/>
              <w:spacing w:after="0"/>
              <w:rPr>
                <w:sz w:val="20"/>
                <w:szCs w:val="20"/>
                <w:color w:val="auto"/>
              </w:rPr>
            </w:pPr>
            <w:r>
              <w:rPr>
                <w:rFonts w:ascii="Calibri" w:cs="Calibri" w:eastAsia="Calibri" w:hAnsi="Calibri"/>
                <w:sz w:val="14"/>
                <w:szCs w:val="14"/>
                <w:color w:val="auto"/>
              </w:rPr>
              <w:t>Title: Owner</w:t>
            </w:r>
          </w:p>
        </w:tc>
        <w:tc>
          <w:tcPr>
            <w:tcW w:w="520" w:type="dxa"/>
            <w:vAlign w:val="bottom"/>
          </w:tcPr>
          <w:p>
            <w:pPr>
              <w:ind w:left="140"/>
              <w:spacing w:after="0"/>
              <w:rPr>
                <w:sz w:val="20"/>
                <w:szCs w:val="20"/>
                <w:color w:val="auto"/>
              </w:rPr>
            </w:pPr>
            <w:r>
              <w:rPr>
                <w:rFonts w:ascii="Calibri" w:cs="Calibri" w:eastAsia="Calibri" w:hAnsi="Calibri"/>
                <w:sz w:val="14"/>
                <w:szCs w:val="14"/>
                <w:color w:val="auto"/>
              </w:rPr>
              <w:t>Title:</w:t>
            </w:r>
          </w:p>
        </w:tc>
        <w:tc>
          <w:tcPr>
            <w:tcW w:w="3160" w:type="dxa"/>
            <w:vAlign w:val="bottom"/>
          </w:tcPr>
          <w:p>
            <w:pPr>
              <w:ind w:left="20"/>
              <w:spacing w:after="0"/>
              <w:rPr>
                <w:sz w:val="20"/>
                <w:szCs w:val="20"/>
                <w:color w:val="auto"/>
              </w:rPr>
            </w:pPr>
            <w:r>
              <w:rPr>
                <w:rFonts w:ascii="Calibri" w:cs="Calibri" w:eastAsia="Calibri" w:hAnsi="Calibri"/>
                <w:sz w:val="14"/>
                <w:szCs w:val="14"/>
                <w:color w:val="auto"/>
              </w:rPr>
              <w:t>Chief Financial Ofcer</w:t>
            </w:r>
          </w:p>
        </w:tc>
      </w:tr>
      <w:tr>
        <w:trPr>
          <w:trHeight w:val="31"/>
        </w:trPr>
        <w:tc>
          <w:tcPr>
            <w:tcW w:w="36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326"/>
        </w:trPr>
        <w:tc>
          <w:tcPr>
            <w:tcW w:w="3040" w:type="dxa"/>
            <w:vAlign w:val="bottom"/>
            <w:gridSpan w:val="2"/>
          </w:tcPr>
          <w:p>
            <w:pPr>
              <w:ind w:left="20"/>
              <w:spacing w:after="0"/>
              <w:rPr>
                <w:sz w:val="20"/>
                <w:szCs w:val="20"/>
                <w:color w:val="auto"/>
              </w:rPr>
            </w:pPr>
            <w:r>
              <w:rPr>
                <w:rFonts w:ascii="Calibri" w:cs="Calibri" w:eastAsia="Calibri" w:hAnsi="Calibri"/>
                <w:sz w:val="14"/>
                <w:szCs w:val="14"/>
                <w:color w:val="auto"/>
              </w:rPr>
              <w:t>Date: 5-26-24</w:t>
            </w:r>
          </w:p>
        </w:tc>
        <w:tc>
          <w:tcPr>
            <w:tcW w:w="520" w:type="dxa"/>
            <w:vAlign w:val="bottom"/>
          </w:tcPr>
          <w:p>
            <w:pPr>
              <w:ind w:left="140"/>
              <w:spacing w:after="0"/>
              <w:rPr>
                <w:sz w:val="20"/>
                <w:szCs w:val="20"/>
                <w:color w:val="auto"/>
              </w:rPr>
            </w:pPr>
            <w:r>
              <w:rPr>
                <w:rFonts w:ascii="Calibri" w:cs="Calibri" w:eastAsia="Calibri" w:hAnsi="Calibri"/>
                <w:sz w:val="14"/>
                <w:szCs w:val="14"/>
                <w:color w:val="auto"/>
              </w:rPr>
              <w:t>Date:</w:t>
            </w:r>
          </w:p>
        </w:tc>
        <w:tc>
          <w:tcPr>
            <w:tcW w:w="3160" w:type="dxa"/>
            <w:vAlign w:val="bottom"/>
          </w:tcPr>
          <w:p>
            <w:pPr>
              <w:ind w:left="20"/>
              <w:spacing w:after="0"/>
              <w:rPr>
                <w:sz w:val="20"/>
                <w:szCs w:val="20"/>
                <w:color w:val="auto"/>
              </w:rPr>
            </w:pPr>
            <w:r>
              <w:rPr>
                <w:rFonts w:ascii="Calibri" w:cs="Calibri" w:eastAsia="Calibri" w:hAnsi="Calibri"/>
                <w:sz w:val="14"/>
                <w:szCs w:val="14"/>
                <w:color w:val="auto"/>
              </w:rPr>
              <w:t>6/3/2024</w:t>
            </w:r>
          </w:p>
        </w:tc>
      </w:tr>
      <w:tr>
        <w:trPr>
          <w:trHeight w:val="31"/>
        </w:trPr>
        <w:tc>
          <w:tcPr>
            <w:tcW w:w="36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1628"/>
        </w:trPr>
        <w:tc>
          <w:tcPr>
            <w:tcW w:w="3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4972050</wp:posOffset>
            </wp:positionH>
            <wp:positionV relativeFrom="paragraph">
              <wp:posOffset>-26035</wp:posOffset>
            </wp:positionV>
            <wp:extent cx="32385" cy="3937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-26035</wp:posOffset>
            </wp:positionV>
            <wp:extent cx="32385" cy="393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953770</wp:posOffset>
            </wp:positionH>
            <wp:positionV relativeFrom="paragraph">
              <wp:posOffset>-1734820</wp:posOffset>
            </wp:positionV>
            <wp:extent cx="1154430" cy="28702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154430" cy="28702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129" w:name="page130"/>
    <w:bookmarkEnd w:id="129"/>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10.4</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u w:val="single" w:color="auto"/>
          <w:color w:val="auto"/>
        </w:rPr>
        <w:t>FIFTH AMENDMENT (EXTENSION TO THE LEASE)</w:t>
      </w:r>
    </w:p>
    <w:p>
      <w:pPr>
        <w:spacing w:after="0" w:line="175" w:lineRule="exact"/>
        <w:rPr>
          <w:sz w:val="20"/>
          <w:szCs w:val="20"/>
          <w:color w:val="auto"/>
        </w:rPr>
      </w:pPr>
    </w:p>
    <w:p>
      <w:pPr>
        <w:jc w:val="both"/>
        <w:ind w:left="1140" w:right="1159" w:firstLine="517"/>
        <w:spacing w:after="0" w:line="272" w:lineRule="auto"/>
        <w:rPr>
          <w:sz w:val="20"/>
          <w:szCs w:val="20"/>
          <w:color w:val="auto"/>
        </w:rPr>
      </w:pPr>
      <w:r>
        <w:rPr>
          <w:rFonts w:ascii="Times New Roman" w:cs="Times New Roman" w:eastAsia="Times New Roman" w:hAnsi="Times New Roman"/>
          <w:sz w:val="14"/>
          <w:szCs w:val="14"/>
          <w:color w:val="auto"/>
        </w:rPr>
        <w:t>THIS Amendment (hereinafter referred to as the “Fifth Amendment”), dated the 18th day of April 2024, is entered into by ACCURIDE INTERNATIONAL INC., a California corporation (hereinafter referred to as “Landlord”) and RXSIGHT, Inc., a Delaware corporation, (hereinafter referred to as “Tenant”). The parties agree as follows:</w:t>
      </w:r>
    </w:p>
    <w:p>
      <w:pPr>
        <w:spacing w:after="0" w:line="225" w:lineRule="exact"/>
        <w:rPr>
          <w:sz w:val="20"/>
          <w:szCs w:val="20"/>
          <w:color w:val="auto"/>
        </w:rPr>
      </w:pPr>
    </w:p>
    <w:p>
      <w:pPr>
        <w:ind w:left="1140" w:right="1999" w:firstLine="1040"/>
        <w:spacing w:after="0" w:line="220" w:lineRule="auto"/>
        <w:tabs>
          <w:tab w:leader="none" w:pos="2545" w:val="left"/>
        </w:tabs>
        <w:numPr>
          <w:ilvl w:val="2"/>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Identification of Lease</w:t>
      </w:r>
      <w:r>
        <w:rPr>
          <w:rFonts w:ascii="Times New Roman" w:cs="Times New Roman" w:eastAsia="Times New Roman" w:hAnsi="Times New Roman"/>
          <w:sz w:val="14"/>
          <w:szCs w:val="14"/>
          <w:color w:val="auto"/>
        </w:rPr>
        <w:t>. Reference is made to that certain Commercial Lease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dated August 31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4"/>
          <w:szCs w:val="14"/>
          <w:color w:val="auto"/>
        </w:rPr>
        <w:t xml:space="preserve">, 2015 (the “Original Lease”), as amended by that certain </w:t>
      </w:r>
      <w:r>
        <w:rPr>
          <w:rFonts w:ascii="Times New Roman" w:cs="Times New Roman" w:eastAsia="Times New Roman" w:hAnsi="Times New Roman"/>
          <w:sz w:val="14"/>
          <w:szCs w:val="14"/>
          <w:b w:val="1"/>
          <w:bCs w:val="1"/>
          <w:color w:val="auto"/>
        </w:rPr>
        <w:t>First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Amendment </w:t>
      </w:r>
      <w:r>
        <w:rPr>
          <w:rFonts w:ascii="Times New Roman" w:cs="Times New Roman" w:eastAsia="Times New Roman" w:hAnsi="Times New Roman"/>
          <w:sz w:val="14"/>
          <w:szCs w:val="14"/>
          <w:color w:val="auto"/>
        </w:rPr>
        <w:t>to the Lease dated November 23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4"/>
          <w:szCs w:val="14"/>
          <w:color w:val="auto"/>
        </w:rPr>
        <w:t>, 2015, as amended by that certain</w:t>
      </w:r>
      <w:r>
        <w:rPr>
          <w:rFonts w:ascii="Times New Roman" w:cs="Times New Roman" w:eastAsia="Times New Roman" w:hAnsi="Times New Roman"/>
          <w:sz w:val="14"/>
          <w:szCs w:val="14"/>
          <w:b w:val="1"/>
          <w:bCs w:val="1"/>
          <w:color w:val="auto"/>
        </w:rPr>
        <w:t xml:space="preserve"> Second Amendment </w:t>
      </w:r>
      <w:r>
        <w:rPr>
          <w:rFonts w:ascii="Times New Roman" w:cs="Times New Roman" w:eastAsia="Times New Roman" w:hAnsi="Times New Roman"/>
          <w:sz w:val="14"/>
          <w:szCs w:val="14"/>
          <w:color w:val="auto"/>
        </w:rPr>
        <w:t>to the Lease dated December 22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2015 , as amended by that certain</w:t>
      </w:r>
      <w:r>
        <w:rPr>
          <w:rFonts w:ascii="Times New Roman" w:cs="Times New Roman" w:eastAsia="Times New Roman" w:hAnsi="Times New Roman"/>
          <w:sz w:val="14"/>
          <w:szCs w:val="14"/>
          <w:b w:val="1"/>
          <w:bCs w:val="1"/>
          <w:color w:val="auto"/>
        </w:rPr>
        <w:t xml:space="preserve"> Third</w:t>
      </w:r>
    </w:p>
    <w:p>
      <w:pPr>
        <w:spacing w:after="0" w:line="1" w:lineRule="exact"/>
        <w:rPr>
          <w:rFonts w:ascii="Times New Roman" w:cs="Times New Roman" w:eastAsia="Times New Roman" w:hAnsi="Times New Roman"/>
          <w:sz w:val="14"/>
          <w:szCs w:val="14"/>
          <w:b w:val="1"/>
          <w:bCs w:val="1"/>
          <w:color w:val="auto"/>
        </w:rPr>
      </w:pPr>
    </w:p>
    <w:p>
      <w:pPr>
        <w:ind w:left="1140" w:right="1239"/>
        <w:spacing w:after="0" w:line="226"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Amendment </w:t>
      </w:r>
      <w:r>
        <w:rPr>
          <w:rFonts w:ascii="Times New Roman" w:cs="Times New Roman" w:eastAsia="Times New Roman" w:hAnsi="Times New Roman"/>
          <w:sz w:val="14"/>
          <w:szCs w:val="14"/>
          <w:color w:val="auto"/>
        </w:rPr>
        <w:t>to the Lease dated January 18</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2016, as amended by that certain</w:t>
      </w:r>
      <w:r>
        <w:rPr>
          <w:rFonts w:ascii="Times New Roman" w:cs="Times New Roman" w:eastAsia="Times New Roman" w:hAnsi="Times New Roman"/>
          <w:sz w:val="14"/>
          <w:szCs w:val="14"/>
          <w:b w:val="1"/>
          <w:bCs w:val="1"/>
          <w:color w:val="auto"/>
        </w:rPr>
        <w:t xml:space="preserve"> Fourth Amendment </w:t>
      </w:r>
      <w:r>
        <w:rPr>
          <w:rFonts w:ascii="Times New Roman" w:cs="Times New Roman" w:eastAsia="Times New Roman" w:hAnsi="Times New Roman"/>
          <w:sz w:val="14"/>
          <w:szCs w:val="14"/>
          <w:color w:val="auto"/>
        </w:rPr>
        <w:t>to the Lease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dated November 12</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2016, (The Original Lease, as so amended, is herein collectively referred to as the “Lease”) for certain premises containing approximately 21,498 rentable square feet located at 100 Columbia Suite 200, Aliso Viejo, CA and 20,608 rentable square feet located at 100 Columbia Suite 100, Aliso Viejo Ca as more particularly described in the Lease as the Premises.</w:t>
      </w:r>
    </w:p>
    <w:p>
      <w:pPr>
        <w:spacing w:after="0" w:line="73" w:lineRule="exact"/>
        <w:rPr>
          <w:rFonts w:ascii="Times New Roman" w:cs="Times New Roman" w:eastAsia="Times New Roman" w:hAnsi="Times New Roman"/>
          <w:sz w:val="14"/>
          <w:szCs w:val="14"/>
          <w:b w:val="1"/>
          <w:bCs w:val="1"/>
          <w:color w:val="auto"/>
        </w:rPr>
      </w:pPr>
    </w:p>
    <w:p>
      <w:pPr>
        <w:ind w:left="2560" w:hanging="380"/>
        <w:spacing w:after="0"/>
        <w:tabs>
          <w:tab w:leader="none" w:pos="2560" w:val="left"/>
        </w:tabs>
        <w:numPr>
          <w:ilvl w:val="2"/>
          <w:numId w:val="10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Context of Fifth Amendment. </w:t>
      </w:r>
      <w:r>
        <w:rPr>
          <w:rFonts w:ascii="Times New Roman" w:cs="Times New Roman" w:eastAsia="Times New Roman" w:hAnsi="Times New Roman"/>
          <w:sz w:val="14"/>
          <w:szCs w:val="14"/>
          <w:color w:val="auto"/>
        </w:rPr>
        <w:t>The parties have agreed to the following:</w:t>
      </w:r>
    </w:p>
    <w:p>
      <w:pPr>
        <w:spacing w:after="0" w:line="26" w:lineRule="exact"/>
        <w:rPr>
          <w:rFonts w:ascii="Times New Roman" w:cs="Times New Roman" w:eastAsia="Times New Roman" w:hAnsi="Times New Roman"/>
          <w:sz w:val="14"/>
          <w:szCs w:val="14"/>
          <w:b w:val="1"/>
          <w:bCs w:val="1"/>
          <w:color w:val="auto"/>
        </w:rPr>
      </w:pPr>
    </w:p>
    <w:p>
      <w:pPr>
        <w:ind w:left="1660" w:right="1159" w:hanging="513"/>
        <w:spacing w:after="0" w:line="256" w:lineRule="auto"/>
        <w:tabs>
          <w:tab w:leader="none" w:pos="16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Term/Premises. </w:t>
      </w:r>
      <w:r>
        <w:rPr>
          <w:rFonts w:ascii="Times New Roman" w:cs="Times New Roman" w:eastAsia="Times New Roman" w:hAnsi="Times New Roman"/>
          <w:sz w:val="14"/>
          <w:szCs w:val="14"/>
          <w:color w:val="auto"/>
        </w:rPr>
        <w:t>Landlord and Tenant agree to extend the Lease for an additional 76 months for the total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42,106 square feet.</w:t>
      </w:r>
    </w:p>
    <w:p>
      <w:pPr>
        <w:ind w:left="1660" w:right="1159" w:hanging="513"/>
        <w:spacing w:after="0" w:line="256" w:lineRule="auto"/>
        <w:tabs>
          <w:tab w:leader="none" w:pos="16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Lease extension period</w:t>
      </w:r>
      <w:r>
        <w:rPr>
          <w:rFonts w:ascii="Times New Roman" w:cs="Times New Roman" w:eastAsia="Times New Roman" w:hAnsi="Times New Roman"/>
          <w:sz w:val="14"/>
          <w:szCs w:val="14"/>
          <w:color w:val="auto"/>
        </w:rPr>
        <w:t>. The Lease Extension Period shall be from October 1, 2024 and January 31,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2031.</w:t>
      </w:r>
    </w:p>
    <w:p>
      <w:pPr>
        <w:jc w:val="both"/>
        <w:ind w:left="1660" w:right="1159" w:hanging="513"/>
        <w:spacing w:after="0" w:line="256" w:lineRule="auto"/>
        <w:tabs>
          <w:tab w:leader="none" w:pos="16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Tenant Improvement Allowance. </w:t>
      </w:r>
      <w:r>
        <w:rPr>
          <w:rFonts w:ascii="Times New Roman" w:cs="Times New Roman" w:eastAsia="Times New Roman" w:hAnsi="Times New Roman"/>
          <w:sz w:val="14"/>
          <w:szCs w:val="14"/>
          <w:color w:val="auto"/>
        </w:rPr>
        <w:t>Landlord shall provide a $50,000 allowance for all mutually agreed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building improvements. Tenant agrees to allocate up to $10,000 of the allowance to upgrade the trash enclosure to match the enclosures located at 120/140 and 150 Columbia. Tenant shall provide a work letter defining what work will be covered under the Tenant Improvement Allowance. (See Attachment A)</w:t>
      </w:r>
    </w:p>
    <w:p>
      <w:pPr>
        <w:spacing w:after="0" w:line="1" w:lineRule="exact"/>
        <w:rPr>
          <w:rFonts w:ascii="Times New Roman" w:cs="Times New Roman" w:eastAsia="Times New Roman" w:hAnsi="Times New Roman"/>
          <w:sz w:val="14"/>
          <w:szCs w:val="14"/>
          <w:color w:val="auto"/>
        </w:rPr>
      </w:pPr>
    </w:p>
    <w:p>
      <w:pPr>
        <w:ind w:left="1660" w:right="1259" w:hanging="513"/>
        <w:spacing w:after="0" w:line="256" w:lineRule="auto"/>
        <w:tabs>
          <w:tab w:leader="none" w:pos="166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ISLC. </w:t>
      </w:r>
      <w:r>
        <w:rPr>
          <w:rFonts w:ascii="Times New Roman" w:cs="Times New Roman" w:eastAsia="Times New Roman" w:hAnsi="Times New Roman"/>
          <w:sz w:val="14"/>
          <w:szCs w:val="14"/>
          <w:color w:val="auto"/>
        </w:rPr>
        <w:t>Any existing Irrevocable Standby Letter of Credit (ISLC) issued to Landlord shall be canceled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nullified as of September 30, 2024. As of the commencement of the Fifth Amendment, Tenant shall be required to:</w:t>
      </w:r>
    </w:p>
    <w:p>
      <w:pPr>
        <w:spacing w:after="0" w:line="9" w:lineRule="exact"/>
        <w:rPr>
          <w:rFonts w:ascii="Times New Roman" w:cs="Times New Roman" w:eastAsia="Times New Roman" w:hAnsi="Times New Roman"/>
          <w:sz w:val="14"/>
          <w:szCs w:val="14"/>
          <w:color w:val="auto"/>
        </w:rPr>
      </w:pPr>
    </w:p>
    <w:p>
      <w:pPr>
        <w:ind w:left="2180" w:right="1399" w:hanging="516"/>
        <w:spacing w:after="0"/>
        <w:tabs>
          <w:tab w:leader="none" w:pos="21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Submit a copy or link of its 10-Q and 10-K to Landlord within ten (10) business days of public release.</w:t>
      </w:r>
    </w:p>
    <w:p>
      <w:pPr>
        <w:spacing w:after="0" w:line="9" w:lineRule="exact"/>
        <w:rPr>
          <w:rFonts w:ascii="Times New Roman" w:cs="Times New Roman" w:eastAsia="Times New Roman" w:hAnsi="Times New Roman"/>
          <w:sz w:val="17"/>
          <w:szCs w:val="17"/>
          <w:color w:val="auto"/>
        </w:rPr>
      </w:pPr>
    </w:p>
    <w:p>
      <w:pPr>
        <w:ind w:left="2180" w:right="1339" w:hanging="516"/>
        <w:spacing w:after="0"/>
        <w:tabs>
          <w:tab w:leader="none" w:pos="21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 the event Tenant’s cash and equivalents fall below $40,000,000, Tenant shall notify Landlord within ten (10) business days.</w:t>
      </w:r>
    </w:p>
    <w:p>
      <w:pPr>
        <w:spacing w:after="0" w:line="9" w:lineRule="exact"/>
        <w:rPr>
          <w:rFonts w:ascii="Times New Roman" w:cs="Times New Roman" w:eastAsia="Times New Roman" w:hAnsi="Times New Roman"/>
          <w:sz w:val="17"/>
          <w:szCs w:val="17"/>
          <w:color w:val="auto"/>
        </w:rPr>
      </w:pPr>
    </w:p>
    <w:p>
      <w:pPr>
        <w:ind w:left="2180" w:right="1179" w:hanging="516"/>
        <w:spacing w:after="0" w:line="252" w:lineRule="auto"/>
        <w:tabs>
          <w:tab w:leader="none" w:pos="218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In the event Tenant’s cash equivalents fall below $30,000,000 for any five (5) business day period, Tenant shall notify Landlord within two (2) business days and provide Landlord with an Irrevocable Standby Letter of Credit (ISLC) in the amount of $773,661.81 within thirty (30 calendar days). Tenant shall conform to the format issued under the ISLC requirements (Attachment F, under the Original Lease)</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“This section left intentionally blank”</w:t>
      </w:r>
    </w:p>
    <w:p>
      <w:pPr>
        <w:spacing w:after="0" w:line="357"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30" w:name="page131"/>
    <w:bookmarkEnd w:id="130"/>
    <w:p>
      <w:pPr>
        <w:ind w:left="2180" w:right="1159"/>
        <w:spacing w:after="0" w:line="296" w:lineRule="auto"/>
        <w:tabs>
          <w:tab w:leader="none" w:pos="2552"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Rent During Fifth Extension Period. </w:t>
      </w:r>
      <w:r>
        <w:rPr>
          <w:rFonts w:ascii="Times New Roman" w:cs="Times New Roman" w:eastAsia="Times New Roman" w:hAnsi="Times New Roman"/>
          <w:sz w:val="14"/>
          <w:szCs w:val="14"/>
          <w:color w:val="auto"/>
        </w:rPr>
        <w:t>During the Fifth Extension Period, the base rent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payable shall be the amount called for by the following:</w:t>
      </w:r>
    </w:p>
    <w:p>
      <w:pPr>
        <w:spacing w:after="0" w:line="143" w:lineRule="exact"/>
        <w:rPr>
          <w:sz w:val="20"/>
          <w:szCs w:val="20"/>
          <w:color w:val="auto"/>
        </w:rPr>
      </w:pPr>
    </w:p>
    <w:tbl>
      <w:tblPr>
        <w:tblLayout w:type="fixed"/>
        <w:tblInd w:w="2200" w:type="dxa"/>
        <w:tblCellMar>
          <w:top w:w="0" w:type="dxa"/>
          <w:left w:w="0" w:type="dxa"/>
          <w:bottom w:w="0" w:type="dxa"/>
          <w:right w:w="0" w:type="dxa"/>
        </w:tblCellMar>
      </w:tblPr>
      <w:tr>
        <w:trPr>
          <w:trHeight w:val="18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Months</w:t>
            </w: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Rate/SF</w:t>
            </w:r>
          </w:p>
        </w:tc>
        <w:tc>
          <w:tcPr>
            <w:tcW w:w="1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Rate/Month</w:t>
            </w:r>
          </w:p>
        </w:tc>
      </w:tr>
      <w:tr>
        <w:trPr>
          <w:trHeight w:val="18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*01-12:</w:t>
            </w: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$1.540</w:t>
            </w:r>
          </w:p>
        </w:tc>
        <w:tc>
          <w:tcPr>
            <w:tcW w:w="1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$64,843.24 Plus NNN</w:t>
            </w:r>
          </w:p>
        </w:tc>
      </w:tr>
      <w:tr>
        <w:trPr>
          <w:trHeight w:val="18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13 – 24:</w:t>
            </w: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$1.594</w:t>
            </w:r>
          </w:p>
        </w:tc>
        <w:tc>
          <w:tcPr>
            <w:tcW w:w="1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$67,112.75 Plus NNN</w:t>
            </w:r>
          </w:p>
        </w:tc>
      </w:tr>
      <w:tr>
        <w:trPr>
          <w:trHeight w:val="18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25 – 36:</w:t>
            </w: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$1.650</w:t>
            </w:r>
          </w:p>
        </w:tc>
        <w:tc>
          <w:tcPr>
            <w:tcW w:w="1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$69,461.70 Plus NNN</w:t>
            </w:r>
          </w:p>
        </w:tc>
      </w:tr>
      <w:tr>
        <w:trPr>
          <w:trHeight w:val="18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37 – 48:</w:t>
            </w: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$1.707</w:t>
            </w:r>
          </w:p>
        </w:tc>
        <w:tc>
          <w:tcPr>
            <w:tcW w:w="1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$71,892.86 Plus NNN</w:t>
            </w:r>
          </w:p>
        </w:tc>
      </w:tr>
      <w:tr>
        <w:trPr>
          <w:trHeight w:val="18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49 – 60:</w:t>
            </w: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$1.767</w:t>
            </w:r>
          </w:p>
        </w:tc>
        <w:tc>
          <w:tcPr>
            <w:tcW w:w="1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$74,409.11 Plus NNN</w:t>
            </w:r>
          </w:p>
        </w:tc>
      </w:tr>
      <w:tr>
        <w:trPr>
          <w:trHeight w:val="183"/>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61 – 72:</w:t>
            </w: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$1.829</w:t>
            </w:r>
          </w:p>
        </w:tc>
        <w:tc>
          <w:tcPr>
            <w:tcW w:w="1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$77,013.43 Plus NNN</w:t>
            </w:r>
          </w:p>
        </w:tc>
      </w:tr>
      <w:tr>
        <w:trPr>
          <w:trHeight w:val="18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auto"/>
              </w:rPr>
              <w:t>73 – 76:</w:t>
            </w:r>
          </w:p>
        </w:tc>
        <w:tc>
          <w:tcPr>
            <w:tcW w:w="10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$1.893</w:t>
            </w:r>
          </w:p>
        </w:tc>
        <w:tc>
          <w:tcPr>
            <w:tcW w:w="15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$79,708.90 Plus NNN</w:t>
            </w:r>
          </w:p>
        </w:tc>
      </w:tr>
    </w:tbl>
    <w:p>
      <w:pPr>
        <w:ind w:left="2180"/>
        <w:spacing w:after="0" w:line="236" w:lineRule="auto"/>
        <w:rPr>
          <w:sz w:val="20"/>
          <w:szCs w:val="20"/>
          <w:color w:val="auto"/>
        </w:rPr>
      </w:pPr>
      <w:r>
        <w:rPr>
          <w:rFonts w:ascii="Times New Roman" w:cs="Times New Roman" w:eastAsia="Times New Roman" w:hAnsi="Times New Roman"/>
          <w:sz w:val="11"/>
          <w:szCs w:val="11"/>
          <w:color w:val="auto"/>
        </w:rPr>
        <w:t>*Abated Base rent in months 2,11 and 12</w:t>
      </w:r>
    </w:p>
    <w:p>
      <w:pPr>
        <w:ind w:left="2180"/>
        <w:spacing w:after="0" w:line="225" w:lineRule="auto"/>
        <w:rPr>
          <w:sz w:val="20"/>
          <w:szCs w:val="20"/>
          <w:color w:val="auto"/>
        </w:rPr>
      </w:pPr>
      <w:r>
        <w:rPr>
          <w:rFonts w:ascii="Times New Roman" w:cs="Times New Roman" w:eastAsia="Times New Roman" w:hAnsi="Times New Roman"/>
          <w:sz w:val="11"/>
          <w:szCs w:val="11"/>
          <w:color w:val="auto"/>
        </w:rPr>
        <w:t>In addition to the base rent, Tenant shall be responsible for the Triple Net expenses as per the</w:t>
      </w:r>
    </w:p>
    <w:p>
      <w:pPr>
        <w:ind w:left="2180"/>
        <w:spacing w:after="0"/>
        <w:rPr>
          <w:sz w:val="20"/>
          <w:szCs w:val="20"/>
          <w:color w:val="auto"/>
        </w:rPr>
      </w:pPr>
      <w:r>
        <w:rPr>
          <w:rFonts w:ascii="Times New Roman" w:cs="Times New Roman" w:eastAsia="Times New Roman" w:hAnsi="Times New Roman"/>
          <w:sz w:val="11"/>
          <w:szCs w:val="11"/>
          <w:color w:val="auto"/>
        </w:rPr>
        <w:t>existing Lease.</w:t>
      </w:r>
    </w:p>
    <w:p>
      <w:pPr>
        <w:spacing w:after="0" w:line="153" w:lineRule="exact"/>
        <w:rPr>
          <w:sz w:val="20"/>
          <w:szCs w:val="20"/>
          <w:color w:val="auto"/>
        </w:rPr>
      </w:pPr>
    </w:p>
    <w:p>
      <w:pPr>
        <w:ind w:left="1660" w:right="1159" w:firstLine="520"/>
        <w:spacing w:after="0" w:line="265" w:lineRule="auto"/>
        <w:tabs>
          <w:tab w:leader="none" w:pos="2548"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Option to Renew. </w:t>
      </w:r>
      <w:r>
        <w:rPr>
          <w:rFonts w:ascii="Times New Roman" w:cs="Times New Roman" w:eastAsia="Times New Roman" w:hAnsi="Times New Roman"/>
          <w:sz w:val="14"/>
          <w:szCs w:val="14"/>
          <w:color w:val="auto"/>
        </w:rPr>
        <w:t>Tenant shall receive two (2) five (5) year Options to Extend the Lease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end of the Fourth Amendment term. All other Renewal options prior to this Fifth Amendment shall be null and void. Tenant shall provide notice to renew with no less than nine (9) months prior written notice and no more than Twelve (12) months prior to the Lease Expiration date, of its intention to extend the lease. The base rent amounts for the option periods shall be at 95% of FMV and not less than the last month’s rent paid.</w:t>
      </w:r>
    </w:p>
    <w:p>
      <w:pPr>
        <w:spacing w:after="0" w:line="316" w:lineRule="exact"/>
        <w:rPr>
          <w:rFonts w:ascii="Times New Roman" w:cs="Times New Roman" w:eastAsia="Times New Roman" w:hAnsi="Times New Roman"/>
          <w:sz w:val="14"/>
          <w:szCs w:val="14"/>
          <w:b w:val="1"/>
          <w:bCs w:val="1"/>
          <w:color w:val="auto"/>
        </w:rPr>
      </w:pPr>
    </w:p>
    <w:p>
      <w:pPr>
        <w:ind w:left="1660" w:right="1479" w:firstLine="520"/>
        <w:spacing w:after="0" w:line="276" w:lineRule="auto"/>
        <w:tabs>
          <w:tab w:leader="none" w:pos="2548"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Deposit. </w:t>
      </w:r>
      <w:r>
        <w:rPr>
          <w:rFonts w:ascii="Times New Roman" w:cs="Times New Roman" w:eastAsia="Times New Roman" w:hAnsi="Times New Roman"/>
          <w:sz w:val="14"/>
          <w:szCs w:val="14"/>
          <w:color w:val="auto"/>
        </w:rPr>
        <w:t>Upon lease execution, Tenant shall pay a Security Deposit equal to the last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month’s rent ($79,708.90). The existing security deposit of the current lease is $52,905.71 and shall be increased by $26,803.19 at execution.</w:t>
      </w:r>
    </w:p>
    <w:p>
      <w:pPr>
        <w:spacing w:after="0" w:line="133" w:lineRule="exact"/>
        <w:rPr>
          <w:rFonts w:ascii="Times New Roman" w:cs="Times New Roman" w:eastAsia="Times New Roman" w:hAnsi="Times New Roman"/>
          <w:sz w:val="14"/>
          <w:szCs w:val="14"/>
          <w:b w:val="1"/>
          <w:bCs w:val="1"/>
          <w:color w:val="auto"/>
        </w:rPr>
      </w:pPr>
    </w:p>
    <w:p>
      <w:pPr>
        <w:ind w:left="2560" w:hanging="380"/>
        <w:spacing w:after="0"/>
        <w:tabs>
          <w:tab w:leader="none" w:pos="2560"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Neither Party was represented by a Broker in the matter.</w:t>
      </w:r>
    </w:p>
    <w:p>
      <w:pPr>
        <w:spacing w:after="0" w:line="183" w:lineRule="exact"/>
        <w:rPr>
          <w:rFonts w:ascii="Times New Roman" w:cs="Times New Roman" w:eastAsia="Times New Roman" w:hAnsi="Times New Roman"/>
          <w:sz w:val="14"/>
          <w:szCs w:val="14"/>
          <w:b w:val="1"/>
          <w:bCs w:val="1"/>
          <w:color w:val="auto"/>
        </w:rPr>
      </w:pPr>
    </w:p>
    <w:p>
      <w:pPr>
        <w:jc w:val="both"/>
        <w:ind w:left="1660" w:right="1159" w:firstLine="520"/>
        <w:spacing w:after="0" w:line="266" w:lineRule="auto"/>
        <w:tabs>
          <w:tab w:leader="none" w:pos="2548" w:val="left"/>
        </w:tabs>
        <w:numPr>
          <w:ilvl w:val="0"/>
          <w:numId w:val="1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Miscellaneous</w:t>
      </w:r>
      <w:r>
        <w:rPr>
          <w:rFonts w:ascii="Times New Roman" w:cs="Times New Roman" w:eastAsia="Times New Roman" w:hAnsi="Times New Roman"/>
          <w:sz w:val="14"/>
          <w:szCs w:val="14"/>
          <w:color w:val="auto"/>
        </w:rPr>
        <w:t>. Any term used in this Fifth Amendment, which is defined in the Lease,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have the same meaning herein, unless the context indicates that another meaning is intended. The Lease is intended to be and is supplemented and amended by the provisions of this Fifth Amendment, and hereafter the Lease shall be considered and construed together. All of the terms, provisions, conditions, and covenants of the Lease, as modified by this Fifth Amendment, shall be and remain in full force and effect.</w:t>
      </w:r>
    </w:p>
    <w:p>
      <w:pPr>
        <w:spacing w:after="0" w:line="143" w:lineRule="exact"/>
        <w:rPr>
          <w:sz w:val="20"/>
          <w:szCs w:val="20"/>
          <w:color w:val="auto"/>
        </w:rPr>
      </w:pPr>
    </w:p>
    <w:p>
      <w:pPr>
        <w:ind w:left="1140" w:right="1159" w:firstLine="517"/>
        <w:spacing w:after="0" w:line="293" w:lineRule="auto"/>
        <w:rPr>
          <w:sz w:val="20"/>
          <w:szCs w:val="20"/>
          <w:color w:val="auto"/>
        </w:rPr>
      </w:pPr>
      <w:r>
        <w:rPr>
          <w:rFonts w:ascii="Times New Roman" w:cs="Times New Roman" w:eastAsia="Times New Roman" w:hAnsi="Times New Roman"/>
          <w:sz w:val="14"/>
          <w:szCs w:val="14"/>
          <w:color w:val="auto"/>
        </w:rPr>
        <w:t>IN WITNESS WHEREOF, the parties hereto have caused this Fifth Amendment to be executed on or as of the day and year above written.</w:t>
      </w:r>
    </w:p>
    <w:p>
      <w:pPr>
        <w:spacing w:after="0" w:line="156" w:lineRule="exact"/>
        <w:rPr>
          <w:sz w:val="20"/>
          <w:szCs w:val="20"/>
          <w:color w:val="auto"/>
        </w:rPr>
      </w:pPr>
    </w:p>
    <w:p>
      <w:pPr>
        <w:ind w:left="1160"/>
        <w:spacing w:after="0"/>
        <w:tabs>
          <w:tab w:leader="none" w:pos="4540" w:val="left"/>
        </w:tabs>
        <w:rPr>
          <w:sz w:val="20"/>
          <w:szCs w:val="20"/>
          <w:color w:val="auto"/>
        </w:rPr>
      </w:pPr>
      <w:r>
        <w:rPr>
          <w:rFonts w:ascii="Times New Roman" w:cs="Times New Roman" w:eastAsia="Times New Roman" w:hAnsi="Times New Roman"/>
          <w:sz w:val="14"/>
          <w:szCs w:val="14"/>
          <w:color w:val="auto"/>
        </w:rPr>
        <w:t>“Landlord”:</w:t>
      </w:r>
      <w:r>
        <w:rPr>
          <w:sz w:val="20"/>
          <w:szCs w:val="20"/>
          <w:color w:val="auto"/>
        </w:rPr>
        <w:tab/>
      </w:r>
      <w:r>
        <w:rPr>
          <w:rFonts w:ascii="Times New Roman" w:cs="Times New Roman" w:eastAsia="Times New Roman" w:hAnsi="Times New Roman"/>
          <w:sz w:val="14"/>
          <w:szCs w:val="14"/>
          <w:color w:val="auto"/>
        </w:rPr>
        <w:t>“Tenant”:</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172"/>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ACCURIDE INTERNATIONAL INC.</w:t>
            </w:r>
          </w:p>
        </w:tc>
        <w:tc>
          <w:tcPr>
            <w:tcW w:w="3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RXSIGHT, Inc.</w:t>
            </w:r>
          </w:p>
        </w:tc>
      </w:tr>
      <w:tr>
        <w:trPr>
          <w:trHeight w:val="186"/>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California Corporation</w:t>
            </w:r>
          </w:p>
        </w:tc>
        <w:tc>
          <w:tcPr>
            <w:tcW w:w="376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a Delaware Corporation</w:t>
            </w:r>
          </w:p>
        </w:tc>
      </w:tr>
      <w:tr>
        <w:trPr>
          <w:trHeight w:val="411"/>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Jeffrey A. Dunlap</w:t>
            </w:r>
          </w:p>
        </w:tc>
        <w:tc>
          <w:tcPr>
            <w:tcW w:w="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By:</w:t>
            </w:r>
          </w:p>
        </w:tc>
        <w:tc>
          <w:tcPr>
            <w:tcW w:w="2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Ron Kurtz</w:t>
            </w:r>
          </w:p>
        </w:tc>
      </w:tr>
      <w:tr>
        <w:trPr>
          <w:trHeight w:val="186"/>
        </w:trPr>
        <w:tc>
          <w:tcPr>
            <w:tcW w:w="4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Title:</w:t>
            </w:r>
          </w:p>
        </w:tc>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 &amp;CEO</w:t>
            </w:r>
          </w:p>
        </w:tc>
      </w:tr>
      <w:tr>
        <w:trPr>
          <w:trHeight w:val="190"/>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4/18/2024</w:t>
            </w:r>
          </w:p>
        </w:tc>
        <w:tc>
          <w:tcPr>
            <w:tcW w:w="9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Date:</w:t>
            </w:r>
          </w:p>
        </w:tc>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4/18/2024</w:t>
            </w:r>
          </w:p>
        </w:tc>
      </w:tr>
    </w:tbl>
    <w:p>
      <w:pPr>
        <w:spacing w:after="0" w:line="200" w:lineRule="exact"/>
        <w:rPr>
          <w:sz w:val="20"/>
          <w:szCs w:val="20"/>
          <w:color w:val="auto"/>
        </w:rPr>
      </w:pPr>
    </w:p>
    <w:p>
      <w:pPr>
        <w:spacing w:after="0" w:line="314"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131" w:name="page132"/>
    <w:bookmarkEnd w:id="1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“This section left intentionally blank”</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Attachment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FF0000"/>
        </w:rPr>
        <w:t>WORK LETTER EXAMPLE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(Tenant Improvements)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100 Columbia, Suite 100, Aliso Viejo, CA</w:t>
      </w:r>
    </w:p>
    <w:p>
      <w:pPr>
        <w:spacing w:after="0" w:line="168"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4"/>
          <w:szCs w:val="14"/>
          <w:b w:val="1"/>
          <w:bCs w:val="1"/>
          <w:u w:val="single" w:color="auto"/>
          <w:color w:val="auto"/>
        </w:rPr>
        <w:t>1.TENANT IMPROVEMENTS</w:t>
      </w:r>
    </w:p>
    <w:p>
      <w:pPr>
        <w:spacing w:after="0" w:line="185" w:lineRule="exact"/>
        <w:rPr>
          <w:sz w:val="20"/>
          <w:szCs w:val="20"/>
          <w:color w:val="auto"/>
        </w:rPr>
      </w:pPr>
    </w:p>
    <w:p>
      <w:pPr>
        <w:jc w:val="both"/>
        <w:ind w:left="1660" w:right="1159"/>
        <w:spacing w:after="0" w:line="265" w:lineRule="auto"/>
        <w:rPr>
          <w:sz w:val="20"/>
          <w:szCs w:val="20"/>
          <w:color w:val="auto"/>
        </w:rPr>
      </w:pPr>
      <w:r>
        <w:rPr>
          <w:rFonts w:ascii="Times New Roman" w:cs="Times New Roman" w:eastAsia="Times New Roman" w:hAnsi="Times New Roman"/>
          <w:sz w:val="14"/>
          <w:szCs w:val="14"/>
          <w:color w:val="auto"/>
        </w:rPr>
        <w:t>The tenant improvement work (“Tenant Improvements”) shall consist of the work required to complete certain improvements to the Premises based on a working floor drawing attached as Exhibit B. Tenant shall contract with a general contractor, identified as J.S. Shafer &amp; Associates, Inc. to construct the Tenant Improvements. The Tenant Improvements work shall be undertaken and prosecuted in accordance with the following requirements:</w:t>
      </w:r>
    </w:p>
    <w:p>
      <w:pPr>
        <w:spacing w:after="0" w:line="144" w:lineRule="exact"/>
        <w:rPr>
          <w:sz w:val="20"/>
          <w:szCs w:val="20"/>
          <w:color w:val="auto"/>
        </w:rPr>
      </w:pPr>
    </w:p>
    <w:p>
      <w:pPr>
        <w:ind w:left="1920" w:right="1159" w:hanging="256"/>
        <w:spacing w:after="0" w:line="259" w:lineRule="auto"/>
        <w:tabs>
          <w:tab w:leader="none" w:pos="19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understood that except as provided below, the Tenant Improvements shall only include actual improvements to the Premises approved by Landlord identified in Attachments A and B and shall exclude (but not by way of limitation) Tenant’s furniture, trade fixtures, partitions, equipment and signage improvements, if any. Further, the Tenant Improvements shall incorporate Landlord’s building standard materials and specifications (“Standards”). No deviations from the Standards may be requested by Tenant with respect to doors and frames, finish hardware, entry graphics, the ceiling system, light fixtures and switches, mechanical systems, life and safety systems, and/or window coverings; provided that Landlord may, in its sole discretion, authorize in writing one or more of such deviations, in which event, unless Landlord otherwise agrees in its sole discretion, Tenant shall be solely responsible for the cost of replacing same with the applicable Standard item(s) upon the expiration or termination of this Lease. All other non-standard items (“Non-Standard Improvements”) shall be subject to the prior approval of Landlord, which may be withheld in Landlord’s sole discretion. Landlord shall in no event be required to approve any Non-Standard Improvement if Landlord determines that such improvements (i) is of a lesser quality than the corresponding Standard, (ii) fails to conform to applicable governmental requirements, (iii) requires building services beyond the level Landlord has agreed to provide Tenant under this Lease, or (iv) would have an adverse aesthetic impact from the exterior of the Premises.</w:t>
      </w:r>
    </w:p>
    <w:p>
      <w:pPr>
        <w:spacing w:after="0" w:line="319" w:lineRule="exact"/>
        <w:rPr>
          <w:rFonts w:ascii="Times New Roman" w:cs="Times New Roman" w:eastAsia="Times New Roman" w:hAnsi="Times New Roman"/>
          <w:sz w:val="14"/>
          <w:szCs w:val="14"/>
          <w:color w:val="auto"/>
        </w:rPr>
      </w:pPr>
    </w:p>
    <w:p>
      <w:pPr>
        <w:ind w:left="1920" w:right="1699" w:hanging="256"/>
        <w:spacing w:after="0" w:line="293" w:lineRule="auto"/>
        <w:tabs>
          <w:tab w:leader="none" w:pos="19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shall use a licensed general contractor (Identified as J.S. Shafer &amp; Associates) and that contractor’s selected subcontractors to construct the Premises.</w:t>
      </w:r>
    </w:p>
    <w:p>
      <w:pPr>
        <w:spacing w:after="0" w:line="123" w:lineRule="exact"/>
        <w:rPr>
          <w:rFonts w:ascii="Times New Roman" w:cs="Times New Roman" w:eastAsia="Times New Roman" w:hAnsi="Times New Roman"/>
          <w:sz w:val="14"/>
          <w:szCs w:val="14"/>
          <w:color w:val="auto"/>
        </w:rPr>
      </w:pPr>
    </w:p>
    <w:p>
      <w:pPr>
        <w:ind w:left="1920" w:right="1379" w:hanging="256"/>
        <w:spacing w:after="0" w:line="268" w:lineRule="auto"/>
        <w:tabs>
          <w:tab w:leader="none" w:pos="19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 Contractor and each of its subcontractors shall comply with Landlord’s requirements as generally imposed on third party contractors, including without limitation all insurance coverage requirements and the obligation to furnish appropriate certificates of insurance to Landlord, prior to commencement of construction or the Tenant Improvements work.</w:t>
      </w:r>
    </w:p>
    <w:p>
      <w:pPr>
        <w:spacing w:after="0" w:line="141" w:lineRule="exact"/>
        <w:rPr>
          <w:rFonts w:ascii="Times New Roman" w:cs="Times New Roman" w:eastAsia="Times New Roman" w:hAnsi="Times New Roman"/>
          <w:sz w:val="14"/>
          <w:szCs w:val="14"/>
          <w:color w:val="auto"/>
        </w:rPr>
      </w:pPr>
    </w:p>
    <w:p>
      <w:pPr>
        <w:ind w:left="1920" w:right="1539" w:hanging="256"/>
        <w:spacing w:after="0" w:line="293" w:lineRule="auto"/>
        <w:tabs>
          <w:tab w:leader="none" w:pos="192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construction schedule shall be provided to Landlord and Tenant prior to commencement of the construction of the Tenant Improvements work, and weekly updates shall be supplied</w:t>
      </w:r>
    </w:p>
    <w:p>
      <w:pPr>
        <w:spacing w:after="0" w:line="296"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132" w:name="page133"/>
    <w:bookmarkEnd w:id="132"/>
    <w:p>
      <w:pPr>
        <w:jc w:val="center"/>
        <w:ind w:right="139"/>
        <w:spacing w:after="0"/>
        <w:rPr>
          <w:sz w:val="20"/>
          <w:szCs w:val="20"/>
          <w:color w:val="auto"/>
        </w:rPr>
      </w:pPr>
      <w:r>
        <w:rPr>
          <w:rFonts w:ascii="Times New Roman" w:cs="Times New Roman" w:eastAsia="Times New Roman" w:hAnsi="Times New Roman"/>
          <w:sz w:val="14"/>
          <w:szCs w:val="14"/>
          <w:u w:val="single" w:color="auto"/>
          <w:color w:val="auto"/>
        </w:rPr>
        <w:t>Work Letter (Continued)</w:t>
      </w:r>
    </w:p>
    <w:p>
      <w:pPr>
        <w:spacing w:after="0" w:line="183" w:lineRule="exact"/>
        <w:rPr>
          <w:sz w:val="20"/>
          <w:szCs w:val="20"/>
          <w:color w:val="auto"/>
        </w:rPr>
      </w:pPr>
    </w:p>
    <w:p>
      <w:pPr>
        <w:ind w:left="1920" w:right="1299" w:hanging="256"/>
        <w:spacing w:after="0" w:line="268" w:lineRule="auto"/>
        <w:tabs>
          <w:tab w:leader="none" w:pos="19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Tenant Improvements work shall be prosecuted at all times in accordance with all state, federal and local laws, regulations and ordinance, including without limitation all OSHA and other safety laws, the Americans with Disabilities Act (“ADA”) and all applicable governmental permit and code requirements.</w:t>
      </w:r>
    </w:p>
    <w:p>
      <w:pPr>
        <w:spacing w:after="0" w:line="141" w:lineRule="exact"/>
        <w:rPr>
          <w:rFonts w:ascii="Times New Roman" w:cs="Times New Roman" w:eastAsia="Times New Roman" w:hAnsi="Times New Roman"/>
          <w:sz w:val="14"/>
          <w:szCs w:val="14"/>
          <w:color w:val="auto"/>
        </w:rPr>
      </w:pPr>
    </w:p>
    <w:p>
      <w:pPr>
        <w:ind w:left="1920" w:right="1279" w:hanging="256"/>
        <w:spacing w:after="0" w:line="265" w:lineRule="auto"/>
        <w:tabs>
          <w:tab w:leader="none" w:pos="192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Tenant hereby designates Richard Drinkward, Telephone No. (949) 521-7833, as its representative, agent and attorney-in-fact for the purpose of receiving notices, approving submittals and issuing requests for Changes and Landlord shall be entitled to rely upon authorizations and directives of such persons as if given directly by Tenant. Tenant may amend the designation of its construction representative(s) at any time upon delivery of written notice to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“This section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330" w:right="1440" w:bottom="1440" w:gutter="0" w:footer="0" w:header="0"/>
        </w:sectPr>
      </w:pPr>
    </w:p>
    <w:bookmarkStart w:id="133" w:name="page134"/>
    <w:bookmarkEnd w:id="133"/>
    <w:p>
      <w:pPr>
        <w:ind w:left="1400"/>
        <w:spacing w:after="0"/>
        <w:rPr>
          <w:sz w:val="20"/>
          <w:szCs w:val="20"/>
          <w:color w:val="auto"/>
        </w:rPr>
      </w:pPr>
      <w:r>
        <w:rPr>
          <w:rFonts w:ascii="Times New Roman" w:cs="Times New Roman" w:eastAsia="Times New Roman" w:hAnsi="Times New Roman"/>
          <w:sz w:val="14"/>
          <w:szCs w:val="14"/>
          <w:b w:val="1"/>
          <w:bCs w:val="1"/>
          <w:u w:val="single" w:color="auto"/>
          <w:color w:val="auto"/>
        </w:rPr>
        <w:t>2.</w:t>
      </w:r>
      <w:r>
        <w:rPr>
          <w:rFonts w:ascii="Times New Roman" w:cs="Times New Roman" w:eastAsia="Times New Roman" w:hAnsi="Times New Roman"/>
          <w:sz w:val="14"/>
          <w:szCs w:val="14"/>
          <w:b w:val="1"/>
          <w:bCs w:val="1"/>
          <w:color w:val="auto"/>
        </w:rPr>
        <w:t>COST OF TENANT IMPROVEMENTS</w:t>
      </w:r>
    </w:p>
    <w:p>
      <w:pPr>
        <w:spacing w:after="0" w:line="398" w:lineRule="exact"/>
        <w:rPr>
          <w:sz w:val="20"/>
          <w:szCs w:val="20"/>
          <w:color w:val="auto"/>
        </w:rPr>
      </w:pPr>
    </w:p>
    <w:tbl>
      <w:tblPr>
        <w:tblLayout w:type="fixed"/>
        <w:tblInd w:w="1680" w:type="dxa"/>
        <w:tblCellMar>
          <w:top w:w="0" w:type="dxa"/>
          <w:left w:w="0" w:type="dxa"/>
          <w:bottom w:w="0" w:type="dxa"/>
          <w:right w:w="0" w:type="dxa"/>
        </w:tblCellMar>
      </w:tblPr>
      <w:tr>
        <w:trPr>
          <w:trHeight w:val="129"/>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Tenant Improvement-CV-2A   Attachment C</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J. S. Shafer &amp; Associates, Inc.</w:t>
            </w:r>
          </w:p>
        </w:tc>
        <w:tc>
          <w:tcPr>
            <w:tcW w:w="0" w:type="dxa"/>
            <w:vAlign w:val="bottom"/>
          </w:tcPr>
          <w:p>
            <w:pPr>
              <w:spacing w:after="0"/>
              <w:rPr>
                <w:sz w:val="1"/>
                <w:szCs w:val="1"/>
                <w:color w:val="auto"/>
              </w:rPr>
            </w:pPr>
          </w:p>
        </w:tc>
      </w:tr>
      <w:tr>
        <w:trPr>
          <w:trHeight w:val="129"/>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100 Columbia, Suite 100</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Schedule of Values</w:t>
            </w:r>
          </w:p>
        </w:tc>
        <w:tc>
          <w:tcPr>
            <w:tcW w:w="0" w:type="dxa"/>
            <w:vAlign w:val="bottom"/>
          </w:tcPr>
          <w:p>
            <w:pPr>
              <w:spacing w:after="0"/>
              <w:rPr>
                <w:sz w:val="1"/>
                <w:szCs w:val="1"/>
                <w:color w:val="auto"/>
              </w:rPr>
            </w:pPr>
          </w:p>
        </w:tc>
      </w:tr>
      <w:tr>
        <w:trPr>
          <w:trHeight w:val="129"/>
        </w:trPr>
        <w:tc>
          <w:tcPr>
            <w:tcW w:w="29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Aliso Viejo, CA 92656</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Job No. 2362</w:t>
            </w:r>
          </w:p>
        </w:tc>
        <w:tc>
          <w:tcPr>
            <w:tcW w:w="0" w:type="dxa"/>
            <w:vAlign w:val="bottom"/>
          </w:tcPr>
          <w:p>
            <w:pPr>
              <w:spacing w:after="0"/>
              <w:rPr>
                <w:sz w:val="1"/>
                <w:szCs w:val="1"/>
                <w:color w:val="auto"/>
              </w:rPr>
            </w:pPr>
          </w:p>
        </w:tc>
      </w:tr>
      <w:tr>
        <w:trPr>
          <w:trHeight w:val="148"/>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blank</w:t>
            </w:r>
          </w:p>
        </w:tc>
        <w:tc>
          <w:tcPr>
            <w:tcW w:w="8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08/29/16</w:t>
            </w:r>
          </w:p>
        </w:tc>
        <w:tc>
          <w:tcPr>
            <w:tcW w:w="0" w:type="dxa"/>
            <w:vAlign w:val="bottom"/>
          </w:tcPr>
          <w:p>
            <w:pPr>
              <w:spacing w:after="0"/>
              <w:rPr>
                <w:sz w:val="1"/>
                <w:szCs w:val="1"/>
                <w:color w:val="auto"/>
              </w:rPr>
            </w:pPr>
          </w:p>
        </w:tc>
      </w:tr>
      <w:tr>
        <w:trPr>
          <w:trHeight w:val="452"/>
        </w:trPr>
        <w:tc>
          <w:tcPr>
            <w:tcW w:w="5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CSI</w:t>
            </w:r>
          </w:p>
        </w:tc>
        <w:tc>
          <w:tcPr>
            <w:tcW w:w="24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1"/>
                <w:szCs w:val="11"/>
                <w:b w:val="1"/>
                <w:bCs w:val="1"/>
                <w:color w:val="auto"/>
              </w:rPr>
              <w:t>Item Description</w:t>
            </w:r>
          </w:p>
        </w:tc>
        <w:tc>
          <w:tcPr>
            <w:tcW w:w="68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Count</w:t>
            </w: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Unit</w:t>
            </w:r>
          </w:p>
        </w:tc>
        <w:tc>
          <w:tcPr>
            <w:tcW w:w="102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Unit</w:t>
            </w:r>
          </w:p>
        </w:tc>
        <w:tc>
          <w:tcPr>
            <w:tcW w:w="700" w:type="dxa"/>
            <w:vAlign w:val="bottom"/>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Item Values</w:t>
            </w:r>
          </w:p>
        </w:tc>
        <w:tc>
          <w:tcPr>
            <w:tcW w:w="0" w:type="dxa"/>
            <w:vAlign w:val="bottom"/>
          </w:tcPr>
          <w:p>
            <w:pPr>
              <w:spacing w:after="0"/>
              <w:rPr>
                <w:sz w:val="1"/>
                <w:szCs w:val="1"/>
                <w:color w:val="auto"/>
              </w:rPr>
            </w:pPr>
          </w:p>
        </w:tc>
      </w:tr>
      <w:tr>
        <w:trPr>
          <w:trHeight w:val="148"/>
        </w:trPr>
        <w:tc>
          <w:tcPr>
            <w:tcW w:w="520" w:type="dxa"/>
            <w:vAlign w:val="bottom"/>
            <w:tcBorders>
              <w:bottom w:val="single" w:sz="8" w:color="auto"/>
            </w:tcBorders>
            <w:vMerge w:val="continue"/>
          </w:tcPr>
          <w:p>
            <w:pPr>
              <w:spacing w:after="0"/>
              <w:rPr>
                <w:sz w:val="12"/>
                <w:szCs w:val="12"/>
                <w:color w:val="auto"/>
              </w:rPr>
            </w:pPr>
          </w:p>
        </w:tc>
        <w:tc>
          <w:tcPr>
            <w:tcW w:w="2420" w:type="dxa"/>
            <w:vAlign w:val="bottom"/>
            <w:tcBorders>
              <w:bottom w:val="single" w:sz="8" w:color="auto"/>
            </w:tcBorders>
            <w:gridSpan w:val="2"/>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Cost</w:t>
            </w: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52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01030</w:t>
            </w:r>
          </w:p>
        </w:tc>
        <w:tc>
          <w:tcPr>
            <w:tcW w:w="2420" w:type="dxa"/>
            <w:vAlign w:val="bottom"/>
            <w:gridSpan w:val="2"/>
          </w:tcPr>
          <w:p>
            <w:pPr>
              <w:spacing w:after="0" w:line="110" w:lineRule="exact"/>
              <w:rPr>
                <w:sz w:val="20"/>
                <w:szCs w:val="20"/>
                <w:color w:val="auto"/>
              </w:rPr>
            </w:pPr>
            <w:r>
              <w:rPr>
                <w:rFonts w:ascii="Times New Roman" w:cs="Times New Roman" w:eastAsia="Times New Roman" w:hAnsi="Times New Roman"/>
                <w:sz w:val="11"/>
                <w:szCs w:val="11"/>
                <w:color w:val="auto"/>
              </w:rPr>
              <w:t>General Conditions</w:t>
            </w:r>
          </w:p>
        </w:tc>
        <w:tc>
          <w:tcPr>
            <w:tcW w:w="6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jc w:val="right"/>
              <w:spacing w:after="0" w:line="110" w:lineRule="exact"/>
              <w:rPr>
                <w:sz w:val="20"/>
                <w:szCs w:val="20"/>
                <w:color w:val="auto"/>
              </w:rPr>
            </w:pPr>
            <w:r>
              <w:rPr>
                <w:rFonts w:ascii="Times New Roman" w:cs="Times New Roman" w:eastAsia="Times New Roman" w:hAnsi="Times New Roman"/>
                <w:sz w:val="11"/>
                <w:szCs w:val="11"/>
                <w:color w:val="auto"/>
              </w:rPr>
              <w:t>70,048.80</w:t>
            </w:r>
          </w:p>
        </w:tc>
        <w:tc>
          <w:tcPr>
            <w:tcW w:w="0" w:type="dxa"/>
            <w:vAlign w:val="bottom"/>
          </w:tcPr>
          <w:p>
            <w:pPr>
              <w:spacing w:after="0"/>
              <w:rPr>
                <w:sz w:val="1"/>
                <w:szCs w:val="1"/>
                <w:color w:val="auto"/>
              </w:rPr>
            </w:pPr>
          </w:p>
        </w:tc>
      </w:tr>
      <w:tr>
        <w:trPr>
          <w:trHeight w:val="20"/>
        </w:trPr>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01000</w:t>
            </w:r>
          </w:p>
        </w:tc>
        <w:tc>
          <w:tcPr>
            <w:tcW w:w="8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12,500.00</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12,500.00</w:t>
            </w:r>
          </w:p>
        </w:tc>
        <w:tc>
          <w:tcPr>
            <w:tcW w:w="0" w:type="dxa"/>
            <w:vAlign w:val="bottom"/>
          </w:tcPr>
          <w:p>
            <w:pPr>
              <w:spacing w:after="0" w:line="20" w:lineRule="exact"/>
              <w:rPr>
                <w:sz w:val="1"/>
                <w:szCs w:val="1"/>
                <w:color w:val="auto"/>
              </w:rPr>
            </w:pPr>
          </w:p>
        </w:tc>
      </w:tr>
      <w:tr>
        <w:trPr>
          <w:trHeight w:val="135"/>
        </w:trPr>
        <w:tc>
          <w:tcPr>
            <w:tcW w:w="520" w:type="dxa"/>
            <w:vAlign w:val="bottom"/>
            <w:vMerge w:val="continue"/>
          </w:tcPr>
          <w:p>
            <w:pPr>
              <w:spacing w:after="0"/>
              <w:rPr>
                <w:sz w:val="11"/>
                <w:szCs w:val="1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Building Permit Fees</w:t>
            </w:r>
          </w:p>
        </w:tc>
        <w:tc>
          <w:tcPr>
            <w:tcW w:w="6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01027</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Electrical Engineering</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01028</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Mechanical Engineer</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01032</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Printing &amp; copying</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01523</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Scissor / boom lifts-rentals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01560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Dispose 4-ft flourescent tubes removed</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496.32</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496.32</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01566</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Debris disposal-dumpsters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02070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Demo-walls 254' @ 9.5'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3,420</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6,840.00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02070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Demo-additional per 09/14 plan-130 In.ft.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1,260</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02070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Demo wall cladding of X-frame, remove nailer</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Man hours</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39.48</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236.88</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02071</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Demo-acoustic ceilings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5,384</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4,038.00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02072</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Demo-existing 2x4 flourescent fixtures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02073</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Demo-existing carpet, vct-break rm, wall base</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8,493</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3,821.85</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02074</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Demo sheet vinyl &amp; cove base-rest rooms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02075</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Demo existing toilet partitions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02076</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Demo &amp; abandon existing plumbing drains</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Man hours</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47.53</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570.36</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02080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Conc cut, demo &amp; dispose - sink installs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02081</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Conc cut, demo-undergound elect &amp; piping</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03030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Replace concrete-sink install</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03031</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Replace concrete-underground elect &amp;piping</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03034</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Conc slab crack-grind open &amp; fill w/ Sika</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w:t>
            </w:r>
          </w:p>
        </w:tc>
        <w:tc>
          <w:tcPr>
            <w:tcW w:w="8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658.00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06200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Install mid-span support-Chem Lab ceiling</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488.15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488.15</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06400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Cabinetry-relocate/modify existing</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06410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Cabinetry-new Saron counter top</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07210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Insulation-R19 faced-Existing @ mezz-repair</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1,638.25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1,638.25</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07211</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Insulation-R11</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1,098.25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1,098.25</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07212</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Insulation-R-30 at roof of CV-2A only</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13,650.00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13,650.00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07215</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Insulation-R13-in partition walls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3,360</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3,864.00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07216</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R-19 insulation in 6" walls-Chem Lab</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1,080</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1,566.00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07217</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R-30 insulation in ceiling of Chem Lab</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07700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Roof repair work</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08331</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Repair 2 roll-up doors at Warehouse</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1,208.00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2,416.00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08500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Metal window frame &amp; install-5-0x4-0 ea</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392.20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2,353.20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08501</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Window w/ Pyran fire safety glass-1-hr rating</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08801</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Door-stain birch-frame-side lite-8 ft-hrdwre-ins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08802</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Doors-6-0x8-0, stain grade, hardware, install</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08803</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Install doors saved for re-use</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08804</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Door-3-0x8-0, stain grade, hardware, installed</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08805</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Replace door access hardware to match CV1</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08806</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Kick plates-stainless-installed</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44.57</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623.98</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08807</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Door closers-installed</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155.00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09104</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Frame &amp; drywall - H=10-ft, per 9/14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28,600.00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09105</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Frame &amp; drywall-ceiling Chem Lab-9/14 plan</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11.12</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10,008.00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09107</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Drywall-recessed boxes for lights 1-hr</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09108</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Frame &amp; drywall-combo fire/smoke dampers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1,750.00</w:t>
            </w:r>
          </w:p>
        </w:tc>
        <w:tc>
          <w:tcPr>
            <w:tcW w:w="0" w:type="dxa"/>
            <w:vAlign w:val="bottom"/>
          </w:tcPr>
          <w:p>
            <w:pPr>
              <w:spacing w:after="0"/>
              <w:rPr>
                <w:sz w:val="1"/>
                <w:szCs w:val="1"/>
                <w:color w:val="auto"/>
              </w:rPr>
            </w:pPr>
          </w:p>
        </w:tc>
      </w:tr>
      <w:tr>
        <w:trPr>
          <w:trHeight w:val="140"/>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09109</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Drywall furring &amp; details at A-frame exposed</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975.00</w:t>
            </w:r>
          </w:p>
        </w:tc>
        <w:tc>
          <w:tcPr>
            <w:tcW w:w="0" w:type="dxa"/>
            <w:vAlign w:val="bottom"/>
          </w:tcPr>
          <w:p>
            <w:pPr>
              <w:spacing w:after="0"/>
              <w:rPr>
                <w:sz w:val="1"/>
                <w:szCs w:val="1"/>
                <w:color w:val="auto"/>
              </w:rPr>
            </w:pPr>
          </w:p>
        </w:tc>
      </w:tr>
      <w:tr>
        <w:trPr>
          <w:trHeight w:val="148"/>
        </w:trPr>
        <w:tc>
          <w:tcPr>
            <w:tcW w:w="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09110</w:t>
            </w:r>
          </w:p>
        </w:tc>
        <w:tc>
          <w:tcPr>
            <w:tcW w:w="24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Drywall-cut patch-finish-T24 outlets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375.00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3,375.00</w:t>
            </w:r>
          </w:p>
        </w:tc>
        <w:tc>
          <w:tcPr>
            <w:tcW w:w="0" w:type="dxa"/>
            <w:vAlign w:val="bottom"/>
          </w:tcPr>
          <w:p>
            <w:pPr>
              <w:spacing w:after="0"/>
              <w:rPr>
                <w:sz w:val="1"/>
                <w:szCs w:val="1"/>
                <w:color w:val="auto"/>
              </w:rPr>
            </w:pPr>
          </w:p>
        </w:tc>
      </w:tr>
      <w:tr>
        <w:trPr>
          <w:trHeight w:val="363"/>
        </w:trPr>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of 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b w:val="1"/>
          <w:bCs w:val="1"/>
          <w:color w:val="auto"/>
        </w:rPr>
        <w:t>Cost of Tenant Improvements (Continued)</w:t>
      </w:r>
    </w:p>
    <w:p>
      <w:pPr>
        <w:spacing w:after="0" w:line="358"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34" w:name="page135"/>
    <w:bookmarkEnd w:id="134"/>
    <w:tbl>
      <w:tblPr>
        <w:tblLayout w:type="fixed"/>
        <w:tblInd w:w="1680" w:type="dxa"/>
        <w:tblCellMar>
          <w:top w:w="0" w:type="dxa"/>
          <w:left w:w="0" w:type="dxa"/>
          <w:bottom w:w="0" w:type="dxa"/>
          <w:right w:w="0" w:type="dxa"/>
        </w:tblCellMar>
      </w:tblPr>
      <w:tr>
        <w:trPr>
          <w:trHeight w:val="1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Tenant Improvement-CV-2A   Attachment C</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J. S. Shafer &amp; Associates, Inc.</w:t>
            </w:r>
          </w:p>
        </w:tc>
        <w:tc>
          <w:tcPr>
            <w:tcW w:w="0" w:type="dxa"/>
            <w:vAlign w:val="bottom"/>
          </w:tcPr>
          <w:p>
            <w:pPr>
              <w:spacing w:after="0"/>
              <w:rPr>
                <w:sz w:val="1"/>
                <w:szCs w:val="1"/>
                <w:color w:val="auto"/>
              </w:rPr>
            </w:pPr>
          </w:p>
        </w:tc>
      </w:tr>
      <w:tr>
        <w:trPr>
          <w:trHeight w:val="1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 Columbia, Suite 100</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Schedule of Values</w:t>
            </w:r>
          </w:p>
        </w:tc>
        <w:tc>
          <w:tcPr>
            <w:tcW w:w="0" w:type="dxa"/>
            <w:vAlign w:val="bottom"/>
          </w:tcPr>
          <w:p>
            <w:pPr>
              <w:spacing w:after="0"/>
              <w:rPr>
                <w:sz w:val="1"/>
                <w:szCs w:val="1"/>
                <w:color w:val="auto"/>
              </w:rPr>
            </w:pPr>
          </w:p>
        </w:tc>
      </w:tr>
      <w:tr>
        <w:trPr>
          <w:trHeight w:val="1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Aliso Viejo, CA 92656</w:t>
            </w: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Job No. 2362</w:t>
            </w:r>
          </w:p>
        </w:tc>
        <w:tc>
          <w:tcPr>
            <w:tcW w:w="0" w:type="dxa"/>
            <w:vAlign w:val="bottom"/>
          </w:tcPr>
          <w:p>
            <w:pPr>
              <w:spacing w:after="0"/>
              <w:rPr>
                <w:sz w:val="1"/>
                <w:szCs w:val="1"/>
                <w:color w:val="auto"/>
              </w:rPr>
            </w:pPr>
          </w:p>
        </w:tc>
      </w:tr>
      <w:tr>
        <w:trPr>
          <w:trHeight w:val="148"/>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blank</w:t>
            </w:r>
          </w:p>
        </w:tc>
        <w:tc>
          <w:tcPr>
            <w:tcW w:w="2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08/29/16</w:t>
            </w:r>
          </w:p>
        </w:tc>
        <w:tc>
          <w:tcPr>
            <w:tcW w:w="0" w:type="dxa"/>
            <w:vAlign w:val="bottom"/>
          </w:tcPr>
          <w:p>
            <w:pPr>
              <w:spacing w:after="0"/>
              <w:rPr>
                <w:sz w:val="1"/>
                <w:szCs w:val="1"/>
                <w:color w:val="auto"/>
              </w:rPr>
            </w:pPr>
          </w:p>
        </w:tc>
      </w:tr>
      <w:tr>
        <w:trPr>
          <w:trHeight w:val="495"/>
        </w:trPr>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CSI</w:t>
            </w:r>
          </w:p>
        </w:tc>
        <w:tc>
          <w:tcPr>
            <w:tcW w:w="2500" w:type="dxa"/>
            <w:vAlign w:val="bottom"/>
            <w:vMerge w:val="restart"/>
          </w:tcPr>
          <w:p>
            <w:pPr>
              <w:ind w:left="940"/>
              <w:spacing w:after="0"/>
              <w:rPr>
                <w:sz w:val="20"/>
                <w:szCs w:val="20"/>
                <w:color w:val="auto"/>
              </w:rPr>
            </w:pPr>
            <w:r>
              <w:rPr>
                <w:rFonts w:ascii="Times New Roman" w:cs="Times New Roman" w:eastAsia="Times New Roman" w:hAnsi="Times New Roman"/>
                <w:sz w:val="11"/>
                <w:szCs w:val="11"/>
                <w:b w:val="1"/>
                <w:bCs w:val="1"/>
                <w:color w:val="auto"/>
              </w:rPr>
              <w:t>Item Description</w:t>
            </w:r>
          </w:p>
        </w:tc>
        <w:tc>
          <w:tcPr>
            <w:tcW w:w="7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Count</w:t>
            </w:r>
          </w:p>
        </w:tc>
        <w:tc>
          <w:tcPr>
            <w:tcW w:w="8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Unit</w:t>
            </w:r>
          </w:p>
        </w:tc>
        <w:tc>
          <w:tcPr>
            <w:tcW w:w="100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Unit</w:t>
            </w:r>
          </w:p>
        </w:tc>
        <w:tc>
          <w:tcPr>
            <w:tcW w:w="700" w:type="dxa"/>
            <w:vAlign w:val="bottom"/>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Item Values</w:t>
            </w: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vMerge w:val="continue"/>
          </w:tcPr>
          <w:p>
            <w:pPr>
              <w:spacing w:after="0"/>
              <w:rPr>
                <w:sz w:val="12"/>
                <w:szCs w:val="12"/>
                <w:color w:val="auto"/>
              </w:rPr>
            </w:pPr>
          </w:p>
        </w:tc>
        <w:tc>
          <w:tcPr>
            <w:tcW w:w="250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Cost</w:t>
            </w: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2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color w:val="auto"/>
              </w:rPr>
              <w:t>09115</w:t>
            </w:r>
          </w:p>
        </w:tc>
        <w:tc>
          <w:tcPr>
            <w:tcW w:w="2500" w:type="dxa"/>
            <w:vAlign w:val="bottom"/>
          </w:tcPr>
          <w:p>
            <w:pPr>
              <w:ind w:left="100"/>
              <w:spacing w:after="0" w:line="124" w:lineRule="exact"/>
              <w:rPr>
                <w:sz w:val="20"/>
                <w:szCs w:val="20"/>
                <w:color w:val="auto"/>
              </w:rPr>
            </w:pPr>
            <w:r>
              <w:rPr>
                <w:rFonts w:ascii="Times New Roman" w:cs="Times New Roman" w:eastAsia="Times New Roman" w:hAnsi="Times New Roman"/>
                <w:sz w:val="11"/>
                <w:szCs w:val="11"/>
                <w:color w:val="auto"/>
              </w:rPr>
              <w:t>Backing supports-2 rows-in walls-Rm 154</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60</w:t>
            </w:r>
          </w:p>
        </w:tc>
        <w:tc>
          <w:tcPr>
            <w:tcW w:w="860" w:type="dxa"/>
            <w:vAlign w:val="bottom"/>
          </w:tcPr>
          <w:p>
            <w:pPr>
              <w:ind w:left="40"/>
              <w:spacing w:after="0" w:line="124" w:lineRule="exact"/>
              <w:rPr>
                <w:sz w:val="20"/>
                <w:szCs w:val="20"/>
                <w:color w:val="auto"/>
              </w:rPr>
            </w:pPr>
            <w:r>
              <w:rPr>
                <w:rFonts w:ascii="Times New Roman" w:cs="Times New Roman" w:eastAsia="Times New Roman" w:hAnsi="Times New Roman"/>
                <w:sz w:val="11"/>
                <w:szCs w:val="11"/>
                <w:color w:val="auto"/>
              </w:rPr>
              <w:t>Ln. Ft.</w:t>
            </w:r>
          </w:p>
        </w:tc>
        <w:tc>
          <w:tcPr>
            <w:tcW w:w="100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5.50</w:t>
            </w:r>
          </w:p>
        </w:tc>
        <w:tc>
          <w:tcPr>
            <w:tcW w:w="70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330.00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09512</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T-bar grid-new-office area-standard tile</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2,564</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9,589.36</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09513</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T-bar &amp; Gridstone-148,148,150,153,154,155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09514</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Replace ceiling tile w/ matching CV-1 tile</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2,976</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4,642.56</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09515</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Install hard washable ceiling tile in Rest Rms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1,325.00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09666</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Vinyl ESD flooring - Rm 153 Hardware Dev</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7.92</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4,593.60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09675</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Sheet vinyl-Rm 154 - Upgraded material</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9.34</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8,406.00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09676</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Sheet vinyl-Rest Rooms-Coved-Upgrade mtl</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09677</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VCT flooring - NIC - by others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09678</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Carpet tile - NIC - by others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09678</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Vinyl-rubber wall base - NIC - by others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09910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Finish new &amp; existing doors-stain-clear coat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2,175.00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09966</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Vinyl ESD floor-buff &amp; polish-ESD procedure</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575.00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09970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FRP-replace in rest rooms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09990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Painting-interior-walls-all except Rm 154</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18,324</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0.88</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16,125.12</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09991</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Painting-interior-Rm 152-Epoxy</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1,080</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1,836.00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09992</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Painting-ceiling of Rm 152-Epoxy</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900</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Sq. Ft.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1,773.00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09995</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Paint west stair shaft &amp; drywall repair</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09996</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Detail painting-A frame exposed</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10400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Signage-code required only</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10520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Fire extinguisher cabinets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1,048.00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10600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Toilet partitions-new-stainless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9,017.00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9,017.00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10800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Toilet accessories-new</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4,887.00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4,887.00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11000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Assist CV installations of equipment-Allow</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CrewHours</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90.51</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3,620.40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12512</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Louver blinds-installed</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9,956.00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12526</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Remove &amp; replace window films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15310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Nitrogen-extend existing &amp; 5 points of service</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15315</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Compressed air-extend exist-10 points svc</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15316</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Clean water-extend to sinks in labs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15401</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New condensate piping</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15405</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Dig trenches &amp; backfill-sink drains, electrical</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15449</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Underground sewer pipe explore &amp; video</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15450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Plumbing per plans P-1 &amp; P-2 dated 7/20/16</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15451</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Install CV's sink &amp;disposer-ice mkrCoffee Bar</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15455</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Replace toilets, lavs, urinals-install hands free</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10,629.00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10,629.00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15456</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Repair trap primers-R/Rs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15620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Hvac-air balance &amp; report-per unit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4,995.00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4,995.00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15650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Hvac-pads for new compressors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15800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Hvac-Rm 154-Chem Lab-negative press-16x</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15801</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Hvac-Rm 128-Optics Lab-positive pressure</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15802</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Hvac-Balance of areas - 5 existing machines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15803</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Install 2 Labconco exhaust fans &amp; systems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15865</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Combo fire &amp; smoke dampers-Rm 154 1-hr</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15883</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Install HEPA filter units, HEPA units NIC</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15900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Fire sprinklers-adjust head locations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12,644.00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12,644.00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16400</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Electricl-demo safe-off</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w:t>
            </w:r>
          </w:p>
        </w:tc>
        <w:tc>
          <w:tcPr>
            <w:tcW w:w="0" w:type="dxa"/>
            <w:vAlign w:val="bottom"/>
          </w:tcPr>
          <w:p>
            <w:pPr>
              <w:spacing w:after="0"/>
              <w:rPr>
                <w:sz w:val="1"/>
                <w:szCs w:val="1"/>
                <w:color w:val="auto"/>
              </w:rPr>
            </w:pPr>
          </w:p>
        </w:tc>
      </w:tr>
      <w:tr>
        <w:trPr>
          <w:trHeight w:val="140"/>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16401</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Electrical-distributed power outlets &amp; data</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31,055.35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31,055.35</w:t>
            </w:r>
          </w:p>
        </w:tc>
        <w:tc>
          <w:tcPr>
            <w:tcW w:w="0" w:type="dxa"/>
            <w:vAlign w:val="bottom"/>
          </w:tcPr>
          <w:p>
            <w:pPr>
              <w:spacing w:after="0"/>
              <w:rPr>
                <w:sz w:val="1"/>
                <w:szCs w:val="1"/>
                <w:color w:val="auto"/>
              </w:rPr>
            </w:pPr>
          </w:p>
        </w:tc>
      </w:tr>
      <w:tr>
        <w:trPr>
          <w:trHeight w:val="148"/>
        </w:trPr>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16408</w:t>
            </w:r>
          </w:p>
        </w:tc>
        <w:tc>
          <w:tcPr>
            <w:tcW w:w="25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Electrical-add 2-120-208 panels w/ feeders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2,471.65</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2,471.65</w:t>
            </w:r>
          </w:p>
        </w:tc>
        <w:tc>
          <w:tcPr>
            <w:tcW w:w="0" w:type="dxa"/>
            <w:vAlign w:val="bottom"/>
          </w:tcPr>
          <w:p>
            <w:pPr>
              <w:spacing w:after="0"/>
              <w:rPr>
                <w:sz w:val="1"/>
                <w:szCs w:val="1"/>
                <w:color w:val="auto"/>
              </w:rPr>
            </w:pPr>
          </w:p>
        </w:tc>
      </w:tr>
      <w:tr>
        <w:trPr>
          <w:trHeight w:val="363"/>
        </w:trPr>
        <w:tc>
          <w:tcPr>
            <w:tcW w:w="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of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253365</wp:posOffset>
            </wp:positionV>
            <wp:extent cx="4263390"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426339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b w:val="1"/>
          <w:bCs w:val="1"/>
          <w:color w:val="auto"/>
        </w:rPr>
        <w:t>Cost of Tenant Improvements (Continued)</w:t>
      </w:r>
    </w:p>
    <w:p>
      <w:pPr>
        <w:spacing w:after="0" w:line="358"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327" w:right="1440" w:bottom="1440" w:gutter="0" w:footer="0" w:header="0"/>
        </w:sectPr>
      </w:pPr>
    </w:p>
    <w:bookmarkStart w:id="135" w:name="page136"/>
    <w:bookmarkEnd w:id="135"/>
    <w:tbl>
      <w:tblPr>
        <w:tblLayout w:type="fixed"/>
        <w:tblInd w:w="1140" w:type="dxa"/>
        <w:tblCellMar>
          <w:top w:w="0" w:type="dxa"/>
          <w:left w:w="0" w:type="dxa"/>
          <w:bottom w:w="0" w:type="dxa"/>
          <w:right w:w="0" w:type="dxa"/>
        </w:tblCellMar>
      </w:tblPr>
      <w:tr>
        <w:trPr>
          <w:trHeight w:val="129"/>
        </w:trPr>
        <w:tc>
          <w:tcPr>
            <w:tcW w:w="540" w:type="dxa"/>
            <w:vAlign w:val="bottom"/>
          </w:tcPr>
          <w:p>
            <w:pPr>
              <w:spacing w:after="0"/>
              <w:rPr>
                <w:sz w:val="11"/>
                <w:szCs w:val="11"/>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Tenant Improvement-CV-2A   Attachment C</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J. S. Shafer &amp; Associates, Inc.</w:t>
            </w: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100 Columbia, Suite 100</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Schedule of Values</w:t>
            </w:r>
          </w:p>
        </w:tc>
        <w:tc>
          <w:tcPr>
            <w:tcW w:w="0" w:type="dxa"/>
            <w:vAlign w:val="bottom"/>
          </w:tcPr>
          <w:p>
            <w:pPr>
              <w:spacing w:after="0"/>
              <w:rPr>
                <w:sz w:val="1"/>
                <w:szCs w:val="1"/>
                <w:color w:val="auto"/>
              </w:rPr>
            </w:pPr>
          </w:p>
        </w:tc>
      </w:tr>
      <w:tr>
        <w:trPr>
          <w:trHeight w:val="129"/>
        </w:trPr>
        <w:tc>
          <w:tcPr>
            <w:tcW w:w="540" w:type="dxa"/>
            <w:vAlign w:val="bottom"/>
          </w:tcPr>
          <w:p>
            <w:pPr>
              <w:spacing w:after="0"/>
              <w:rPr>
                <w:sz w:val="11"/>
                <w:szCs w:val="11"/>
                <w:color w:val="auto"/>
              </w:rPr>
            </w:pPr>
          </w:p>
        </w:tc>
        <w:tc>
          <w:tcPr>
            <w:tcW w:w="29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Aliso Viejo, CA 92656</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Job No. 2362</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blank</w:t>
            </w:r>
          </w:p>
        </w:tc>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08/29/16</w:t>
            </w:r>
          </w:p>
        </w:tc>
        <w:tc>
          <w:tcPr>
            <w:tcW w:w="0" w:type="dxa"/>
            <w:vAlign w:val="bottom"/>
          </w:tcPr>
          <w:p>
            <w:pPr>
              <w:spacing w:after="0"/>
              <w:rPr>
                <w:sz w:val="1"/>
                <w:szCs w:val="1"/>
                <w:color w:val="auto"/>
              </w:rPr>
            </w:pPr>
          </w:p>
        </w:tc>
      </w:tr>
      <w:tr>
        <w:trPr>
          <w:trHeight w:val="495"/>
        </w:trPr>
        <w:tc>
          <w:tcPr>
            <w:tcW w:w="540" w:type="dxa"/>
            <w:vAlign w:val="bottom"/>
          </w:tcPr>
          <w:p>
            <w:pPr>
              <w:spacing w:after="0"/>
              <w:rPr>
                <w:sz w:val="24"/>
                <w:szCs w:val="24"/>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CSI</w:t>
            </w:r>
          </w:p>
        </w:tc>
        <w:tc>
          <w:tcPr>
            <w:tcW w:w="2480" w:type="dxa"/>
            <w:vAlign w:val="bottom"/>
            <w:vMerge w:val="restart"/>
          </w:tcPr>
          <w:p>
            <w:pPr>
              <w:ind w:left="940"/>
              <w:spacing w:after="0"/>
              <w:rPr>
                <w:sz w:val="20"/>
                <w:szCs w:val="20"/>
                <w:color w:val="auto"/>
              </w:rPr>
            </w:pPr>
            <w:r>
              <w:rPr>
                <w:rFonts w:ascii="Times New Roman" w:cs="Times New Roman" w:eastAsia="Times New Roman" w:hAnsi="Times New Roman"/>
                <w:sz w:val="11"/>
                <w:szCs w:val="11"/>
                <w:b w:val="1"/>
                <w:bCs w:val="1"/>
                <w:color w:val="auto"/>
              </w:rPr>
              <w:t>Item Description</w:t>
            </w:r>
          </w:p>
        </w:tc>
        <w:tc>
          <w:tcPr>
            <w:tcW w:w="72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Count</w:t>
            </w:r>
          </w:p>
        </w:tc>
        <w:tc>
          <w:tcPr>
            <w:tcW w:w="8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Unit</w:t>
            </w:r>
          </w:p>
        </w:tc>
        <w:tc>
          <w:tcPr>
            <w:tcW w:w="980" w:type="dxa"/>
            <w:vAlign w:val="bottom"/>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Unit</w:t>
            </w:r>
          </w:p>
        </w:tc>
        <w:tc>
          <w:tcPr>
            <w:tcW w:w="740" w:type="dxa"/>
            <w:vAlign w:val="bottom"/>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Item Values</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420" w:type="dxa"/>
            <w:vAlign w:val="bottom"/>
            <w:tcBorders>
              <w:bottom w:val="single" w:sz="8" w:color="auto"/>
            </w:tcBorders>
            <w:vMerge w:val="continue"/>
          </w:tcPr>
          <w:p>
            <w:pPr>
              <w:spacing w:after="0"/>
              <w:rPr>
                <w:sz w:val="12"/>
                <w:szCs w:val="12"/>
                <w:color w:val="auto"/>
              </w:rPr>
            </w:pPr>
          </w:p>
        </w:tc>
        <w:tc>
          <w:tcPr>
            <w:tcW w:w="248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540" w:type="dxa"/>
            <w:vAlign w:val="bottom"/>
          </w:tcPr>
          <w:p>
            <w:pPr>
              <w:spacing w:after="0"/>
              <w:rPr>
                <w:sz w:val="10"/>
                <w:szCs w:val="10"/>
                <w:color w:val="auto"/>
              </w:rPr>
            </w:pPr>
          </w:p>
        </w:tc>
        <w:tc>
          <w:tcPr>
            <w:tcW w:w="42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color w:val="auto"/>
              </w:rPr>
              <w:t>16413</w:t>
            </w:r>
          </w:p>
        </w:tc>
        <w:tc>
          <w:tcPr>
            <w:tcW w:w="2480" w:type="dxa"/>
            <w:vAlign w:val="bottom"/>
          </w:tcPr>
          <w:p>
            <w:pPr>
              <w:ind w:left="100"/>
              <w:spacing w:after="0" w:line="124" w:lineRule="exact"/>
              <w:rPr>
                <w:sz w:val="20"/>
                <w:szCs w:val="20"/>
                <w:color w:val="auto"/>
              </w:rPr>
            </w:pPr>
            <w:r>
              <w:rPr>
                <w:rFonts w:ascii="Times New Roman" w:cs="Times New Roman" w:eastAsia="Times New Roman" w:hAnsi="Times New Roman"/>
                <w:sz w:val="11"/>
                <w:szCs w:val="11"/>
                <w:color w:val="auto"/>
              </w:rPr>
              <w:t>Emergency power-175 amp transfer switch</w:t>
            </w:r>
          </w:p>
        </w:tc>
        <w:tc>
          <w:tcPr>
            <w:tcW w:w="72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line="124" w:lineRule="exact"/>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2,532.60</w:t>
            </w:r>
          </w:p>
        </w:tc>
        <w:tc>
          <w:tcPr>
            <w:tcW w:w="740" w:type="dxa"/>
            <w:vAlign w:val="bottom"/>
          </w:tcPr>
          <w:p>
            <w:pPr>
              <w:jc w:val="right"/>
              <w:spacing w:after="0" w:line="124" w:lineRule="exact"/>
              <w:rPr>
                <w:sz w:val="20"/>
                <w:szCs w:val="20"/>
                <w:color w:val="auto"/>
              </w:rPr>
            </w:pPr>
            <w:r>
              <w:rPr>
                <w:rFonts w:ascii="Times New Roman" w:cs="Times New Roman" w:eastAsia="Times New Roman" w:hAnsi="Times New Roman"/>
                <w:sz w:val="11"/>
                <w:szCs w:val="11"/>
                <w:color w:val="auto"/>
              </w:rPr>
              <w:t>2,532.60</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16414</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Emer power-panel, xfmr,disconnect, feeders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6,737.55</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6,737.55</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16415</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Install grounding buss in CV-2A IT room</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455.00</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16416</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Power to 2 new hvac units-H-8 &amp; H-25</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2,863.85</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2,863.85</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16417</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Power to 2 Labconco exhaust hoods &amp; fans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5,747.17</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5,747.17</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16474</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Replace deteriorated seal-tite-roof hvac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2,876.98</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2,876.98</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16475</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Install power/data/video in conc floor-Rm 130</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Assembly</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1,593.83</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1,593.83</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16476</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Install power &amp; data in floor box</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887.00</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16511</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Light fixtures-Exit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1,125.00</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16512</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Light fixtures-2x4 LED</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Each</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13,755.00</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16514</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Install 2x4 LED fixtures on Emer circuit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211.27</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4,859.21</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16515</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Install 2x4 LED fixtures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270.20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26,479.60</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16600</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Install overhead quad outlets on flex cords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1,620.00</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16650</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Install power to HEPA filter units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1,800.00</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16720</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Fire alarm system-B occupancy</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18,983.00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18,983.00</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16721</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Fire alarm system 1-hr conditions &amp; ducts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9,704.00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9,704.00</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16723</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Fire alarm system-conduit install</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Allowance</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15930</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Title 24 contol zones-lighting only</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23,478.85</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23,478.85</w:t>
            </w: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16931</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T-24 power outlets &amp; controls</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Lot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9,467.35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9,467.35</w:t>
            </w:r>
          </w:p>
        </w:tc>
        <w:tc>
          <w:tcPr>
            <w:tcW w:w="0" w:type="dxa"/>
            <w:vAlign w:val="bottom"/>
          </w:tcPr>
          <w:p>
            <w:pPr>
              <w:spacing w:after="0"/>
              <w:rPr>
                <w:sz w:val="1"/>
                <w:szCs w:val="1"/>
                <w:color w:val="auto"/>
              </w:rPr>
            </w:pPr>
          </w:p>
        </w:tc>
      </w:tr>
      <w:tr>
        <w:trPr>
          <w:trHeight w:val="139"/>
        </w:trPr>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667,921.07</w:t>
            </w:r>
          </w:p>
        </w:tc>
        <w:tc>
          <w:tcPr>
            <w:tcW w:w="0" w:type="dxa"/>
            <w:vAlign w:val="bottom"/>
          </w:tcPr>
          <w:p>
            <w:pPr>
              <w:spacing w:after="0"/>
              <w:rPr>
                <w:sz w:val="1"/>
                <w:szCs w:val="1"/>
                <w:color w:val="auto"/>
              </w:rPr>
            </w:pPr>
          </w:p>
        </w:tc>
      </w:tr>
      <w:tr>
        <w:trPr>
          <w:trHeight w:val="273"/>
        </w:trPr>
        <w:tc>
          <w:tcPr>
            <w:tcW w:w="54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17100</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Contractors Contingency</w:t>
            </w: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13,358.42</w:t>
            </w:r>
          </w:p>
        </w:tc>
        <w:tc>
          <w:tcPr>
            <w:tcW w:w="0" w:type="dxa"/>
            <w:vAlign w:val="bottom"/>
          </w:tcPr>
          <w:p>
            <w:pPr>
              <w:spacing w:after="0"/>
              <w:rPr>
                <w:sz w:val="1"/>
                <w:szCs w:val="1"/>
                <w:color w:val="auto"/>
              </w:rPr>
            </w:pPr>
          </w:p>
        </w:tc>
      </w:tr>
      <w:tr>
        <w:trPr>
          <w:trHeight w:val="280"/>
        </w:trPr>
        <w:tc>
          <w:tcPr>
            <w:tcW w:w="54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17200</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Contractors Overhead &amp; Profit</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54,502.36</w:t>
            </w:r>
          </w:p>
        </w:tc>
        <w:tc>
          <w:tcPr>
            <w:tcW w:w="0" w:type="dxa"/>
            <w:vAlign w:val="bottom"/>
          </w:tcPr>
          <w:p>
            <w:pPr>
              <w:spacing w:after="0"/>
              <w:rPr>
                <w:sz w:val="1"/>
                <w:szCs w:val="1"/>
                <w:color w:val="auto"/>
              </w:rPr>
            </w:pPr>
          </w:p>
        </w:tc>
      </w:tr>
      <w:tr>
        <w:trPr>
          <w:trHeight w:val="280"/>
        </w:trPr>
        <w:tc>
          <w:tcPr>
            <w:tcW w:w="54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17300</w:t>
            </w:r>
          </w:p>
        </w:tc>
        <w:tc>
          <w:tcPr>
            <w:tcW w:w="24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Contractor's Insurance</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11,036.73</w:t>
            </w:r>
          </w:p>
        </w:tc>
        <w:tc>
          <w:tcPr>
            <w:tcW w:w="0" w:type="dxa"/>
            <w:vAlign w:val="bottom"/>
          </w:tcPr>
          <w:p>
            <w:pPr>
              <w:spacing w:after="0"/>
              <w:rPr>
                <w:sz w:val="1"/>
                <w:szCs w:val="1"/>
                <w:color w:val="auto"/>
              </w:rPr>
            </w:pPr>
          </w:p>
        </w:tc>
      </w:tr>
      <w:tr>
        <w:trPr>
          <w:trHeight w:val="138"/>
        </w:trPr>
        <w:tc>
          <w:tcPr>
            <w:tcW w:w="540" w:type="dxa"/>
            <w:vAlign w:val="bottom"/>
          </w:tcPr>
          <w:p>
            <w:pPr>
              <w:spacing w:after="0"/>
              <w:rPr>
                <w:sz w:val="12"/>
                <w:szCs w:val="12"/>
                <w:color w:val="auto"/>
              </w:rPr>
            </w:pPr>
          </w:p>
        </w:tc>
        <w:tc>
          <w:tcPr>
            <w:tcW w:w="2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color w:val="auto"/>
              </w:rPr>
              <w:t>Total Cost Per Agreement and Plans</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40" w:type="dxa"/>
            <w:vAlign w:val="bottom"/>
          </w:tcPr>
          <w:p>
            <w:pPr>
              <w:spacing w:after="0"/>
              <w:rPr>
                <w:sz w:val="12"/>
                <w:szCs w:val="12"/>
                <w:color w:val="auto"/>
              </w:rPr>
            </w:pPr>
          </w:p>
        </w:tc>
        <w:tc>
          <w:tcPr>
            <w:tcW w:w="290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746,818.58</w:t>
            </w:r>
          </w:p>
        </w:tc>
        <w:tc>
          <w:tcPr>
            <w:tcW w:w="0" w:type="dxa"/>
            <w:vAlign w:val="bottom"/>
          </w:tcPr>
          <w:p>
            <w:pPr>
              <w:spacing w:after="0"/>
              <w:rPr>
                <w:sz w:val="1"/>
                <w:szCs w:val="1"/>
                <w:color w:val="auto"/>
              </w:rPr>
            </w:pPr>
          </w:p>
        </w:tc>
      </w:tr>
      <w:tr>
        <w:trPr>
          <w:trHeight w:val="776"/>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 of 3</w:t>
            </w:r>
          </w:p>
        </w:tc>
        <w:tc>
          <w:tcPr>
            <w:tcW w:w="0" w:type="dxa"/>
            <w:vAlign w:val="bottom"/>
          </w:tcPr>
          <w:p>
            <w:pPr>
              <w:spacing w:after="0"/>
              <w:rPr>
                <w:sz w:val="1"/>
                <w:szCs w:val="1"/>
                <w:color w:val="auto"/>
              </w:rPr>
            </w:pPr>
          </w:p>
        </w:tc>
      </w:tr>
      <w:tr>
        <w:trPr>
          <w:trHeight w:val="528"/>
        </w:trPr>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605"/>
        </w:trPr>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4972050</wp:posOffset>
            </wp:positionH>
            <wp:positionV relativeFrom="paragraph">
              <wp:posOffset>-26035</wp:posOffset>
            </wp:positionV>
            <wp:extent cx="32385" cy="3937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-26035</wp:posOffset>
            </wp:positionV>
            <wp:extent cx="32385" cy="3937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327" w:right="1440"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2585720</wp:posOffset>
            </wp:positionH>
            <wp:positionV relativeFrom="page">
              <wp:posOffset>854075</wp:posOffset>
            </wp:positionV>
            <wp:extent cx="2849245" cy="48507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clrChange>
                        <a:clrFrom>
                          <a:srgbClr val="FFFFFF"/>
                        </a:clrFrom>
                        <a:clrTo>
                          <a:srgbClr val="FFFFFF">
                            <a:alpha val="0"/>
                          </a:srgbClr>
                        </a:clrTo>
                      </a:clrChange>
                      <a:extLst>
                        <a:ext uri="{28A0092B-C50C-407E-A947-70E740481C1C}"/>
                      </a:extLst>
                    </a:blip>
                    <a:srcRect/>
                    <a:stretch>
                      <a:fillRect/>
                    </a:stretch>
                  </pic:blipFill>
                  <pic:spPr bwMode="auto">
                    <a:xfrm>
                      <a:off x="0" y="0"/>
                      <a:ext cx="2849245" cy="4850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4"/>
          <w:szCs w:val="14"/>
          <w:u w:val="single" w:color="auto"/>
          <w:color w:val="auto"/>
        </w:rPr>
        <w:t>_________________________________________________________</w:t>
      </w:r>
    </w:p>
    <w:p>
      <w:pPr>
        <w:spacing w:after="0" w:line="31" w:lineRule="exact"/>
        <w:rPr>
          <w:sz w:val="20"/>
          <w:szCs w:val="20"/>
          <w:color w:val="auto"/>
        </w:rPr>
      </w:pPr>
    </w:p>
    <w:p>
      <w:pPr>
        <w:ind w:left="3940" w:right="1959" w:hanging="2018"/>
        <w:spacing w:after="0" w:line="262" w:lineRule="auto"/>
        <w:tabs>
          <w:tab w:leader="none" w:pos="2983" w:val="left"/>
        </w:tabs>
        <w:numPr>
          <w:ilvl w:val="0"/>
          <w:numId w:val="115"/>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4"/>
          <w:szCs w:val="14"/>
          <w:b w:val="1"/>
          <w:bCs w:val="1"/>
          <w:u w:val="single" w:color="auto"/>
          <w:color w:val="auto"/>
        </w:rPr>
        <w:t>Yellow highlighted area to be put back to its original configuration At the termination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11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7" w:name="page138"/>
    <w:bookmarkEnd w:id="137"/>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10.5</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u w:val="single" w:color="auto"/>
          <w:color w:val="auto"/>
        </w:rPr>
        <w:t>SIXTH AMENDMENT</w:t>
      </w:r>
    </w:p>
    <w:p>
      <w:pPr>
        <w:spacing w:after="0" w:line="185" w:lineRule="exact"/>
        <w:rPr>
          <w:sz w:val="20"/>
          <w:szCs w:val="20"/>
          <w:color w:val="auto"/>
        </w:rPr>
      </w:pPr>
    </w:p>
    <w:p>
      <w:pPr>
        <w:jc w:val="both"/>
        <w:ind w:left="640" w:right="639" w:firstLine="344"/>
        <w:spacing w:after="0" w:line="226" w:lineRule="auto"/>
        <w:rPr>
          <w:sz w:val="20"/>
          <w:szCs w:val="20"/>
          <w:color w:val="auto"/>
        </w:rPr>
      </w:pPr>
      <w:r>
        <w:rPr>
          <w:rFonts w:ascii="Times New Roman" w:cs="Times New Roman" w:eastAsia="Times New Roman" w:hAnsi="Times New Roman"/>
          <w:sz w:val="17"/>
          <w:szCs w:val="17"/>
          <w:color w:val="auto"/>
        </w:rPr>
        <w:t>THIS Amendment (hereinafter referred to as the “Sixth Amendment”), dated the 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7"/>
          <w:szCs w:val="17"/>
          <w:color w:val="auto"/>
        </w:rPr>
        <w:t xml:space="preserve"> day of June 2024, is entered into by ACCURIDE INTERNATIONAL INC., a California corporation (hereinafter referred to as “Landlord”) and RXSIGHT, Inc., a Delaware corporation, (hereinafter referred to as “Tenant”). The parties agree as follows:</w:t>
      </w:r>
    </w:p>
    <w:p>
      <w:pPr>
        <w:spacing w:after="0" w:line="94" w:lineRule="exact"/>
        <w:rPr>
          <w:sz w:val="20"/>
          <w:szCs w:val="20"/>
          <w:color w:val="auto"/>
        </w:rPr>
      </w:pPr>
    </w:p>
    <w:p>
      <w:pPr>
        <w:ind w:left="640" w:right="679" w:firstLine="650"/>
        <w:spacing w:after="0" w:line="219" w:lineRule="auto"/>
        <w:tabs>
          <w:tab w:leader="none" w:pos="1630" w:val="left"/>
        </w:tabs>
        <w:numPr>
          <w:ilvl w:val="2"/>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Identification of Lease</w:t>
      </w:r>
      <w:r>
        <w:rPr>
          <w:rFonts w:ascii="Times New Roman" w:cs="Times New Roman" w:eastAsia="Times New Roman" w:hAnsi="Times New Roman"/>
          <w:sz w:val="16"/>
          <w:szCs w:val="16"/>
          <w:color w:val="auto"/>
        </w:rPr>
        <w:t>. Reference is made to that certain Commercial Lease Agreement dated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August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6"/>
          <w:szCs w:val="16"/>
          <w:color w:val="auto"/>
        </w:rPr>
        <w:t xml:space="preserve">, 2015 (the “Original Lease”), as amended by that certain </w:t>
      </w:r>
      <w:r>
        <w:rPr>
          <w:rFonts w:ascii="Times New Roman" w:cs="Times New Roman" w:eastAsia="Times New Roman" w:hAnsi="Times New Roman"/>
          <w:sz w:val="16"/>
          <w:szCs w:val="16"/>
          <w:b w:val="1"/>
          <w:bCs w:val="1"/>
          <w:color w:val="auto"/>
        </w:rPr>
        <w:t>First Amendment</w:t>
      </w:r>
      <w:r>
        <w:rPr>
          <w:rFonts w:ascii="Times New Roman" w:cs="Times New Roman" w:eastAsia="Times New Roman" w:hAnsi="Times New Roman"/>
          <w:sz w:val="16"/>
          <w:szCs w:val="16"/>
          <w:color w:val="auto"/>
        </w:rPr>
        <w:t xml:space="preserve"> to the Lease dated November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6"/>
          <w:szCs w:val="16"/>
          <w:color w:val="auto"/>
        </w:rPr>
        <w:t xml:space="preserve">, 2015, as amended by that certain </w:t>
      </w:r>
      <w:r>
        <w:rPr>
          <w:rFonts w:ascii="Times New Roman" w:cs="Times New Roman" w:eastAsia="Times New Roman" w:hAnsi="Times New Roman"/>
          <w:sz w:val="16"/>
          <w:szCs w:val="16"/>
          <w:b w:val="1"/>
          <w:bCs w:val="1"/>
          <w:color w:val="auto"/>
        </w:rPr>
        <w:t>Second Amendment</w:t>
      </w:r>
      <w:r>
        <w:rPr>
          <w:rFonts w:ascii="Times New Roman" w:cs="Times New Roman" w:eastAsia="Times New Roman" w:hAnsi="Times New Roman"/>
          <w:sz w:val="16"/>
          <w:szCs w:val="16"/>
          <w:color w:val="auto"/>
        </w:rPr>
        <w:t xml:space="preserve"> to the Lease dated December 22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6"/>
          <w:szCs w:val="16"/>
          <w:color w:val="auto"/>
        </w:rPr>
        <w:t xml:space="preserve"> , 2015 , as amended by that certain </w:t>
      </w:r>
      <w:r>
        <w:rPr>
          <w:rFonts w:ascii="Times New Roman" w:cs="Times New Roman" w:eastAsia="Times New Roman" w:hAnsi="Times New Roman"/>
          <w:sz w:val="16"/>
          <w:szCs w:val="16"/>
          <w:b w:val="1"/>
          <w:bCs w:val="1"/>
          <w:color w:val="auto"/>
        </w:rPr>
        <w:t>Third Amendment</w:t>
      </w:r>
      <w:r>
        <w:rPr>
          <w:rFonts w:ascii="Times New Roman" w:cs="Times New Roman" w:eastAsia="Times New Roman" w:hAnsi="Times New Roman"/>
          <w:sz w:val="16"/>
          <w:szCs w:val="16"/>
          <w:color w:val="auto"/>
        </w:rPr>
        <w:t xml:space="preserve"> to the Lease dated January 18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color w:val="auto"/>
        </w:rPr>
        <w:t xml:space="preserve">, 2016, as amended by that certain </w:t>
      </w:r>
      <w:r>
        <w:rPr>
          <w:rFonts w:ascii="Times New Roman" w:cs="Times New Roman" w:eastAsia="Times New Roman" w:hAnsi="Times New Roman"/>
          <w:sz w:val="16"/>
          <w:szCs w:val="16"/>
          <w:b w:val="1"/>
          <w:bCs w:val="1"/>
          <w:color w:val="auto"/>
        </w:rPr>
        <w:t xml:space="preserve">Fourth Amendment </w:t>
      </w:r>
      <w:r>
        <w:rPr>
          <w:rFonts w:ascii="Times New Roman" w:cs="Times New Roman" w:eastAsia="Times New Roman" w:hAnsi="Times New Roman"/>
          <w:sz w:val="16"/>
          <w:szCs w:val="16"/>
          <w:color w:val="auto"/>
        </w:rPr>
        <w:t>to the Lease dated November 12</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6"/>
          <w:szCs w:val="16"/>
          <w:color w:val="auto"/>
        </w:rPr>
        <w:t>, 2016, as amended by that certain</w:t>
      </w:r>
      <w:r>
        <w:rPr>
          <w:rFonts w:ascii="Times New Roman" w:cs="Times New Roman" w:eastAsia="Times New Roman" w:hAnsi="Times New Roman"/>
          <w:sz w:val="16"/>
          <w:szCs w:val="16"/>
          <w:b w:val="1"/>
          <w:bCs w:val="1"/>
          <w:color w:val="auto"/>
        </w:rPr>
        <w:t xml:space="preserve"> Fifth Amendment </w:t>
      </w:r>
      <w:r>
        <w:rPr>
          <w:rFonts w:ascii="Times New Roman" w:cs="Times New Roman" w:eastAsia="Times New Roman" w:hAnsi="Times New Roman"/>
          <w:sz w:val="16"/>
          <w:szCs w:val="16"/>
          <w:color w:val="auto"/>
        </w:rPr>
        <w:t>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Lease dated April 18, 2024, (The Original Lease, as so amended, is herein collectively referred to as the “Lease”) for certain premises containing approximately 21,498 rentable square feet located at 100 Columbia Suite 200, Aliso Viejo, CA and 20,608 rentable square feet located at 100 Columbia Suite 100, Aliso Viejo Ca as more particularly described in the Lease as the Premises.</w:t>
      </w:r>
    </w:p>
    <w:p>
      <w:pPr>
        <w:spacing w:after="0" w:line="59" w:lineRule="exact"/>
        <w:rPr>
          <w:rFonts w:ascii="Times New Roman" w:cs="Times New Roman" w:eastAsia="Times New Roman" w:hAnsi="Times New Roman"/>
          <w:sz w:val="16"/>
          <w:szCs w:val="16"/>
          <w:b w:val="1"/>
          <w:bCs w:val="1"/>
          <w:color w:val="auto"/>
        </w:rPr>
      </w:pPr>
    </w:p>
    <w:p>
      <w:pPr>
        <w:ind w:left="640" w:right="819" w:firstLine="679"/>
        <w:spacing w:after="0" w:line="276" w:lineRule="auto"/>
        <w:tabs>
          <w:tab w:leader="none" w:pos="1673" w:val="left"/>
        </w:tabs>
        <w:numPr>
          <w:ilvl w:val="3"/>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Context of Sixth Amendment. </w:t>
      </w:r>
      <w:r>
        <w:rPr>
          <w:rFonts w:ascii="Times New Roman" w:cs="Times New Roman" w:eastAsia="Times New Roman" w:hAnsi="Times New Roman"/>
          <w:sz w:val="17"/>
          <w:szCs w:val="17"/>
          <w:color w:val="auto"/>
        </w:rPr>
        <w:t>The parties have agreed to the following adjustments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Fifth Amendment to the Lease, Section 4(ii) and 4(iii) and to adjust the Original Lease, Section 18, </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Notices</w:t>
      </w: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w:t>
      </w:r>
    </w:p>
    <w:p>
      <w:pPr>
        <w:spacing w:after="0" w:line="135" w:lineRule="exact"/>
        <w:rPr>
          <w:rFonts w:ascii="Times New Roman" w:cs="Times New Roman" w:eastAsia="Times New Roman" w:hAnsi="Times New Roman"/>
          <w:sz w:val="17"/>
          <w:szCs w:val="17"/>
          <w:b w:val="1"/>
          <w:bCs w:val="1"/>
          <w:color w:val="auto"/>
        </w:rPr>
      </w:pPr>
    </w:p>
    <w:p>
      <w:pPr>
        <w:ind w:left="1140" w:right="759" w:hanging="375"/>
        <w:spacing w:after="0" w:line="248" w:lineRule="auto"/>
        <w:tabs>
          <w:tab w:leader="none" w:pos="114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Section 4(ii.) of the Fifth Amendment shall be replaced by: In the event Tenant’s total cash and cash equivalents and short-term investments fall below $40,000,000, Tenant shall notify Landlord within ten</w:t>
      </w:r>
    </w:p>
    <w:p>
      <w:pPr>
        <w:spacing w:after="0" w:line="1" w:lineRule="exact"/>
        <w:rPr>
          <w:rFonts w:ascii="Times New Roman" w:cs="Times New Roman" w:eastAsia="Times New Roman" w:hAnsi="Times New Roman"/>
          <w:sz w:val="16"/>
          <w:szCs w:val="16"/>
          <w:color w:val="auto"/>
        </w:rPr>
      </w:pPr>
    </w:p>
    <w:p>
      <w:pPr>
        <w:ind w:left="1480" w:hanging="337"/>
        <w:spacing w:after="0"/>
        <w:tabs>
          <w:tab w:leader="none" w:pos="1480"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days.</w:t>
      </w:r>
    </w:p>
    <w:p>
      <w:pPr>
        <w:spacing w:after="0" w:line="66" w:lineRule="exact"/>
        <w:rPr>
          <w:rFonts w:ascii="Times New Roman" w:cs="Times New Roman" w:eastAsia="Times New Roman" w:hAnsi="Times New Roman"/>
          <w:sz w:val="17"/>
          <w:szCs w:val="17"/>
          <w:color w:val="auto"/>
        </w:rPr>
      </w:pPr>
    </w:p>
    <w:p>
      <w:pPr>
        <w:ind w:left="1140" w:right="819" w:hanging="375"/>
        <w:spacing w:after="0" w:line="244" w:lineRule="auto"/>
        <w:tabs>
          <w:tab w:leader="none" w:pos="114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Section 4(iii.) of the Fifth Amendment shall be replaced by: In the event Tenant’s total cash and cash equivalents and short-term investments fall below $30,000,000 for any five (5) business day period, Tenant shall notify Landlord within two (2) business days and provide Landlord with an Irrevocable Standby Letter of Credit (ISLC) in the amount of $773,661.81 within thirty (30) calendar days. Tenant shall conform to the format issued under the ISLC requirements (Attachment F, under the Original Lease).</w:t>
      </w:r>
    </w:p>
    <w:p>
      <w:pPr>
        <w:spacing w:after="0" w:line="55" w:lineRule="exact"/>
        <w:rPr>
          <w:rFonts w:ascii="Times New Roman" w:cs="Times New Roman" w:eastAsia="Times New Roman" w:hAnsi="Times New Roman"/>
          <w:sz w:val="16"/>
          <w:szCs w:val="16"/>
          <w:color w:val="auto"/>
        </w:rPr>
      </w:pPr>
    </w:p>
    <w:p>
      <w:pPr>
        <w:ind w:left="1140" w:hanging="375"/>
        <w:spacing w:after="0"/>
        <w:tabs>
          <w:tab w:leader="none" w:pos="1140"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Section 18, "Notices" of the Original Lease shall be replaced by:</w:t>
      </w:r>
    </w:p>
    <w:p>
      <w:pPr>
        <w:spacing w:after="0" w:line="84"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RxSight, Inc.</w:t>
      </w:r>
    </w:p>
    <w:p>
      <w:pPr>
        <w:spacing w:after="0" w:line="16" w:lineRule="exact"/>
        <w:rPr>
          <w:rFonts w:ascii="Times New Roman" w:cs="Times New Roman" w:eastAsia="Times New Roman" w:hAnsi="Times New Roman"/>
          <w:sz w:val="16"/>
          <w:szCs w:val="16"/>
          <w:color w:val="auto"/>
        </w:rPr>
      </w:pPr>
    </w:p>
    <w:p>
      <w:pPr>
        <w:ind w:left="1140" w:right="6159"/>
        <w:spacing w:after="0" w:line="24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100 Columbia, Suite 120 Aliso Viejo, CA 92656 Tel: (949) 521-7830</w:t>
      </w:r>
    </w:p>
    <w:p>
      <w:pPr>
        <w:spacing w:after="0" w:line="158" w:lineRule="exact"/>
        <w:rPr>
          <w:rFonts w:ascii="Times New Roman" w:cs="Times New Roman" w:eastAsia="Times New Roman" w:hAnsi="Times New Roman"/>
          <w:sz w:val="16"/>
          <w:szCs w:val="16"/>
          <w:color w:val="auto"/>
        </w:rPr>
      </w:pPr>
    </w:p>
    <w:p>
      <w:pPr>
        <w:jc w:val="both"/>
        <w:ind w:left="1140" w:right="639" w:firstLine="524"/>
        <w:spacing w:after="0" w:line="245" w:lineRule="auto"/>
        <w:tabs>
          <w:tab w:leader="none" w:pos="2001" w:val="left"/>
        </w:tabs>
        <w:numPr>
          <w:ilvl w:val="4"/>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r>
        <w:rPr>
          <w:rFonts w:ascii="Times New Roman" w:cs="Times New Roman" w:eastAsia="Times New Roman" w:hAnsi="Times New Roman"/>
          <w:sz w:val="17"/>
          <w:szCs w:val="17"/>
          <w:color w:val="auto"/>
        </w:rPr>
        <w:t>. Any term used in this Sixth Amendment, which is defined in the Lease,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same meaning herein, unless the context indicates that another meaning is intended. The Lease is intended to be and is supplemented and amended by the provisions of this Sixth Amendment, and hereafter the Lease shall be considered and construed together. All of the terms, provisions, conditions, and covenants of the Lease, as modified by this Sixth Amendment, shall be and remain in full force and effect.</w:t>
      </w:r>
    </w:p>
    <w:p>
      <w:pPr>
        <w:spacing w:after="0" w:line="16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color w:val="auto"/>
        </w:rPr>
        <w:t>"Intentionally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614045</wp:posOffset>
            </wp:positionV>
            <wp:extent cx="4944745" cy="3937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33" w:right="1440" w:bottom="1440" w:gutter="0" w:footer="0" w:header="0"/>
        </w:sectPr>
      </w:pPr>
    </w:p>
    <w:bookmarkStart w:id="138" w:name="page139"/>
    <w:bookmarkEnd w:id="138"/>
    <w:p>
      <w:pPr>
        <w:ind w:left="640" w:right="639" w:firstLine="344"/>
        <w:spacing w:after="0" w:line="272" w:lineRule="auto"/>
        <w:rPr>
          <w:sz w:val="20"/>
          <w:szCs w:val="20"/>
          <w:color w:val="auto"/>
        </w:rPr>
      </w:pPr>
      <w:r>
        <w:rPr>
          <w:rFonts w:ascii="Times New Roman" w:cs="Times New Roman" w:eastAsia="Times New Roman" w:hAnsi="Times New Roman"/>
          <w:sz w:val="17"/>
          <w:szCs w:val="17"/>
          <w:color w:val="auto"/>
        </w:rPr>
        <w:t>IN WITNESS WHEREOF, the parties hereto have caused this Sixth Amendment to be executed on or as of the day and year above written.</w:t>
      </w:r>
    </w:p>
    <w:p>
      <w:pPr>
        <w:spacing w:after="0" w:line="73" w:lineRule="exact"/>
        <w:rPr>
          <w:sz w:val="20"/>
          <w:szCs w:val="20"/>
          <w:color w:val="auto"/>
        </w:rPr>
      </w:pPr>
    </w:p>
    <w:p>
      <w:pPr>
        <w:ind w:left="780"/>
        <w:spacing w:after="0"/>
        <w:tabs>
          <w:tab w:leader="none" w:pos="4640" w:val="left"/>
        </w:tabs>
        <w:rPr>
          <w:sz w:val="20"/>
          <w:szCs w:val="20"/>
          <w:color w:val="auto"/>
        </w:rPr>
      </w:pPr>
      <w:r>
        <w:rPr>
          <w:rFonts w:ascii="Times New Roman" w:cs="Times New Roman" w:eastAsia="Times New Roman" w:hAnsi="Times New Roman"/>
          <w:sz w:val="17"/>
          <w:szCs w:val="17"/>
          <w:color w:val="auto"/>
        </w:rPr>
        <w:t>“Landlord”:</w:t>
      </w:r>
      <w:r>
        <w:rPr>
          <w:sz w:val="20"/>
          <w:szCs w:val="20"/>
          <w:color w:val="auto"/>
        </w:rPr>
        <w:tab/>
      </w:r>
      <w:r>
        <w:rPr>
          <w:rFonts w:ascii="Times New Roman" w:cs="Times New Roman" w:eastAsia="Times New Roman" w:hAnsi="Times New Roman"/>
          <w:sz w:val="17"/>
          <w:szCs w:val="17"/>
          <w:color w:val="auto"/>
        </w:rPr>
        <w:t>“Tenant”:</w:t>
      </w:r>
    </w:p>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ACCURIDE INTERNATIONAL INC.</w:t>
            </w:r>
          </w:p>
        </w:tc>
        <w:tc>
          <w:tcPr>
            <w:tcW w:w="4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RXSIGHT, Inc.</w:t>
            </w:r>
          </w:p>
        </w:tc>
      </w:tr>
      <w:tr>
        <w:trPr>
          <w:trHeight w:val="223"/>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 California Corporation</w:t>
            </w:r>
          </w:p>
        </w:tc>
        <w:tc>
          <w:tcPr>
            <w:tcW w:w="4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 Delaware Corporation</w:t>
            </w:r>
          </w:p>
        </w:tc>
      </w:tr>
      <w:tr>
        <w:trPr>
          <w:trHeight w:val="422"/>
        </w:trPr>
        <w:tc>
          <w:tcPr>
            <w:tcW w:w="3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By:   Jeffrey A. Dunlap</w:t>
            </w:r>
          </w:p>
        </w:tc>
        <w:tc>
          <w:tcPr>
            <w:tcW w:w="432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By:   Shelley Thunen</w:t>
            </w:r>
          </w:p>
        </w:tc>
      </w:tr>
      <w:tr>
        <w:trPr>
          <w:trHeight w:val="215"/>
        </w:trPr>
        <w:tc>
          <w:tcPr>
            <w:tcW w:w="3420" w:type="dxa"/>
            <w:vAlign w:val="bottom"/>
          </w:tcPr>
          <w:p>
            <w:pPr>
              <w:spacing w:after="0"/>
              <w:rPr>
                <w:sz w:val="18"/>
                <w:szCs w:val="18"/>
                <w:color w:val="auto"/>
              </w:rPr>
            </w:pPr>
          </w:p>
        </w:tc>
        <w:tc>
          <w:tcPr>
            <w:tcW w:w="432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3420" w:type="dxa"/>
            <w:vAlign w:val="bottom"/>
          </w:tcPr>
          <w:p>
            <w:pPr>
              <w:spacing w:after="0"/>
              <w:rPr>
                <w:sz w:val="19"/>
                <w:szCs w:val="19"/>
                <w:color w:val="auto"/>
              </w:rPr>
            </w:pPr>
          </w:p>
        </w:tc>
        <w:tc>
          <w:tcPr>
            <w:tcW w:w="432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6/3/2024</w:t>
            </w:r>
          </w:p>
        </w:tc>
      </w:tr>
      <w:tr>
        <w:trPr>
          <w:trHeight w:val="778"/>
        </w:trPr>
        <w:tc>
          <w:tcPr>
            <w:tcW w:w="34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753" w:right="1440" w:bottom="1440" w:gutter="0" w:footer="0" w:header="0"/>
        </w:sectPr>
      </w:pPr>
    </w:p>
    <w:bookmarkStart w:id="139" w:name="page140"/>
    <w:bookmarkEnd w:id="139"/>
    <w:p>
      <w:pPr>
        <w:ind w:left="7260"/>
        <w:spacing w:after="0"/>
        <w:rPr>
          <w:sz w:val="20"/>
          <w:szCs w:val="20"/>
          <w:color w:val="auto"/>
        </w:rPr>
      </w:pPr>
      <w:r>
        <w:rPr>
          <w:rFonts w:ascii="Calibri" w:cs="Calibri" w:eastAsia="Calibri" w:hAnsi="Calibri"/>
          <w:sz w:val="13"/>
          <w:szCs w:val="13"/>
          <w:b w:val="1"/>
          <w:bCs w:val="1"/>
          <w:color w:val="auto"/>
        </w:rPr>
        <w:t>Exhibit 10.6</w:t>
      </w:r>
    </w:p>
    <w:p>
      <w:pPr>
        <w:spacing w:after="0" w:line="31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u w:val="single" w:color="auto"/>
          <w:color w:val="auto"/>
        </w:rPr>
        <w:t>Amendment # 3 to the Sublease Agreement</w:t>
      </w:r>
    </w:p>
    <w:p>
      <w:pPr>
        <w:spacing w:after="0" w:line="150" w:lineRule="exact"/>
        <w:rPr>
          <w:sz w:val="20"/>
          <w:szCs w:val="20"/>
          <w:color w:val="auto"/>
        </w:rPr>
      </w:pPr>
    </w:p>
    <w:p>
      <w:pPr>
        <w:ind w:left="1140" w:right="1239" w:firstLine="516"/>
        <w:spacing w:after="0" w:line="218" w:lineRule="auto"/>
        <w:rPr>
          <w:sz w:val="20"/>
          <w:szCs w:val="20"/>
          <w:color w:val="auto"/>
        </w:rPr>
      </w:pPr>
      <w:r>
        <w:rPr>
          <w:rFonts w:ascii="Calibri" w:cs="Calibri" w:eastAsia="Calibri" w:hAnsi="Calibri"/>
          <w:sz w:val="14"/>
          <w:szCs w:val="14"/>
          <w:b w:val="1"/>
          <w:bCs w:val="1"/>
          <w:color w:val="auto"/>
        </w:rPr>
        <w:t>THIS 3</w:t>
      </w:r>
      <w:r>
        <w:rPr>
          <w:rFonts w:ascii="Calibri" w:cs="Calibri" w:eastAsia="Calibri" w:hAnsi="Calibri"/>
          <w:sz w:val="19"/>
          <w:szCs w:val="19"/>
          <w:b w:val="1"/>
          <w:bCs w:val="1"/>
          <w:color w:val="auto"/>
          <w:vertAlign w:val="superscript"/>
        </w:rPr>
        <w:t>rd</w:t>
      </w:r>
      <w:r>
        <w:rPr>
          <w:rFonts w:ascii="Calibri" w:cs="Calibri" w:eastAsia="Calibri" w:hAnsi="Calibri"/>
          <w:sz w:val="14"/>
          <w:szCs w:val="14"/>
          <w:b w:val="1"/>
          <w:bCs w:val="1"/>
          <w:color w:val="auto"/>
        </w:rPr>
        <w:t xml:space="preserve"> AMENDMENT TO THE SUBLEASE AGREEMENT </w:t>
      </w:r>
      <w:r>
        <w:rPr>
          <w:rFonts w:ascii="Calibri" w:cs="Calibri" w:eastAsia="Calibri" w:hAnsi="Calibri"/>
          <w:sz w:val="14"/>
          <w:szCs w:val="14"/>
          <w:color w:val="auto"/>
        </w:rPr>
        <w:t>(hereinafer referred to as “</w:t>
      </w:r>
      <w:r>
        <w:rPr>
          <w:rFonts w:ascii="Calibri" w:cs="Calibri" w:eastAsia="Calibri" w:hAnsi="Calibri"/>
          <w:sz w:val="14"/>
          <w:szCs w:val="14"/>
          <w:b w:val="1"/>
          <w:bCs w:val="1"/>
          <w:color w:val="auto"/>
        </w:rPr>
        <w:t>Amendment</w:t>
      </w:r>
      <w:r>
        <w:rPr>
          <w:rFonts w:ascii="Calibri" w:cs="Calibri" w:eastAsia="Calibri" w:hAnsi="Calibri"/>
          <w:sz w:val="14"/>
          <w:szCs w:val="14"/>
          <w:color w:val="auto"/>
        </w:rPr>
        <w:t>”) is made</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and entered into efectve August 1, 2024 (the “</w:t>
      </w:r>
      <w:r>
        <w:rPr>
          <w:rFonts w:ascii="Calibri" w:cs="Calibri" w:eastAsia="Calibri" w:hAnsi="Calibri"/>
          <w:sz w:val="14"/>
          <w:szCs w:val="14"/>
          <w:b w:val="1"/>
          <w:bCs w:val="1"/>
          <w:color w:val="auto"/>
        </w:rPr>
        <w:t>Amendment Efectve Date</w:t>
      </w:r>
      <w:r>
        <w:rPr>
          <w:rFonts w:ascii="Calibri" w:cs="Calibri" w:eastAsia="Calibri" w:hAnsi="Calibri"/>
          <w:sz w:val="14"/>
          <w:szCs w:val="14"/>
          <w:color w:val="auto"/>
        </w:rPr>
        <w:t>”), by and between RxSight, Inc., a Delaware corporaton (“</w:t>
      </w:r>
      <w:r>
        <w:rPr>
          <w:rFonts w:ascii="Calibri" w:cs="Calibri" w:eastAsia="Calibri" w:hAnsi="Calibri"/>
          <w:sz w:val="14"/>
          <w:szCs w:val="14"/>
          <w:b w:val="1"/>
          <w:bCs w:val="1"/>
          <w:color w:val="auto"/>
        </w:rPr>
        <w:t>RxSight</w:t>
      </w:r>
      <w:r>
        <w:rPr>
          <w:rFonts w:ascii="Calibri" w:cs="Calibri" w:eastAsia="Calibri" w:hAnsi="Calibri"/>
          <w:sz w:val="14"/>
          <w:szCs w:val="14"/>
          <w:color w:val="auto"/>
        </w:rPr>
        <w:t>”), and Compass Bible Church (“Sublessee”, and together with RxSight, the “</w:t>
      </w:r>
      <w:r>
        <w:rPr>
          <w:rFonts w:ascii="Calibri" w:cs="Calibri" w:eastAsia="Calibri" w:hAnsi="Calibri"/>
          <w:sz w:val="14"/>
          <w:szCs w:val="14"/>
          <w:b w:val="1"/>
          <w:bCs w:val="1"/>
          <w:color w:val="auto"/>
        </w:rPr>
        <w:t>Partes</w:t>
      </w:r>
      <w:r>
        <w:rPr>
          <w:rFonts w:ascii="Calibri" w:cs="Calibri" w:eastAsia="Calibri" w:hAnsi="Calibri"/>
          <w:sz w:val="14"/>
          <w:szCs w:val="14"/>
          <w:color w:val="auto"/>
        </w:rPr>
        <w:t>”).</w:t>
      </w:r>
    </w:p>
    <w:p>
      <w:pPr>
        <w:spacing w:after="0" w:line="90" w:lineRule="exact"/>
        <w:rPr>
          <w:sz w:val="20"/>
          <w:szCs w:val="20"/>
          <w:color w:val="auto"/>
        </w:rPr>
      </w:pPr>
    </w:p>
    <w:p>
      <w:pPr>
        <w:ind w:left="1160" w:right="1359" w:firstLine="516"/>
        <w:spacing w:after="0" w:line="239" w:lineRule="auto"/>
        <w:rPr>
          <w:sz w:val="20"/>
          <w:szCs w:val="20"/>
          <w:color w:val="auto"/>
        </w:rPr>
      </w:pPr>
      <w:r>
        <w:rPr>
          <w:rFonts w:ascii="Calibri" w:cs="Calibri" w:eastAsia="Calibri" w:hAnsi="Calibri"/>
          <w:sz w:val="14"/>
          <w:szCs w:val="14"/>
          <w:b w:val="1"/>
          <w:bCs w:val="1"/>
          <w:color w:val="auto"/>
        </w:rPr>
        <w:t>WHEREAS</w:t>
      </w:r>
      <w:r>
        <w:rPr>
          <w:rFonts w:ascii="Calibri" w:cs="Calibri" w:eastAsia="Calibri" w:hAnsi="Calibri"/>
          <w:sz w:val="14"/>
          <w:szCs w:val="14"/>
          <w:color w:val="auto"/>
        </w:rPr>
        <w:t>, the Partes entered into that certain Sublease Agreement dated efectve as of April 4, 2022, as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amended from tme to tme (the “</w:t>
      </w:r>
      <w:r>
        <w:rPr>
          <w:rFonts w:ascii="Calibri" w:cs="Calibri" w:eastAsia="Calibri" w:hAnsi="Calibri"/>
          <w:sz w:val="14"/>
          <w:szCs w:val="14"/>
          <w:b w:val="1"/>
          <w:bCs w:val="1"/>
          <w:color w:val="auto"/>
        </w:rPr>
        <w:t>Agreement</w:t>
      </w:r>
      <w:r>
        <w:rPr>
          <w:rFonts w:ascii="Calibri" w:cs="Calibri" w:eastAsia="Calibri" w:hAnsi="Calibri"/>
          <w:sz w:val="14"/>
          <w:szCs w:val="14"/>
          <w:color w:val="auto"/>
        </w:rPr>
        <w:t>”), and</w:t>
      </w:r>
    </w:p>
    <w:p>
      <w:pPr>
        <w:spacing w:after="0" w:line="89" w:lineRule="exact"/>
        <w:rPr>
          <w:sz w:val="20"/>
          <w:szCs w:val="20"/>
          <w:color w:val="auto"/>
        </w:rPr>
      </w:pPr>
    </w:p>
    <w:p>
      <w:pPr>
        <w:ind w:left="1660"/>
        <w:spacing w:after="0"/>
        <w:rPr>
          <w:sz w:val="20"/>
          <w:szCs w:val="20"/>
          <w:color w:val="auto"/>
        </w:rPr>
      </w:pPr>
      <w:r>
        <w:rPr>
          <w:rFonts w:ascii="Calibri" w:cs="Calibri" w:eastAsia="Calibri" w:hAnsi="Calibri"/>
          <w:sz w:val="14"/>
          <w:szCs w:val="14"/>
          <w:b w:val="1"/>
          <w:bCs w:val="1"/>
          <w:color w:val="auto"/>
        </w:rPr>
        <w:t>WHEREAS</w:t>
      </w:r>
      <w:r>
        <w:rPr>
          <w:rFonts w:ascii="Calibri" w:cs="Calibri" w:eastAsia="Calibri" w:hAnsi="Calibri"/>
          <w:sz w:val="14"/>
          <w:szCs w:val="14"/>
          <w:color w:val="auto"/>
        </w:rPr>
        <w:t>, the Partes desire to amend the Agreement in the manner refected herein, and</w:t>
      </w:r>
    </w:p>
    <w:p>
      <w:pPr>
        <w:spacing w:after="0" w:line="87" w:lineRule="exact"/>
        <w:rPr>
          <w:sz w:val="20"/>
          <w:szCs w:val="20"/>
          <w:color w:val="auto"/>
        </w:rPr>
      </w:pPr>
    </w:p>
    <w:p>
      <w:pPr>
        <w:ind w:left="1660"/>
        <w:spacing w:after="0"/>
        <w:rPr>
          <w:sz w:val="20"/>
          <w:szCs w:val="20"/>
          <w:color w:val="auto"/>
        </w:rPr>
      </w:pPr>
      <w:r>
        <w:rPr>
          <w:rFonts w:ascii="Calibri" w:cs="Calibri" w:eastAsia="Calibri" w:hAnsi="Calibri"/>
          <w:sz w:val="14"/>
          <w:szCs w:val="14"/>
          <w:b w:val="1"/>
          <w:bCs w:val="1"/>
          <w:color w:val="auto"/>
        </w:rPr>
        <w:t>WHEREAS</w:t>
      </w:r>
      <w:r>
        <w:rPr>
          <w:rFonts w:ascii="Calibri" w:cs="Calibri" w:eastAsia="Calibri" w:hAnsi="Calibri"/>
          <w:sz w:val="14"/>
          <w:szCs w:val="14"/>
          <w:color w:val="auto"/>
        </w:rPr>
        <w:t>, the Partes to the Agreement have approved this Amendment in the manner refected herein,</w:t>
      </w:r>
    </w:p>
    <w:p>
      <w:pPr>
        <w:spacing w:after="0" w:line="89" w:lineRule="exact"/>
        <w:rPr>
          <w:sz w:val="20"/>
          <w:szCs w:val="20"/>
          <w:color w:val="auto"/>
        </w:rPr>
      </w:pPr>
    </w:p>
    <w:p>
      <w:pPr>
        <w:ind w:left="1140" w:right="1179" w:firstLine="516"/>
        <w:spacing w:after="0" w:line="239" w:lineRule="auto"/>
        <w:rPr>
          <w:sz w:val="20"/>
          <w:szCs w:val="20"/>
          <w:color w:val="auto"/>
        </w:rPr>
      </w:pPr>
      <w:r>
        <w:rPr>
          <w:rFonts w:ascii="Calibri" w:cs="Calibri" w:eastAsia="Calibri" w:hAnsi="Calibri"/>
          <w:sz w:val="14"/>
          <w:szCs w:val="14"/>
          <w:b w:val="1"/>
          <w:bCs w:val="1"/>
          <w:color w:val="auto"/>
        </w:rPr>
        <w:t>NOW THEREFORE</w:t>
      </w:r>
      <w:r>
        <w:rPr>
          <w:rFonts w:ascii="Calibri" w:cs="Calibri" w:eastAsia="Calibri" w:hAnsi="Calibri"/>
          <w:sz w:val="14"/>
          <w:szCs w:val="14"/>
          <w:color w:val="auto"/>
        </w:rPr>
        <w:t>, in consideraton of the premises and mutual covenants and conditons herein, the Partes,</w:t>
      </w:r>
      <w:r>
        <w:rPr>
          <w:rFonts w:ascii="Calibri" w:cs="Calibri" w:eastAsia="Calibri" w:hAnsi="Calibri"/>
          <w:sz w:val="14"/>
          <w:szCs w:val="14"/>
          <w:b w:val="1"/>
          <w:bCs w:val="1"/>
          <w:color w:val="auto"/>
        </w:rPr>
        <w:t xml:space="preserve"> </w:t>
      </w:r>
      <w:r>
        <w:rPr>
          <w:rFonts w:ascii="Calibri" w:cs="Calibri" w:eastAsia="Calibri" w:hAnsi="Calibri"/>
          <w:sz w:val="14"/>
          <w:szCs w:val="14"/>
          <w:color w:val="auto"/>
        </w:rPr>
        <w:t>intending to be legally bound, hereby agree as follows:</w:t>
      </w:r>
    </w:p>
    <w:p>
      <w:pPr>
        <w:spacing w:after="0" w:line="89" w:lineRule="exact"/>
        <w:rPr>
          <w:sz w:val="20"/>
          <w:szCs w:val="20"/>
          <w:color w:val="auto"/>
        </w:rPr>
      </w:pPr>
    </w:p>
    <w:p>
      <w:pPr>
        <w:ind w:left="2180" w:hanging="259"/>
        <w:spacing w:after="0"/>
        <w:tabs>
          <w:tab w:leader="none" w:pos="2180" w:val="left"/>
        </w:tabs>
        <w:numPr>
          <w:ilvl w:val="1"/>
          <w:numId w:val="118"/>
        </w:numPr>
        <w:rPr>
          <w:rFonts w:ascii="Calibri" w:cs="Calibri" w:eastAsia="Calibri" w:hAnsi="Calibri"/>
          <w:sz w:val="14"/>
          <w:szCs w:val="14"/>
          <w:color w:val="auto"/>
        </w:rPr>
      </w:pPr>
      <w:r>
        <w:rPr>
          <w:rFonts w:ascii="Calibri" w:cs="Calibri" w:eastAsia="Calibri" w:hAnsi="Calibri"/>
          <w:sz w:val="14"/>
          <w:szCs w:val="14"/>
          <w:color w:val="auto"/>
        </w:rPr>
        <w:t>The term of the Agreement shall end on August 31, 2024 (“Expiraton Date”).</w:t>
      </w:r>
    </w:p>
    <w:p>
      <w:pPr>
        <w:spacing w:after="0" w:line="87" w:lineRule="exact"/>
        <w:rPr>
          <w:rFonts w:ascii="Calibri" w:cs="Calibri" w:eastAsia="Calibri" w:hAnsi="Calibri"/>
          <w:sz w:val="14"/>
          <w:szCs w:val="14"/>
          <w:color w:val="auto"/>
        </w:rPr>
      </w:pPr>
    </w:p>
    <w:p>
      <w:pPr>
        <w:ind w:left="2180" w:hanging="259"/>
        <w:spacing w:after="0"/>
        <w:tabs>
          <w:tab w:leader="none" w:pos="2180" w:val="left"/>
        </w:tabs>
        <w:numPr>
          <w:ilvl w:val="1"/>
          <w:numId w:val="118"/>
        </w:numPr>
        <w:rPr>
          <w:rFonts w:ascii="Calibri" w:cs="Calibri" w:eastAsia="Calibri" w:hAnsi="Calibri"/>
          <w:sz w:val="14"/>
          <w:szCs w:val="14"/>
          <w:color w:val="auto"/>
        </w:rPr>
      </w:pPr>
      <w:r>
        <w:rPr>
          <w:rFonts w:ascii="Calibri" w:cs="Calibri" w:eastAsia="Calibri" w:hAnsi="Calibri"/>
          <w:sz w:val="14"/>
          <w:szCs w:val="14"/>
          <w:color w:val="auto"/>
        </w:rPr>
        <w:t>Sublessee shall pay rent for the entre month of August 2024.</w:t>
      </w:r>
    </w:p>
    <w:p>
      <w:pPr>
        <w:spacing w:after="0" w:line="88" w:lineRule="exact"/>
        <w:rPr>
          <w:rFonts w:ascii="Calibri" w:cs="Calibri" w:eastAsia="Calibri" w:hAnsi="Calibri"/>
          <w:sz w:val="14"/>
          <w:szCs w:val="14"/>
          <w:color w:val="auto"/>
        </w:rPr>
      </w:pPr>
    </w:p>
    <w:p>
      <w:pPr>
        <w:ind w:left="2180" w:right="1339" w:hanging="259"/>
        <w:spacing w:after="0" w:line="241" w:lineRule="auto"/>
        <w:tabs>
          <w:tab w:leader="none" w:pos="2180" w:val="left"/>
        </w:tabs>
        <w:numPr>
          <w:ilvl w:val="1"/>
          <w:numId w:val="118"/>
        </w:numPr>
        <w:rPr>
          <w:rFonts w:ascii="Calibri" w:cs="Calibri" w:eastAsia="Calibri" w:hAnsi="Calibri"/>
          <w:sz w:val="14"/>
          <w:szCs w:val="14"/>
          <w:color w:val="auto"/>
        </w:rPr>
      </w:pPr>
      <w:r>
        <w:rPr>
          <w:rFonts w:ascii="Calibri" w:cs="Calibri" w:eastAsia="Calibri" w:hAnsi="Calibri"/>
          <w:sz w:val="14"/>
          <w:szCs w:val="14"/>
          <w:color w:val="auto"/>
        </w:rPr>
        <w:t>Sublessee may vacate the Premises and terminate the Agreement prior to the Expiraton Date so long as it is mutually agreed to by the Partes. Upon mutual agreement of an early terminaton, RxSight agrees to prorate the rent for August through the fnal date of Sublessee’s occupancy and return any rental diference for the month of August.</w:t>
      </w:r>
    </w:p>
    <w:p>
      <w:pPr>
        <w:spacing w:after="0" w:line="88" w:lineRule="exact"/>
        <w:rPr>
          <w:rFonts w:ascii="Calibri" w:cs="Calibri" w:eastAsia="Calibri" w:hAnsi="Calibri"/>
          <w:sz w:val="14"/>
          <w:szCs w:val="14"/>
          <w:color w:val="auto"/>
        </w:rPr>
      </w:pPr>
    </w:p>
    <w:p>
      <w:pPr>
        <w:ind w:left="1660" w:right="1479" w:hanging="255"/>
        <w:spacing w:after="0" w:line="239" w:lineRule="auto"/>
        <w:tabs>
          <w:tab w:leader="none" w:pos="1660" w:val="left"/>
        </w:tabs>
        <w:numPr>
          <w:ilvl w:val="0"/>
          <w:numId w:val="119"/>
        </w:numPr>
        <w:rPr>
          <w:rFonts w:ascii="Calibri" w:cs="Calibri" w:eastAsia="Calibri" w:hAnsi="Calibri"/>
          <w:sz w:val="14"/>
          <w:szCs w:val="14"/>
          <w:color w:val="auto"/>
        </w:rPr>
      </w:pPr>
      <w:r>
        <w:rPr>
          <w:rFonts w:ascii="Calibri" w:cs="Calibri" w:eastAsia="Calibri" w:hAnsi="Calibri"/>
          <w:sz w:val="14"/>
          <w:szCs w:val="14"/>
          <w:color w:val="auto"/>
        </w:rPr>
        <w:t>This Amendment may be executed in one or more facsimile, electronic, or original counterparts, each of which shall be deemed an original and both of which together shall consttute the same instrument.</w:t>
      </w:r>
    </w:p>
    <w:p>
      <w:pPr>
        <w:spacing w:after="0" w:line="90" w:lineRule="exact"/>
        <w:rPr>
          <w:rFonts w:ascii="Calibri" w:cs="Calibri" w:eastAsia="Calibri" w:hAnsi="Calibri"/>
          <w:sz w:val="14"/>
          <w:szCs w:val="14"/>
          <w:color w:val="auto"/>
        </w:rPr>
      </w:pPr>
    </w:p>
    <w:p>
      <w:pPr>
        <w:ind w:left="1660" w:right="1199" w:hanging="255"/>
        <w:spacing w:after="0" w:line="241" w:lineRule="auto"/>
        <w:tabs>
          <w:tab w:leader="none" w:pos="1660" w:val="left"/>
        </w:tabs>
        <w:numPr>
          <w:ilvl w:val="0"/>
          <w:numId w:val="119"/>
        </w:numPr>
        <w:rPr>
          <w:rFonts w:ascii="Calibri" w:cs="Calibri" w:eastAsia="Calibri" w:hAnsi="Calibri"/>
          <w:sz w:val="14"/>
          <w:szCs w:val="14"/>
          <w:color w:val="auto"/>
        </w:rPr>
      </w:pPr>
      <w:r>
        <w:rPr>
          <w:rFonts w:ascii="Calibri" w:cs="Calibri" w:eastAsia="Calibri" w:hAnsi="Calibri"/>
          <w:sz w:val="14"/>
          <w:szCs w:val="14"/>
          <w:color w:val="auto"/>
        </w:rPr>
        <w:t>All terms and provisions of the Agreement not amended hereby, either expressly or by necessary implicaton, shall remain in full force and efect. From and afer the Amendment Efectve Date, all references to the term “Agreement” in this Amendment or the original Agreement shall include the terms contained in this Amendment.</w:t>
      </w:r>
    </w:p>
    <w:p>
      <w:pPr>
        <w:spacing w:after="0" w:line="88" w:lineRule="exact"/>
        <w:rPr>
          <w:sz w:val="20"/>
          <w:szCs w:val="20"/>
          <w:color w:val="auto"/>
        </w:rPr>
      </w:pPr>
    </w:p>
    <w:p>
      <w:pPr>
        <w:ind w:left="1140" w:right="1619"/>
        <w:spacing w:after="0" w:line="239" w:lineRule="auto"/>
        <w:rPr>
          <w:sz w:val="20"/>
          <w:szCs w:val="20"/>
          <w:color w:val="auto"/>
        </w:rPr>
      </w:pPr>
      <w:r>
        <w:rPr>
          <w:rFonts w:ascii="Calibri" w:cs="Calibri" w:eastAsia="Calibri" w:hAnsi="Calibri"/>
          <w:sz w:val="14"/>
          <w:szCs w:val="14"/>
          <w:color w:val="auto"/>
        </w:rPr>
        <w:t>IN WITNESS WHEREOF, the Partes hereto have executed this Amendment to the Agreement efectve as of the Amendment Efectve Date.</w:t>
      </w:r>
    </w:p>
    <w:p>
      <w:pPr>
        <w:spacing w:after="0" w:line="272" w:lineRule="exact"/>
        <w:rPr>
          <w:sz w:val="20"/>
          <w:szCs w:val="20"/>
          <w:color w:val="auto"/>
        </w:rPr>
      </w:pPr>
    </w:p>
    <w:tbl>
      <w:tblPr>
        <w:tblLayout w:type="fixed"/>
        <w:tblInd w:w="1060" w:type="dxa"/>
        <w:tblCellMar>
          <w:top w:w="0" w:type="dxa"/>
          <w:left w:w="0" w:type="dxa"/>
          <w:bottom w:w="0" w:type="dxa"/>
          <w:right w:w="0" w:type="dxa"/>
        </w:tblCellMar>
      </w:tblPr>
      <w:tr>
        <w:trPr>
          <w:trHeight w:val="171"/>
        </w:trPr>
        <w:tc>
          <w:tcPr>
            <w:tcW w:w="3020" w:type="dxa"/>
            <w:vAlign w:val="bottom"/>
            <w:gridSpan w:val="2"/>
          </w:tcPr>
          <w:p>
            <w:pPr>
              <w:ind w:left="100"/>
              <w:spacing w:after="0"/>
              <w:rPr>
                <w:sz w:val="20"/>
                <w:szCs w:val="20"/>
                <w:color w:val="auto"/>
              </w:rPr>
            </w:pPr>
            <w:r>
              <w:rPr>
                <w:rFonts w:ascii="Calibri" w:cs="Calibri" w:eastAsia="Calibri" w:hAnsi="Calibri"/>
                <w:sz w:val="14"/>
                <w:szCs w:val="14"/>
                <w:color w:val="auto"/>
              </w:rPr>
              <w:t>RxSight, Inc.</w:t>
            </w:r>
          </w:p>
        </w:tc>
        <w:tc>
          <w:tcPr>
            <w:tcW w:w="3860" w:type="dxa"/>
            <w:vAlign w:val="bottom"/>
            <w:gridSpan w:val="2"/>
          </w:tcPr>
          <w:p>
            <w:pPr>
              <w:ind w:left="560"/>
              <w:spacing w:after="0"/>
              <w:rPr>
                <w:sz w:val="20"/>
                <w:szCs w:val="20"/>
                <w:color w:val="auto"/>
              </w:rPr>
            </w:pPr>
            <w:r>
              <w:rPr>
                <w:rFonts w:ascii="Calibri" w:cs="Calibri" w:eastAsia="Calibri" w:hAnsi="Calibri"/>
                <w:sz w:val="14"/>
                <w:szCs w:val="14"/>
                <w:color w:val="auto"/>
              </w:rPr>
              <w:t>Compass Bible Church</w:t>
            </w:r>
          </w:p>
        </w:tc>
      </w:tr>
      <w:tr>
        <w:trPr>
          <w:trHeight w:val="430"/>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/s/Shelley Thunen</w:t>
            </w:r>
          </w:p>
        </w:tc>
        <w:tc>
          <w:tcPr>
            <w:tcW w:w="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By:</w:t>
            </w:r>
          </w:p>
        </w:tc>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Rick Talcott</w:t>
            </w:r>
          </w:p>
        </w:tc>
      </w:tr>
      <w:tr>
        <w:trPr>
          <w:trHeight w:val="186"/>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Shelley Thunen</w:t>
            </w:r>
          </w:p>
        </w:tc>
        <w:tc>
          <w:tcPr>
            <w:tcW w:w="940" w:type="dxa"/>
            <w:vAlign w:val="bottom"/>
          </w:tcPr>
          <w:p>
            <w:pPr>
              <w:spacing w:after="0"/>
              <w:rPr>
                <w:sz w:val="16"/>
                <w:szCs w:val="16"/>
                <w:color w:val="auto"/>
              </w:rPr>
            </w:pPr>
          </w:p>
        </w:tc>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Rick Talcott</w:t>
            </w:r>
          </w:p>
        </w:tc>
      </w:tr>
      <w:tr>
        <w:trPr>
          <w:trHeight w:val="184"/>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c>
          <w:tcPr>
            <w:tcW w:w="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Title:</w:t>
            </w:r>
          </w:p>
        </w:tc>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CFO</w:t>
            </w:r>
          </w:p>
        </w:tc>
      </w:tr>
      <w:tr>
        <w:trPr>
          <w:trHeight w:val="188"/>
        </w:trPr>
        <w:tc>
          <w:tcPr>
            <w:tcW w:w="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2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8/1/2024</w:t>
            </w:r>
          </w:p>
        </w:tc>
        <w:tc>
          <w:tcPr>
            <w:tcW w:w="9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Date:</w:t>
            </w:r>
          </w:p>
        </w:tc>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8/1/2024</w:t>
            </w:r>
          </w:p>
        </w:tc>
      </w:tr>
      <w:tr>
        <w:trPr>
          <w:trHeight w:val="2008"/>
        </w:trPr>
        <w:tc>
          <w:tcPr>
            <w:tcW w:w="48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5026660</wp:posOffset>
            </wp:positionH>
            <wp:positionV relativeFrom="paragraph">
              <wp:posOffset>-26035</wp:posOffset>
            </wp:positionV>
            <wp:extent cx="32385" cy="3937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-26035</wp:posOffset>
            </wp:positionV>
            <wp:extent cx="32385" cy="3937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123" w:right="1440" w:bottom="1440" w:gutter="0" w:footer="0" w:header="0"/>
        </w:sectPr>
      </w:pPr>
    </w:p>
    <w:bookmarkStart w:id="140" w:name="page141"/>
    <w:bookmarkEnd w:id="140"/>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3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Ron Kurtz, M.D., certify that:</w:t>
      </w:r>
    </w:p>
    <w:p>
      <w:pPr>
        <w:spacing w:after="0" w:line="183" w:lineRule="exact"/>
        <w:rPr>
          <w:sz w:val="20"/>
          <w:szCs w:val="20"/>
          <w:color w:val="auto"/>
        </w:rPr>
      </w:pPr>
    </w:p>
    <w:p>
      <w:pPr>
        <w:ind w:left="960" w:hanging="319"/>
        <w:spacing w:after="0"/>
        <w:tabs>
          <w:tab w:leader="none" w:pos="9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RxSight, Inc.;</w:t>
      </w:r>
    </w:p>
    <w:p>
      <w:pPr>
        <w:spacing w:after="0" w:line="194" w:lineRule="exact"/>
        <w:rPr>
          <w:rFonts w:ascii="Times New Roman" w:cs="Times New Roman" w:eastAsia="Times New Roman" w:hAnsi="Times New Roman"/>
          <w:sz w:val="14"/>
          <w:szCs w:val="14"/>
          <w:color w:val="auto"/>
        </w:rPr>
      </w:pPr>
    </w:p>
    <w:p>
      <w:pPr>
        <w:ind w:left="960" w:right="839" w:hanging="319"/>
        <w:spacing w:after="0" w:line="275" w:lineRule="auto"/>
        <w:tabs>
          <w:tab w:leader="none" w:pos="9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960" w:right="899" w:hanging="319"/>
        <w:spacing w:after="0" w:line="275" w:lineRule="auto"/>
        <w:tabs>
          <w:tab w:leader="none" w:pos="9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960" w:right="699" w:hanging="319"/>
        <w:spacing w:after="0" w:line="275" w:lineRule="auto"/>
        <w:tabs>
          <w:tab w:leader="none" w:pos="9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1360" w:right="939" w:hanging="396"/>
        <w:spacing w:after="0" w:line="268" w:lineRule="auto"/>
        <w:tabs>
          <w:tab w:leader="none" w:pos="136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4"/>
          <w:szCs w:val="14"/>
          <w:color w:val="auto"/>
        </w:rPr>
      </w:pPr>
    </w:p>
    <w:p>
      <w:pPr>
        <w:ind w:left="1360" w:right="859" w:hanging="396"/>
        <w:spacing w:after="0" w:line="275" w:lineRule="auto"/>
        <w:tabs>
          <w:tab w:leader="none" w:pos="136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1360" w:right="759" w:hanging="396"/>
        <w:spacing w:after="0" w:line="275" w:lineRule="auto"/>
        <w:tabs>
          <w:tab w:leader="none" w:pos="136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360" w:right="839" w:hanging="396"/>
        <w:spacing w:after="0" w:line="268" w:lineRule="auto"/>
        <w:tabs>
          <w:tab w:leader="none" w:pos="136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4"/>
          <w:szCs w:val="14"/>
          <w:color w:val="auto"/>
        </w:rPr>
      </w:pPr>
    </w:p>
    <w:p>
      <w:pPr>
        <w:ind w:left="960" w:right="959" w:hanging="319"/>
        <w:spacing w:after="0" w:line="275" w:lineRule="auto"/>
        <w:tabs>
          <w:tab w:leader="none" w:pos="96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360" w:right="699" w:hanging="396"/>
        <w:spacing w:after="0" w:line="275" w:lineRule="auto"/>
        <w:tabs>
          <w:tab w:leader="none" w:pos="136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360" w:right="999" w:hanging="396"/>
        <w:spacing w:after="0" w:line="293" w:lineRule="auto"/>
        <w:tabs>
          <w:tab w:leader="none" w:pos="1360"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17" w:lineRule="exact"/>
        <w:rPr>
          <w:sz w:val="20"/>
          <w:szCs w:val="20"/>
          <w:color w:val="auto"/>
        </w:rPr>
      </w:pPr>
    </w:p>
    <w:p>
      <w:pPr>
        <w:ind w:left="640"/>
        <w:spacing w:after="0"/>
        <w:tabs>
          <w:tab w:leader="none" w:pos="4560" w:val="left"/>
          <w:tab w:leader="none" w:pos="6000" w:val="left"/>
        </w:tabs>
        <w:rPr>
          <w:sz w:val="20"/>
          <w:szCs w:val="20"/>
          <w:color w:val="auto"/>
        </w:rPr>
      </w:pPr>
      <w:r>
        <w:rPr>
          <w:rFonts w:ascii="Times New Roman" w:cs="Times New Roman" w:eastAsia="Times New Roman" w:hAnsi="Times New Roman"/>
          <w:sz w:val="14"/>
          <w:szCs w:val="14"/>
          <w:color w:val="auto"/>
        </w:rPr>
        <w:t>Date: August 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Ron Kurtz, M.D.</w:t>
      </w:r>
    </w:p>
    <w:p>
      <w:pPr>
        <w:spacing w:after="0" w:line="36"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Ron Kurtz,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-100965</wp:posOffset>
            </wp:positionV>
            <wp:extent cx="2268220"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268220" cy="6985"/>
                    </a:xfrm>
                    <a:prstGeom prst="rect">
                      <a:avLst/>
                    </a:prstGeom>
                    <a:noFill/>
                  </pic:spPr>
                </pic:pic>
              </a:graphicData>
            </a:graphic>
          </wp:anchor>
        </w:drawing>
      </w:r>
    </w:p>
    <w:p>
      <w:pPr>
        <w:spacing w:after="0" w:line="2"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Chief Executive Officer and President</w:t>
      </w:r>
    </w:p>
    <w:p>
      <w:pPr>
        <w:spacing w:after="0" w:line="22"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719455</wp:posOffset>
            </wp:positionV>
            <wp:extent cx="4944745" cy="3937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41" w:name="page142"/>
    <w:bookmarkEnd w:id="141"/>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Shelley Thunen, certify that:</w:t>
      </w:r>
    </w:p>
    <w:p>
      <w:pPr>
        <w:spacing w:after="0" w:line="183" w:lineRule="exact"/>
        <w:rPr>
          <w:sz w:val="20"/>
          <w:szCs w:val="20"/>
          <w:color w:val="auto"/>
        </w:rPr>
      </w:pPr>
    </w:p>
    <w:p>
      <w:pPr>
        <w:ind w:left="960" w:hanging="319"/>
        <w:spacing w:after="0"/>
        <w:tabs>
          <w:tab w:leader="none" w:pos="9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RxSight, Inc.;</w:t>
      </w:r>
    </w:p>
    <w:p>
      <w:pPr>
        <w:spacing w:after="0" w:line="194" w:lineRule="exact"/>
        <w:rPr>
          <w:rFonts w:ascii="Times New Roman" w:cs="Times New Roman" w:eastAsia="Times New Roman" w:hAnsi="Times New Roman"/>
          <w:sz w:val="14"/>
          <w:szCs w:val="14"/>
          <w:color w:val="auto"/>
        </w:rPr>
      </w:pPr>
    </w:p>
    <w:p>
      <w:pPr>
        <w:ind w:left="960" w:right="839" w:hanging="319"/>
        <w:spacing w:after="0" w:line="275" w:lineRule="auto"/>
        <w:tabs>
          <w:tab w:leader="none" w:pos="9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960" w:right="899" w:hanging="319"/>
        <w:spacing w:after="0" w:line="275" w:lineRule="auto"/>
        <w:tabs>
          <w:tab w:leader="none" w:pos="9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960" w:right="699" w:hanging="319"/>
        <w:spacing w:after="0" w:line="275" w:lineRule="auto"/>
        <w:tabs>
          <w:tab w:leader="none" w:pos="9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1360" w:right="939" w:hanging="396"/>
        <w:spacing w:after="0" w:line="268" w:lineRule="auto"/>
        <w:tabs>
          <w:tab w:leader="none" w:pos="1360"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4"/>
          <w:szCs w:val="14"/>
          <w:color w:val="auto"/>
        </w:rPr>
      </w:pPr>
    </w:p>
    <w:p>
      <w:pPr>
        <w:ind w:left="1360" w:right="859" w:hanging="396"/>
        <w:spacing w:after="0" w:line="275" w:lineRule="auto"/>
        <w:tabs>
          <w:tab w:leader="none" w:pos="1360"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1360" w:right="759" w:hanging="396"/>
        <w:spacing w:after="0" w:line="275" w:lineRule="auto"/>
        <w:tabs>
          <w:tab w:leader="none" w:pos="1360"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1360" w:right="839" w:hanging="396"/>
        <w:spacing w:after="0" w:line="268" w:lineRule="auto"/>
        <w:tabs>
          <w:tab w:leader="none" w:pos="1360"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4"/>
          <w:szCs w:val="14"/>
          <w:color w:val="auto"/>
        </w:rPr>
      </w:pPr>
    </w:p>
    <w:p>
      <w:pPr>
        <w:ind w:left="960" w:right="959" w:hanging="319"/>
        <w:spacing w:after="0" w:line="275" w:lineRule="auto"/>
        <w:tabs>
          <w:tab w:leader="none" w:pos="96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4"/>
          <w:szCs w:val="14"/>
          <w:color w:val="auto"/>
        </w:rPr>
      </w:pPr>
    </w:p>
    <w:p>
      <w:pPr>
        <w:ind w:left="1360" w:right="699" w:hanging="396"/>
        <w:spacing w:after="0" w:line="275" w:lineRule="auto"/>
        <w:tabs>
          <w:tab w:leader="none" w:pos="1360"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1360" w:right="999" w:hanging="396"/>
        <w:spacing w:after="0" w:line="293" w:lineRule="auto"/>
        <w:tabs>
          <w:tab w:leader="none" w:pos="1360" w:val="left"/>
        </w:tabs>
        <w:numPr>
          <w:ilvl w:val="1"/>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9" w:lineRule="exact"/>
        <w:rPr>
          <w:sz w:val="20"/>
          <w:szCs w:val="20"/>
          <w:color w:val="auto"/>
        </w:rPr>
      </w:pPr>
    </w:p>
    <w:p>
      <w:pPr>
        <w:ind w:left="640"/>
        <w:spacing w:after="0"/>
        <w:tabs>
          <w:tab w:leader="none" w:pos="4560" w:val="left"/>
          <w:tab w:leader="none" w:pos="6040" w:val="left"/>
        </w:tabs>
        <w:rPr>
          <w:sz w:val="20"/>
          <w:szCs w:val="20"/>
          <w:color w:val="auto"/>
        </w:rPr>
      </w:pPr>
      <w:r>
        <w:rPr>
          <w:rFonts w:ascii="Times New Roman" w:cs="Times New Roman" w:eastAsia="Times New Roman" w:hAnsi="Times New Roman"/>
          <w:sz w:val="14"/>
          <w:szCs w:val="14"/>
          <w:color w:val="auto"/>
        </w:rPr>
        <w:t>Date: August 5,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Shelley Thunen</w:t>
      </w:r>
    </w:p>
    <w:p>
      <w:pPr>
        <w:spacing w:after="0" w:line="36"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Shelley Thunen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3051175</wp:posOffset>
            </wp:positionH>
            <wp:positionV relativeFrom="paragraph">
              <wp:posOffset>-100965</wp:posOffset>
            </wp:positionV>
            <wp:extent cx="2268220"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268220" cy="6985"/>
                    </a:xfrm>
                    <a:prstGeom prst="rect">
                      <a:avLst/>
                    </a:prstGeom>
                    <a:noFill/>
                  </pic:spPr>
                </pic:pic>
              </a:graphicData>
            </a:graphic>
          </wp:anchor>
        </w:drawing>
      </w:r>
    </w:p>
    <w:p>
      <w:pPr>
        <w:spacing w:after="0" w:line="2"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Co-President and Chief Financial Officer</w:t>
      </w:r>
    </w:p>
    <w:p>
      <w:pPr>
        <w:spacing w:after="0" w:line="22"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719455</wp:posOffset>
            </wp:positionV>
            <wp:extent cx="4944745" cy="3937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42" w:name="page143"/>
    <w:bookmarkEnd w:id="14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0"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RxSight, Inc. (the “Company”) on Form 10-Q for the quarterly period ended June 30, 2024, as filed with the Securities and Exchange Commission on the date hereof (the “Report”), I, Ron Kurtz, M.D., Chief Executive Officer of the Company, certify, pursuant to 18 U.S.C. §1350, as adopted pursuant to §906 of the Sarbanes-Oxley Act of 2002, that, to my knowledge:</w:t>
      </w:r>
    </w:p>
    <w:p>
      <w:pPr>
        <w:spacing w:after="0" w:line="314" w:lineRule="exact"/>
        <w:rPr>
          <w:sz w:val="20"/>
          <w:szCs w:val="20"/>
          <w:color w:val="auto"/>
        </w:rPr>
      </w:pPr>
    </w:p>
    <w:p>
      <w:pPr>
        <w:ind w:left="1360" w:hanging="396"/>
        <w:spacing w:after="0"/>
        <w:tabs>
          <w:tab w:leader="none" w:pos="1360" w:val="left"/>
        </w:tabs>
        <w:numPr>
          <w:ilvl w:val="1"/>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4"/>
          <w:szCs w:val="14"/>
          <w:color w:val="auto"/>
        </w:rPr>
      </w:pPr>
    </w:p>
    <w:p>
      <w:pPr>
        <w:ind w:left="1340" w:right="979" w:hanging="387"/>
        <w:spacing w:after="0" w:line="293" w:lineRule="auto"/>
        <w:tabs>
          <w:tab w:leader="none" w:pos="13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06"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Ron Kurtz, M.D.</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Date: August 5, 2024</w:t>
            </w: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Ron Kurtz, M.D.</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Chief Executive Officer and President</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c>
          <w:tcPr>
            <w:tcW w:w="0" w:type="dxa"/>
            <w:vAlign w:val="bottom"/>
          </w:tcPr>
          <w:p>
            <w:pPr>
              <w:spacing w:after="0"/>
              <w:rPr>
                <w:sz w:val="1"/>
                <w:szCs w:val="1"/>
                <w:color w:val="auto"/>
              </w:rPr>
            </w:pPr>
          </w:p>
        </w:tc>
      </w:tr>
      <w:tr>
        <w:trPr>
          <w:trHeight w:val="960"/>
        </w:trPr>
        <w:tc>
          <w:tcPr>
            <w:tcW w:w="2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43" w:name="page144"/>
    <w:bookmarkEnd w:id="143"/>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70"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RxSight, Inc. (the “Company”) on Form 10-Q for the quarterly period ended June 30, 2024, as filed with the Securities and Exchange Commission on the date hereof (the “Report”), I, Shelley Thunen, Chief Financial Officer of the Company, certify, pursuant to 18 U.S.C. §1350, as adopted pursuant to §906 of the Sarbanes-Oxley Act of 2002, that, to my knowledge:</w:t>
      </w:r>
    </w:p>
    <w:p>
      <w:pPr>
        <w:spacing w:after="0" w:line="142" w:lineRule="exact"/>
        <w:rPr>
          <w:sz w:val="20"/>
          <w:szCs w:val="20"/>
          <w:color w:val="auto"/>
        </w:rPr>
      </w:pPr>
    </w:p>
    <w:p>
      <w:pPr>
        <w:ind w:left="1360" w:hanging="396"/>
        <w:spacing w:after="0"/>
        <w:tabs>
          <w:tab w:leader="none" w:pos="13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4"/>
          <w:szCs w:val="14"/>
          <w:color w:val="auto"/>
        </w:rPr>
      </w:pPr>
    </w:p>
    <w:p>
      <w:pPr>
        <w:ind w:left="1360" w:right="959" w:hanging="396"/>
        <w:spacing w:after="0" w:line="293" w:lineRule="auto"/>
        <w:tabs>
          <w:tab w:leader="none" w:pos="136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34"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By</w:t>
            </w:r>
          </w:p>
        </w:tc>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 Shelley Thunen</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Date: August 5, 2024</w:t>
            </w:r>
          </w:p>
        </w:tc>
        <w:tc>
          <w:tcPr>
            <w:tcW w:w="1560" w:type="dxa"/>
            <w:vAlign w:val="bottom"/>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3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Shelley Thunen</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Co-President and Chief Financial Officer</w:t>
            </w: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tc>
        <w:tc>
          <w:tcPr>
            <w:tcW w:w="0" w:type="dxa"/>
            <w:vAlign w:val="bottom"/>
          </w:tcPr>
          <w:p>
            <w:pPr>
              <w:spacing w:after="0"/>
              <w:rPr>
                <w:sz w:val="1"/>
                <w:szCs w:val="1"/>
                <w:color w:val="auto"/>
              </w:rPr>
            </w:pPr>
          </w:p>
        </w:tc>
      </w:tr>
      <w:tr>
        <w:trPr>
          <w:trHeight w:val="1477"/>
        </w:trPr>
        <w:tc>
          <w:tcPr>
            <w:tcW w:w="25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144" w:name="page145"/>
    <w:bookmarkEnd w:id="1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1)"/>
      <w:numFmt w:val="lowerLetter"/>
      <w:start w:val="1"/>
    </w:lvl>
  </w:abstractNum>
  <w:abstractNum w:abstractNumId="42">
    <w:nsid w:val="71EA1109"/>
    <w:multiLevelType w:val="hybridMultilevel"/>
    <w:lvl w:ilvl="0">
      <w:lvlJc w:val="left"/>
      <w:lvlText w:val="*"/>
      <w:numFmt w:val="bullet"/>
      <w:start w:val="1"/>
    </w:lvl>
    <w:lvl w:ilvl="1">
      <w:lvlJc w:val="left"/>
      <w:lvlText w:val="%2"/>
      <w:numFmt w:val="decimal"/>
      <w:start w:val="104"/>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1)"/>
      <w:numFmt w:val="lowerLetter"/>
      <w:start w:val="1"/>
    </w:lvl>
  </w:abstractNum>
  <w:abstractNum w:abstractNumId="45">
    <w:nsid w:val="6EB5BD4"/>
    <w:multiLevelType w:val="hybridMultilevel"/>
    <w:lvl w:ilvl="0">
      <w:lvlJc w:val="left"/>
      <w:lvlText w:val="(%1)"/>
      <w:numFmt w:val="lowerLetter"/>
      <w:start w:val="4"/>
    </w:lvl>
  </w:abstractNum>
  <w:abstractNum w:abstractNumId="46">
    <w:nsid w:val="6F6DD9AC"/>
    <w:multiLevelType w:val="hybridMultilevel"/>
    <w:lvl w:ilvl="0">
      <w:lvlJc w:val="left"/>
      <w:lvlText w:val="(%1)"/>
      <w:numFmt w:val="lowerLetter"/>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1."/>
      <w:numFmt w:val="decimal"/>
      <w:start w:val="1"/>
    </w:lvl>
    <w:lvl w:ilvl="1">
      <w:lvlJc w:val="left"/>
      <w:lvlText w:val="☑"/>
      <w:numFmt w:val="bullet"/>
      <w:start w:val="1"/>
    </w:lvl>
  </w:abstractNum>
  <w:abstractNum w:abstractNumId="49">
    <w:nsid w:val="76272110"/>
    <w:multiLevelType w:val="hybridMultilevel"/>
    <w:lvl w:ilvl="0">
      <w:lvlJc w:val="left"/>
      <w:lvlText w:val="%1"/>
      <w:numFmt w:val="lowerLetter"/>
      <w:start w:val="1"/>
    </w:lvl>
    <w:lvl w:ilvl="1">
      <w:lvlJc w:val="left"/>
      <w:lvlText w:val="(%2)"/>
      <w:numFmt w:val="lowerLetter"/>
      <w:start w:val="1"/>
    </w:lvl>
  </w:abstractNum>
  <w:abstractNum w:abstractNumId="50">
    <w:nsid w:val="4C04A8AF"/>
    <w:multiLevelType w:val="hybridMultilevel"/>
    <w:lvl w:ilvl="0">
      <w:lvlJc w:val="left"/>
      <w:lvlText w:val="(%1)"/>
      <w:numFmt w:val="lowerLetter"/>
      <w:start w:val="3"/>
    </w:lvl>
    <w:lvl w:ilvl="1">
      <w:lvlJc w:val="left"/>
      <w:lvlText w:val="%2"/>
      <w:numFmt w:val="lowerLetter"/>
      <w:start w:val="1"/>
    </w:lvl>
  </w:abstractNum>
  <w:abstractNum w:abstractNumId="51">
    <w:nsid w:val="1716703B"/>
    <w:multiLevelType w:val="hybridMultilevel"/>
    <w:lvl w:ilvl="0">
      <w:lvlJc w:val="left"/>
      <w:lvlText w:val="%1."/>
      <w:numFmt w:val="decimal"/>
      <w:start w:val="5"/>
    </w:lvl>
  </w:abstractNum>
  <w:abstractNum w:abstractNumId="52">
    <w:nsid w:val="14E17E33"/>
    <w:multiLevelType w:val="hybridMultilevel"/>
    <w:lvl w:ilvl="0">
      <w:lvlJc w:val="left"/>
      <w:lvlText w:val="(%1)"/>
      <w:numFmt w:val="lowerLetter"/>
      <w:start w:val="1"/>
    </w:lvl>
  </w:abstractNum>
  <w:abstractNum w:abstractNumId="53">
    <w:nsid w:val="3222E7CD"/>
    <w:multiLevelType w:val="hybridMultilevel"/>
    <w:lvl w:ilvl="0">
      <w:lvlJc w:val="left"/>
      <w:lvlText w:val="(%1)"/>
      <w:numFmt w:val="lowerLetter"/>
      <w:start w:val="2"/>
    </w:lvl>
  </w:abstractNum>
  <w:abstractNum w:abstractNumId="54">
    <w:nsid w:val="74DE0EE3"/>
    <w:multiLevelType w:val="hybridMultilevel"/>
    <w:lvl w:ilvl="0">
      <w:lvlJc w:val="left"/>
      <w:lvlText w:val="%1."/>
      <w:numFmt w:val="decimal"/>
      <w:start w:val="7"/>
    </w:lvl>
    <w:lvl w:ilvl="1">
      <w:lvlJc w:val="left"/>
      <w:lvlText w:val="(%2)"/>
      <w:numFmt w:val="lowerLetter"/>
      <w:start w:val="1"/>
    </w:lvl>
  </w:abstractNum>
  <w:abstractNum w:abstractNumId="55">
    <w:nsid w:val="68EBC550"/>
    <w:multiLevelType w:val="hybridMultilevel"/>
    <w:lvl w:ilvl="0">
      <w:lvlJc w:val="left"/>
      <w:lvlText w:val="%1"/>
      <w:numFmt w:val="decimal"/>
      <w:start w:val="1"/>
    </w:lvl>
    <w:lvl w:ilvl="1">
      <w:lvlJc w:val="left"/>
      <w:lvlText w:val="(%2)"/>
      <w:numFmt w:val="lowerLetter"/>
      <w:start w:val="1"/>
    </w:lvl>
  </w:abstractNum>
  <w:abstractNum w:abstractNumId="56">
    <w:nsid w:val="2DF6D648"/>
    <w:multiLevelType w:val="hybridMultilevel"/>
    <w:lvl w:ilvl="0">
      <w:lvlJc w:val="left"/>
      <w:lvlText w:val="%1"/>
      <w:numFmt w:val="decimal"/>
      <w:start w:val="1"/>
    </w:lvl>
    <w:lvl w:ilvl="1">
      <w:lvlJc w:val="left"/>
      <w:lvlText w:val="(%2)"/>
      <w:numFmt w:val="lowerLetter"/>
      <w:start w:val="1"/>
    </w:lvl>
  </w:abstractNum>
  <w:abstractNum w:abstractNumId="57">
    <w:nsid w:val="46B7D447"/>
    <w:multiLevelType w:val="hybridMultilevel"/>
    <w:lvl w:ilvl="0">
      <w:lvlJc w:val="left"/>
      <w:lvlText w:val="%1."/>
      <w:numFmt w:val="decimal"/>
      <w:start w:val="8"/>
    </w:lvl>
    <w:lvl w:ilvl="1">
      <w:lvlJc w:val="left"/>
      <w:lvlText w:val="%2"/>
      <w:numFmt w:val="lowerLetter"/>
      <w:start w:val="1"/>
    </w:lvl>
  </w:abstractNum>
  <w:abstractNum w:abstractNumId="58">
    <w:nsid w:val="4A2AC315"/>
    <w:multiLevelType w:val="hybridMultilevel"/>
    <w:lvl w:ilvl="0">
      <w:lvlJc w:val="left"/>
      <w:lvlText w:val="(%1)"/>
      <w:numFmt w:val="lowerLetter"/>
      <w:start w:val="1"/>
    </w:lvl>
  </w:abstractNum>
  <w:abstractNum w:abstractNumId="59">
    <w:nsid w:val="39EE015C"/>
    <w:multiLevelType w:val="hybridMultilevel"/>
    <w:lvl w:ilvl="0">
      <w:lvlJc w:val="left"/>
      <w:lvlText w:val="(%1)"/>
      <w:numFmt w:val="lowerLetter"/>
      <w:start w:val="1"/>
    </w:lvl>
  </w:abstractNum>
  <w:abstractNum w:abstractNumId="60">
    <w:nsid w:val="57FC4FBB"/>
    <w:multiLevelType w:val="hybridMultilevel"/>
    <w:lvl w:ilvl="0">
      <w:lvlJc w:val="left"/>
      <w:lvlText w:val="(%1)"/>
      <w:numFmt w:val="lowerLetter"/>
      <w:start w:val="1"/>
    </w:lvl>
  </w:abstractNum>
  <w:abstractNum w:abstractNumId="61">
    <w:nsid w:val="CC1016F"/>
    <w:multiLevelType w:val="hybridMultilevel"/>
    <w:lvl w:ilvl="0">
      <w:lvlJc w:val="left"/>
      <w:lvlText w:val="(%1)"/>
      <w:numFmt w:val="lowerLetter"/>
      <w:start w:val="2"/>
    </w:lvl>
  </w:abstractNum>
  <w:abstractNum w:abstractNumId="62">
    <w:nsid w:val="43F18422"/>
    <w:multiLevelType w:val="hybridMultilevel"/>
    <w:lvl w:ilvl="0">
      <w:lvlJc w:val="left"/>
      <w:lvlText w:val="%1."/>
      <w:numFmt w:val="decimal"/>
      <w:start w:val="9"/>
    </w:lvl>
    <w:lvl w:ilvl="1">
      <w:lvlJc w:val="left"/>
      <w:lvlText w:val="(%2)"/>
      <w:numFmt w:val="lowerLetter"/>
      <w:start w:val="1"/>
    </w:lvl>
  </w:abstractNum>
  <w:abstractNum w:abstractNumId="63">
    <w:nsid w:val="60EF0119"/>
    <w:multiLevelType w:val="hybridMultilevel"/>
    <w:lvl w:ilvl="0">
      <w:lvlJc w:val="left"/>
      <w:lvlText w:val="(%1)"/>
      <w:numFmt w:val="lowerLetter"/>
      <w:start w:val="9"/>
    </w:lvl>
    <w:lvl w:ilvl="1">
      <w:lvlJc w:val="left"/>
      <w:lvlText w:val="(%2)"/>
      <w:numFmt w:val="lowerLetter"/>
      <w:start w:val="1"/>
    </w:lvl>
  </w:abstractNum>
  <w:abstractNum w:abstractNumId="64">
    <w:nsid w:val="26F324BA"/>
    <w:multiLevelType w:val="hybridMultilevel"/>
    <w:lvl w:ilvl="0">
      <w:lvlJc w:val="left"/>
      <w:lvlText w:val="(%1)"/>
      <w:numFmt w:val="lowerLetter"/>
      <w:start w:val="1"/>
    </w:lvl>
  </w:abstractNum>
  <w:abstractNum w:abstractNumId="65">
    <w:nsid w:val="7F01579B"/>
    <w:multiLevelType w:val="hybridMultilevel"/>
    <w:lvl w:ilvl="0">
      <w:lvlJc w:val="left"/>
      <w:lvlText w:val="(%1)"/>
      <w:numFmt w:val="lowerLetter"/>
      <w:start w:val="1"/>
    </w:lvl>
  </w:abstractNum>
  <w:abstractNum w:abstractNumId="66">
    <w:nsid w:val="49DA307D"/>
    <w:multiLevelType w:val="hybridMultilevel"/>
    <w:lvl w:ilvl="0">
      <w:lvlJc w:val="left"/>
      <w:lvlText w:val="%1"/>
      <w:numFmt w:val="decimal"/>
      <w:start w:val="1"/>
    </w:lvl>
    <w:lvl w:ilvl="1">
      <w:lvlJc w:val="left"/>
      <w:lvlText w:val="(%2)"/>
      <w:numFmt w:val="lowerLetter"/>
      <w:start w:val="1"/>
    </w:lvl>
  </w:abstractNum>
  <w:abstractNum w:abstractNumId="67">
    <w:nsid w:val="7055A5F5"/>
    <w:multiLevelType w:val="hybridMultilevel"/>
    <w:lvl w:ilvl="0">
      <w:lvlJc w:val="left"/>
      <w:lvlText w:val="%1."/>
      <w:numFmt w:val="decimal"/>
      <w:start w:val="13"/>
    </w:lvl>
    <w:lvl w:ilvl="1">
      <w:lvlJc w:val="left"/>
      <w:lvlText w:val="%2"/>
      <w:numFmt w:val="lowerLetter"/>
      <w:start w:val="1"/>
    </w:lvl>
  </w:abstractNum>
  <w:abstractNum w:abstractNumId="68">
    <w:nsid w:val="5FB8370B"/>
    <w:multiLevelType w:val="hybridMultilevel"/>
    <w:lvl w:ilvl="0">
      <w:lvlJc w:val="left"/>
      <w:lvlText w:val="(%1)"/>
      <w:numFmt w:val="lowerLetter"/>
      <w:start w:val="1"/>
    </w:lvl>
  </w:abstractNum>
  <w:abstractNum w:abstractNumId="69">
    <w:nsid w:val="50801EE1"/>
    <w:multiLevelType w:val="hybridMultilevel"/>
    <w:lvl w:ilvl="0">
      <w:lvlJc w:val="left"/>
      <w:lvlText w:val="(%1)"/>
      <w:numFmt w:val="lowerLetter"/>
      <w:start w:val="4"/>
    </w:lvl>
  </w:abstractNum>
  <w:abstractNum w:abstractNumId="70">
    <w:nsid w:val="488AC1A"/>
    <w:multiLevelType w:val="hybridMultilevel"/>
    <w:lvl w:ilvl="0">
      <w:lvlJc w:val="left"/>
      <w:lvlText w:val="(%1)"/>
      <w:numFmt w:val="lowerLetter"/>
      <w:start w:val="7"/>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1)"/>
      <w:numFmt w:val="lowerLetter"/>
      <w:start w:val="35"/>
    </w:lvl>
    <w:lvl w:ilvl="1">
      <w:lvlJc w:val="left"/>
      <w:lvlText w:val="(%2)"/>
      <w:numFmt w:val="lowerLetter"/>
      <w:start w:val="2"/>
    </w:lvl>
  </w:abstractNum>
  <w:abstractNum w:abstractNumId="73">
    <w:nsid w:val="7672BD23"/>
    <w:multiLevelType w:val="hybridMultilevel"/>
    <w:lvl w:ilvl="0">
      <w:lvlJc w:val="left"/>
      <w:lvlText w:val="%1"/>
      <w:numFmt w:val="lowerLetter"/>
      <w:start w:val="1"/>
    </w:lvl>
    <w:lvl w:ilvl="1">
      <w:lvlJc w:val="left"/>
      <w:lvlText w:val="(%2)"/>
      <w:numFmt w:val="lowerLetter"/>
      <w:start w:val="1"/>
    </w:lvl>
  </w:abstractNum>
  <w:abstractNum w:abstractNumId="74">
    <w:nsid w:val="6FC75AF8"/>
    <w:multiLevelType w:val="hybridMultilevel"/>
    <w:lvl w:ilvl="0">
      <w:lvlJc w:val="left"/>
      <w:lvlText w:val="%1."/>
      <w:numFmt w:val="decimal"/>
      <w:start w:val="14"/>
    </w:lvl>
  </w:abstractNum>
  <w:abstractNum w:abstractNumId="75">
    <w:nsid w:val="6A5F7029"/>
    <w:multiLevelType w:val="hybridMultilevel"/>
    <w:lvl w:ilvl="0">
      <w:lvlJc w:val="left"/>
      <w:lvlText w:val="%1."/>
      <w:numFmt w:val="decimal"/>
      <w:start w:val="16"/>
    </w:lvl>
    <w:lvl w:ilvl="1">
      <w:lvlJc w:val="left"/>
      <w:lvlText w:val="(%2)"/>
      <w:numFmt w:val="lowerLetter"/>
      <w:start w:val="1"/>
    </w:lvl>
  </w:abstractNum>
  <w:abstractNum w:abstractNumId="76">
    <w:nsid w:val="7D5E18F8"/>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9"/>
    </w:lvl>
  </w:abstractNum>
  <w:abstractNum w:abstractNumId="77">
    <w:nsid w:val="5F3534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78">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79">
    <w:nsid w:val="7DE6771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0">
    <w:nsid w:val="555C55B5"/>
    <w:multiLevelType w:val="hybridMultilevel"/>
    <w:lvl w:ilvl="0">
      <w:lvlJc w:val="left"/>
      <w:lvlText w:val="%1."/>
      <w:numFmt w:val="decimal"/>
      <w:start w:val="26"/>
    </w:lvl>
    <w:lvl w:ilvl="1">
      <w:lvlJc w:val="left"/>
      <w:lvlText w:val="%2"/>
      <w:numFmt w:val="lowerLetter"/>
      <w:start w:val="1"/>
    </w:lvl>
    <w:lvl w:ilvl="2">
      <w:lvlJc w:val="left"/>
      <w:lvlText w:val="%3"/>
      <w:numFmt w:val="lowerLetter"/>
      <w:start w:val="1"/>
    </w:lvl>
  </w:abstractNum>
  <w:abstractNum w:abstractNumId="81">
    <w:nsid w:val="3FA62ACA"/>
    <w:multiLevelType w:val="hybridMultilevel"/>
    <w:lvl w:ilvl="0">
      <w:lvlJc w:val="left"/>
      <w:lvlText w:val="%1."/>
      <w:numFmt w:val="decimal"/>
      <w:start w:val="27"/>
    </w:lvl>
  </w:abstractNum>
  <w:abstractNum w:abstractNumId="82">
    <w:nsid w:val="14FCE74E"/>
    <w:multiLevelType w:val="hybridMultilevel"/>
    <w:lvl w:ilvl="0">
      <w:lvlJc w:val="left"/>
      <w:lvlText w:val="%1."/>
      <w:numFmt w:val="decimal"/>
      <w:start w:val="31"/>
    </w:lvl>
  </w:abstractNum>
  <w:abstractNum w:abstractNumId="83">
    <w:nsid w:val="6A3DD3E8"/>
    <w:multiLevelType w:val="hybridMultilevel"/>
    <w:lvl w:ilvl="0">
      <w:lvlJc w:val="left"/>
      <w:lvlText w:val="%1."/>
      <w:numFmt w:val="decimal"/>
      <w:start w:val="38"/>
    </w:lvl>
  </w:abstractNum>
  <w:abstractNum w:abstractNumId="84">
    <w:nsid w:val="71C91298"/>
    <w:multiLevelType w:val="hybridMultilevel"/>
    <w:lvl w:ilvl="0">
      <w:lvlJc w:val="left"/>
      <w:lvlText w:val="%1"/>
      <w:numFmt w:val="decimal"/>
      <w:start w:val="1"/>
    </w:lvl>
    <w:lvl w:ilvl="1">
      <w:lvlJc w:val="left"/>
      <w:lvlText w:val="(%2)"/>
      <w:numFmt w:val="lowerLetter"/>
      <w:start w:val="1"/>
    </w:lvl>
  </w:abstractNum>
  <w:abstractNum w:abstractNumId="85">
    <w:nsid w:val="9DAF632"/>
    <w:multiLevelType w:val="hybridMultilevel"/>
    <w:lvl w:ilvl="0">
      <w:lvlJc w:val="left"/>
      <w:lvlText w:val="%1."/>
      <w:numFmt w:val="decimal"/>
      <w:start w:val="40"/>
    </w:lvl>
    <w:lvl w:ilvl="1">
      <w:lvlJc w:val="left"/>
      <w:lvlText w:val="(%2)"/>
      <w:numFmt w:val="lowerLetter"/>
      <w:start w:val="1"/>
    </w:lvl>
  </w:abstractNum>
  <w:abstractNum w:abstractNumId="86">
    <w:nsid w:val="53299938"/>
    <w:multiLevelType w:val="hybridMultilevel"/>
    <w:lvl w:ilvl="0">
      <w:lvlJc w:val="left"/>
      <w:lvlText w:val="%1"/>
      <w:numFmt w:val="decimal"/>
      <w:start w:val="1"/>
    </w:lvl>
    <w:lvl w:ilvl="1">
      <w:lvlJc w:val="left"/>
      <w:lvlText w:val="☑"/>
      <w:numFmt w:val="bullet"/>
      <w:start w:val="1"/>
    </w:lvl>
    <w:lvl w:ilvl="2">
      <w:lvlJc w:val="left"/>
      <w:lvlText w:val="(%3)"/>
      <w:numFmt w:val="lowerLetter"/>
      <w:start w:val="3"/>
    </w:lvl>
  </w:abstractNum>
  <w:abstractNum w:abstractNumId="87">
    <w:nsid w:val="1FBFE8E0"/>
    <w:multiLevelType w:val="hybridMultilevel"/>
    <w:lvl w:ilvl="0">
      <w:lvlJc w:val="left"/>
      <w:lvlText w:val="%1."/>
      <w:numFmt w:val="decimal"/>
      <w:start w:val="45"/>
    </w:lvl>
    <w:lvl w:ilvl="1">
      <w:lvlJc w:val="left"/>
      <w:lvlText w:val="☑"/>
      <w:numFmt w:val="bullet"/>
      <w:start w:val="1"/>
    </w:lvl>
    <w:lvl w:ilvl="2">
      <w:lvlJc w:val="left"/>
      <w:lvlText w:val="(%3)"/>
      <w:numFmt w:val="lowerLetter"/>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1)"/>
      <w:numFmt w:val="lowerLetter"/>
      <w:start w:val="2"/>
    </w:lvl>
  </w:abstractNum>
  <w:abstractNum w:abstractNumId="90">
    <w:nsid w:val="59ADEA3D"/>
    <w:multiLevelType w:val="hybridMultilevel"/>
    <w:lvl w:ilvl="0">
      <w:lvlJc w:val="left"/>
      <w:lvlText w:val="%1."/>
      <w:numFmt w:val="decimal"/>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1."/>
      <w:numFmt w:val="lowerLetter"/>
      <w:start w:val="3"/>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
      <w:numFmt w:val="bullet"/>
      <w:start w:val="1"/>
    </w:lvl>
    <w:lvl w:ilvl="1">
      <w:lvlJc w:val="left"/>
      <w:lvlText w:val="(%2)"/>
      <w:numFmt w:val="lowerLetter"/>
      <w:start w:val="1"/>
    </w:lvl>
  </w:abstractNum>
  <w:abstractNum w:abstractNumId="95">
    <w:nsid w:val="51088277"/>
    <w:multiLevelType w:val="hybridMultilevel"/>
    <w:lvl w:ilvl="0">
      <w:lvlJc w:val="left"/>
      <w:lvlText w:val="☐"/>
      <w:numFmt w:val="bullet"/>
      <w:start w:val="1"/>
    </w:lvl>
    <w:lvl w:ilvl="1">
      <w:lvlJc w:val="left"/>
      <w:lvlText w:val="(%2)"/>
      <w:numFmt w:val="lowerLetter"/>
      <w:start w:val="1"/>
    </w:lvl>
  </w:abstractNum>
  <w:abstractNum w:abstractNumId="96">
    <w:nsid w:val="1CA0C5FA"/>
    <w:multiLevelType w:val="hybridMultilevel"/>
    <w:lvl w:ilvl="0">
      <w:lvlJc w:val="left"/>
      <w:lvlText w:val="(%1)"/>
      <w:numFmt w:val="lowerLetter"/>
      <w:start w:val="4"/>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1."/>
      <w:numFmt w:val="decimal"/>
      <w:start w:val="1"/>
    </w:lvl>
  </w:abstractNum>
  <w:abstractNum w:abstractNumId="100">
    <w:nsid w:val="23D86AAC"/>
    <w:multiLevelType w:val="hybridMultilevel"/>
    <w:lvl w:ilvl="0">
      <w:lvlJc w:val="left"/>
      <w:lvlText w:val="%1."/>
      <w:numFmt w:val="decimal"/>
      <w:start w:val="54"/>
    </w:lvl>
  </w:abstractNum>
  <w:abstractNum w:abstractNumId="101">
    <w:nsid w:val="45E6D486"/>
    <w:multiLevelType w:val="hybridMultilevel"/>
    <w:lvl w:ilvl="0">
      <w:lvlJc w:val="left"/>
      <w:lvlText w:val="%1)"/>
      <w:numFmt w:val="decimal"/>
      <w:start w:val="1"/>
    </w:lvl>
  </w:abstractNum>
  <w:abstractNum w:abstractNumId="102">
    <w:nsid w:val="5C10FE21"/>
    <w:multiLevelType w:val="hybridMultilevel"/>
    <w:lvl w:ilvl="0">
      <w:lvlJc w:val="left"/>
      <w:lvlText w:val="%1."/>
      <w:numFmt w:val="decimal"/>
      <w:start w:val="57"/>
    </w:lvl>
  </w:abstractNum>
  <w:abstractNum w:abstractNumId="103">
    <w:nsid w:val="E7FFA2B"/>
    <w:multiLevelType w:val="hybridMultilevel"/>
    <w:lvl w:ilvl="0">
      <w:lvlJc w:val="left"/>
      <w:lvlText w:val="%1."/>
      <w:numFmt w:val="decimal"/>
      <w:start w:val="59"/>
    </w:lvl>
  </w:abstractNum>
  <w:abstractNum w:abstractNumId="104">
    <w:nsid w:val="3C5991AA"/>
    <w:multiLevelType w:val="hybridMultilevel"/>
    <w:lvl w:ilvl="0">
      <w:lvlJc w:val="left"/>
      <w:lvlText w:val="%1."/>
      <w:numFmt w:val="decimal"/>
      <w:start w:val="1"/>
    </w:lvl>
  </w:abstractNum>
  <w:abstractNum w:abstractNumId="105">
    <w:nsid w:val="4BD8591A"/>
    <w:multiLevelType w:val="hybridMultilevel"/>
    <w:lvl w:ilvl="0">
      <w:lvlJc w:val="left"/>
      <w:lvlText w:val="%1."/>
      <w:numFmt w:val="decimal"/>
      <w:start w:val="3"/>
    </w:lvl>
  </w:abstractNum>
  <w:abstractNum w:abstractNumId="106">
    <w:nsid w:val="78DF6A55"/>
    <w:multiLevelType w:val="hybridMultilevel"/>
    <w:lvl w:ilvl="0">
      <w:lvlJc w:val="left"/>
      <w:lvlText w:val="%1."/>
      <w:numFmt w:val="decimal"/>
      <w:start w:val="5"/>
    </w:lvl>
  </w:abstractNum>
  <w:abstractNum w:abstractNumId="107">
    <w:nsid w:val="39B7AAA2"/>
    <w:multiLevelType w:val="hybridMultilevel"/>
    <w:lvl w:ilvl="0">
      <w:lvlJc w:val="left"/>
      <w:lvlText w:val="%1."/>
      <w:numFmt w:val="decimal"/>
      <w:start w:val="1"/>
    </w:lvl>
    <w:lvl w:ilvl="1">
      <w:lvlJc w:val="left"/>
      <w:lvlText w:val="%2."/>
      <w:numFmt w:val="lowerLetter"/>
      <w:start w:val="1"/>
    </w:lvl>
  </w:abstractNum>
  <w:abstractNum w:abstractNumId="108">
    <w:nsid w:val="2B0D8DBE"/>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09">
    <w:nsid w:val="6C80EC70"/>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110">
    <w:nsid w:val="379E21B5"/>
    <w:multiLevelType w:val="hybridMultilevel"/>
    <w:lvl w:ilvl="0">
      <w:lvlJc w:val="left"/>
      <w:lvlText w:val="%1."/>
      <w:numFmt w:val="upperLetter"/>
      <w:start w:val="3"/>
    </w:lvl>
  </w:abstractNum>
  <w:abstractNum w:abstractNumId="111">
    <w:nsid w:val="69E373"/>
    <w:multiLevelType w:val="hybridMultilevel"/>
    <w:lvl w:ilvl="0">
      <w:lvlJc w:val="left"/>
      <w:lvlText w:val="%1."/>
      <w:numFmt w:val="upperLetter"/>
      <w:start w:val="4"/>
    </w:lvl>
  </w:abstractNum>
  <w:abstractNum w:abstractNumId="112">
    <w:nsid w:val="2C27173B"/>
    <w:multiLevelType w:val="hybridMultilevel"/>
    <w:lvl w:ilvl="0">
      <w:lvlJc w:val="left"/>
      <w:lvlText w:val="%1."/>
      <w:numFmt w:val="upperLetter"/>
      <w:start w:val="1"/>
    </w:lvl>
  </w:abstractNum>
  <w:abstractNum w:abstractNumId="113">
    <w:nsid w:val="4C9B0904"/>
    <w:multiLevelType w:val="hybridMultilevel"/>
    <w:lvl w:ilvl="0">
      <w:lvlJc w:val="left"/>
      <w:lvlText w:val="%1."/>
      <w:numFmt w:val="upperLetter"/>
      <w:start w:val="5"/>
    </w:lvl>
  </w:abstractNum>
  <w:abstractNum w:abstractNumId="114">
    <w:nsid w:val="6AA7B75C"/>
    <w:multiLevelType w:val="hybridMultilevel"/>
    <w:lvl w:ilvl="0">
      <w:lvlJc w:val="left"/>
      <w:lvlText w:val="•"/>
      <w:numFmt w:val="bullet"/>
      <w:start w:val="1"/>
    </w:lvl>
  </w:abstractNum>
  <w:abstractNum w:abstractNumId="115">
    <w:nsid w:val="1DF029D3"/>
    <w:multiLevelType w:val="hybridMultilevel"/>
    <w:lvl w:ilvl="0">
      <w:lvlJc w:val="left"/>
      <w:lvlText w:val="%1"/>
      <w:numFmt w:val="decimal"/>
      <w:start w:val="1"/>
    </w:lvl>
    <w:lvl w:ilvl="1">
      <w:lvlJc w:val="left"/>
      <w:lvlText w:val="%2"/>
      <w:numFmt w:val="decimal"/>
      <w:start w:val="1"/>
    </w:lvl>
    <w:lvl w:ilvl="2">
      <w:lvlJc w:val="left"/>
      <w:lvlText w:val="%3."/>
      <w:numFmt w:val="upperLetter"/>
      <w:start w:val="1"/>
    </w:lvl>
    <w:lvl w:ilvl="3">
      <w:lvlJc w:val="left"/>
      <w:lvlText w:val="%4."/>
      <w:numFmt w:val="upperLetter"/>
      <w:start w:val="2"/>
    </w:lvl>
    <w:lvl w:ilvl="4">
      <w:lvlJc w:val="left"/>
      <w:lvlText w:val="%5"/>
      <w:numFmt w:val="upperLetter"/>
      <w:start w:val="1"/>
    </w:lvl>
  </w:abstractNum>
  <w:abstractNum w:abstractNumId="116">
    <w:nsid w:val="5675FF36"/>
    <w:multiLevelType w:val="hybridMultilevel"/>
    <w:lvl w:ilvl="0">
      <w:lvlJc w:val="left"/>
      <w:lvlText w:val="%1."/>
      <w:numFmt w:val="decimal"/>
      <w:start w:val="1"/>
    </w:lvl>
    <w:lvl w:ilvl="1">
      <w:lvlJc w:val="left"/>
      <w:lvlText w:val="(%2)"/>
      <w:numFmt w:val="decimal"/>
      <w:start w:val="10"/>
    </w:lvl>
    <w:lvl w:ilvl="2">
      <w:lvlJc w:val="left"/>
      <w:lvlText w:val="%3"/>
      <w:numFmt w:val="upperLetter"/>
      <w:start w:val="1"/>
    </w:lvl>
    <w:lvl w:ilvl="3">
      <w:lvlJc w:val="left"/>
      <w:lvlText w:val="%4"/>
      <w:numFmt w:val="upperLetter"/>
      <w:start w:val="1"/>
    </w:lvl>
    <w:lvl w:ilvl="4">
      <w:lvlJc w:val="left"/>
      <w:lvlText w:val="%5."/>
      <w:numFmt w:val="upperLetter"/>
      <w:start w:val="7"/>
    </w:lvl>
  </w:abstractNum>
  <w:abstractNum w:abstractNumId="117">
    <w:nsid w:val="3DD15094"/>
    <w:multiLevelType w:val="hybridMultilevel"/>
    <w:lvl w:ilvl="0">
      <w:lvlJc w:val="left"/>
      <w:lvlText w:val="%1"/>
      <w:numFmt w:val="decimal"/>
      <w:start w:val="1"/>
    </w:lvl>
    <w:lvl w:ilvl="1">
      <w:lvlJc w:val="left"/>
      <w:lvlText w:val="%2."/>
      <w:numFmt w:val="lowerLetter"/>
      <w:start w:val="1"/>
    </w:lvl>
  </w:abstractNum>
  <w:abstractNum w:abstractNumId="118">
    <w:nsid w:val="3DB012B3"/>
    <w:multiLevelType w:val="hybridMultilevel"/>
    <w:lvl w:ilvl="0">
      <w:lvlJc w:val="left"/>
      <w:lvlText w:val="%1)"/>
      <w:numFmt w:val="decimal"/>
      <w:start w:val="2"/>
    </w:lvl>
    <w:lvl w:ilvl="1">
      <w:lvlJc w:val="left"/>
      <w:lvlText w:val="%2"/>
      <w:numFmt w:val="lowerLetter"/>
      <w:start w:val="1"/>
    </w:lvl>
  </w:abstractNum>
  <w:abstractNum w:abstractNumId="119">
    <w:nsid w:val="2708C9AF"/>
    <w:multiLevelType w:val="hybridMultilevel"/>
    <w:lvl w:ilvl="0">
      <w:lvlJc w:val="left"/>
      <w:lvlText w:val="%1."/>
      <w:numFmt w:val="decimal"/>
      <w:start w:val="1"/>
    </w:lvl>
    <w:lvl w:ilvl="1">
      <w:lvlJc w:val="left"/>
      <w:lvlText w:val="%2)"/>
      <w:numFmt w:val="lowerLetter"/>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decimal"/>
      <w:start w:val="1"/>
    </w:lvl>
  </w:abstractNum>
  <w:abstractNum w:abstractNumId="122">
    <w:nsid w:val="4F97E3E4"/>
    <w:multiLevelType w:val="hybridMultilevel"/>
    <w:lvl w:ilvl="0">
      <w:lvlJc w:val="left"/>
      <w:lvlText w:val="%1."/>
      <w:numFmt w:val="decimal"/>
      <w:start w:val="2"/>
    </w:lvl>
    <w:lvl w:ilvl="1">
      <w:lvlJc w:val="left"/>
      <w:lvlText w:val="%2"/>
      <w:numFmt w:val="decimal"/>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jpe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jpe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2024-08-05T15:29:28Z</dcterms:created>
  <dcterms:modified xsi:type="dcterms:W3CDTF">2024-08-05T15:29:28Z</dcterms:modified>
</cp:coreProperties>
</file>