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1022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102225"/>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36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Tammenoms Bakker Juliet</w:t>
              </w:r>
            </w:hyperlink>
          </w:p>
        </w:tc>
        <w:tc>
          <w:tcPr>
            <w:tcW w:w="12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RxSight,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RXST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360" w:type="dxa"/>
            <w:vAlign w:val="bottom"/>
            <w:gridSpan w:val="3"/>
            <w:vMerge w:val="continue"/>
          </w:tcPr>
          <w:p>
            <w:pPr>
              <w:spacing w:after="0"/>
              <w:rPr>
                <w:sz w:val="6"/>
                <w:szCs w:val="6"/>
                <w:color w:val="auto"/>
              </w:rPr>
            </w:pPr>
          </w:p>
        </w:tc>
        <w:tc>
          <w:tcPr>
            <w:tcW w:w="12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120" w:type="dxa"/>
            <w:vAlign w:val="bottom"/>
            <w:tcBorders>
              <w:bottom w:val="single" w:sz="8" w:color="0000EE"/>
            </w:tcBorders>
          </w:tcPr>
          <w:p>
            <w:pPr>
              <w:spacing w:after="0"/>
              <w:rPr>
                <w:sz w:val="6"/>
                <w:szCs w:val="6"/>
                <w:color w:val="auto"/>
              </w:rPr>
            </w:pPr>
          </w:p>
        </w:tc>
        <w:tc>
          <w:tcPr>
            <w:tcW w:w="262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2360" w:type="dxa"/>
            <w:vAlign w:val="bottom"/>
            <w:gridSpan w:val="3"/>
            <w:vMerge w:val="continue"/>
          </w:tcPr>
          <w:p>
            <w:pPr>
              <w:spacing w:after="0"/>
              <w:rPr>
                <w:sz w:val="5"/>
                <w:szCs w:val="5"/>
                <w:color w:val="auto"/>
              </w:rPr>
            </w:pPr>
          </w:p>
        </w:tc>
        <w:tc>
          <w:tcPr>
            <w:tcW w:w="12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120" w:type="dxa"/>
            <w:vAlign w:val="bottom"/>
          </w:tcPr>
          <w:p>
            <w:pPr>
              <w:spacing w:after="0"/>
              <w:rPr>
                <w:sz w:val="5"/>
                <w:szCs w:val="5"/>
                <w:color w:val="auto"/>
              </w:rPr>
            </w:pPr>
          </w:p>
        </w:tc>
        <w:tc>
          <w:tcPr>
            <w:tcW w:w="262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1500" w:type="dxa"/>
            <w:vAlign w:val="bottom"/>
            <w:tcBorders>
              <w:top w:val="single" w:sz="8" w:color="0000EE"/>
            </w:tcBorders>
          </w:tcPr>
          <w:p>
            <w:pPr>
              <w:spacing w:after="0"/>
              <w:rPr>
                <w:sz w:val="6"/>
                <w:szCs w:val="6"/>
                <w:color w:val="auto"/>
              </w:rPr>
            </w:pPr>
          </w:p>
        </w:tc>
        <w:tc>
          <w:tcPr>
            <w:tcW w:w="80" w:type="dxa"/>
            <w:vAlign w:val="bottom"/>
          </w:tcPr>
          <w:p>
            <w:pPr>
              <w:spacing w:after="0"/>
              <w:rPr>
                <w:sz w:val="6"/>
                <w:szCs w:val="6"/>
                <w:color w:val="auto"/>
              </w:rPr>
            </w:pPr>
          </w:p>
        </w:tc>
        <w:tc>
          <w:tcPr>
            <w:tcW w:w="12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120" w:type="dxa"/>
            <w:vAlign w:val="bottom"/>
          </w:tcPr>
          <w:p>
            <w:pPr>
              <w:spacing w:after="0"/>
              <w:rPr>
                <w:sz w:val="6"/>
                <w:szCs w:val="6"/>
                <w:color w:val="auto"/>
              </w:rPr>
            </w:pPr>
          </w:p>
        </w:tc>
        <w:tc>
          <w:tcPr>
            <w:tcW w:w="262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62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1500" w:type="dxa"/>
            <w:vAlign w:val="bottom"/>
            <w:tcBorders>
              <w:top w:val="single" w:sz="8" w:color="EEEEEE"/>
            </w:tcBorders>
          </w:tcPr>
          <w:p>
            <w:pPr>
              <w:spacing w:after="0"/>
              <w:rPr>
                <w:sz w:val="2"/>
                <w:szCs w:val="2"/>
                <w:color w:val="auto"/>
              </w:rPr>
            </w:pPr>
          </w:p>
        </w:tc>
        <w:tc>
          <w:tcPr>
            <w:tcW w:w="80" w:type="dxa"/>
            <w:vAlign w:val="bottom"/>
            <w:tcBorders>
              <w:top w:val="single" w:sz="8" w:color="EEEEEE"/>
            </w:tcBorders>
          </w:tcPr>
          <w:p>
            <w:pPr>
              <w:spacing w:after="0"/>
              <w:rPr>
                <w:sz w:val="2"/>
                <w:szCs w:val="2"/>
                <w:color w:val="auto"/>
              </w:rPr>
            </w:pPr>
          </w:p>
        </w:tc>
        <w:tc>
          <w:tcPr>
            <w:tcW w:w="128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58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280" w:type="dxa"/>
            <w:vAlign w:val="bottom"/>
            <w:vMerge w:val="restart"/>
          </w:tcPr>
          <w:p>
            <w:pPr>
              <w:ind w:left="8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580" w:type="dxa"/>
            <w:vAlign w:val="bottom"/>
            <w:gridSpan w:val="2"/>
            <w:vMerge w:val="continue"/>
          </w:tcPr>
          <w:p>
            <w:pPr>
              <w:spacing w:after="0"/>
              <w:rPr>
                <w:sz w:val="8"/>
                <w:szCs w:val="8"/>
                <w:color w:val="auto"/>
              </w:rPr>
            </w:pPr>
          </w:p>
        </w:tc>
        <w:tc>
          <w:tcPr>
            <w:tcW w:w="1280" w:type="dxa"/>
            <w:vAlign w:val="bottom"/>
            <w:vMerge w:val="continue"/>
          </w:tcPr>
          <w:p>
            <w:pPr>
              <w:spacing w:after="0"/>
              <w:rPr>
                <w:sz w:val="8"/>
                <w:szCs w:val="8"/>
                <w:color w:val="auto"/>
              </w:rPr>
            </w:pPr>
          </w:p>
        </w:tc>
        <w:tc>
          <w:tcPr>
            <w:tcW w:w="128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06/17/2026</w:t>
            </w:r>
          </w:p>
        </w:tc>
        <w:tc>
          <w:tcPr>
            <w:tcW w:w="262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236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C/O RXSIGHT, INC.</w:t>
            </w:r>
          </w:p>
        </w:tc>
        <w:tc>
          <w:tcPr>
            <w:tcW w:w="1280" w:type="dxa"/>
            <w:vAlign w:val="bottom"/>
          </w:tcPr>
          <w:p>
            <w:pPr>
              <w:spacing w:after="0"/>
              <w:rPr>
                <w:sz w:val="11"/>
                <w:szCs w:val="11"/>
                <w:color w:val="auto"/>
              </w:rPr>
            </w:pPr>
          </w:p>
        </w:tc>
        <w:tc>
          <w:tcPr>
            <w:tcW w:w="1280" w:type="dxa"/>
            <w:vAlign w:val="bottom"/>
            <w:gridSpan w:val="3"/>
            <w:vMerge w:val="continue"/>
          </w:tcPr>
          <w:p>
            <w:pPr>
              <w:spacing w:after="0"/>
              <w:rPr>
                <w:sz w:val="11"/>
                <w:szCs w:val="11"/>
                <w:color w:val="auto"/>
              </w:rPr>
            </w:pPr>
          </w:p>
        </w:tc>
        <w:tc>
          <w:tcPr>
            <w:tcW w:w="262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2360" w:type="dxa"/>
            <w:vAlign w:val="bottom"/>
            <w:gridSpan w:val="3"/>
            <w:vMerge w:val="continue"/>
          </w:tcPr>
          <w:p>
            <w:pPr>
              <w:spacing w:after="0"/>
              <w:rPr>
                <w:sz w:val="12"/>
                <w:szCs w:val="12"/>
                <w:color w:val="auto"/>
              </w:rPr>
            </w:pPr>
          </w:p>
        </w:tc>
        <w:tc>
          <w:tcPr>
            <w:tcW w:w="1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236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100 COLUMBIA</w:t>
            </w:r>
          </w:p>
        </w:tc>
        <w:tc>
          <w:tcPr>
            <w:tcW w:w="1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120" w:type="dxa"/>
            <w:vAlign w:val="bottom"/>
            <w:tcBorders>
              <w:bottom w:val="single" w:sz="8" w:color="2C2C2C"/>
            </w:tcBorders>
          </w:tcPr>
          <w:p>
            <w:pPr>
              <w:spacing w:after="0"/>
              <w:rPr>
                <w:sz w:val="12"/>
                <w:szCs w:val="12"/>
                <w:color w:val="auto"/>
              </w:rPr>
            </w:pPr>
          </w:p>
        </w:tc>
        <w:tc>
          <w:tcPr>
            <w:tcW w:w="262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360" w:type="dxa"/>
            <w:vAlign w:val="bottom"/>
            <w:gridSpan w:val="3"/>
            <w:vMerge w:val="continue"/>
          </w:tcPr>
          <w:p>
            <w:pPr>
              <w:spacing w:after="0"/>
              <w:rPr>
                <w:sz w:val="9"/>
                <w:szCs w:val="9"/>
                <w:color w:val="auto"/>
              </w:rPr>
            </w:pPr>
          </w:p>
        </w:tc>
        <w:tc>
          <w:tcPr>
            <w:tcW w:w="12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1500" w:type="dxa"/>
            <w:vAlign w:val="bottom"/>
          </w:tcPr>
          <w:p>
            <w:pPr>
              <w:spacing w:after="0"/>
              <w:rPr>
                <w:sz w:val="8"/>
                <w:szCs w:val="8"/>
                <w:color w:val="auto"/>
              </w:rPr>
            </w:pPr>
          </w:p>
        </w:tc>
        <w:tc>
          <w:tcPr>
            <w:tcW w:w="80" w:type="dxa"/>
            <w:vAlign w:val="bottom"/>
          </w:tcPr>
          <w:p>
            <w:pPr>
              <w:spacing w:after="0"/>
              <w:rPr>
                <w:sz w:val="8"/>
                <w:szCs w:val="8"/>
                <w:color w:val="auto"/>
              </w:rPr>
            </w:pPr>
          </w:p>
        </w:tc>
        <w:tc>
          <w:tcPr>
            <w:tcW w:w="12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144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1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0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ALISO VIEJO</w:t>
            </w:r>
          </w:p>
        </w:tc>
        <w:tc>
          <w:tcPr>
            <w:tcW w:w="90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92656</w:t>
            </w:r>
          </w:p>
        </w:tc>
      </w:tr>
      <w:tr>
        <w:trPr>
          <w:trHeight w:val="155"/>
        </w:trPr>
        <w:tc>
          <w:tcPr>
            <w:tcW w:w="4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3"/>
                <w:szCs w:val="13"/>
                <w:color w:val="auto"/>
              </w:rPr>
              <w:t>(City)</w:t>
            </w:r>
          </w:p>
        </w:tc>
        <w:tc>
          <w:tcPr>
            <w:tcW w:w="900" w:type="dxa"/>
            <w:vAlign w:val="bottom"/>
          </w:tcPr>
          <w:p>
            <w:pPr>
              <w:ind w:left="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48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92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80"/>
              <w:spacing w:after="0" w:line="133"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w w:val="99"/>
              </w:rPr>
              <w:t>Disposed Of (D) (Instr. 3, 4 and</w:t>
            </w:r>
          </w:p>
        </w:tc>
        <w:tc>
          <w:tcPr>
            <w:tcW w:w="1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40" w:type="dxa"/>
            <w:vAlign w:val="bottom"/>
            <w:gridSpan w:val="2"/>
          </w:tcPr>
          <w:p>
            <w:pPr>
              <w:ind w:left="4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w w:val="98"/>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920" w:type="dxa"/>
            <w:vAlign w:val="bottom"/>
            <w:gridSpan w:val="4"/>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80" w:type="dxa"/>
            <w:vAlign w:val="bottom"/>
          </w:tcPr>
          <w:p>
            <w:pPr>
              <w:spacing w:after="0"/>
              <w:rPr>
                <w:sz w:val="3"/>
                <w:szCs w:val="3"/>
                <w:color w:val="auto"/>
              </w:rPr>
            </w:pPr>
          </w:p>
        </w:tc>
        <w:tc>
          <w:tcPr>
            <w:tcW w:w="44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9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3"/>
              </w:rPr>
              <w:t>(A) or</w:t>
            </w:r>
          </w:p>
        </w:tc>
        <w:tc>
          <w:tcPr>
            <w:tcW w:w="600" w:type="dxa"/>
            <w:vAlign w:val="bottom"/>
            <w:gridSpan w:val="2"/>
            <w:vMerge w:val="restart"/>
          </w:tcPr>
          <w:p>
            <w:pPr>
              <w:jc w:val="right"/>
              <w:ind w:right="14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4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8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r>
              <w:rPr>
                <w:rFonts w:ascii="Times New Roman" w:cs="Times New Roman" w:eastAsia="Times New Roman" w:hAnsi="Times New Roman"/>
                <w:sz w:val="22"/>
                <w:szCs w:val="22"/>
                <w:color w:val="008000"/>
                <w:vertAlign w:val="superscript"/>
              </w:rPr>
              <w:t>(1)</w:t>
            </w:r>
          </w:p>
        </w:tc>
        <w:tc>
          <w:tcPr>
            <w:tcW w:w="11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ind w:left="580"/>
              <w:spacing w:after="0"/>
              <w:rPr>
                <w:sz w:val="20"/>
                <w:szCs w:val="20"/>
                <w:color w:val="auto"/>
              </w:rPr>
            </w:pPr>
            <w:r>
              <w:rPr>
                <w:rFonts w:ascii="Times New Roman" w:cs="Times New Roman" w:eastAsia="Times New Roman" w:hAnsi="Times New Roman"/>
                <w:sz w:val="17"/>
                <w:szCs w:val="17"/>
                <w:color w:val="0000FF"/>
              </w:rPr>
              <w:t>06/17/2026</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37,037</w:t>
            </w:r>
            <w:r>
              <w:rPr>
                <w:rFonts w:ascii="Times New Roman" w:cs="Times New Roman" w:eastAsia="Times New Roman" w:hAnsi="Times New Roman"/>
                <w:sz w:val="22"/>
                <w:szCs w:val="22"/>
                <w:color w:val="008000"/>
                <w:vertAlign w:val="superscript"/>
              </w:rPr>
              <w:t>(2)</w:t>
            </w:r>
          </w:p>
        </w:tc>
        <w:tc>
          <w:tcPr>
            <w:tcW w:w="44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Borders>
              <w:bottom w:val="single" w:sz="8" w:color="2C2C2C"/>
            </w:tcBorders>
          </w:tcPr>
          <w:p>
            <w:pPr>
              <w:jc w:val="right"/>
              <w:ind w:right="1"/>
              <w:spacing w:after="0"/>
              <w:rPr>
                <w:sz w:val="20"/>
                <w:szCs w:val="20"/>
                <w:color w:val="auto"/>
              </w:rPr>
            </w:pPr>
            <w:r>
              <w:rPr>
                <w:rFonts w:ascii="Times New Roman" w:cs="Times New Roman" w:eastAsia="Times New Roman" w:hAnsi="Times New Roman"/>
                <w:sz w:val="11"/>
                <w:szCs w:val="11"/>
                <w:color w:val="008000"/>
              </w:rPr>
              <w:t>(1)</w:t>
            </w:r>
          </w:p>
        </w:tc>
        <w:tc>
          <w:tcPr>
            <w:tcW w:w="8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jc w:val="right"/>
              <w:ind w:right="320"/>
              <w:spacing w:after="0"/>
              <w:rPr>
                <w:sz w:val="20"/>
                <w:szCs w:val="20"/>
                <w:color w:val="auto"/>
              </w:rPr>
            </w:pPr>
            <w:r>
              <w:rPr>
                <w:rFonts w:ascii="Times New Roman" w:cs="Times New Roman" w:eastAsia="Times New Roman" w:hAnsi="Times New Roman"/>
                <w:sz w:val="17"/>
                <w:szCs w:val="17"/>
                <w:color w:val="0000FF"/>
              </w:rPr>
              <w:t>85,183</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300" w:type="dxa"/>
            <w:vAlign w:val="bottom"/>
            <w:gridSpan w:val="3"/>
            <w:vMerge w:val="restart"/>
          </w:tcPr>
          <w:p>
            <w:pPr>
              <w:jc w:val="right"/>
              <w:ind w:right="380"/>
              <w:spacing w:after="0"/>
              <w:rPr>
                <w:sz w:val="20"/>
                <w:szCs w:val="20"/>
                <w:color w:val="auto"/>
              </w:rPr>
            </w:pPr>
            <w:r>
              <w:rPr>
                <w:rFonts w:ascii="Times New Roman" w:cs="Times New Roman" w:eastAsia="Times New Roman" w:hAnsi="Times New Roman"/>
                <w:sz w:val="17"/>
                <w:szCs w:val="17"/>
                <w:color w:val="0000FF"/>
              </w:rPr>
              <w:t>1,548</w:t>
            </w:r>
          </w:p>
        </w:tc>
        <w:tc>
          <w:tcPr>
            <w:tcW w:w="280" w:type="dxa"/>
            <w:vAlign w:val="bottom"/>
          </w:tcPr>
          <w:p>
            <w:pPr>
              <w:spacing w:after="0"/>
              <w:rPr>
                <w:sz w:val="21"/>
                <w:szCs w:val="21"/>
                <w:color w:val="auto"/>
              </w:rPr>
            </w:pPr>
          </w:p>
        </w:tc>
        <w:tc>
          <w:tcPr>
            <w:tcW w:w="64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1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00" w:type="dxa"/>
            <w:vAlign w:val="bottom"/>
            <w:gridSpan w:val="3"/>
            <w:vMerge w:val="continue"/>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vMerge w:val="continue"/>
          </w:tcPr>
          <w:p>
            <w:pPr>
              <w:spacing w:after="0"/>
              <w:rPr>
                <w:sz w:val="10"/>
                <w:szCs w:val="10"/>
                <w:color w:val="auto"/>
              </w:rPr>
            </w:pPr>
          </w:p>
        </w:tc>
        <w:tc>
          <w:tcPr>
            <w:tcW w:w="92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(3)</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420" w:type="dxa"/>
            <w:vAlign w:val="bottom"/>
            <w:tcBorders>
              <w:bottom w:val="single" w:sz="8" w:color="2C2C2C"/>
            </w:tcBorders>
          </w:tcPr>
          <w:p>
            <w:pPr>
              <w:spacing w:after="0"/>
              <w:rPr>
                <w:sz w:val="18"/>
                <w:szCs w:val="18"/>
                <w:color w:val="auto"/>
              </w:rPr>
            </w:pPr>
          </w:p>
        </w:tc>
        <w:tc>
          <w:tcPr>
            <w:tcW w:w="420" w:type="dxa"/>
            <w:vAlign w:val="bottom"/>
            <w:tcBorders>
              <w:bottom w:val="single" w:sz="8" w:color="2C2C2C"/>
            </w:tcBorders>
          </w:tcPr>
          <w:p>
            <w:pPr>
              <w:spacing w:after="0"/>
              <w:rPr>
                <w:sz w:val="18"/>
                <w:szCs w:val="18"/>
                <w:color w:val="auto"/>
              </w:rPr>
            </w:pPr>
          </w:p>
        </w:tc>
        <w:tc>
          <w:tcPr>
            <w:tcW w:w="70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78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52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600" w:type="dxa"/>
            <w:vAlign w:val="bottom"/>
            <w:tcBorders>
              <w:bottom w:val="single" w:sz="8" w:color="2C2C2C"/>
            </w:tcBorders>
          </w:tcPr>
          <w:p>
            <w:pPr>
              <w:spacing w:after="0"/>
              <w:rPr>
                <w:sz w:val="18"/>
                <w:szCs w:val="18"/>
                <w:color w:val="auto"/>
              </w:rPr>
            </w:pPr>
          </w:p>
        </w:tc>
        <w:tc>
          <w:tcPr>
            <w:tcW w:w="600" w:type="dxa"/>
            <w:vAlign w:val="bottom"/>
            <w:tcBorders>
              <w:bottom w:val="single" w:sz="8" w:color="2C2C2C"/>
            </w:tcBorders>
          </w:tcPr>
          <w:p>
            <w:pPr>
              <w:spacing w:after="0"/>
              <w:rPr>
                <w:sz w:val="18"/>
                <w:szCs w:val="18"/>
                <w:color w:val="auto"/>
              </w:rPr>
            </w:pPr>
          </w:p>
        </w:tc>
        <w:tc>
          <w:tcPr>
            <w:tcW w:w="280" w:type="dxa"/>
            <w:vAlign w:val="bottom"/>
            <w:tcBorders>
              <w:bottom w:val="single" w:sz="8" w:color="2C2C2C"/>
            </w:tcBorders>
          </w:tcPr>
          <w:p>
            <w:pPr>
              <w:spacing w:after="0"/>
              <w:rPr>
                <w:sz w:val="18"/>
                <w:szCs w:val="18"/>
                <w:color w:val="auto"/>
              </w:rPr>
            </w:pPr>
          </w:p>
        </w:tc>
        <w:tc>
          <w:tcPr>
            <w:tcW w:w="640" w:type="dxa"/>
            <w:vAlign w:val="bottom"/>
            <w:tcBorders>
              <w:bottom w:val="single" w:sz="8" w:color="2C2C2C"/>
            </w:tcBorders>
          </w:tcPr>
          <w:p>
            <w:pPr>
              <w:spacing w:after="0"/>
              <w:rPr>
                <w:sz w:val="18"/>
                <w:szCs w:val="18"/>
                <w:color w:val="auto"/>
              </w:rPr>
            </w:pPr>
          </w:p>
        </w:tc>
        <w:tc>
          <w:tcPr>
            <w:tcW w:w="920" w:type="dxa"/>
            <w:vAlign w:val="bottom"/>
            <w:tcBorders>
              <w:bottom w:val="single" w:sz="8" w:color="2C2C2C"/>
            </w:tcBorders>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700" w:type="dxa"/>
            <w:vAlign w:val="bottom"/>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3"/>
          </w:tcPr>
          <w:p>
            <w:pPr>
              <w:ind w:left="40"/>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40" w:type="dxa"/>
            <w:vAlign w:val="bottom"/>
          </w:tcPr>
          <w:p>
            <w:pPr>
              <w:ind w:left="100"/>
              <w:spacing w:after="0"/>
              <w:rPr>
                <w:sz w:val="20"/>
                <w:szCs w:val="20"/>
                <w:color w:val="auto"/>
              </w:rPr>
            </w:pPr>
            <w:r>
              <w:rPr>
                <w:rFonts w:ascii="Arial" w:cs="Arial" w:eastAsia="Arial" w:hAnsi="Arial"/>
                <w:sz w:val="12"/>
                <w:szCs w:val="12"/>
                <w:b w:val="1"/>
                <w:bCs w:val="1"/>
                <w:color w:val="auto"/>
              </w:rPr>
              <w:t>10.</w:t>
            </w:r>
          </w:p>
        </w:tc>
        <w:tc>
          <w:tcPr>
            <w:tcW w:w="14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Expiration Date</w:t>
            </w:r>
          </w:p>
        </w:tc>
        <w:tc>
          <w:tcPr>
            <w:tcW w:w="10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7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0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Form:</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6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6"/>
              </w:rPr>
              <w:t>Direct (D)</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7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("RSU") represents a contingent right to receive one share of RxSight, Inc. Common Stock.</w:t>
      </w:r>
    </w:p>
    <w:p>
      <w:pPr>
        <w:spacing w:after="0" w:line="50" w:lineRule="exact"/>
        <w:rPr>
          <w:rFonts w:ascii="Times New Roman" w:cs="Times New Roman" w:eastAsia="Times New Roman" w:hAnsi="Times New Roman"/>
          <w:sz w:val="13"/>
          <w:szCs w:val="13"/>
          <w:color w:val="008000"/>
        </w:rPr>
      </w:pPr>
    </w:p>
    <w:p>
      <w:pPr>
        <w:ind w:left="40" w:right="28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Subject to the Reporting Person's continuing as an Outside Director (as defined in the Issuer's 2021 Equity Incentive Plan) through such applicable vesting date, one hundred percent (100%) of the RSUs subject to the award shall vest on the earlier of (i) the one (1) year anniversary of the Date of Grant or (ii) the date of the next annual meeting of stockholders following the Date of Grant. "Date of Grant" shall mean June 17, 2026.</w:t>
      </w:r>
    </w:p>
    <w:p>
      <w:pPr>
        <w:spacing w:after="0" w:line="20" w:lineRule="exact"/>
        <w:rPr>
          <w:rFonts w:ascii="Times New Roman" w:cs="Times New Roman" w:eastAsia="Times New Roman" w:hAnsi="Times New Roman"/>
          <w:sz w:val="13"/>
          <w:szCs w:val="13"/>
          <w:color w:val="008000"/>
        </w:rPr>
      </w:pPr>
    </w:p>
    <w:p>
      <w:pPr>
        <w:ind w:left="40" w:right="24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securities are held by a trust. The Reporting Person, a member of the Issuer's board of directors, is the Investment Trustee of such trust and may be deemed to share voting, investment and dispositive power with respect to such securities. The Reporting Person disclaims beneficial ownership over such securities except to the extent of her pecuniary interest therein, and the inclusion of such securities in this report shall not be deemed an admission of beneficial ownership of the reported securities for purposes of Section 16 or for any other purpose.</w:t>
      </w:r>
    </w:p>
    <w:p>
      <w:pPr>
        <w:spacing w:after="0" w:line="1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color w:val="008000"/>
        </w:rPr>
        <w:t>Exhibit 24 - Power of Attorney</w:t>
      </w:r>
    </w:p>
    <w:p>
      <w:pPr>
        <w:ind w:left="6580"/>
        <w:spacing w:after="0" w:line="189" w:lineRule="auto"/>
        <w:rPr>
          <w:sz w:val="20"/>
          <w:szCs w:val="20"/>
          <w:color w:val="auto"/>
        </w:rPr>
      </w:pPr>
      <w:r>
        <w:rPr>
          <w:rFonts w:ascii="Times New Roman" w:cs="Times New Roman" w:eastAsia="Times New Roman" w:hAnsi="Times New Roman"/>
          <w:sz w:val="17"/>
          <w:szCs w:val="17"/>
          <w:color w:val="0000FF"/>
        </w:rPr>
        <w:t xml:space="preserve">/s/ Jim Schindler, as Attorney- </w:t>
      </w:r>
      <w:r>
        <w:rPr>
          <w:rFonts w:ascii="Times New Roman" w:cs="Times New Roman" w:eastAsia="Times New Roman" w:hAnsi="Times New Roman"/>
          <w:sz w:val="34"/>
          <w:szCs w:val="34"/>
          <w:color w:val="0000FF"/>
          <w:vertAlign w:val="subscript"/>
        </w:rPr>
        <w:t>06/18/2026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-27940</wp:posOffset>
            </wp:positionV>
            <wp:extent cx="133667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3667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31178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311785"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9" w:right="359" w:bottom="1440" w:gutter="0" w:footer="0" w:header="0"/>
          <w:type w:val="continuous"/>
        </w:sectPr>
      </w:pPr>
    </w:p>
    <w:bookmarkStart w:id="1" w:name="page2"/>
    <w:bookmarkEnd w:id="1"/>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POWER OF ATTORNEY</w:t>
      </w:r>
    </w:p>
    <w:p>
      <w:pPr>
        <w:spacing w:after="0" w:line="312" w:lineRule="exact"/>
        <w:rPr>
          <w:sz w:val="20"/>
          <w:szCs w:val="20"/>
          <w:color w:val="auto"/>
        </w:rPr>
      </w:pPr>
    </w:p>
    <w:p>
      <w:pPr>
        <w:jc w:val="both"/>
        <w:ind w:firstLine="731"/>
        <w:spacing w:after="0"/>
        <w:rPr>
          <w:sz w:val="20"/>
          <w:szCs w:val="20"/>
          <w:color w:val="auto"/>
        </w:rPr>
      </w:pPr>
      <w:r>
        <w:rPr>
          <w:rFonts w:ascii="Times New Roman" w:cs="Times New Roman" w:eastAsia="Times New Roman" w:hAnsi="Times New Roman"/>
          <w:sz w:val="19"/>
          <w:szCs w:val="19"/>
          <w:color w:val="auto"/>
        </w:rPr>
        <w:t>Know all by these presents, that the undersigned hereby constitutes and appoints each of Ron Kurtz, Mark Wilterding, Jim Schindler, Glebb Popov, Martin J. Waters, Robert L. Wernli, Jr., Bridget Balisy and Trevor Dorne, or either of them acting singly, and with full power of substitution and re-substitution, the undersigned’s true and lawful attorney-in-fact (each of such persons and their substitutes being referred to herein as the "Attorney-in-Fact"), with full power to act for the undersigned and in the undersigned's name, place and stead, in any and all capacities, to:</w:t>
      </w:r>
    </w:p>
    <w:p>
      <w:pPr>
        <w:spacing w:after="0" w:line="147" w:lineRule="exact"/>
        <w:rPr>
          <w:sz w:val="20"/>
          <w:szCs w:val="20"/>
          <w:color w:val="auto"/>
        </w:rPr>
      </w:pPr>
    </w:p>
    <w:p>
      <w:pPr>
        <w:jc w:val="both"/>
        <w:ind w:firstLine="738"/>
        <w:spacing w:after="0" w:line="257" w:lineRule="auto"/>
        <w:tabs>
          <w:tab w:leader="none" w:pos="99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Prepare, execute and submit to the Securities and Exchange Commission ("SEC"), RxSight, Inc. (the “Company”), and/or any national securities exchange on which the Company’s securities are listed any and all reports (including any amendments thereto) the undersigned is required to file with the SEC, or which the Attorney-in-Fact considers it advisable to file with the SEC, under Section 13 or Section 16 of the Securities Exchange Act of 1934 (the "Exchange Act") or any rule or regulation thereunder, or under Rule 144 under the Securities Act of 1933 (“Rule 144”), with respect to any security of the Company, including Forms 3, 4 and 5, Schedules 13D and 13G, and Forms 144; and</w:t>
      </w:r>
    </w:p>
    <w:p>
      <w:pPr>
        <w:spacing w:after="0" w:line="117" w:lineRule="exact"/>
        <w:rPr>
          <w:rFonts w:ascii="Times New Roman" w:cs="Times New Roman" w:eastAsia="Times New Roman" w:hAnsi="Times New Roman"/>
          <w:sz w:val="18"/>
          <w:szCs w:val="18"/>
          <w:color w:val="auto"/>
        </w:rPr>
      </w:pPr>
    </w:p>
    <w:p>
      <w:pPr>
        <w:jc w:val="both"/>
        <w:ind w:firstLine="738"/>
        <w:spacing w:after="0" w:line="247" w:lineRule="auto"/>
        <w:tabs>
          <w:tab w:leader="none" w:pos="994" w:val="left"/>
        </w:tabs>
        <w:numPr>
          <w:ilvl w:val="0"/>
          <w:numId w:val="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Obtain, as the undersigned's representative and on the undersigned's behalf, information regarding transactions in the Company's equity securities from any third party, including the Company and any brokers, dealers, employee benefit plan administrators and trustees, and the undersigned hereby authorizes any such third party to release any such information to the Attorney-in-Fact.</w:t>
      </w:r>
    </w:p>
    <w:p>
      <w:pPr>
        <w:spacing w:after="0" w:line="138"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9"/>
          <w:szCs w:val="19"/>
          <w:color w:val="auto"/>
        </w:rPr>
        <w:t>The undersigned acknowledges that:</w:t>
      </w:r>
    </w:p>
    <w:p>
      <w:pPr>
        <w:spacing w:after="0" w:line="168" w:lineRule="exact"/>
        <w:rPr>
          <w:sz w:val="20"/>
          <w:szCs w:val="20"/>
          <w:color w:val="auto"/>
        </w:rPr>
      </w:pPr>
    </w:p>
    <w:p>
      <w:pPr>
        <w:ind w:right="20" w:firstLine="738"/>
        <w:spacing w:after="0" w:line="260" w:lineRule="auto"/>
        <w:tabs>
          <w:tab w:leader="none" w:pos="994" w:val="left"/>
        </w:tabs>
        <w:numPr>
          <w:ilvl w:val="0"/>
          <w:numId w:val="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This Power of Attorney authorizes, but does not require, the Attorney-in-Fact to act in his or her discretion on information provided to such Attorney-in-Fact without independent verification of such information;</w:t>
      </w:r>
    </w:p>
    <w:p>
      <w:pPr>
        <w:spacing w:after="0" w:line="126" w:lineRule="exact"/>
        <w:rPr>
          <w:rFonts w:ascii="Times New Roman" w:cs="Times New Roman" w:eastAsia="Times New Roman" w:hAnsi="Times New Roman"/>
          <w:sz w:val="19"/>
          <w:szCs w:val="19"/>
          <w:color w:val="auto"/>
        </w:rPr>
      </w:pPr>
    </w:p>
    <w:p>
      <w:pPr>
        <w:ind w:right="20" w:firstLine="738"/>
        <w:spacing w:after="0" w:line="260" w:lineRule="auto"/>
        <w:tabs>
          <w:tab w:leader="none" w:pos="994" w:val="left"/>
        </w:tabs>
        <w:numPr>
          <w:ilvl w:val="0"/>
          <w:numId w:val="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documents prepared or executed by the Attorney-in-Fact on behalf of the undersigned pursuant to this Power of Attorney will be in such form and will contain such information as the Attorney-in-Fact, in his or her discretion, deems necessary or desirable;</w:t>
      </w:r>
    </w:p>
    <w:p>
      <w:pPr>
        <w:spacing w:after="0" w:line="112" w:lineRule="exact"/>
        <w:rPr>
          <w:rFonts w:ascii="Times New Roman" w:cs="Times New Roman" w:eastAsia="Times New Roman" w:hAnsi="Times New Roman"/>
          <w:sz w:val="19"/>
          <w:szCs w:val="19"/>
          <w:color w:val="auto"/>
        </w:rPr>
      </w:pPr>
    </w:p>
    <w:p>
      <w:pPr>
        <w:jc w:val="both"/>
        <w:ind w:right="20" w:firstLine="738"/>
        <w:spacing w:after="0" w:line="247" w:lineRule="auto"/>
        <w:tabs>
          <w:tab w:leader="none" w:pos="994" w:val="left"/>
        </w:tabs>
        <w:numPr>
          <w:ilvl w:val="0"/>
          <w:numId w:val="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Neither the Company nor the Attorney-in-Fact assumes any liability for the undersigned's responsibility to comply with the requirements of Section 13 or Section 16 of the Exchange Act or Rule 144, any liability of the undersigned for any failure to comply with such requirements, or any liability of the undersigned for disgorgement of profits under Section 16(b) of the Exchange Act; and</w:t>
      </w:r>
    </w:p>
    <w:p>
      <w:pPr>
        <w:spacing w:after="0" w:line="138" w:lineRule="exact"/>
        <w:rPr>
          <w:rFonts w:ascii="Times New Roman" w:cs="Times New Roman" w:eastAsia="Times New Roman" w:hAnsi="Times New Roman"/>
          <w:sz w:val="19"/>
          <w:szCs w:val="19"/>
          <w:color w:val="auto"/>
        </w:rPr>
      </w:pPr>
    </w:p>
    <w:p>
      <w:pPr>
        <w:jc w:val="both"/>
        <w:ind w:right="20" w:firstLine="738"/>
        <w:spacing w:after="0" w:line="247" w:lineRule="auto"/>
        <w:tabs>
          <w:tab w:leader="none" w:pos="994" w:val="left"/>
        </w:tabs>
        <w:numPr>
          <w:ilvl w:val="0"/>
          <w:numId w:val="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This Power of Attorney does not relieve the undersigned from responsibility for compliance with the undersigned's obligations under Section 13 or Section 16 of the Exchange Act, including, without limitation, the reporting requirements under Section 13 or Section 16 of the Exchange Act.</w:t>
      </w:r>
    </w:p>
    <w:p>
      <w:pPr>
        <w:spacing w:after="0" w:line="138" w:lineRule="exact"/>
        <w:rPr>
          <w:sz w:val="20"/>
          <w:szCs w:val="20"/>
          <w:color w:val="auto"/>
        </w:rPr>
      </w:pPr>
    </w:p>
    <w:p>
      <w:pPr>
        <w:jc w:val="both"/>
        <w:ind w:firstLine="731"/>
        <w:spacing w:after="0" w:line="242" w:lineRule="auto"/>
        <w:rPr>
          <w:sz w:val="20"/>
          <w:szCs w:val="20"/>
          <w:color w:val="auto"/>
        </w:rPr>
      </w:pPr>
      <w:r>
        <w:rPr>
          <w:rFonts w:ascii="Times New Roman" w:cs="Times New Roman" w:eastAsia="Times New Roman" w:hAnsi="Times New Roman"/>
          <w:sz w:val="19"/>
          <w:szCs w:val="19"/>
          <w:color w:val="auto"/>
        </w:rPr>
        <w:t>The undersigned hereby grants to the Attorney-in-Fact full power and authority to do and perform each and every act and thing requisite, necessary or advisable to be done in connection with the foregoing, as fully, to all intents and purposes, as the undersigned might or could do in person, hereby ratifying and confirming all that the Attorney-in-Fact, or his or her substitute or substitutes, shall lawfully do or cause to be done by authority of this Power of Attorney.</w:t>
      </w:r>
    </w:p>
    <w:p>
      <w:pPr>
        <w:spacing w:after="0" w:line="145" w:lineRule="exact"/>
        <w:rPr>
          <w:sz w:val="20"/>
          <w:szCs w:val="20"/>
          <w:color w:val="auto"/>
        </w:rPr>
      </w:pPr>
    </w:p>
    <w:p>
      <w:pPr>
        <w:jc w:val="both"/>
        <w:ind w:right="20" w:firstLine="731"/>
        <w:spacing w:after="0" w:line="242" w:lineRule="auto"/>
        <w:rPr>
          <w:sz w:val="20"/>
          <w:szCs w:val="20"/>
          <w:color w:val="auto"/>
        </w:rPr>
      </w:pPr>
      <w:r>
        <w:rPr>
          <w:rFonts w:ascii="Times New Roman" w:cs="Times New Roman" w:eastAsia="Times New Roman" w:hAnsi="Times New Roman"/>
          <w:sz w:val="19"/>
          <w:szCs w:val="19"/>
          <w:color w:val="auto"/>
        </w:rPr>
        <w:t>This Power of Attorney shall remain in full force and effect until the undersigned is no longer required to file Forms 4 or 5 or Schedules 13D or 13G or Forms 144 with respect to the undersigned's holdings of and transactions in securities of the Company, unless earlier revoked by the undersigned in a signed writing delivered to the Attorney-in-Fact. This Power of Attorney revokes all previous powers of attorney with respect to the subject matter of this Power of 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916940</wp:posOffset>
            </wp:positionV>
            <wp:extent cx="698944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6989445" cy="42545"/>
                    </a:xfrm>
                    <a:prstGeom prst="rect">
                      <a:avLst/>
                    </a:prstGeom>
                    <a:noFill/>
                  </pic:spPr>
                </pic:pic>
              </a:graphicData>
            </a:graphic>
          </wp:anchor>
        </w:drawing>
      </w:r>
    </w:p>
    <w:p>
      <w:pPr>
        <w:sectPr>
          <w:pgSz w:w="11900" w:h="16838" w:orient="portrait"/>
          <w:cols w:equalWidth="0" w:num="1">
            <w:col w:w="10980"/>
          </w:cols>
          <w:pgMar w:left="460" w:top="1440" w:right="459" w:bottom="1440" w:gutter="0" w:footer="0" w:header="0"/>
        </w:sectPr>
      </w:pPr>
    </w:p>
    <w:bookmarkStart w:id="2" w:name="page3"/>
    <w:bookmarkEnd w:id="2"/>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WITNESS WHEREOF, the undersigned has caused this Power of Attorney to be executed on February 25, 2026.</w:t>
      </w:r>
    </w:p>
    <w:p>
      <w:pPr>
        <w:sectPr>
          <w:pgSz w:w="11900" w:h="16838" w:orient="portrait"/>
          <w:cols w:equalWidth="0" w:num="1">
            <w:col w:w="9339"/>
          </w:cols>
          <w:pgMar w:left="1120" w:top="1440" w:right="1440" w:bottom="1440" w:gutter="0" w:footer="0" w:header="0"/>
        </w:sectPr>
      </w:pPr>
    </w:p>
    <w:p>
      <w:pPr>
        <w:spacing w:after="0" w:line="200" w:lineRule="exact"/>
        <w:rPr>
          <w:sz w:val="20"/>
          <w:szCs w:val="20"/>
          <w:color w:val="auto"/>
        </w:rPr>
      </w:pPr>
    </w:p>
    <w:p>
      <w:pPr>
        <w:spacing w:after="0" w:line="273"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color w:val="auto"/>
        </w:rPr>
        <w:t>Signature: /s/ Juliet Bakker</w:t>
      </w:r>
    </w:p>
    <w:p>
      <w:pPr>
        <w:spacing w:after="0" w:line="179"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color w:val="auto"/>
        </w:rPr>
        <w:t>Print: Name: Juliet Bakker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-426720</wp:posOffset>
            </wp:positionH>
            <wp:positionV relativeFrom="paragraph">
              <wp:posOffset>2512695</wp:posOffset>
            </wp:positionV>
            <wp:extent cx="698944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extLst>
                    </a:blip>
                    <a:srcRect/>
                    <a:stretch>
                      <a:fillRect/>
                    </a:stretch>
                  </pic:blipFill>
                  <pic:spPr bwMode="auto">
                    <a:xfrm>
                      <a:off x="0" y="0"/>
                      <a:ext cx="6989445" cy="42545"/>
                    </a:xfrm>
                    <a:prstGeom prst="rect">
                      <a:avLst/>
                    </a:prstGeom>
                    <a:noFill/>
                  </pic:spPr>
                </pic:pic>
              </a:graphicData>
            </a:graphic>
          </wp:anchor>
        </w:drawing>
      </w:r>
    </w:p>
    <w:sectPr>
      <w:pgSz w:w="11900" w:h="16838" w:orient="portrait"/>
      <w:cols w:equalWidth="0" w:num="1">
        <w:col w:w="9339"/>
      </w:cols>
      <w:pgMar w:left="1120" w:top="1440"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20" Type="http://schemas.openxmlformats.org/officeDocument/2006/relationships/image" Target="media/image11.png"/><Relationship Id="rId13" Type="http://schemas.openxmlformats.org/officeDocument/2006/relationships/hyperlink" Target="http://www.sec.gov/cgi-bin/browse-edgar?action=getcompany&amp;CIK=0001431159" TargetMode="External"/><Relationship Id="rId14" Type="http://schemas.openxmlformats.org/officeDocument/2006/relationships/hyperlink" Target="http://www.sec.gov/cgi-bin/browse-edgar?action=getcompany&amp;CIK=000111148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2026-06-18T15:13:38Z</dcterms:created>
  <dcterms:modified xsi:type="dcterms:W3CDTF">2026-06-18T15:13:38Z</dcterms:modified>
</cp:coreProperties>
</file>