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xst-20240930.htm"/>
      <w:bookmarkStart w:id="1" w:name="ksrxst20240930"/>
      <w:bookmarkEnd w:id="0"/>
      <w:bookmarkEnd w:id="1"/>
      <w:r>
        <w:rPr/>
        <w:t> </w:t>
      </w:r>
    </w:p>
    <w:p>
      <w:pPr>
        <w:pStyle w:val="TextBody"/>
        <w:pBdr>
          <w:top w:val="double" w:sz="6" w:space="1" w:color="000000"/>
        </w:pBdr>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001-40690</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RxSIGHT,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94-3268801</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vAlign w:val="center"/>
          </w:tcPr>
          <w:p>
            <w:pPr>
              <w:pStyle w:val="TableContents"/>
              <w:bidi w:val="0"/>
              <w:spacing w:before="120" w:after="15"/>
              <w:jc w:val="center"/>
              <w:rPr>
                <w:rFonts w:ascii="Times New Roman" w:hAnsi="Times New Roman"/>
                <w:b/>
                <w:color w:val="000000"/>
                <w:sz w:val="16"/>
              </w:rPr>
            </w:pPr>
            <w:r>
              <w:rPr>
                <w:rFonts w:ascii="Times New Roman" w:hAnsi="Times New Roman"/>
                <w:b/>
                <w:color w:val="000000"/>
                <w:sz w:val="16"/>
              </w:rPr>
              <w:t>100 Columbia</w:t>
            </w:r>
          </w:p>
          <w:p>
            <w:pPr>
              <w:pStyle w:val="TableContents"/>
              <w:bidi w:val="0"/>
              <w:spacing w:before="0" w:after="283"/>
              <w:jc w:val="center"/>
              <w:rPr>
                <w:rFonts w:ascii="Times New Roman" w:hAnsi="Times New Roman"/>
                <w:sz w:val="16"/>
              </w:rPr>
            </w:pPr>
            <w:r>
              <w:rPr>
                <w:rFonts w:ascii="Times New Roman" w:hAnsi="Times New Roman"/>
                <w:b/>
                <w:color w:val="000000"/>
                <w:sz w:val="16"/>
              </w:rPr>
              <w:t>Aliso Viejo, CA</w:t>
            </w:r>
            <w:r>
              <w:rPr>
                <w:rFonts w:ascii="Times New Roman" w:hAnsi="Times New Roman"/>
                <w:color w:val="000000"/>
                <w:sz w:val="16"/>
              </w:rPr>
              <w:t xml:space="preserve"> </w:t>
            </w:r>
          </w:p>
        </w:tc>
        <w:tc>
          <w:tcPr>
            <w:tcW w:w="1486" w:type="dxa"/>
            <w:tcBorders/>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92656</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(949) 521-7830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Common Stock, par value $0.001 per share</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RXST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8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October 30, 2024, the registrant had 40,304,465</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both"/>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both"/>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INFORMATION</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s">
              <w:r>
                <w:rPr>
                  <w:rStyle w:val="InternetLink"/>
                  <w:rFonts w:ascii="Times New Roman" w:hAnsi="Times New Roman"/>
                  <w:color w:val="0000FF"/>
                  <w:sz w:val="20"/>
                  <w:u w:val="single"/>
                </w:rPr>
                <w:t>Financial Statements (Unaudited)</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Consolidated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Consolidated Statements of Operations and Comprehensive Loss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000FF"/>
                  <w:sz w:val="20"/>
                  <w:u w:val="single"/>
                </w:rPr>
                <w:t>Condensed Consolidated Statements of Equity</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Consolidated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Unaudited Condensed Consolidated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bookmarkStart w:id="2" w:name="toc_page"/>
              <w:bookmarkEnd w:id="2"/>
              <w:r>
                <w:rPr>
                  <w:rStyle w:val="InternetLink"/>
                  <w:rFonts w:ascii="Times New Roman" w:hAnsi="Times New Roman"/>
                  <w:color w:val="0000FF"/>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defaults">
              <w:r>
                <w:rPr>
                  <w:rStyle w:val="InternetLink"/>
                  <w:rFonts w:ascii="Times New Roman" w:hAnsi="Times New Roman"/>
                  <w:color w:val="0000FF"/>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otherinformation">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and analysis should be read together with our condensed consolidated financial statements and the condensed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Forward-looking statements include, but are not limited to, statements concerning the following: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capital resources to fund our future operating expenses and capital expenditure requirements, including our expectation that we do not anticipate the need to raise additional capital or incur additional debt in order to reach profit from operations, as disclosed in the Company’s future Annual Reports on Form 10-K or Quarterly Reports on Form 10-Q as filed with the Securities and Exchange Commission (“SEC”), provided that we may opportunistically seek to raise capital under advantageous circumstances from time to time in order to support the expansion of our sales and operations in the U.S. and internationally and to pursue other business opportunities;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acceptance and use of our products by doctors;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our business into new geographic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growth of our business and our organization;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intentions regarding investment in our business as we pursue growth;</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expected timelines related to our products, or developing new products, to address additional indications or otherwise;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and expand regulatory clearances for our products and any new products we create;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uses of our existing resources;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government and third-party payer coverage and reimbursement;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personnel, including the continued development of a sales and marketing infrastructure;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 adequate supply of materials and components for our products from our third-party suppliers, including single and sole source suppliers;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sufficient quantities of our products with appropriate quality;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and enforce intellectual property protection for our products and protect our intellectual property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conduct further clinical trials and any expectations related to the timing or outcomes of such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applicable SEC rules and Nasdaq continued listing requirements;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existing and future government laws, rules and regulations both in the United States and internationally;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allocation of resources toward expenses associated with being a public company;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our expenses, ongoing losses, future revenue, capital requirements and our need for, or ability to obtain, additional financing;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the trading price of our common stock;</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develop new and planned products and/or acquire new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and projections relating to our competitors or our industry, including anticipated growth rates for the conventional and premium intraocular lens (“IOL”)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local, regional, national or political conditions and events;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worldwide political and economic conditions and unknown future events on our business, financial condition and 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INDUSTRY, BUSINESS AND MARKET DATA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TRADEMARKS, SERVICE MARKS AND TRADE NAMES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2"/>
        </w:rPr>
      </w:pPr>
      <w:bookmarkStart w:id="3" w:name="item_1_fs"/>
      <w:bookmarkEnd w:id="3"/>
      <w:r>
        <w:rPr>
          <w:rFonts w:ascii="Times New Roman" w:hAnsi="Times New Roman"/>
          <w:b/>
          <w:color w:val="000000"/>
          <w:sz w:val="22"/>
        </w:rPr>
        <w:t>Item 1: Financial Statements (Unaudited)</w:t>
      </w:r>
    </w:p>
    <w:p>
      <w:pPr>
        <w:pStyle w:val="TextBody"/>
        <w:bidi w:val="0"/>
        <w:jc w:val="center"/>
        <w:rPr>
          <w:rFonts w:ascii="Times New Roman" w:hAnsi="Times New Roman"/>
          <w:sz w:val="20"/>
        </w:rPr>
      </w:pPr>
      <w:r>
        <w:rPr>
          <w:rFonts w:ascii="Times New Roman" w:hAnsi="Times New Roman"/>
          <w:b/>
          <w:color w:val="000000"/>
          <w:sz w:val="20"/>
        </w:rPr>
        <w:t>RxSIGHT,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CONSOLIDATED BALANCE SHEETS</w:t>
      </w:r>
    </w:p>
    <w:p>
      <w:pPr>
        <w:pStyle w:val="TextBody"/>
        <w:pBdr>
          <w:bottom w:val="single" w:sz="12" w:space="1" w:color="000000"/>
        </w:pBdr>
        <w:bidi w:val="0"/>
        <w:jc w:val="center"/>
        <w:rPr>
          <w:rFonts w:ascii="Times New Roman" w:hAnsi="Times New Roman"/>
          <w:color w:val="000000"/>
          <w:sz w:val="22"/>
        </w:rPr>
      </w:pPr>
      <w:r>
        <w:rPr>
          <w:rFonts w:ascii="Times New Roman" w:hAnsi="Times New Roman"/>
          <w:color w:val="000000"/>
          <w:sz w:val="22"/>
        </w:rPr>
        <w:t>(In thousands, except share and per share amounts)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5436"/>
        <w:gridCol w:w="146"/>
        <w:gridCol w:w="236"/>
        <w:gridCol w:w="904"/>
        <w:gridCol w:w="166"/>
        <w:gridCol w:w="146"/>
        <w:gridCol w:w="226"/>
        <w:gridCol w:w="869"/>
        <w:gridCol w:w="611"/>
      </w:tblGrid>
      <w:tr>
        <w:trPr/>
        <w:tc>
          <w:tcPr>
            <w:tcW w:w="5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vAlign w:val="center"/>
          </w:tcPr>
          <w:p>
            <w:pPr>
              <w:pStyle w:val="TableContents"/>
              <w:bidi w:val="0"/>
              <w:spacing w:before="0" w:after="283"/>
              <w:jc w:val="center"/>
              <w:rPr/>
            </w:pPr>
            <w:r>
              <w:rPr/>
              <w:t> </w:t>
            </w:r>
          </w:p>
        </w:tc>
      </w:tr>
      <w:tr>
        <w:trPr/>
        <w:tc>
          <w:tcPr>
            <w:tcW w:w="5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543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4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117,490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Inventories, net</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and other current assets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168,407</w:t>
            </w:r>
          </w:p>
        </w:tc>
        <w:tc>
          <w:tcPr>
            <w:tcW w:w="611" w:type="dxa"/>
            <w:tcBorders/>
            <w:shd w:fill="FFFFFF" w:val="clear"/>
            <w:vAlign w:val="center"/>
          </w:tcPr>
          <w:p>
            <w:pPr>
              <w:pStyle w:val="TableContents"/>
              <w:bidi w:val="0"/>
              <w:spacing w:before="0" w:after="283"/>
              <w:jc w:val="left"/>
              <w:rPr/>
            </w:pPr>
            <w:r>
              <w:rPr/>
              <w:t> </w:t>
            </w:r>
          </w:p>
        </w:tc>
      </w:tr>
      <w:tr>
        <w:trPr/>
        <w:tc>
          <w:tcPr>
            <w:tcW w:w="54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10,841</w:t>
            </w:r>
          </w:p>
        </w:tc>
        <w:tc>
          <w:tcPr>
            <w:tcW w:w="611" w:type="dxa"/>
            <w:tcBorders/>
            <w:shd w:fill="CFF0FC" w:val="clear"/>
            <w:vAlign w:val="center"/>
          </w:tcPr>
          <w:p>
            <w:pPr>
              <w:pStyle w:val="TableContents"/>
              <w:bidi w:val="0"/>
              <w:spacing w:before="0" w:after="283"/>
              <w:jc w:val="left"/>
              <w:rPr/>
            </w:pPr>
            <w:r>
              <w:rPr/>
              <w:t> </w:t>
            </w:r>
          </w:p>
        </w:tc>
      </w:tr>
      <w:tr>
        <w:trPr/>
        <w:tc>
          <w:tcPr>
            <w:tcW w:w="54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leases right-of-use assets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w:t>
            </w:r>
          </w:p>
        </w:tc>
        <w:tc>
          <w:tcPr>
            <w:tcW w:w="611" w:type="dxa"/>
            <w:tcBorders/>
            <w:shd w:fill="FFFFFF" w:val="clear"/>
            <w:vAlign w:val="center"/>
          </w:tcPr>
          <w:p>
            <w:pPr>
              <w:pStyle w:val="TableContents"/>
              <w:bidi w:val="0"/>
              <w:spacing w:before="0" w:after="283"/>
              <w:jc w:val="left"/>
              <w:rPr/>
            </w:pPr>
            <w:r>
              <w:rPr/>
              <w:t> </w:t>
            </w:r>
          </w:p>
        </w:tc>
      </w:tr>
      <w:tr>
        <w:trPr/>
        <w:tc>
          <w:tcPr>
            <w:tcW w:w="54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611" w:type="dxa"/>
            <w:tcBorders/>
            <w:shd w:fill="CFF0FC" w:val="clear"/>
            <w:vAlign w:val="center"/>
          </w:tcPr>
          <w:p>
            <w:pPr>
              <w:pStyle w:val="TableContents"/>
              <w:bidi w:val="0"/>
              <w:spacing w:before="0" w:after="283"/>
              <w:jc w:val="left"/>
              <w:rPr/>
            </w:pPr>
            <w:r>
              <w:rPr/>
              <w:t> </w:t>
            </w:r>
          </w:p>
        </w:tc>
      </w:tr>
      <w:tr>
        <w:trPr/>
        <w:tc>
          <w:tcPr>
            <w:tcW w:w="54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43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4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20,903</w:t>
            </w:r>
          </w:p>
        </w:tc>
        <w:tc>
          <w:tcPr>
            <w:tcW w:w="611" w:type="dxa"/>
            <w:tcBorders/>
            <w:shd w:fill="FFFFFF" w:val="clear"/>
            <w:vAlign w:val="center"/>
          </w:tcPr>
          <w:p>
            <w:pPr>
              <w:pStyle w:val="TableContents"/>
              <w:bidi w:val="0"/>
              <w:spacing w:before="0" w:after="283"/>
              <w:jc w:val="left"/>
              <w:rPr/>
            </w:pPr>
            <w:r>
              <w:rPr/>
              <w:t> </w:t>
            </w:r>
          </w:p>
        </w:tc>
      </w:tr>
      <w:tr>
        <w:trPr/>
        <w:tc>
          <w:tcPr>
            <w:tcW w:w="54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lease liabilities</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w:t>
            </w:r>
          </w:p>
        </w:tc>
        <w:tc>
          <w:tcPr>
            <w:tcW w:w="611" w:type="dxa"/>
            <w:tcBorders/>
            <w:shd w:fill="CFF0FC" w:val="clear"/>
            <w:vAlign w:val="center"/>
          </w:tcPr>
          <w:p>
            <w:pPr>
              <w:pStyle w:val="TableContents"/>
              <w:bidi w:val="0"/>
              <w:spacing w:before="0" w:after="283"/>
              <w:jc w:val="left"/>
              <w:rPr/>
            </w:pPr>
            <w:r>
              <w:rPr/>
              <w:t> </w:t>
            </w:r>
          </w:p>
        </w:tc>
      </w:tr>
      <w:tr>
        <w:trPr/>
        <w:tc>
          <w:tcPr>
            <w:tcW w:w="54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4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3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900,000,000</w:t>
            </w:r>
            <w:r>
              <w:rPr>
                <w:rFonts w:ascii="Times New Roman" w:hAnsi="Times New Roman"/>
                <w:color w:val="000000"/>
                <w:sz w:val="20"/>
              </w:rPr>
              <w:t> </w:t>
            </w:r>
            <w:r>
              <w:rPr>
                <w:rFonts w:ascii="Times New Roman" w:hAnsi="Times New Roman"/>
                <w:color w:val="000000"/>
                <w:sz w:val="16"/>
              </w:rPr>
              <w:t>shares authorized,</w:t>
              <w:br/>
              <w:t>  40,254,105</w:t>
            </w:r>
            <w:r>
              <w:rPr>
                <w:rFonts w:ascii="Times New Roman" w:hAnsi="Times New Roman"/>
                <w:color w:val="000000"/>
                <w:sz w:val="20"/>
              </w:rPr>
              <w:t> </w:t>
            </w:r>
            <w:r>
              <w:rPr>
                <w:rFonts w:ascii="Times New Roman" w:hAnsi="Times New Roman"/>
                <w:color w:val="000000"/>
                <w:sz w:val="16"/>
              </w:rPr>
              <w:t>shares issued and outstanding as of September 30, 2024 and</w:t>
              <w:br/>
              <w:t>  36,139,513</w:t>
            </w:r>
            <w:r>
              <w:rPr>
                <w:rFonts w:ascii="Times New Roman" w:hAnsi="Times New Roman"/>
                <w:color w:val="000000"/>
                <w:sz w:val="20"/>
              </w:rPr>
              <w:t> </w:t>
            </w:r>
            <w:r>
              <w:rPr>
                <w:rFonts w:ascii="Times New Roman" w:hAnsi="Times New Roman"/>
                <w:color w:val="000000"/>
                <w:sz w:val="16"/>
              </w:rPr>
              <w:t>shares issued and outstanding as of December 31, 2023</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3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Preferred stock, $0.001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w:t>
              <w:br/>
              <w:t> no</w:t>
            </w:r>
            <w:r>
              <w:rPr>
                <w:rFonts w:ascii="Times New Roman" w:hAnsi="Times New Roman"/>
                <w:color w:val="000000"/>
                <w:sz w:val="20"/>
              </w:rPr>
              <w:t> </w:t>
            </w:r>
            <w:r>
              <w:rPr>
                <w:rFonts w:ascii="Times New Roman" w:hAnsi="Times New Roman"/>
                <w:color w:val="000000"/>
                <w:sz w:val="16"/>
              </w:rPr>
              <w:t>shares issued and outstanding</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892,857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754,971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other comprehensive income (loss)</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(594,640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43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LOSS (UNAUDITED)</w:t>
      </w:r>
    </w:p>
    <w:p>
      <w:pPr>
        <w:pStyle w:val="TextBody"/>
        <w:pBdr>
          <w:bottom w:val="single" w:sz="12" w:space="1" w:color="000000"/>
        </w:pBdr>
        <w:bidi w:val="0"/>
        <w:jc w:val="center"/>
        <w:rPr>
          <w:rFonts w:ascii="Times New Roman" w:hAnsi="Times New Roman"/>
          <w:color w:val="000000"/>
          <w:sz w:val="22"/>
        </w:rPr>
      </w:pPr>
      <w:r>
        <w:rPr>
          <w:rFonts w:ascii="Times New Roman" w:hAnsi="Times New Roman"/>
          <w:color w:val="000000"/>
          <w:sz w:val="22"/>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78"/>
        <w:gridCol w:w="746"/>
        <w:gridCol w:w="201"/>
        <w:gridCol w:w="944"/>
        <w:gridCol w:w="170"/>
        <w:gridCol w:w="150"/>
        <w:gridCol w:w="201"/>
        <w:gridCol w:w="944"/>
        <w:gridCol w:w="166"/>
        <w:gridCol w:w="146"/>
        <w:gridCol w:w="198"/>
        <w:gridCol w:w="926"/>
        <w:gridCol w:w="167"/>
        <w:gridCol w:w="147"/>
        <w:gridCol w:w="198"/>
        <w:gridCol w:w="926"/>
        <w:gridCol w:w="797"/>
      </w:tblGrid>
      <w:tr>
        <w:trPr/>
        <w:tc>
          <w:tcPr>
            <w:tcW w:w="317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4" w:type="dxa"/>
            <w:gridSpan w:val="2"/>
            <w:tcBorders/>
            <w:shd w:fill="FFFFFF" w:val="cle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center"/>
              <w:rPr/>
            </w:pPr>
            <w:r>
              <w:rPr/>
              <w:t> </w:t>
            </w:r>
          </w:p>
        </w:tc>
        <w:tc>
          <w:tcPr>
            <w:tcW w:w="797" w:type="dxa"/>
            <w:tcBorders/>
            <w:shd w:fill="FFFFFF" w:val="clear"/>
            <w:vAlign w:val="center"/>
          </w:tcPr>
          <w:p>
            <w:pPr>
              <w:pStyle w:val="TableContents"/>
              <w:bidi w:val="0"/>
              <w:spacing w:before="0" w:after="283"/>
              <w:jc w:val="center"/>
              <w:rPr/>
            </w:pPr>
            <w:r>
              <w:rPr/>
              <w:t> </w:t>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200"/>
              <w:jc w:val="left"/>
              <w:rPr/>
            </w:pPr>
            <w:r>
              <w:rPr/>
              <w:t> </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35,314</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99,713</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60,497</w:t>
            </w:r>
          </w:p>
        </w:tc>
        <w:tc>
          <w:tcPr>
            <w:tcW w:w="797" w:type="dxa"/>
            <w:tcBorders/>
            <w:shd w:fill="CFF0FC" w:val="cle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sales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24,386</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Gross profit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70,155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36,111</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expenses: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400"/>
              <w:jc w:val="left"/>
              <w:rPr/>
            </w:pPr>
            <w:r>
              <w:rPr/>
              <w:t> </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Selling, general and administrative</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25,608</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73,225</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53,634</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Research and development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25,160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21,710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78" w:type="dxa"/>
            <w:tcBorders/>
            <w:shd w:fill="CFF0FC"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operating expenses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34,446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98,385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75,344</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78"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Loss from operations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(9,226</w:t>
            </w:r>
          </w:p>
        </w:tc>
        <w:tc>
          <w:tcPr>
            <w:tcW w:w="1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(28,230</w:t>
            </w:r>
          </w:p>
        </w:tc>
        <w:tc>
          <w:tcPr>
            <w:tcW w:w="1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(39,233</w:t>
            </w:r>
          </w:p>
        </w:tc>
        <w:tc>
          <w:tcPr>
            <w:tcW w:w="797"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expense</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w:t>
            </w:r>
          </w:p>
        </w:tc>
        <w:tc>
          <w:tcPr>
            <w:tcW w:w="797"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and other income</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2,906</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6,767</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4,913</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extinguishment of term loan</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before income taxes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(6,325</w:t>
            </w:r>
          </w:p>
        </w:tc>
        <w:tc>
          <w:tcPr>
            <w:tcW w:w="1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(21,479</w:t>
            </w:r>
          </w:p>
        </w:tc>
        <w:tc>
          <w:tcPr>
            <w:tcW w:w="1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(39,393</w:t>
            </w:r>
          </w:p>
        </w:tc>
        <w:tc>
          <w:tcPr>
            <w:tcW w:w="797"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expense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8"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600"/>
              <w:jc w:val="left"/>
              <w:rPr/>
            </w:pPr>
            <w:r>
              <w:rPr/>
              <w:t> </w:t>
            </w:r>
          </w:p>
        </w:tc>
      </w:tr>
      <w:tr>
        <w:trPr/>
        <w:tc>
          <w:tcPr>
            <w:tcW w:w="3178"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loss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(21,517</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(39,431</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income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Unrealized gain on short-term investments</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797" w:type="dxa"/>
            <w:tcBorders/>
            <w:shd w:fill="FFFFFF" w:val="clear"/>
            <w:vAlign w:val="center"/>
          </w:tcPr>
          <w:p>
            <w:pPr>
              <w:pStyle w:val="TableContents"/>
              <w:bidi w:val="0"/>
              <w:spacing w:before="0" w:after="283"/>
              <w:ind w:left="0" w:right="0" w:firstLine="400"/>
              <w:jc w:val="left"/>
              <w:rPr/>
            </w:pPr>
            <w:r>
              <w:rPr/>
              <w:t> </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Foreign currency translation gain (loss)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other comprehensive income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8"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Comprehensive loss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(5,699</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(20,991</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(39,396</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per share: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400"/>
              <w:jc w:val="left"/>
              <w:rPr/>
            </w:pPr>
            <w:r>
              <w:rPr/>
              <w:t> </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Basic &amp; diluted</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w:t>
            </w:r>
          </w:p>
        </w:tc>
        <w:tc>
          <w:tcPr>
            <w:tcW w:w="1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797"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Weighted-average shares used in computing net loss per share: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200"/>
              <w:jc w:val="left"/>
              <w:rPr/>
            </w:pPr>
            <w:r>
              <w:rPr/>
              <w:t> </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Attributable to common stock, basic &amp; diluted</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39,788,621</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35,662,397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38,367,759</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33,947,331</w:t>
            </w:r>
          </w:p>
        </w:tc>
        <w:tc>
          <w:tcPr>
            <w:tcW w:w="797"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jc w:val="center"/>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RxSIGHT, INC.</w:t>
      </w:r>
    </w:p>
    <w:p>
      <w:pPr>
        <w:pStyle w:val="TextBody"/>
        <w:bidi w:val="0"/>
        <w:jc w:val="center"/>
        <w:rPr>
          <w:rFonts w:ascii="Times New Roman" w:hAnsi="Times New Roman"/>
          <w:b/>
          <w:color w:val="000000"/>
          <w:sz w:val="16"/>
        </w:rPr>
      </w:pPr>
      <w:bookmarkStart w:id="6" w:name="equity"/>
      <w:bookmarkEnd w:id="6"/>
      <w:r>
        <w:rPr>
          <w:rFonts w:ascii="Times New Roman" w:hAnsi="Times New Roman"/>
          <w:b/>
          <w:color w:val="000000"/>
          <w:sz w:val="16"/>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16"/>
        </w:rPr>
        <w:t>(UNAUDITED)</w:t>
      </w:r>
      <w:r>
        <w:rPr>
          <w:rFonts w:ascii="Times New Roman" w:hAnsi="Times New Roman"/>
          <w:color w:val="000000"/>
          <w:sz w:val="20"/>
        </w:rPr>
        <w:t xml:space="preserve"> </w:t>
      </w:r>
    </w:p>
    <w:p>
      <w:pPr>
        <w:pStyle w:val="TextBody"/>
        <w:pBdr>
          <w:bottom w:val="single" w:sz="12" w:space="1" w:color="000000"/>
        </w:pBdr>
        <w:bidi w:val="0"/>
        <w:jc w:val="center"/>
        <w:rPr>
          <w:rFonts w:ascii="Times New Roman" w:hAnsi="Times New Roman"/>
          <w:color w:val="000000"/>
          <w:sz w:val="16"/>
        </w:rPr>
      </w:pPr>
      <w:r>
        <w:rPr>
          <w:rFonts w:ascii="Times New Roman" w:hAnsi="Times New Roman"/>
          <w:color w:val="000000"/>
          <w:sz w:val="16"/>
        </w:rPr>
        <w:t>(In thousands, except number of shares)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29"/>
        <w:gridCol w:w="146"/>
        <w:gridCol w:w="146"/>
        <w:gridCol w:w="916"/>
        <w:gridCol w:w="166"/>
        <w:gridCol w:w="146"/>
        <w:gridCol w:w="271"/>
        <w:gridCol w:w="480"/>
        <w:gridCol w:w="146"/>
        <w:gridCol w:w="146"/>
        <w:gridCol w:w="221"/>
        <w:gridCol w:w="785"/>
        <w:gridCol w:w="166"/>
        <w:gridCol w:w="146"/>
        <w:gridCol w:w="471"/>
        <w:gridCol w:w="816"/>
        <w:gridCol w:w="166"/>
        <w:gridCol w:w="146"/>
        <w:gridCol w:w="233"/>
        <w:gridCol w:w="893"/>
        <w:gridCol w:w="166"/>
        <w:gridCol w:w="146"/>
        <w:gridCol w:w="251"/>
        <w:gridCol w:w="892"/>
        <w:gridCol w:w="215"/>
      </w:tblGrid>
      <w:tr>
        <w:trPr/>
        <w:tc>
          <w:tcPr>
            <w:tcW w:w="1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1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5" w:type="dxa"/>
            <w:tcBorders/>
            <w:shd w:fill="FFFFFF" w:val="clear"/>
            <w:vAlign w:val="center"/>
          </w:tcPr>
          <w:p>
            <w:pPr>
              <w:pStyle w:val="TableContents"/>
              <w:bidi w:val="0"/>
              <w:spacing w:before="0" w:after="283"/>
              <w:jc w:val="center"/>
              <w:rPr/>
            </w:pPr>
            <w:r>
              <w:rPr/>
              <w:t> </w:t>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36,139,513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(594,640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160,362</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1,061,336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10,153</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redeemed for employee tax withholdings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(39,096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4,696</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short-term investments </w:t>
              <w:br/>
              <w:t> and cash equivalents,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(9,100</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37,161,753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767,685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(603,740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163,929</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3,103</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6,105</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public offering, net of underwriting discounts, commissions and offering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2,053,571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107,477</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short-term investments </w:t>
              <w:br/>
              <w:t> and cash equivalents,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39,617,334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275,207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683,489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3,835</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redeemed for employee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(46,718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6,552</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gain on short-term investments </w:t>
              <w:br/>
              <w:t> and cash equivalents,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(6,338</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40,254,105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892,857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(616,157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277,261</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RxSIGHT,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16"/>
        </w:rPr>
        <w:t>CONDENSED CONSOLIDATED STATEMENTS OF STOCKHOLDERS’ EQUITY</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16"/>
        </w:rPr>
      </w:pPr>
      <w:r>
        <w:rPr>
          <w:rFonts w:ascii="Times New Roman" w:hAnsi="Times New Roman"/>
          <w:b/>
          <w:caps/>
          <w:color w:val="000000"/>
          <w:sz w:val="16"/>
        </w:rPr>
        <w:t>(UNAUDITED)</w:t>
      </w:r>
    </w:p>
    <w:p>
      <w:pPr>
        <w:pStyle w:val="TextBody"/>
        <w:pBdr>
          <w:bottom w:val="single" w:sz="12" w:space="1" w:color="000000"/>
        </w:pBdr>
        <w:bidi w:val="0"/>
        <w:jc w:val="center"/>
        <w:rPr>
          <w:rFonts w:ascii="Times New Roman" w:hAnsi="Times New Roman"/>
          <w:color w:val="000000"/>
          <w:sz w:val="16"/>
        </w:rPr>
      </w:pPr>
      <w:r>
        <w:rPr>
          <w:rFonts w:ascii="Times New Roman" w:hAnsi="Times New Roman"/>
          <w:color w:val="000000"/>
          <w:sz w:val="16"/>
        </w:rPr>
        <w:t>(In thousands, except number of shares)</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29"/>
        <w:gridCol w:w="146"/>
        <w:gridCol w:w="146"/>
        <w:gridCol w:w="916"/>
        <w:gridCol w:w="166"/>
        <w:gridCol w:w="146"/>
        <w:gridCol w:w="271"/>
        <w:gridCol w:w="480"/>
        <w:gridCol w:w="146"/>
        <w:gridCol w:w="146"/>
        <w:gridCol w:w="221"/>
        <w:gridCol w:w="785"/>
        <w:gridCol w:w="166"/>
        <w:gridCol w:w="146"/>
        <w:gridCol w:w="532"/>
        <w:gridCol w:w="755"/>
        <w:gridCol w:w="166"/>
        <w:gridCol w:w="146"/>
        <w:gridCol w:w="233"/>
        <w:gridCol w:w="893"/>
        <w:gridCol w:w="166"/>
        <w:gridCol w:w="146"/>
        <w:gridCol w:w="251"/>
        <w:gridCol w:w="892"/>
        <w:gridCol w:w="215"/>
      </w:tblGrid>
      <w:tr>
        <w:trPr/>
        <w:tc>
          <w:tcPr>
            <w:tcW w:w="1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1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5" w:type="dxa"/>
            <w:tcBorders/>
            <w:shd w:fill="FFFFFF" w:val="clear"/>
            <w:vAlign w:val="center"/>
          </w:tcPr>
          <w:p>
            <w:pPr>
              <w:pStyle w:val="TableContents"/>
              <w:bidi w:val="0"/>
              <w:spacing w:before="0" w:after="283"/>
              <w:jc w:val="center"/>
              <w:rPr/>
            </w:pPr>
            <w:r>
              <w:rPr/>
              <w:t> </w:t>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28,268,389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(546,032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89,902</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243,598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redeemed for employee tax withholdings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3,295</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public offering, net of underwriting discounts, commissions and offering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53,600</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for at-the-market offerings, </w:t>
              <w:br/>
              <w:t>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10,914</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gain on short-term investments </w:t>
              <w:br/>
              <w:t> and cash equivalents,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(13,212</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33,966,697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704,228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(559,244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145,009</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2,599</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for at-the-market offerings, </w:t>
              <w:br/>
              <w:t>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18,957</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short-term investments </w:t>
              <w:br/>
              <w:t> and cash equivalents,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35,168,041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157,188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redeemed for employee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(37,366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4,071</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for at-the-market offerings, </w:t>
              <w:br/>
              <w:t>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11,712</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gain on short-term investments </w:t>
              <w:br/>
              <w:t> and cash equivalents,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(12,415</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35,847,685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746,966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(585,463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161,479</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RxSIGHT, INC.</w:t>
      </w:r>
      <w:r>
        <w:rPr>
          <w:rFonts w:ascii="Times New Roman" w:hAnsi="Times New Roman"/>
          <w:color w:val="000000"/>
          <w:sz w:val="20"/>
        </w:rPr>
        <w:t xml:space="preserve"> </w:t>
      </w:r>
    </w:p>
    <w:p>
      <w:pPr>
        <w:pStyle w:val="TextBody"/>
        <w:bidi w:val="0"/>
        <w:jc w:val="center"/>
        <w:rPr>
          <w:rFonts w:ascii="Times New Roman" w:hAnsi="Times New Roman"/>
          <w:b/>
          <w:caps/>
          <w:color w:val="000000"/>
          <w:sz w:val="21"/>
        </w:rPr>
      </w:pPr>
      <w:bookmarkStart w:id="7" w:name="condensed_statements_cash_flows"/>
      <w:bookmarkEnd w:id="7"/>
      <w:r>
        <w:rPr>
          <w:rFonts w:ascii="Times New Roman" w:hAnsi="Times New Roman"/>
          <w:b/>
          <w:caps/>
          <w:color w:val="000000"/>
          <w:sz w:val="21"/>
        </w:rPr>
        <w:t>CONDENSED CONSOLIDATED STATEMENTS OF CASH FLOWS</w:t>
      </w:r>
    </w:p>
    <w:p>
      <w:pPr>
        <w:pStyle w:val="TextBody"/>
        <w:bidi w:val="0"/>
        <w:jc w:val="center"/>
        <w:rPr>
          <w:rFonts w:ascii="Times New Roman" w:hAnsi="Times New Roman"/>
          <w:b/>
          <w:caps/>
          <w:color w:val="000000"/>
          <w:sz w:val="21"/>
        </w:rPr>
      </w:pPr>
      <w:r>
        <w:rPr>
          <w:rFonts w:ascii="Times New Roman" w:hAnsi="Times New Roman"/>
          <w:b/>
          <w:caps/>
          <w:color w:val="000000"/>
          <w:sz w:val="21"/>
        </w:rPr>
        <w:t>(UNAUDITED)</w:t>
      </w:r>
    </w:p>
    <w:p>
      <w:pPr>
        <w:pStyle w:val="TextBody"/>
        <w:pBdr>
          <w:bottom w:val="single" w:sz="12" w:space="1" w:color="000000"/>
        </w:pBdr>
        <w:bidi w:val="0"/>
        <w:jc w:val="center"/>
        <w:rPr>
          <w:rFonts w:ascii="Times New Roman" w:hAnsi="Times New Roman"/>
          <w:b/>
          <w:color w:val="000000"/>
          <w:sz w:val="21"/>
        </w:rPr>
      </w:pPr>
      <w:r>
        <w:rPr>
          <w:rFonts w:ascii="Times New Roman" w:hAnsi="Times New Roman"/>
          <w:b/>
          <w:color w:val="000000"/>
          <w:sz w:val="21"/>
        </w:rPr>
        <w:t>(In thousands)</w:t>
      </w:r>
    </w:p>
    <w:p>
      <w:pPr>
        <w:pStyle w:val="TextBody"/>
        <w:bidi w:val="0"/>
        <w:jc w:val="left"/>
        <w:rPr/>
      </w:pPr>
      <w:r>
        <w:rPr/>
        <w:t> </w:t>
      </w:r>
    </w:p>
    <w:tbl>
      <w:tblPr>
        <w:tblW w:w="9315" w:type="dxa"/>
        <w:jc w:val="left"/>
        <w:tblInd w:w="0" w:type="dxa"/>
        <w:tblLayout w:type="fixed"/>
        <w:tblCellMar>
          <w:top w:w="28" w:type="dxa"/>
          <w:left w:w="28" w:type="dxa"/>
          <w:bottom w:w="28" w:type="dxa"/>
          <w:right w:w="28" w:type="dxa"/>
        </w:tblCellMar>
      </w:tblPr>
      <w:tblGrid>
        <w:gridCol w:w="5781"/>
        <w:gridCol w:w="146"/>
        <w:gridCol w:w="240"/>
        <w:gridCol w:w="859"/>
        <w:gridCol w:w="200"/>
        <w:gridCol w:w="194"/>
        <w:gridCol w:w="240"/>
        <w:gridCol w:w="859"/>
        <w:gridCol w:w="796"/>
      </w:tblGrid>
      <w:tr>
        <w:trPr/>
        <w:tc>
          <w:tcPr>
            <w:tcW w:w="5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5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6" w:type="dxa"/>
            <w:tcBorders/>
            <w:shd w:fill="FFFFFF" w:val="clear"/>
            <w:vAlign w:val="center"/>
          </w:tcPr>
          <w:p>
            <w:pPr>
              <w:pStyle w:val="TableContents"/>
              <w:bidi w:val="0"/>
              <w:spacing w:before="0" w:after="283"/>
              <w:jc w:val="center"/>
              <w:rPr/>
            </w:pPr>
            <w:r>
              <w:rPr/>
              <w:t> </w:t>
            </w:r>
          </w:p>
        </w:tc>
      </w:tr>
      <w:tr>
        <w:trPr/>
        <w:tc>
          <w:tcPr>
            <w:tcW w:w="5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(21,517</w:t>
            </w:r>
          </w:p>
        </w:tc>
        <w:tc>
          <w:tcPr>
            <w:tcW w:w="200"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(39,431</w:t>
            </w:r>
          </w:p>
        </w:tc>
        <w:tc>
          <w:tcPr>
            <w:tcW w:w="7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3,060</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3,027</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Provision for bad debts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Amortization of right-of-use lease assets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Amortization of debt issuance costs and premium</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1,769</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Amortization of discount on short-term investments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(6,349</w:t>
            </w:r>
          </w:p>
        </w:tc>
        <w:tc>
          <w:tcPr>
            <w:tcW w:w="200"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(4,545</w:t>
            </w:r>
          </w:p>
        </w:tc>
        <w:tc>
          <w:tcPr>
            <w:tcW w:w="7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17,353</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11,321</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Provision for excess and obsolete inventory</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Change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Accounts receivable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(5,121</w:t>
            </w:r>
          </w:p>
        </w:tc>
        <w:tc>
          <w:tcPr>
            <w:tcW w:w="200"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(4,288</w:t>
            </w:r>
          </w:p>
        </w:tc>
        <w:tc>
          <w:tcPr>
            <w:tcW w:w="796" w:type="dxa"/>
            <w:tcBorders/>
            <w:shd w:fill="FFFFFF"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Inventories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(4,585</w:t>
            </w:r>
          </w:p>
        </w:tc>
        <w:tc>
          <w:tcPr>
            <w:tcW w:w="200"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(4,101</w:t>
            </w:r>
          </w:p>
        </w:tc>
        <w:tc>
          <w:tcPr>
            <w:tcW w:w="796" w:type="dxa"/>
            <w:tcBorders/>
            <w:shd w:fill="CFF0FC"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Prepaid and other assets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850</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830</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1,408</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(12,686</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(33,292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Investing Activities: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(4,593</w:t>
            </w:r>
          </w:p>
        </w:tc>
        <w:tc>
          <w:tcPr>
            <w:tcW w:w="200"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(3,223</w:t>
            </w:r>
          </w:p>
        </w:tc>
        <w:tc>
          <w:tcPr>
            <w:tcW w:w="7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Maturity of short-term investments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188,000</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205,000</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short-term investments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(284,038</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(228,472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(100,631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(26,695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Financing Activities:</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term loan</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Repayment of term loan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(60,000</w:t>
            </w:r>
          </w:p>
        </w:tc>
        <w:tc>
          <w:tcPr>
            <w:tcW w:w="7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from public offering</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108,100</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54,050</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from at-the-market offerings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42,433</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17,828</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5,890</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for employee taxes related to stock compensation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(4,768</w:t>
            </w:r>
          </w:p>
        </w:tc>
        <w:tc>
          <w:tcPr>
            <w:tcW w:w="200"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(1,421</w:t>
            </w:r>
          </w:p>
        </w:tc>
        <w:tc>
          <w:tcPr>
            <w:tcW w:w="7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Principal payments on finance lease liabilities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200"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w:t>
            </w:r>
          </w:p>
        </w:tc>
        <w:tc>
          <w:tcPr>
            <w:tcW w:w="7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of deferred offering costs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w:t>
            </w:r>
          </w:p>
        </w:tc>
        <w:tc>
          <w:tcPr>
            <w:tcW w:w="200"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(647</w:t>
            </w:r>
          </w:p>
        </w:tc>
        <w:tc>
          <w:tcPr>
            <w:tcW w:w="7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of debt issuance costs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(2,224</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120,343</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57,962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Effect of foreign exchange rate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7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7,029</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w:t>
            </w:r>
          </w:p>
        </w:tc>
        <w:tc>
          <w:tcPr>
            <w:tcW w:w="7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cash equivalents and restricted cash - beginning of period</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12,595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cash equivalents and restricted cash - end of period</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17,431</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10,569</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Operating cash flows from operating leases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1,633</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1,666</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income taxes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interest on financing leases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interest on term loan</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3,464</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Right-of-use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Operating lease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9,060</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Finance lease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Lease obligations recorded for right-of-use assets:</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Operating lease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9,060</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Finance lease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 xml:space="preserve">Acquisition of property and equipment included in accounts payable and accrued expenses </w:t>
              <w:br/>
              <w:t>  and other current liabilities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Deferred offering and financing costs included in accounts payable and accrued liabilities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Reclassification of deferred financing costs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1,300</w:t>
            </w:r>
          </w:p>
        </w:tc>
        <w:tc>
          <w:tcPr>
            <w:tcW w:w="796"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bookmarkStart w:id="8" w:name="notes_to_condensed_financial_statements"/>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Organization and Basis of Presentation</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Description of Business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RxSight®, Inc. (the “Company”) is a Delaware corporation headquartered in Aliso Viejo, California with one wholly owned subsidiary located in Amsterdam, Netherlands (“RxSight, B.V.”). RxSight, B.V.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Company’s products, which include the light adjustable lens® (“LAL” and “LAL+”, and collectively the “LAL”) and a specially designed machine for delivering light to the eye, the Light Delivery Device (“LDD”), are approved by the United States (“U.S.”) Food and Drug Administration (“FDA”) primarily for sale in the U.S. and have regulatory approval in the U.S., Europe, Canada and Mexico. The Company began marketing its products in 2019. The LAL is a premium intraocular lens (“IOL”) which is partially reimbursable under Medicare. The Company competes with other IOLs in the premium market.</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RxSight, Inc. and its wholly owned subsidiaries, RxSight, B.V. and RxSight GmbH. All significant inter-company balances and transactions have been eliminated in consolidation.</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Basis of Presentation and Principles of Consolidation</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Company’s condensed consolidated financial statements have been prepared in accordance with accounting principles generally accepted in the United States of America (“GAAP”) for interim financial information and pursuant to Form 10-Q and Article 10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2023 balance sheet data was derived from audited financial statements; however, the accompanying notes to the condensed consolidated financial statements do not include all of the annual disclosures required under GAAP and should be read in conjunction with the audited consolidated financial statements included in the Company’s 2023 Annual Report on Form 10-K filed with the SEC on February 28, 2024. The operating results presented in these unaudited condensed consolidated financial statements are not necessarily indicative of the results that may be expected for any future periods.</w:t>
      </w:r>
    </w:p>
    <w:p>
      <w:pPr>
        <w:pStyle w:val="TextBody"/>
        <w:bidi w:val="0"/>
        <w:spacing w:before="120" w:after="160"/>
        <w:jc w:val="left"/>
        <w:rPr>
          <w:rFonts w:ascii="Times New Roman" w:hAnsi="Times New Roman"/>
          <w:sz w:val="20"/>
        </w:rPr>
      </w:pPr>
      <w:r>
        <w:rPr>
          <w:rFonts w:ascii="Times New Roman" w:hAnsi="Times New Roman"/>
          <w:i/>
          <w:color w:val="000000"/>
          <w:sz w:val="20"/>
        </w:rPr>
        <w:t>Operating Segments</w:t>
      </w:r>
      <w:r>
        <w:rPr>
          <w:rFonts w:ascii="Times New Roman" w:hAnsi="Times New Roman"/>
          <w:color w:val="000000"/>
          <w:sz w:val="20"/>
        </w:rPr>
        <w:t xml:space="preserve">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 The Company determined that it operates and manages its business (including its non-U.S. subsidiaries) in one reportable segment: the research and development, manufacture and sale of light adjustable lenses and related capital equipment. </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160"/>
        <w:jc w:val="left"/>
        <w:rPr>
          <w:rFonts w:ascii="Times New Roman" w:hAnsi="Times New Roman"/>
          <w:sz w:val="20"/>
        </w:rPr>
      </w:pPr>
      <w:r>
        <w:rPr>
          <w:rFonts w:ascii="Times New Roman" w:hAnsi="Times New Roman"/>
          <w:i/>
          <w:color w:val="000000"/>
          <w:sz w:val="20"/>
        </w:rPr>
        <w:t>Shelf Registration Statement</w:t>
      </w:r>
      <w:r>
        <w:rPr>
          <w:rFonts w:ascii="Times New Roman" w:hAnsi="Times New Roman"/>
          <w:color w:val="000000"/>
          <w:sz w:val="20"/>
        </w:rPr>
        <w:t xml:space="preserve">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On May 8, 2024, the Company filed an automatic shelf registration statement on Form S-3 (“shelf registration statement”). The shelf registration statement is effective for three years and permits the Company to sell, from time to time, common stock, preferred stock, debt securities, warrants, and/or units. The shelf registration statement is intended to provide the Company with flexibility to access additional capital. At the time of filing the shelf registration statement, the Company also filed a prospectus supplement to sell up to an aggregate value of $115.0 million dollars of common stock through a public offering (“Public Offering”).</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Public Offering</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On May 8, 2024, the Company entered into an underwriting agreement with BofA Securities, Inc., in which the Company agreed to issue and sell 1,785,714 shares of the Company's common stock in a public offering, pursuant to the shelf registration statement. The shares of common stock were sold at a price to the public of $56.00 per share. Under the terms of the underwriting agreement, the Company also granted the underwriters an option exercisable for 30 days from the date of the underwriting agreement to purchase up to an additional 267,857 shares of common stock on the same terms and conditions. The underwriters' option was exercised in full on May 10, 2024 and the Public Offering (inclusive of the underwriters' option shares) closed on May 13, 2024. The Company received net proceeds of $107.5 million from the Public Offering, after deducting underwriters' discounts and commissions of $6.9 million and other offering expenses of $0.6 million.</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As of September 30, 2024 and December 31, 2023 the Company had cash, cash equivalents and short-term investments of $237.1 million and $127.2 million, respectively.</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September 30, 2024 and 2023, the Company incurred losses from operations of $9.2 million and $12.5 million, respectively. For the nine months ended September 30, 2024 and 2023, the Company incurred losses from operations of $28.2 million and $39.2 million, respectively. 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condensed consolidated financial statements, however for the near future, the Company expects to continue to incur operating losses and negative cash flows. The Company plans to continue to fund its losses from operations using its cash, cash equivalents and short-term investments as of September 30, 2024 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2 - Summary of Accounting Policies</w:t>
      </w:r>
    </w:p>
    <w:p>
      <w:pPr>
        <w:pStyle w:val="TextBody"/>
        <w:bidi w:val="0"/>
        <w:spacing w:before="12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11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preparation of the accompanying condensed consolidated financial statements under different assumptions or conditions.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Significant Accounting Policies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There have been no significant changes to the accounting policies during the three months ended September 30, 2024, as compared to the significant accounting policies described in Note 2 of the “Notes to Consolidated Financial Statements” in the Company’s audited consolidated financial statements included in its Annual Report on Form 10-K filed with the SEC on February 28, 2024.</w:t>
      </w:r>
    </w:p>
    <w:p>
      <w:pPr>
        <w:pStyle w:val="TextBody"/>
        <w:bidi w:val="0"/>
        <w:spacing w:before="160" w:after="283"/>
        <w:jc w:val="left"/>
        <w:rPr>
          <w:rFonts w:ascii="Times New Roman" w:hAnsi="Times New Roman"/>
          <w:sz w:val="20"/>
        </w:rPr>
      </w:pPr>
      <w:r>
        <w:rPr>
          <w:rFonts w:ascii="Times New Roman" w:hAnsi="Times New Roman"/>
          <w:i/>
          <w:color w:val="000000"/>
          <w:sz w:val="20"/>
        </w:rPr>
        <w:t>Cash Equivalents</w:t>
      </w:r>
      <w:r>
        <w:rPr>
          <w:rFonts w:ascii="Times New Roman" w:hAnsi="Times New Roman"/>
          <w:color w:val="000000"/>
          <w:sz w:val="20"/>
        </w:rPr>
        <w:t xml:space="preserve">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Cash equivalents consist of investments in money market accounts. The Company considers all highly liquid investments with original maturities of three months or less at the date of purchase that can be liquidated without prior notice or penalty to be cash equivalents. </w:t>
      </w:r>
    </w:p>
    <w:p>
      <w:pPr>
        <w:pStyle w:val="TextBody"/>
        <w:bidi w:val="0"/>
        <w:spacing w:before="160" w:after="283"/>
        <w:jc w:val="left"/>
        <w:rPr>
          <w:rFonts w:ascii="Times New Roman" w:hAnsi="Times New Roman"/>
          <w:sz w:val="20"/>
        </w:rPr>
      </w:pPr>
      <w:r>
        <w:rPr>
          <w:rFonts w:ascii="Times New Roman" w:hAnsi="Times New Roman"/>
          <w:i/>
          <w:color w:val="000000"/>
          <w:sz w:val="20"/>
        </w:rPr>
        <w:t>Short-term Investments</w:t>
      </w:r>
      <w:r>
        <w:rPr>
          <w:rFonts w:ascii="Times New Roman" w:hAnsi="Times New Roman"/>
          <w:color w:val="000000"/>
          <w:sz w:val="20"/>
        </w:rPr>
        <w:t xml:space="preserve">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whether the investment has been in a continuous loss position for over 12 months;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duration to maturity of investments;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intention and ability to hold the investment to maturity and if it is not more likely than not that the Company will be required to sell the investment before recovery of the amortized cost basis;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credit rating, financial condition and near-term prospects of the issuer; and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type of investments made.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 had $533,000 and $10,000 of net unrealized gains related to short-term investments as of September 30, 2024 and December 31, 2023, respectively. </w:t>
      </w:r>
    </w:p>
    <w:p>
      <w:pPr>
        <w:pStyle w:val="TextBody"/>
        <w:bidi w:val="0"/>
        <w:spacing w:before="120" w:after="160"/>
        <w:jc w:val="left"/>
        <w:rPr>
          <w:rFonts w:ascii="Times New Roman" w:hAnsi="Times New Roman"/>
          <w:sz w:val="20"/>
        </w:rPr>
      </w:pPr>
      <w:r>
        <w:rPr>
          <w:rFonts w:ascii="Times New Roman" w:hAnsi="Times New Roman"/>
          <w:i/>
          <w:color w:val="000000"/>
          <w:sz w:val="20"/>
        </w:rPr>
        <w:t>Concentration of Credit Risk and Other Risks and Uncertainties</w:t>
      </w:r>
      <w:r>
        <w:rPr>
          <w:rFonts w:ascii="Times New Roman" w:hAnsi="Times New Roman"/>
          <w:color w:val="000000"/>
          <w:sz w:val="20"/>
        </w:rPr>
        <w:t xml:space="preserve">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Company’s products require approval from the FDA and foreign regulatory agencies before commercial sales can commence. There can be no assurance that the Company’s products will receive any of these required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12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Company is subject to the risks related to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Accounts Receivable, net</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Company has a diverse customer base and as of September 30, 2024 and December 31, 2023 the Company did not have any customers who individually accounted for greater than 10% of accounts receivable. The Company maintains an allowance for credit losses resulting from the inability of its customers, including ambulatory surgery centers, to make required payments. After evaluation of the collectability of accounts receivable, the Company did not record any significant allowance for credit losses as of September 30, 2024 or December 31, 2023.</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Fair Value of Financial Instruments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Level 1—Observable inputs such as unadjusted quoted prices in active markets that are accessible at the measurement date for identical unrestricted assets or liabilities.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Company’s financial instruments consist principally of cash, cash equivalents, short-term investments, accounts receivable, accounts payable and operating lease liabilities. Cash, cash equivalents, accounts receivable and accounts payable are carried at their estimated fair value because of the short-term nature of these assets and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13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at September 30, 2024 and December 31, 2023, approximated their carrying values, based on the borrowing rates that were available for loans with similar terms as of such date.</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Inventories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pStyle w:val="TextBody"/>
        <w:bidi w:val="0"/>
        <w:spacing w:before="160" w:after="16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lease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 </w:t>
      </w:r>
    </w:p>
    <w:p>
      <w:pPr>
        <w:pStyle w:val="TextBody"/>
        <w:bidi w:val="0"/>
        <w:spacing w:before="160" w:after="160"/>
        <w:jc w:val="left"/>
        <w:rPr>
          <w:rFonts w:ascii="Times New Roman" w:hAnsi="Times New Roman"/>
          <w:i/>
          <w:color w:val="000000"/>
          <w:sz w:val="20"/>
        </w:rPr>
      </w:pPr>
      <w:r>
        <w:rPr>
          <w:rFonts w:ascii="Times New Roman" w:hAnsi="Times New Roman"/>
          <w:i/>
          <w:color w:val="000000"/>
          <w:sz w:val="20"/>
        </w:rPr>
        <w:t>Net Loss per Share</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14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41"/>
        <w:gridCol w:w="155"/>
        <w:gridCol w:w="991"/>
        <w:gridCol w:w="155"/>
        <w:gridCol w:w="155"/>
        <w:gridCol w:w="155"/>
        <w:gridCol w:w="991"/>
        <w:gridCol w:w="146"/>
        <w:gridCol w:w="146"/>
        <w:gridCol w:w="153"/>
        <w:gridCol w:w="980"/>
        <w:gridCol w:w="153"/>
        <w:gridCol w:w="153"/>
        <w:gridCol w:w="153"/>
        <w:gridCol w:w="980"/>
        <w:gridCol w:w="398"/>
      </w:tblGrid>
      <w:tr>
        <w:trPr/>
        <w:tc>
          <w:tcPr>
            <w:tcW w:w="43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341" w:type="dxa"/>
            <w:tcBorders/>
            <w:shd w:fill="FFFFFF" w:val="cle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3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options issued and outstanding under the Calhoun Vision, Inc. 2006 Stock Plan, Calhoun Vision, Inc. 2015 Equity Incentive Plan and the 2021 Equity Incentive Plan</w:t>
            </w:r>
          </w:p>
        </w:tc>
        <w:tc>
          <w:tcPr>
            <w:tcW w:w="15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5,294,813</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6,963,498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5,658,989</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5,816,203</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43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issued under the 2021 Equity Incentive Plan</w:t>
            </w:r>
          </w:p>
        </w:tc>
        <w:tc>
          <w:tcPr>
            <w:tcW w:w="155"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644,073</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649,842</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696,696</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43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issuable in offering period under the 2021 Employee Stock Purchase Plan</w:t>
            </w:r>
          </w:p>
        </w:tc>
        <w:tc>
          <w:tcPr>
            <w:tcW w:w="15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20,670</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63,756</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42,020</w:t>
            </w:r>
          </w:p>
        </w:tc>
        <w:tc>
          <w:tcPr>
            <w:tcW w:w="398"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Company’s revenue is generated from the sale of LALs used in cataract surgery along with a specifically designed machine for delivering light to the eye, the LDD, to adjust the lens post-surgery, as needed. Revenue is recognized from sales of products in the U.S., Canada and Europe. Customers are primarily comprised of ambulatory surgery centers, hospitals, and physician private practices.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15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LALs are generally held at customer sites on consignment. The single performance obligation is satisfied, and revenue from sales is recognized for LALs upon customer notification that the LALs have been implanted in a patient. For the three and nine months ended September 30, 2024 and 2023, credits related to returns and rebates on list prices were not significant.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For the three and nine months ended September 30, 2024 and 2023, revenue from contracts with customers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9"/>
        <w:gridCol w:w="146"/>
        <w:gridCol w:w="301"/>
        <w:gridCol w:w="968"/>
        <w:gridCol w:w="208"/>
        <w:gridCol w:w="208"/>
        <w:gridCol w:w="301"/>
        <w:gridCol w:w="968"/>
        <w:gridCol w:w="146"/>
        <w:gridCol w:w="146"/>
        <w:gridCol w:w="291"/>
        <w:gridCol w:w="934"/>
        <w:gridCol w:w="202"/>
        <w:gridCol w:w="202"/>
        <w:gridCol w:w="291"/>
        <w:gridCol w:w="934"/>
        <w:gridCol w:w="200"/>
      </w:tblGrid>
      <w:tr>
        <w:trPr/>
        <w:tc>
          <w:tcPr>
            <w:tcW w:w="3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9" w:type="dxa"/>
            <w:gridSpan w:val="2"/>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26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 (including training)</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208"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29,030</w:t>
            </w:r>
          </w:p>
        </w:tc>
        <w:tc>
          <w:tcPr>
            <w:tcW w:w="202"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22,127</w:t>
            </w:r>
          </w:p>
        </w:tc>
        <w:tc>
          <w:tcPr>
            <w:tcW w:w="200" w:type="dxa"/>
            <w:tcBorders/>
            <w:shd w:fill="CFF0FC" w:val="cle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24,231</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67,975</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36,308</w:t>
            </w:r>
          </w:p>
        </w:tc>
        <w:tc>
          <w:tcPr>
            <w:tcW w:w="200" w:type="dxa"/>
            <w:tcBorders/>
            <w:shd w:fill="FFFFFF" w:val="clear"/>
            <w:vAlign w:val="center"/>
          </w:tcPr>
          <w:p>
            <w:pPr>
              <w:pStyle w:val="TableContents"/>
              <w:bidi w:val="0"/>
              <w:spacing w:before="0" w:after="283"/>
              <w:jc w:val="left"/>
              <w:rPr/>
            </w:pPr>
            <w:r>
              <w:rPr/>
              <w:t> </w:t>
            </w:r>
          </w:p>
        </w:tc>
      </w:tr>
      <w:tr>
        <w:trPr/>
        <w:tc>
          <w:tcPr>
            <w:tcW w:w="3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warranty, service contracts, and accessories</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35,314</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99,713</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60,497</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For the three and nine months ended September 30, 2024 and 2023, the Company did not have any customers who individually accounted for greater than 10% of revenue.</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following table represents the contract liabilities from sales activity for the nine months ended September 30, 2024 and 2023, respectively (in thousands):</w:t>
      </w:r>
    </w:p>
    <w:tbl>
      <w:tblPr>
        <w:tblW w:w="7482" w:type="dxa"/>
        <w:jc w:val="left"/>
        <w:tblInd w:w="0" w:type="dxa"/>
        <w:tblLayout w:type="fixed"/>
        <w:tblCellMar>
          <w:top w:w="28" w:type="dxa"/>
          <w:left w:w="28" w:type="dxa"/>
          <w:bottom w:w="28" w:type="dxa"/>
          <w:right w:w="28" w:type="dxa"/>
        </w:tblCellMar>
      </w:tblPr>
      <w:tblGrid>
        <w:gridCol w:w="3241"/>
        <w:gridCol w:w="146"/>
        <w:gridCol w:w="317"/>
        <w:gridCol w:w="948"/>
        <w:gridCol w:w="249"/>
        <w:gridCol w:w="219"/>
        <w:gridCol w:w="317"/>
        <w:gridCol w:w="948"/>
        <w:gridCol w:w="166"/>
        <w:gridCol w:w="93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ind w:left="0" w:right="0" w:firstLine="800"/>
              <w:jc w:val="left"/>
              <w:rPr>
                <w:sz w:val="4"/>
                <w:szCs w:val="4"/>
              </w:rPr>
            </w:pPr>
            <w:r>
              <w:rPr>
                <w:sz w:val="4"/>
                <w:szCs w:val="4"/>
              </w:rPr>
            </w:r>
          </w:p>
        </w:tc>
      </w:tr>
      <w:tr>
        <w:trPr/>
        <w:tc>
          <w:tcPr>
            <w:tcW w:w="3241" w:type="dxa"/>
            <w:tcBorders/>
            <w:shd w:fill="FFFFFF" w:val="clear"/>
            <w:vAlign w:val="center"/>
          </w:tcPr>
          <w:p>
            <w:pPr>
              <w:pStyle w:val="TableContents"/>
              <w:bidi w:val="0"/>
              <w:spacing w:before="0" w:after="283"/>
              <w:ind w:left="800" w:right="0" w:firstLine="8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5" w:type="dxa"/>
            <w:gridSpan w:val="2"/>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6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24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249"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66" w:type="dxa"/>
            <w:tcBorders/>
            <w:shd w:fill="CFF0FC"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during the period</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Company has three equity incentive compensation plans: the Calhoun Vision, Inc. 2006 Stock Plan (“2006 Plan”); the Calhoun Vision, Inc. 2015 Equity Incentive Plan (“2015 Plan”); and the 2021 Equity Incentive Plan (“2021 Plan”), which are collectively referred to as the “Equity Plans.” The Company also has an employee stock purchase plan, the 2021 Employee Stock Purchase Plan (“2021 ESPP”).</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 recognizes compensation expense for equity-based awards on the date of grant to employees, board of directors and consultants based on the estimated grant date fair value of the award's equity-based payments including stock options, restricted stock units and employee stock plan purchases. The fair value of the option awards are estimated using the Black-Scholes option-pricing model and recognized as an expense in the condensed consolidated statements of operations and comprehensive loss over the requisite service period, which is generally four years. The Company amortizes the stock-based compensation for equity awards with service conditions on a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16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straight-line basis over the vesting period of the awards. Forfeitures of unvested stock option awards are recognized as reductions of expense as they occur.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Black-Scholes option-pricing model requires the use of assumptions about a number of variables, such as the fair market value of the Company’s common stock, expected volatility, expected term, risk-free interest rate, and dividend yield as discussed below:</w:t>
      </w:r>
    </w:p>
    <w:p>
      <w:pPr>
        <w:pStyle w:val="TextBody"/>
        <w:bidi w:val="0"/>
        <w:spacing w:before="240" w:after="160"/>
        <w:ind w:left="619" w:right="0" w:hanging="0"/>
        <w:jc w:val="left"/>
        <w:rPr>
          <w:rFonts w:ascii="Times New Roman" w:hAnsi="Times New Roman"/>
          <w:sz w:val="20"/>
        </w:rPr>
      </w:pPr>
      <w:r>
        <w:rPr>
          <w:rFonts w:ascii="Times New Roman" w:hAnsi="Times New Roman"/>
          <w:i/>
          <w:color w:val="000000"/>
          <w:sz w:val="20"/>
        </w:rPr>
        <w:t>Fair market value</w:t>
      </w:r>
      <w:r>
        <w:rPr>
          <w:rFonts w:ascii="Times New Roman" w:hAnsi="Times New Roman"/>
          <w:color w:val="000000"/>
          <w:sz w:val="20"/>
        </w:rPr>
        <w:t>—The fair value of common stock is determined by using the closing price per share of common stock as reported on the Nasdaq Global Market.</w:t>
      </w:r>
    </w:p>
    <w:p>
      <w:pPr>
        <w:pStyle w:val="TextBody"/>
        <w:bidi w:val="0"/>
        <w:ind w:left="619" w:right="0" w:hanging="0"/>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—Effective January 1, 2024, the Company based the expected volatility on the historic volatility of its common stock. During the year ended December 31, 2023, the expected volatility was estimated based on the average historical volatilities for comparable publicly traded medical device companies over a period equal to the expected term of the stock option grants. Comparable companies were chosen based on their similar size, stage in the life cycle and area of specialty. </w:t>
      </w:r>
    </w:p>
    <w:p>
      <w:pPr>
        <w:pStyle w:val="TextBody"/>
        <w:bidi w:val="0"/>
        <w:spacing w:before="240" w:after="283"/>
        <w:ind w:left="619" w:right="0" w:hanging="0"/>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Company’s expected term represents the period that the Company’s stock-based awards are expected to be outstanding. The Company used the simplified method (based on the mid-point between the vesting date and the end of the contractual term) to determine the expected term.</w:t>
      </w:r>
    </w:p>
    <w:p>
      <w:pPr>
        <w:pStyle w:val="TextBody"/>
        <w:bidi w:val="0"/>
        <w:spacing w:before="240" w:after="283"/>
        <w:ind w:left="612" w:right="0" w:hanging="0"/>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—The risk-free interest rate used is based on the published U.S. Department of Treasury interest rates in effect at the time of stock option grant for zero coupon U.S. Treasury notes with maturities approximating each grant’s expected term.</w:t>
      </w:r>
    </w:p>
    <w:p>
      <w:pPr>
        <w:pStyle w:val="TextBody"/>
        <w:bidi w:val="0"/>
        <w:spacing w:before="240" w:after="283"/>
        <w:ind w:left="612" w:right="0" w:hanging="0"/>
        <w:jc w:val="left"/>
        <w:rPr>
          <w:rFonts w:ascii="Times New Roman" w:hAnsi="Times New Roman"/>
          <w:sz w:val="20"/>
        </w:rPr>
      </w:pPr>
      <w:r>
        <w:rPr>
          <w:rFonts w:ascii="Times New Roman" w:hAnsi="Times New Roman"/>
          <w:i/>
          <w:color w:val="000000"/>
          <w:sz w:val="20"/>
        </w:rPr>
        <w:t>Dividend yield</w:t>
      </w:r>
      <w:r>
        <w:rPr>
          <w:rFonts w:ascii="Times New Roman" w:hAnsi="Times New Roman"/>
          <w:color w:val="000000"/>
          <w:sz w:val="20"/>
        </w:rPr>
        <w:t>—The Company has never paid dividends on its common stock and has no plans to pay dividends on its common stock. Therefore, the Company used an expected dividend yield of zero.</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Changes to GAAP are established by the Financial Accounting Standards Board (“FASB”) in the form of accounting standards updates (“ASU”). There have been no recent accounting pronouncements, changes in accounting pronouncements or recently adopted accounting guidance during the three months ended September 30, 2024 that are of significance or potential significance to the Company.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3 – Short-Term Investments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Short-term investments, principally U.S. Treasury bills, are available-for-sale and consisted of the following (in thousands):</w:t>
      </w:r>
    </w:p>
    <w:tbl>
      <w:tblPr>
        <w:tblW w:w="8152" w:type="dxa"/>
        <w:jc w:val="left"/>
        <w:tblInd w:w="0" w:type="dxa"/>
        <w:tblLayout w:type="fixed"/>
        <w:tblCellMar>
          <w:top w:w="28" w:type="dxa"/>
          <w:left w:w="28" w:type="dxa"/>
          <w:bottom w:w="28" w:type="dxa"/>
          <w:right w:w="28" w:type="dxa"/>
        </w:tblCellMar>
      </w:tblPr>
      <w:tblGrid>
        <w:gridCol w:w="2011"/>
        <w:gridCol w:w="146"/>
        <w:gridCol w:w="301"/>
        <w:gridCol w:w="1124"/>
        <w:gridCol w:w="146"/>
        <w:gridCol w:w="146"/>
        <w:gridCol w:w="624"/>
        <w:gridCol w:w="1251"/>
        <w:gridCol w:w="146"/>
        <w:gridCol w:w="146"/>
        <w:gridCol w:w="408"/>
        <w:gridCol w:w="151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52" w:type="dxa"/>
        <w:jc w:val="left"/>
        <w:tblInd w:w="0" w:type="dxa"/>
        <w:tblLayout w:type="fixed"/>
        <w:tblCellMar>
          <w:top w:w="28" w:type="dxa"/>
          <w:left w:w="28" w:type="dxa"/>
          <w:bottom w:w="28" w:type="dxa"/>
          <w:right w:w="28" w:type="dxa"/>
        </w:tblCellMar>
      </w:tblPr>
      <w:tblGrid>
        <w:gridCol w:w="2011"/>
        <w:gridCol w:w="146"/>
        <w:gridCol w:w="301"/>
        <w:gridCol w:w="1124"/>
        <w:gridCol w:w="146"/>
        <w:gridCol w:w="146"/>
        <w:gridCol w:w="749"/>
        <w:gridCol w:w="1126"/>
        <w:gridCol w:w="146"/>
        <w:gridCol w:w="146"/>
        <w:gridCol w:w="408"/>
        <w:gridCol w:w="151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All available-for-sale securities held as of September 30, 2024 and December 31, 2023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17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4 – Inventories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Inventories consisted of the following (in thousands):</w:t>
      </w:r>
    </w:p>
    <w:tbl>
      <w:tblPr>
        <w:tblW w:w="7296" w:type="dxa"/>
        <w:jc w:val="left"/>
        <w:tblInd w:w="0" w:type="dxa"/>
        <w:tblLayout w:type="fixed"/>
        <w:tblCellMar>
          <w:top w:w="28" w:type="dxa"/>
          <w:left w:w="28" w:type="dxa"/>
          <w:bottom w:w="28" w:type="dxa"/>
          <w:right w:w="28" w:type="dxa"/>
        </w:tblCellMar>
      </w:tblPr>
      <w:tblGrid>
        <w:gridCol w:w="3916"/>
        <w:gridCol w:w="146"/>
        <w:gridCol w:w="310"/>
        <w:gridCol w:w="995"/>
        <w:gridCol w:w="166"/>
        <w:gridCol w:w="146"/>
        <w:gridCol w:w="299"/>
        <w:gridCol w:w="961"/>
        <w:gridCol w:w="166"/>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w:t>
            </w:r>
          </w:p>
        </w:tc>
        <w:tc>
          <w:tcPr>
            <w:tcW w:w="166"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17,917</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reserve for excess and obsolete inventory</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At September 30, 2024 and December 31, 2023, finished goods included $5.2 million and $4.4 million of inventory held on consignment at customer sites, respectively.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5 – Fair Value Measurements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table and disclosures for the periods presented below (in thousands) present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tbl>
      <w:tblPr>
        <w:tblW w:w="6158" w:type="dxa"/>
        <w:jc w:val="left"/>
        <w:tblInd w:w="0" w:type="dxa"/>
        <w:tblLayout w:type="fixed"/>
        <w:tblCellMar>
          <w:top w:w="28" w:type="dxa"/>
          <w:left w:w="28" w:type="dxa"/>
          <w:bottom w:w="28" w:type="dxa"/>
          <w:right w:w="28" w:type="dxa"/>
        </w:tblCellMar>
      </w:tblPr>
      <w:tblGrid>
        <w:gridCol w:w="2271"/>
        <w:gridCol w:w="146"/>
        <w:gridCol w:w="211"/>
        <w:gridCol w:w="571"/>
        <w:gridCol w:w="146"/>
        <w:gridCol w:w="146"/>
        <w:gridCol w:w="211"/>
        <w:gridCol w:w="781"/>
        <w:gridCol w:w="146"/>
        <w:gridCol w:w="146"/>
        <w:gridCol w:w="211"/>
        <w:gridCol w:w="781"/>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391" w:type="dxa"/>
            <w:tcBorders/>
            <w:shd w:fill="FFFFFF" w:val="clear"/>
            <w:vAlign w:val="center"/>
          </w:tcPr>
          <w:p>
            <w:pPr>
              <w:pStyle w:val="TableContents"/>
              <w:bidi w:val="0"/>
              <w:spacing w:before="0" w:after="283"/>
              <w:jc w:val="left"/>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158" w:type="dxa"/>
        <w:jc w:val="left"/>
        <w:tblInd w:w="0" w:type="dxa"/>
        <w:tblLayout w:type="fixed"/>
        <w:tblCellMar>
          <w:top w:w="28" w:type="dxa"/>
          <w:left w:w="28" w:type="dxa"/>
          <w:bottom w:w="28" w:type="dxa"/>
          <w:right w:w="28" w:type="dxa"/>
        </w:tblCellMar>
      </w:tblPr>
      <w:tblGrid>
        <w:gridCol w:w="2271"/>
        <w:gridCol w:w="146"/>
        <w:gridCol w:w="211"/>
        <w:gridCol w:w="571"/>
        <w:gridCol w:w="146"/>
        <w:gridCol w:w="146"/>
        <w:gridCol w:w="211"/>
        <w:gridCol w:w="781"/>
        <w:gridCol w:w="146"/>
        <w:gridCol w:w="146"/>
        <w:gridCol w:w="211"/>
        <w:gridCol w:w="781"/>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391" w:type="dxa"/>
            <w:tcBorders/>
            <w:shd w:fill="FFFFFF" w:val="clear"/>
            <w:vAlign w:val="center"/>
          </w:tcPr>
          <w:p>
            <w:pPr>
              <w:pStyle w:val="TableContents"/>
              <w:bidi w:val="0"/>
              <w:spacing w:before="0" w:after="283"/>
              <w:jc w:val="left"/>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jc w:val="left"/>
        <w:rPr>
          <w:rFonts w:ascii="Times New Roman" w:hAnsi="Times New Roman"/>
          <w:b/>
          <w:color w:val="000000"/>
          <w:sz w:val="20"/>
        </w:rPr>
      </w:pPr>
      <w:r>
        <w:rPr>
          <w:rFonts w:ascii="Times New Roman" w:hAnsi="Times New Roman"/>
          <w:b/>
          <w:color w:val="000000"/>
          <w:sz w:val="20"/>
        </w:rPr>
        <w:t>Note 6 – Stock-Based Compensation Expense</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Company has three equity incentive compensation plans: the 2006 Plan, the 2015 Plan and the 2021 Plan.</w:t>
      </w:r>
    </w:p>
    <w:p>
      <w:pPr>
        <w:pStyle w:val="TextBody"/>
        <w:bidi w:val="0"/>
        <w:jc w:val="left"/>
        <w:rPr>
          <w:rFonts w:ascii="Times New Roman" w:hAnsi="Times New Roman"/>
          <w:b/>
          <w:i/>
          <w:color w:val="000000"/>
          <w:sz w:val="20"/>
        </w:rPr>
      </w:pPr>
      <w:r>
        <w:rPr>
          <w:rFonts w:ascii="Times New Roman" w:hAnsi="Times New Roman"/>
          <w:b/>
          <w:i/>
          <w:color w:val="000000"/>
          <w:sz w:val="20"/>
        </w:rPr>
        <w:t>2006 Plan</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2006 Plan was originally adopted by the Board and approved by the Company’s stockholders in 2006. The 2006 Plan was terminated in 2015 in connection with the adoption of the 2015 Plan and as a result no new awards may be issued under the 2006 Plan. However, the 2006 Plan will continue to govern the terms and conditions of the outstanding awards previously granted under the 2006 Plan.</w:t>
      </w:r>
    </w:p>
    <w:p>
      <w:pPr>
        <w:pStyle w:val="TextBody"/>
        <w:bidi w:val="0"/>
        <w:jc w:val="left"/>
        <w:rPr>
          <w:rFonts w:ascii="Times New Roman" w:hAnsi="Times New Roman"/>
          <w:b/>
          <w:i/>
          <w:color w:val="000000"/>
          <w:sz w:val="20"/>
        </w:rPr>
      </w:pPr>
      <w:r>
        <w:rPr>
          <w:rFonts w:ascii="Times New Roman" w:hAnsi="Times New Roman"/>
          <w:b/>
          <w:i/>
          <w:color w:val="000000"/>
          <w:sz w:val="20"/>
        </w:rPr>
        <w:t>2015 Plan</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2015 Plan was originally adopted by the Board and approved by the Company’s stockholders in 2015. In July 2021, the 2015 Plan terminated immediately prior to effectiveness of the 2021 Plan with respect to the grant of future awards. However, the 2015 Plan will continue to govern the terms and conditions of the outstanding awards previously granted under the 2015 Plan.</w:t>
      </w:r>
    </w:p>
    <w:p>
      <w:pPr>
        <w:pStyle w:val="TextBody"/>
        <w:bidi w:val="0"/>
        <w:jc w:val="left"/>
        <w:rPr>
          <w:rFonts w:ascii="Times New Roman" w:hAnsi="Times New Roman"/>
          <w:b/>
          <w:i/>
          <w:color w:val="000000"/>
          <w:sz w:val="20"/>
        </w:rPr>
      </w:pPr>
      <w:r>
        <w:rPr>
          <w:rFonts w:ascii="Times New Roman" w:hAnsi="Times New Roman"/>
          <w:b/>
          <w:i/>
          <w:color w:val="000000"/>
          <w:sz w:val="20"/>
        </w:rPr>
        <w:t>2021 Plan</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On July 28, 2021, the 2021 Plan was adopted and approved by the Board and stockholders. The 2021 Plan provides for the grant of incentive stock options to employees and any subsidiary corporations’ employees, and for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18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grant of nonstatutory stock options, stock appreciation rights, restricted stock, restricted stock units (“RSUs”), and performance awards to employees, directors, and consultants and subsidiary corporations’ employees and consultants. The number of shares of the Company’s common stock originally available for issuance under the 2021 Plan was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equal to 4,569,530 shares of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Evergreen provision</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 shares of our common stock; (ii) 4% of the outstanding shares of our common stock on the last day of the immediately preceding fiscal year; or (iii) such lesser number of shares of our common stock as the administrator may determine. The 2021 Plan is administered by the Board. On January 1, 2024 and 2023, the number of shares available under the 2021 Plan increased by 1,445,580 and 1,130,735 shares of common stock, respectively, pursuant to this feature. As of September 30, 2024, the number of shares of the Company’s common stock available for future issuance under the 2021 Plan was equal to 599,452 shares of common stock. </w:t>
      </w:r>
    </w:p>
    <w:p>
      <w:pPr>
        <w:pStyle w:val="TextBody"/>
        <w:bidi w:val="0"/>
        <w:jc w:val="left"/>
        <w:rPr>
          <w:rFonts w:ascii="Times New Roman" w:hAnsi="Times New Roman"/>
          <w:b/>
          <w:i/>
          <w:color w:val="000000"/>
          <w:sz w:val="20"/>
        </w:rPr>
      </w:pPr>
      <w:r>
        <w:rPr>
          <w:rFonts w:ascii="Times New Roman" w:hAnsi="Times New Roman"/>
          <w:b/>
          <w:i/>
          <w:color w:val="000000"/>
          <w:sz w:val="20"/>
        </w:rPr>
        <w:t>2021 ESPP</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On July 28, 2021, the Board and stockholders adopted and approved the 2021 ESPP. As of September 30, 2024, the number of shares of the Company’s common stock available for future issuance under the 2021 ESPP was equal to 538,942 shares of common stock.</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 The initial purchase period began on November 1, 2021.</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Evergreen provision</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number of common shares reserved for issuance under the 2021 ESPP will be increased automatically on the first day of each fiscal year beginning with the 2022 fiscal year, by a number equal to the least of: (i) 1,452,081 shares; (ii) 1% of the outstanding shares of our common stock on the last day of the immediately preceding fiscal year; or (iii) such other amount as the administrator may determine. The 2021 ESPP is administered by the Board. No additional shares were reserved for issuance on January 1, 2024 and 2023 pursuant to this feature.</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Stock option awards are granted with an exercise price of no less than 100% of estimated fair market value on the date of grant. Time based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19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A summary of the stock option activities related to the Equity Plans for the nine months ended September 30, 2024 is presented below:</w:t>
      </w:r>
    </w:p>
    <w:tbl>
      <w:tblPr>
        <w:tblW w:w="8294" w:type="dxa"/>
        <w:jc w:val="left"/>
        <w:tblInd w:w="0" w:type="dxa"/>
        <w:tblLayout w:type="fixed"/>
        <w:tblCellMar>
          <w:top w:w="28" w:type="dxa"/>
          <w:left w:w="28" w:type="dxa"/>
          <w:bottom w:w="28" w:type="dxa"/>
          <w:right w:w="28" w:type="dxa"/>
        </w:tblCellMar>
      </w:tblPr>
      <w:tblGrid>
        <w:gridCol w:w="3491"/>
        <w:gridCol w:w="246"/>
        <w:gridCol w:w="146"/>
        <w:gridCol w:w="212"/>
        <w:gridCol w:w="1288"/>
        <w:gridCol w:w="166"/>
        <w:gridCol w:w="146"/>
        <w:gridCol w:w="220"/>
        <w:gridCol w:w="576"/>
        <w:gridCol w:w="146"/>
        <w:gridCol w:w="146"/>
        <w:gridCol w:w="339"/>
        <w:gridCol w:w="981"/>
        <w:gridCol w:w="191"/>
      </w:tblGrid>
      <w:tr>
        <w:trPr/>
        <w:tc>
          <w:tcPr>
            <w:tcW w:w="34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Avg</w:t>
              <w:br/>
              <w:t>Remaining</w:t>
              <w:br/>
              <w:t>Contractual 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Options outstanding as of December 31, 2023</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6,777,404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91" w:type="dxa"/>
            <w:tcBorders/>
            <w:shd w:fill="CFF0FC" w:val="cle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2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1,147,452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4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(1,809,836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(82,972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4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Expired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 as of September 30, 2024</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191" w:type="dxa"/>
            <w:tcBorders/>
            <w:shd w:fill="FFFFFF" w:val="clear"/>
            <w:vAlign w:val="center"/>
          </w:tcPr>
          <w:p>
            <w:pPr>
              <w:pStyle w:val="TableContents"/>
              <w:bidi w:val="0"/>
              <w:spacing w:before="0" w:after="283"/>
              <w:jc w:val="left"/>
              <w:rPr/>
            </w:pPr>
            <w:r>
              <w:rPr/>
              <w:t> </w:t>
            </w:r>
          </w:p>
        </w:tc>
      </w:tr>
      <w:tr>
        <w:trPr/>
        <w:tc>
          <w:tcPr>
            <w:tcW w:w="34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as of September 30, 2024</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160"/>
        <w:ind w:left="0" w:right="0" w:firstLine="360"/>
        <w:jc w:val="left"/>
        <w:rPr>
          <w:rFonts w:ascii="Times New Roman" w:hAnsi="Times New Roman"/>
          <w:color w:val="000000"/>
          <w:sz w:val="20"/>
        </w:rPr>
      </w:pPr>
      <w:r>
        <w:rPr>
          <w:rFonts w:ascii="Times New Roman" w:hAnsi="Times New Roman"/>
          <w:color w:val="000000"/>
          <w:sz w:val="20"/>
        </w:rPr>
        <w:t>As of September 30, 2024 and December 31, 2023 the intrinsic value of options vested was $117.0 million and $121.3 million, respectively, and of all options outstanding was $172.4 million and $185.0 million, respectively. During the nine months ended September 30, 2024 and 2023, the total cash received from the exercise of stock options was $17.1 million and $5.4 million, respectively. The total fair value less strike price of these options was $75.1 million and $8.4 million, respectively.</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A summary of non-vested restricted stock unit activities for the nine months ended September 30, 2024 is as follows:</w:t>
      </w:r>
    </w:p>
    <w:tbl>
      <w:tblPr>
        <w:tblW w:w="5238" w:type="dxa"/>
        <w:jc w:val="left"/>
        <w:tblInd w:w="0" w:type="dxa"/>
        <w:tblLayout w:type="fixed"/>
        <w:tblCellMar>
          <w:top w:w="28" w:type="dxa"/>
          <w:left w:w="28" w:type="dxa"/>
          <w:bottom w:w="28" w:type="dxa"/>
          <w:right w:w="28" w:type="dxa"/>
        </w:tblCellMar>
      </w:tblPr>
      <w:tblGrid>
        <w:gridCol w:w="2501"/>
        <w:gridCol w:w="246"/>
        <w:gridCol w:w="146"/>
        <w:gridCol w:w="146"/>
        <w:gridCol w:w="751"/>
        <w:gridCol w:w="166"/>
        <w:gridCol w:w="146"/>
        <w:gridCol w:w="261"/>
        <w:gridCol w:w="684"/>
        <w:gridCol w:w="191"/>
      </w:tblGrid>
      <w:tr>
        <w:trPr/>
        <w:tc>
          <w:tcPr>
            <w:tcW w:w="25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91" w:type="dxa"/>
            <w:tcBorders/>
            <w:shd w:fill="FFFFFF" w:val="cle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91" w:type="dxa"/>
            <w:tcBorders/>
            <w:shd w:fill="FFFFFF" w:val="cle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Unvested at December 31, 2023</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650,357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191" w:type="dxa"/>
            <w:tcBorders/>
            <w:shd w:fill="CFF0FC"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2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53.28</w:t>
            </w:r>
          </w:p>
        </w:tc>
        <w:tc>
          <w:tcPr>
            <w:tcW w:w="19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(298,094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19.56</w:t>
            </w:r>
          </w:p>
        </w:tc>
        <w:tc>
          <w:tcPr>
            <w:tcW w:w="191" w:type="dxa"/>
            <w:tcBorders/>
            <w:shd w:fill="CFF0FC"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w:t>
            </w:r>
          </w:p>
        </w:tc>
        <w:tc>
          <w:tcPr>
            <w:tcW w:w="19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September 30, 2024</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Stock-based compensation expense was classified in the accompanying condensed consolidated statements of operations and comprehensive income (loss) as follows (in thousands):</w:t>
      </w:r>
    </w:p>
    <w:tbl>
      <w:tblPr>
        <w:tblW w:w="8846" w:type="dxa"/>
        <w:jc w:val="left"/>
        <w:tblInd w:w="0" w:type="dxa"/>
        <w:tblLayout w:type="fixed"/>
        <w:tblCellMar>
          <w:top w:w="28" w:type="dxa"/>
          <w:left w:w="28" w:type="dxa"/>
          <w:bottom w:w="28" w:type="dxa"/>
          <w:right w:w="28" w:type="dxa"/>
        </w:tblCellMar>
      </w:tblPr>
      <w:tblGrid>
        <w:gridCol w:w="2521"/>
        <w:gridCol w:w="146"/>
        <w:gridCol w:w="332"/>
        <w:gridCol w:w="867"/>
        <w:gridCol w:w="247"/>
        <w:gridCol w:w="247"/>
        <w:gridCol w:w="332"/>
        <w:gridCol w:w="867"/>
        <w:gridCol w:w="146"/>
        <w:gridCol w:w="146"/>
        <w:gridCol w:w="291"/>
        <w:gridCol w:w="894"/>
        <w:gridCol w:w="217"/>
        <w:gridCol w:w="217"/>
        <w:gridCol w:w="291"/>
        <w:gridCol w:w="894"/>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w:t>
            </w:r>
          </w:p>
        </w:tc>
        <w:tc>
          <w:tcPr>
            <w:tcW w:w="247"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4,060</w:t>
            </w:r>
          </w:p>
        </w:tc>
        <w:tc>
          <w:tcPr>
            <w:tcW w:w="217"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2,857</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4,446</w:t>
            </w:r>
          </w:p>
        </w:tc>
        <w:tc>
          <w:tcPr>
            <w:tcW w:w="247"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11,856</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7,642</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6,552</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17,353</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As of September 30, 2024 and December 31, 2023, there were 2,630,851 and 2,539,445 unvested options, respectively. As of September 30, 2024 and December 31, 2023, total unrecognized expense related to unvested stock options was approximately $49.7 million and $22.7 million, respectively. Both amounts are expected to be recognized over a weighted average period of approximately 2.5 and 2.4 years, respectively.</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As of September 30, 2024, and December 31, 2023, total unrecognized expense related to non-vested restricted stock units was approximately $17.0 million and $8.3 million, respectively. The unrecognized compensation cost is expected to be recognized over a weighted average period of 2.4 years and 2.3 years, respectively.</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20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following table presents the range and weighted-average assumptions, used in the Black-Scholes option pricing model to determine the fair value of stock options:</w:t>
      </w:r>
    </w:p>
    <w:tbl>
      <w:tblPr>
        <w:tblW w:w="8674" w:type="dxa"/>
        <w:jc w:val="left"/>
        <w:tblInd w:w="0" w:type="dxa"/>
        <w:tblLayout w:type="fixed"/>
        <w:tblCellMar>
          <w:top w:w="28" w:type="dxa"/>
          <w:left w:w="28" w:type="dxa"/>
          <w:bottom w:w="28" w:type="dxa"/>
          <w:right w:w="28" w:type="dxa"/>
        </w:tblCellMar>
      </w:tblPr>
      <w:tblGrid>
        <w:gridCol w:w="2131"/>
        <w:gridCol w:w="146"/>
        <w:gridCol w:w="1501"/>
        <w:gridCol w:w="146"/>
        <w:gridCol w:w="1456"/>
        <w:gridCol w:w="146"/>
        <w:gridCol w:w="1501"/>
        <w:gridCol w:w="146"/>
        <w:gridCol w:w="150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67.8% to 72.3%</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70.4%</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64.9% to 67.7%</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65.3%</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to 4.7%</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to 4.6%</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to 6.1 years</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years</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to 6.1 years</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 years</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$36.89 to $60.65</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$53.45</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$12.91 to $32.45</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$16.89</w:t>
            </w:r>
          </w:p>
        </w:tc>
      </w:tr>
    </w:tbl>
    <w:p>
      <w:pPr>
        <w:pStyle w:val="TextBody"/>
        <w:pBdr/>
        <w:bidi w:val="0"/>
        <w:spacing w:before="120" w:after="160"/>
        <w:ind w:left="0" w:right="0" w:hanging="36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Each share of common stock is entitled to one vote. Common stock reserved for future issuance consisted of the following: </w:t>
      </w:r>
    </w:p>
    <w:tbl>
      <w:tblPr>
        <w:tblW w:w="9180" w:type="dxa"/>
        <w:jc w:val="left"/>
        <w:tblInd w:w="0" w:type="dxa"/>
        <w:tblLayout w:type="fixed"/>
        <w:tblCellMar>
          <w:top w:w="28" w:type="dxa"/>
          <w:left w:w="28" w:type="dxa"/>
          <w:bottom w:w="28" w:type="dxa"/>
          <w:right w:w="28" w:type="dxa"/>
        </w:tblCellMar>
      </w:tblPr>
      <w:tblGrid>
        <w:gridCol w:w="5056"/>
        <w:gridCol w:w="146"/>
        <w:gridCol w:w="240"/>
        <w:gridCol w:w="1530"/>
        <w:gridCol w:w="146"/>
        <w:gridCol w:w="146"/>
        <w:gridCol w:w="233"/>
        <w:gridCol w:w="149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 under the Equity Plans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6,777,404</w:t>
            </w:r>
          </w:p>
        </w:tc>
        <w:tc>
          <w:tcPr>
            <w:tcW w:w="1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2021 Plan</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4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358,610</w:t>
            </w:r>
          </w:p>
        </w:tc>
        <w:tc>
          <w:tcPr>
            <w:tcW w:w="1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under the 2021 Plan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650,357</w:t>
            </w:r>
          </w:p>
        </w:tc>
        <w:tc>
          <w:tcPr>
            <w:tcW w:w="1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2021 ESPP</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of common stock reserved</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7,748,777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8,364,218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7 – Leases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 xml:space="preserve">As of September 30, 2024 the Company held four leases for office, manufacturing and warehouse facilities in Aliso Viejo, California. The four leases are for approximately 137,000 square feet in the aggregate. For one such operating lease, the lessor provided $900,000 in tenant allowances.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On April 4, 2022, the Company entered into a thirty-four-month sublease agreement for a portion of the 5 Columbia Building, in Aliso Viejo, CA. The sublease commencement date was June 13, 2022 and was to expire on March 31, 2025. The base rent receivable was $11,410 per month. On January 4, 2023 the Company entered into a second amendment to the sublease agreement adjusting the base rent receivable to $5,319 per month. On August 1, 2024 the sublease was cancelled.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lease and lease amendments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100 Columbia lease to include 120 Columbia Suites 300, 400 and 500</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On November 6, 2024, the Company entered into a Seventh Amendment (Extension to the Lease) to that certain Commercial Lease Agreement, dated August 31, 2015, as amended June 3, 2024, as amended April 18, 2024, as amended November 23, 2015, December 22, 2015, January 18, 2016, and November 12, 2016, with Accuride International Inc., to expand the 100 Columbia lease to include the property located at 120 Columbia Suites 300, 400 and 500 for a total of approximately 13,183 additional leasable square feet in Aliso Viejo, California (the “November 2024 120 Columbia Amendment”). Pursuant to the November 2024 120 Columbia Amendment, the term of the lease is 74 months, beginning on December 1, 2024 and ending on January 31, 2031. The parties agreed to the base rent rate payable over the 74 month term as set forth in the November 2024 120 Columbia Amendment. The base rent is initially $22,016 per month and includes fixed rent escalations beginning on December 1, 2025. The Company has two options to extend the term of the lease at the end of the current term, with each option to extend being for a 5 year term. The lessor provided $150,000 in tenant allowances. Under the lease agreement, the Company is required to pay approximately $1.8 million in future minimum lease payments of which $22,000</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21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thousand will be paid in 2024, $0.3 million will be paid in each year during 2025, 2026, 2027 and 2028, and $0.6 million will be paid thereafter.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100 Columbia</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 xml:space="preserve">On April 18, 2024, the Company entered into a Fifth Amendment to that certain Commercial Lease Agreement, dated August 31, 2015, as amended November 23, 2015, December 22, 2015, January 18, 2016, and November 12, 2016, with Accuride International Inc., for an approximately 42,106 square foot industrial facility located at 100 Columbia in Aliso Viejo, California (the “April 2024 100 Columbia Amendment”). Pursuant to the April 2024 100 Columbia Amendment, the term of the lease was extended 76 months, beginning on October 1, 2024 and ending on January 31, 2031. The parties agreed to the base rent rate payable over the 76 month term as set forth in the April 2024 100 Columbia Amendment. The base rent is initially $64,843 per month and includes fixed rent escalations beginning on October 1, 2025. The Company has two options to extend the term of the lease at the end of the current term, with each option to extend being for a 5 year term. The lessor provided $50,000 in tenant allowances. </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 xml:space="preserve">On June 3, 2024, the Company entered into a Sixth Amendment to that certain Commercial Lease Agreement, dated August 31, 2015, as amended April 18, 2024 as amended November 23, 2015, December 22, 2015, January 18, 2016, and November 12, 2016, with Accuride International Inc., for the property located at 100 Columbia in Aliso Viejo, California (the “June 2024 100 Columbia Amendment”). The June 2024 100 Columbia Amendment updated certain notification requirements. </w:t>
      </w:r>
    </w:p>
    <w:p>
      <w:pPr>
        <w:pStyle w:val="TextBody"/>
        <w:bidi w:val="0"/>
        <w:spacing w:before="120" w:after="283"/>
        <w:jc w:val="left"/>
        <w:rPr>
          <w:rFonts w:ascii="Times New Roman" w:hAnsi="Times New Roman"/>
          <w:sz w:val="20"/>
        </w:rPr>
      </w:pPr>
      <w:r>
        <w:rPr>
          <w:rFonts w:ascii="Times New Roman" w:hAnsi="Times New Roman"/>
          <w:i/>
          <w:color w:val="000000"/>
          <w:sz w:val="20"/>
        </w:rPr>
        <w:t>125 Columbia</w:t>
      </w:r>
      <w:r>
        <w:rPr>
          <w:rFonts w:ascii="Times New Roman" w:hAnsi="Times New Roman"/>
          <w:color w:val="000000"/>
          <w:sz w:val="20"/>
        </w:rPr>
        <w:t xml:space="preserve"> </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 xml:space="preserve">On April 18, 2024, the Company entered into a Standard Industrial/Commercial Single-Tenant Lease – Net (the “125 Columbia Lease”) with BML Management, LLC, for an approximately 26,825 square foot industrial and research and development facility in Aliso Viejo, California. The 125 Columbia Lease commences on June 1, 2024 and will end on January 31, 2031. The Company has two options to extend the term of the 125 Columbia Lease, with each option to extend being for a term of 60 months, commencing when the prior term expires. The base rent is initially $41,579 per month, payable on the first day of each month commencing on June 1, 2024, subject to adjustment as set forth in the 125 Columbia Lease. </w:t>
      </w:r>
    </w:p>
    <w:p>
      <w:pPr>
        <w:pStyle w:val="TextBody"/>
        <w:bidi w:val="0"/>
        <w:spacing w:before="120" w:after="283"/>
        <w:jc w:val="left"/>
        <w:rPr>
          <w:rFonts w:ascii="Times New Roman" w:hAnsi="Times New Roman"/>
          <w:sz w:val="20"/>
        </w:rPr>
      </w:pPr>
      <w:r>
        <w:rPr>
          <w:rFonts w:ascii="Times New Roman" w:hAnsi="Times New Roman"/>
          <w:i/>
          <w:color w:val="000000"/>
          <w:sz w:val="20"/>
        </w:rPr>
        <w:t>5 Columbia</w:t>
      </w:r>
      <w:r>
        <w:rPr>
          <w:rFonts w:ascii="Times New Roman" w:hAnsi="Times New Roman"/>
          <w:color w:val="000000"/>
          <w:sz w:val="20"/>
        </w:rPr>
        <w:t xml:space="preserve"> </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 xml:space="preserve">On April 18, 2024 and June 3, 2024, the Company entered into Lease Amendment #2 and Lease Amendment #3, respectively to that certain Lease Agreement dated January 10, 2018, as amended on April 5, 2022, with Clifford D. Downs, for an approximately 19,680 square foot industrial facility located at 5 Columbia in Aliso Viejo, California (collectively the “5 Columbia Amendments”). Pursuant to the 5 Columbia Amendments, the term of the lease was extended 70 months, beginning on April 1, 2025 and ending on January 31, 2031. The parties agreed to the base rent rate payable over the 70 month term as set forth in the 5 Columbia Amendments. The base rent is initially $30,701 per month and includes fixed rent escalations beginning on April 1, 2027. The Company has two options to extend the term of the lease, with each option to extend being for a term of 60 months, commencing when the prior term expires.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22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360"/>
        <w:jc w:val="left"/>
        <w:rPr>
          <w:rFonts w:ascii="Times New Roman" w:hAnsi="Times New Roman"/>
          <w:color w:val="000000"/>
          <w:sz w:val="20"/>
        </w:rPr>
      </w:pPr>
      <w:r>
        <w:rPr>
          <w:rFonts w:ascii="Times New Roman" w:hAnsi="Times New Roman"/>
          <w:color w:val="000000"/>
          <w:sz w:val="20"/>
        </w:rPr>
        <w:t>The following table presents the lease balances within the Condensed Consolidated Balance Sheets as of September 30, 2024 and December 31, 2023 (in thousands):</w:t>
      </w:r>
    </w:p>
    <w:tbl>
      <w:tblPr>
        <w:tblW w:w="8312" w:type="dxa"/>
        <w:jc w:val="left"/>
        <w:tblInd w:w="0" w:type="dxa"/>
        <w:tblLayout w:type="fixed"/>
        <w:tblCellMar>
          <w:top w:w="28" w:type="dxa"/>
          <w:left w:w="28" w:type="dxa"/>
          <w:bottom w:w="28" w:type="dxa"/>
          <w:right w:w="28" w:type="dxa"/>
        </w:tblCellMar>
      </w:tblPr>
      <w:tblGrid>
        <w:gridCol w:w="1831"/>
        <w:gridCol w:w="146"/>
        <w:gridCol w:w="2941"/>
        <w:gridCol w:w="146"/>
        <w:gridCol w:w="310"/>
        <w:gridCol w:w="995"/>
        <w:gridCol w:w="146"/>
        <w:gridCol w:w="146"/>
        <w:gridCol w:w="339"/>
        <w:gridCol w:w="92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right-of-use assets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For the three and nine months ended September 30, 2024 and 2023, the components of operating and finance lease expenses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6"/>
        <w:gridCol w:w="146"/>
        <w:gridCol w:w="2497"/>
        <w:gridCol w:w="146"/>
        <w:gridCol w:w="366"/>
        <w:gridCol w:w="731"/>
        <w:gridCol w:w="253"/>
        <w:gridCol w:w="253"/>
        <w:gridCol w:w="366"/>
        <w:gridCol w:w="731"/>
        <w:gridCol w:w="146"/>
        <w:gridCol w:w="146"/>
        <w:gridCol w:w="306"/>
        <w:gridCol w:w="829"/>
        <w:gridCol w:w="212"/>
        <w:gridCol w:w="212"/>
        <w:gridCol w:w="306"/>
        <w:gridCol w:w="829"/>
        <w:gridCol w:w="194"/>
      </w:tblGrid>
      <w:tr>
        <w:trPr/>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9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7" w:type="dxa"/>
            <w:gridSpan w:val="2"/>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0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5"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35"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4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53"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4" w:type="dxa"/>
            <w:tcBorders/>
            <w:shd w:fill="FFFFFF" w:val="clear"/>
            <w:vAlign w:val="center"/>
          </w:tcPr>
          <w:p>
            <w:pPr>
              <w:pStyle w:val="TableContents"/>
              <w:bidi w:val="0"/>
              <w:spacing w:before="0" w:after="283"/>
              <w:jc w:val="left"/>
              <w:rPr/>
            </w:pPr>
            <w:r>
              <w:rPr/>
              <w:t> </w:t>
            </w:r>
          </w:p>
        </w:tc>
      </w:tr>
      <w:tr>
        <w:trPr/>
        <w:tc>
          <w:tcPr>
            <w:tcW w:w="15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53"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4" w:type="dxa"/>
            <w:tcBorders/>
            <w:shd w:fill="CFF0FC" w:val="cle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7" w:type="dxa"/>
            <w:gridSpan w:val="2"/>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5" w:type="dxa"/>
            <w:gridSpan w:val="2"/>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35"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5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253"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94" w:type="dxa"/>
            <w:tcBorders/>
            <w:shd w:fill="CFF0FC" w:val="cle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7" w:type="dxa"/>
            <w:gridSpan w:val="2"/>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0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5" w:type="dxa"/>
            <w:gridSpan w:val="2"/>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35"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vAlign w:val="center"/>
          </w:tcPr>
          <w:p>
            <w:pPr>
              <w:pStyle w:val="TableContents"/>
              <w:bidi w:val="0"/>
              <w:spacing w:before="0" w:after="283"/>
              <w:jc w:val="left"/>
              <w:rPr/>
            </w:pPr>
            <w:r>
              <w:rPr/>
              <w:t> </w:t>
            </w:r>
          </w:p>
        </w:tc>
        <w:tc>
          <w:tcPr>
            <w:tcW w:w="24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253"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4" w:type="dxa"/>
            <w:tcBorders/>
            <w:shd w:fill="FFFFFF" w:val="clear"/>
            <w:vAlign w:val="center"/>
          </w:tcPr>
          <w:p>
            <w:pPr>
              <w:pStyle w:val="TableContents"/>
              <w:bidi w:val="0"/>
              <w:spacing w:before="0" w:after="283"/>
              <w:jc w:val="left"/>
              <w:rPr/>
            </w:pPr>
            <w:r>
              <w:rPr/>
              <w:t> </w:t>
            </w:r>
          </w:p>
        </w:tc>
      </w:tr>
      <w:tr>
        <w:trPr/>
        <w:tc>
          <w:tcPr>
            <w:tcW w:w="15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53"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4" w:type="dxa"/>
            <w:tcBorders/>
            <w:shd w:fill="CFF0FC" w:val="cle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53"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4" w:type="dxa"/>
            <w:tcBorders/>
            <w:shd w:fill="FFFFFF" w:val="clear"/>
            <w:vAlign w:val="center"/>
          </w:tcPr>
          <w:p>
            <w:pPr>
              <w:pStyle w:val="TableContents"/>
              <w:bidi w:val="0"/>
              <w:spacing w:before="0" w:after="283"/>
              <w:jc w:val="left"/>
              <w:rPr/>
            </w:pPr>
            <w:r>
              <w:rPr/>
              <w:t> </w:t>
            </w:r>
          </w:p>
        </w:tc>
      </w:tr>
    </w:tbl>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Maturities of the Company’s operating and finance lease liabilities as of September 30, 2024 were as follows (in thousands):</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326"/>
        <w:gridCol w:w="146"/>
        <w:gridCol w:w="232"/>
        <w:gridCol w:w="744"/>
        <w:gridCol w:w="166"/>
        <w:gridCol w:w="146"/>
        <w:gridCol w:w="260"/>
        <w:gridCol w:w="521"/>
        <w:gridCol w:w="5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591" w:type="dxa"/>
            <w:tcBorders/>
            <w:shd w:fill="FFFFFF" w:val="cle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3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2024 (remainder)</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3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3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3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3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3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3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3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23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The weighted average remaining lease term and weighted average discount rate used to determine lease liabilities related to the Company’s operating and finance leases as of September 30, 2024 and December 31, 2023 were:</w:t>
      </w:r>
    </w:p>
    <w:tbl>
      <w:tblPr>
        <w:tblW w:w="7545" w:type="dxa"/>
        <w:jc w:val="left"/>
        <w:tblInd w:w="0" w:type="dxa"/>
        <w:tblLayout w:type="fixed"/>
        <w:tblCellMar>
          <w:top w:w="28" w:type="dxa"/>
          <w:left w:w="28" w:type="dxa"/>
          <w:bottom w:w="28" w:type="dxa"/>
          <w:right w:w="28" w:type="dxa"/>
        </w:tblCellMar>
      </w:tblPr>
      <w:tblGrid>
        <w:gridCol w:w="3901"/>
        <w:gridCol w:w="146"/>
        <w:gridCol w:w="310"/>
        <w:gridCol w:w="995"/>
        <w:gridCol w:w="271"/>
        <w:gridCol w:w="146"/>
        <w:gridCol w:w="300"/>
        <w:gridCol w:w="960"/>
        <w:gridCol w:w="5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6" w:type="dxa"/>
            <w:tcBorders/>
            <w:shd w:fill="FFFFFF" w:val="cle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Term and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516"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Note 8 – Commitments and Contingencies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Letter of credit</w:t>
      </w:r>
      <w:r>
        <w:rPr>
          <w:rFonts w:ascii="Times New Roman" w:hAnsi="Times New Roman"/>
          <w:color w:val="000000"/>
          <w:sz w:val="20"/>
        </w:rPr>
        <w:t xml:space="preserve"> </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The Company's standby letter of credit was not required to be renewed and expired on September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Matters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September 30, 2024 and December 31, 2023,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pStyle w:val="TextBody"/>
        <w:bidi w:val="0"/>
        <w:spacing w:before="120" w:after="283"/>
        <w:jc w:val="left"/>
        <w:rPr/>
      </w:pPr>
      <w:r>
        <w:rPr/>
        <w:t> </w:t>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the related notes to those statements included elsewhere in this report and our audited consolidated financial statements and related notes thereto for the year ended December 31, 2023, included in our Annual Report on Form 10-K filed with the U.S. Securities and Exchange Commission on February 28, 2024.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w:t>
      </w:r>
      <w:r>
        <w:rPr>
          <w:rFonts w:ascii="Times New Roman" w:hAnsi="Times New Roman"/>
          <w:color w:val="000000"/>
          <w:sz w:val="20"/>
        </w:rPr>
        <w:t>”</w:t>
      </w:r>
      <w:r>
        <w:rPr>
          <w:rFonts w:ascii="Times New Roman" w:hAnsi="Times New Roman"/>
          <w:i/>
          <w:color w:val="000000"/>
          <w:sz w:val="20"/>
        </w:rPr>
        <w:t>, and elsewhere in, this report. See “Special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commercial-stage medical technology company dedicated to providing high quality customized vision to patients following cataract surgery. Our proprietary RxSight® Light Adjustable Lens system (“RxSight system”) is the first and only commercially available premium cataract technology that enables doctors to customize and optimize visual acuity for patients after surgery. The RxSight system is comprised of our RxSight Light Adjustable Lens® (“LAL” and “LAL+”, collectively the “LAL”), RxSight Light Delivery Device (“LDD”), and accessories. Our LAL is a premium intraocular lens (“IOL”) made of proprietary photosensitive material that changes shape in response to specific patterns of ultraviolet (“UV”) light generated by our LDD.</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24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isn’t exact, the patient may experience suboptimal results that could necessitate a subsequent corneal refractive procedure or certain other compromises in order to reach vision targets.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contrast, with the RxSight system, the surgeon implants the LAL during a standard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compete primarily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RxSight system is approved in the U.S., Europe, Canada and Mexico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opportunities. New approvals may also be sought in large foreign cataract markets with more complex regulatory processes such as Asia and Europe.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Delaware corporation headquartered in Aliso Viejo, California with one wholly owned subsidiary located in Amsterdam, Netherlands. The wholly owned subsidiary has a registered branch in the United Kingdom and a wholly owned subsidiary located in Germany.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efforts began in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 roughly 4,000 U.S. cataract surgeons that perform 70%-80% of all premium IOL procedures. As of September 30, 2024, we had established an installed base of 888 LDDs in ophthalmology practices and, since our inception through September 30, 2024, surgeons have implanted over 165,000 LALs.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 trainers will help facilitate further adoption of our products among existing customer accounts as well as broaden awareness of our products to new accounts. We plan to grow our business primarily by expanding the size of our LDD installed base and driving increased utilization of our LAL through heightened awareness of the superior clinical outcomes that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near-term research and development activities are focused on enhancements to the RxSight system to improve the patient and doctor experience, expand the range of patients that can be treated, as well as expand the RxSight system indications and drive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continue to make investments in our sales and marketing organization, primarily sales representatives, clinical applications specialists and technical service personnel to support new customers and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25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upgrades and LAL account managers to facilitate adoption of use of our LALs among existing accounts. We will expand our marketing efforts with additional print and digital, social media and other customer tools to expand their local advertising. We will also continue to make significant investments in research and development and clinical expenses to make enhancements in our current products. Additionally, as a public company, we have incurred and expect to continue to incur increased costs for employee-related expenses, director and officer insurance premiums, audit fees (including costs for compliance with Section 404(b) of the Sarbanes-Oxley Act), legal fees, investor relations fees, fees to members of our Board of Directors, and expenses for compliance with public-company reporting requirements. Because of these and other factors, we expect to continue to incur net losses and negative cash flows from operations in the near future.</w:t>
      </w:r>
    </w:p>
    <w:p>
      <w:pPr>
        <w:pStyle w:val="TextBody"/>
        <w:bidi w:val="0"/>
        <w:spacing w:before="120" w:after="283"/>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review several operating and financial metrics to evaluate our business, measure our performance, identify trends affecting our business, formulate our business plan and make strategic decisions. We believe the number of LDDs installed and LALs implanted are indicators of our ability to drive adoption and generate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number of LDDs sold in each quarter and our LDD installed base at the end of each period are important metrics as they represent an installed base into which we can sell our LALs. We also believe the number of LALs sold (reported as implanted in a patient) in each quarter is an important metric indicative of adoption and utilization of our RxSight system.</w:t>
      </w:r>
    </w:p>
    <w:tbl>
      <w:tblPr>
        <w:tblW w:w="9107" w:type="dxa"/>
        <w:jc w:val="left"/>
        <w:tblInd w:w="0" w:type="dxa"/>
        <w:tblLayout w:type="fixed"/>
        <w:tblCellMar>
          <w:top w:w="28" w:type="dxa"/>
          <w:left w:w="28" w:type="dxa"/>
          <w:bottom w:w="28" w:type="dxa"/>
          <w:right w:w="28" w:type="dxa"/>
        </w:tblCellMar>
      </w:tblPr>
      <w:tblGrid>
        <w:gridCol w:w="2611"/>
        <w:gridCol w:w="146"/>
        <w:gridCol w:w="146"/>
        <w:gridCol w:w="146"/>
        <w:gridCol w:w="421"/>
        <w:gridCol w:w="146"/>
        <w:gridCol w:w="146"/>
        <w:gridCol w:w="146"/>
        <w:gridCol w:w="421"/>
        <w:gridCol w:w="146"/>
        <w:gridCol w:w="146"/>
        <w:gridCol w:w="146"/>
        <w:gridCol w:w="421"/>
        <w:gridCol w:w="146"/>
        <w:gridCol w:w="146"/>
        <w:gridCol w:w="146"/>
        <w:gridCol w:w="146"/>
        <w:gridCol w:w="421"/>
        <w:gridCol w:w="146"/>
        <w:gridCol w:w="146"/>
        <w:gridCol w:w="146"/>
        <w:gridCol w:w="421"/>
        <w:gridCol w:w="146"/>
        <w:gridCol w:w="146"/>
        <w:gridCol w:w="146"/>
        <w:gridCol w:w="421"/>
        <w:gridCol w:w="146"/>
        <w:gridCol w:w="146"/>
        <w:gridCol w:w="146"/>
        <w:gridCol w:w="421"/>
        <w:gridCol w:w="14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LDDs Sold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Installed Base at End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9272" w:type="dxa"/>
        <w:jc w:val="left"/>
        <w:tblInd w:w="0" w:type="dxa"/>
        <w:tblLayout w:type="fixed"/>
        <w:tblCellMar>
          <w:top w:w="28" w:type="dxa"/>
          <w:left w:w="28" w:type="dxa"/>
          <w:bottom w:w="28" w:type="dxa"/>
          <w:right w:w="28" w:type="dxa"/>
        </w:tblCellMar>
      </w:tblPr>
      <w:tblGrid>
        <w:gridCol w:w="991"/>
        <w:gridCol w:w="146"/>
        <w:gridCol w:w="146"/>
        <w:gridCol w:w="146"/>
        <w:gridCol w:w="676"/>
        <w:gridCol w:w="146"/>
        <w:gridCol w:w="146"/>
        <w:gridCol w:w="146"/>
        <w:gridCol w:w="676"/>
        <w:gridCol w:w="146"/>
        <w:gridCol w:w="146"/>
        <w:gridCol w:w="146"/>
        <w:gridCol w:w="676"/>
        <w:gridCol w:w="146"/>
        <w:gridCol w:w="146"/>
        <w:gridCol w:w="146"/>
        <w:gridCol w:w="146"/>
        <w:gridCol w:w="676"/>
        <w:gridCol w:w="146"/>
        <w:gridCol w:w="146"/>
        <w:gridCol w:w="146"/>
        <w:gridCol w:w="676"/>
        <w:gridCol w:w="146"/>
        <w:gridCol w:w="146"/>
        <w:gridCol w:w="146"/>
        <w:gridCol w:w="676"/>
        <w:gridCol w:w="146"/>
        <w:gridCol w:w="146"/>
        <w:gridCol w:w="146"/>
        <w:gridCol w:w="676"/>
        <w:gridCol w:w="146"/>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LALs Sold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September 30, 2024, we had increased LDD sales of 12 and increased LAL sales of 10,897 when compared to the quarter ended September 30, 2023 from strong adoption of our RxSight technology by practices and doctors combined with an increased LDD installed base.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financial results may fluctuate as a result of a variety of factors many of which are outside our control. We may not yet be able to accurately assess seasonality and other trends, and we will continue to evaluate our business in the future using these and other financial metrics as we observe trends in our business.</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sales consist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LALs are held at customer sites on consignment. Revenue is recognized for LALs upon customer notification that the LALs have been implanted in a patient.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26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For the three and nine months ended September 30, 2024 and 2023, revenue from contracts with customers consisted of the following (in thousands): </w:t>
      </w:r>
    </w:p>
    <w:tbl>
      <w:tblPr>
        <w:tblW w:w="10205" w:type="dxa"/>
        <w:jc w:val="left"/>
        <w:tblInd w:w="0" w:type="dxa"/>
        <w:tblLayout w:type="fixed"/>
        <w:tblCellMar>
          <w:top w:w="28" w:type="dxa"/>
          <w:left w:w="28" w:type="dxa"/>
          <w:bottom w:w="28" w:type="dxa"/>
          <w:right w:w="28" w:type="dxa"/>
        </w:tblCellMar>
      </w:tblPr>
      <w:tblGrid>
        <w:gridCol w:w="3759"/>
        <w:gridCol w:w="146"/>
        <w:gridCol w:w="301"/>
        <w:gridCol w:w="968"/>
        <w:gridCol w:w="208"/>
        <w:gridCol w:w="208"/>
        <w:gridCol w:w="301"/>
        <w:gridCol w:w="968"/>
        <w:gridCol w:w="146"/>
        <w:gridCol w:w="146"/>
        <w:gridCol w:w="291"/>
        <w:gridCol w:w="934"/>
        <w:gridCol w:w="202"/>
        <w:gridCol w:w="202"/>
        <w:gridCol w:w="291"/>
        <w:gridCol w:w="934"/>
        <w:gridCol w:w="200"/>
      </w:tblGrid>
      <w:tr>
        <w:trPr/>
        <w:tc>
          <w:tcPr>
            <w:tcW w:w="3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9" w:type="dxa"/>
            <w:gridSpan w:val="2"/>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26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 (including training)</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208"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29,030</w:t>
            </w:r>
          </w:p>
        </w:tc>
        <w:tc>
          <w:tcPr>
            <w:tcW w:w="202"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22,127</w:t>
            </w:r>
          </w:p>
        </w:tc>
        <w:tc>
          <w:tcPr>
            <w:tcW w:w="200" w:type="dxa"/>
            <w:tcBorders/>
            <w:shd w:fill="CFF0FC" w:val="cle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24,231</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67,975</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36,308</w:t>
            </w:r>
          </w:p>
        </w:tc>
        <w:tc>
          <w:tcPr>
            <w:tcW w:w="200" w:type="dxa"/>
            <w:tcBorders/>
            <w:shd w:fill="FFFFFF" w:val="clear"/>
            <w:vAlign w:val="center"/>
          </w:tcPr>
          <w:p>
            <w:pPr>
              <w:pStyle w:val="TableContents"/>
              <w:bidi w:val="0"/>
              <w:spacing w:before="0" w:after="283"/>
              <w:jc w:val="left"/>
              <w:rPr/>
            </w:pPr>
            <w:r>
              <w:rPr/>
              <w:t> </w:t>
            </w:r>
          </w:p>
        </w:tc>
      </w:tr>
      <w:tr>
        <w:trPr/>
        <w:tc>
          <w:tcPr>
            <w:tcW w:w="3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warranty, service contracts, and accessories</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35,314</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99,713</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60,497</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2024 and 2023 we did not have any one customer who individually accounted for more than 10% of revenue. </w:t>
      </w:r>
    </w:p>
    <w:p>
      <w:pPr>
        <w:pStyle w:val="TextBody"/>
        <w:bidi w:val="0"/>
        <w:spacing w:before="16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consist of materials, labor and manufacturing overhead internally to produce our products as well as the cost of shipping and handling. Overhead costs include the cost of quality assurance, material procurement, inventory control, facilities, equipment and operations supervision and management and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LDD, as is typical of many medical device capital equipment products, has a low gross margin, as the material cost of the LDD is significant, representing greater than 50% of the total cost to manufacture. In addition, we do not mark up our LDD substantially because LDDs, once sold, generate LAL procedures. Our LAL gross margin is higher, with low material cost but high fixed overhead costs. As our manufacturing volume of the LAL increases, we expect gross margin may improve significantly. </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27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w:t>
      </w:r>
    </w:p>
    <w:p>
      <w:pPr>
        <w:pStyle w:val="TextBody"/>
        <w:bidi w:val="0"/>
        <w:spacing w:before="1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interest incurred on our outstanding indebtedness and non-cash interest related to the amortization of debt discount and issuance costs associated with our indebtedness and interest on leases.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consists primarily of interest income earned on our short-term investments and cash equivalents.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September 30, 2024 and 2023</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September 30, 2024 and 2023 together with the dollar increase or decrease and percentage change in those items.</w:t>
      </w:r>
    </w:p>
    <w:tbl>
      <w:tblPr>
        <w:tblW w:w="9643" w:type="dxa"/>
        <w:jc w:val="left"/>
        <w:tblInd w:w="0" w:type="dxa"/>
        <w:tblLayout w:type="fixed"/>
        <w:tblCellMar>
          <w:top w:w="28" w:type="dxa"/>
          <w:left w:w="28" w:type="dxa"/>
          <w:bottom w:w="28" w:type="dxa"/>
          <w:right w:w="28" w:type="dxa"/>
        </w:tblCellMar>
      </w:tblPr>
      <w:tblGrid>
        <w:gridCol w:w="3756"/>
        <w:gridCol w:w="306"/>
        <w:gridCol w:w="983"/>
        <w:gridCol w:w="241"/>
        <w:gridCol w:w="212"/>
        <w:gridCol w:w="306"/>
        <w:gridCol w:w="1070"/>
        <w:gridCol w:w="166"/>
        <w:gridCol w:w="146"/>
        <w:gridCol w:w="211"/>
        <w:gridCol w:w="676"/>
        <w:gridCol w:w="146"/>
        <w:gridCol w:w="146"/>
        <w:gridCol w:w="146"/>
        <w:gridCol w:w="721"/>
        <w:gridCol w:w="411"/>
      </w:tblGrid>
      <w:tr>
        <w:trPr/>
        <w:tc>
          <w:tcPr>
            <w:tcW w:w="37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vAlign w:val="center"/>
          </w:tcPr>
          <w:p>
            <w:pPr>
              <w:pStyle w:val="TableContents"/>
              <w:bidi w:val="0"/>
              <w:spacing w:before="0" w:after="283"/>
              <w:jc w:val="left"/>
              <w:rPr/>
            </w:pPr>
            <w:r>
              <w:rPr/>
              <w:t> </w:t>
            </w:r>
          </w:p>
        </w:tc>
        <w:tc>
          <w:tcPr>
            <w:tcW w:w="3118"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6" w:type="dxa"/>
            <w:gridSpan w:val="6"/>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756" w:type="dxa"/>
            <w:tcBorders/>
            <w:shd w:fill="FFFFFF" w:val="clear"/>
            <w:vAlign w:val="center"/>
          </w:tcPr>
          <w:p>
            <w:pPr>
              <w:pStyle w:val="TableContents"/>
              <w:bidi w:val="0"/>
              <w:spacing w:before="0" w:after="283"/>
              <w:jc w:val="left"/>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percentages)</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35,314</w:t>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89"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3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6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306"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25,608</w:t>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411" w:type="dxa"/>
            <w:tcBorders/>
            <w:shd w:fill="FFFFFF" w:val="clear"/>
            <w:vAlign w:val="center"/>
          </w:tcPr>
          <w:p>
            <w:pPr>
              <w:pStyle w:val="TableContents"/>
              <w:bidi w:val="0"/>
              <w:spacing w:before="0" w:after="283"/>
              <w:jc w:val="left"/>
              <w:rPr/>
            </w:pPr>
            <w:r>
              <w:rPr/>
              <w:t> </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(9,226</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289"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3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30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w:t>
            </w:r>
          </w:p>
        </w:tc>
        <w:tc>
          <w:tcPr>
            <w:tcW w:w="306"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(expense) income, net: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06"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shd w:fill="CFF0FC" w:val="clear"/>
            <w:vAlign w:val="center"/>
          </w:tcPr>
          <w:p>
            <w:pPr>
              <w:pStyle w:val="TableContents"/>
              <w:bidi w:val="0"/>
              <w:spacing w:before="0" w:after="283"/>
              <w:jc w:val="left"/>
              <w:rPr/>
            </w:pPr>
            <w:r>
              <w:rPr/>
              <w:t> </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89"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3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short-term investments</w:t>
            </w:r>
          </w:p>
        </w:tc>
        <w:tc>
          <w:tcPr>
            <w:tcW w:w="30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24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FF0FC" w:val="cle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vAlign w:val="center"/>
          </w:tcPr>
          <w:p>
            <w:pPr>
              <w:pStyle w:val="TableContents"/>
              <w:bidi w:val="0"/>
              <w:spacing w:before="0" w:after="283"/>
              <w:jc w:val="left"/>
              <w:rPr/>
            </w:pPr>
            <w:r>
              <w:rPr/>
              <w:t> </w:t>
            </w:r>
          </w:p>
        </w:tc>
        <w:tc>
          <w:tcPr>
            <w:tcW w:w="1289"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37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28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increased by $13.1 million, or 59.1%, to $35.4 million for the three months ended September 30, 2024, from $22.2 million for the three months ended September 30, 2023. The increase in total sales was primarily due to the incremental sales of 10,897 LALs and 12 LDDs from strong adoption of our RxSight system by practices and doctors. </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increased by $1.6 million, or 19.2%, to $10.1 million for the three months ended September 30, 2024, from $8.5 million for the three months ended September 30, 2023, primarily due to the increase in the number of LALs and LDDs sold during the period. Gross margin increased to 71.4% in the three months ended September 30, 2024, from 61.8% for the three months ended September 30, 2023, primarily due to improved operating leverage, favorable product mix from a greater percentage of revenue from LAL sales, and increased margins on our LDD due to lower material costs.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SG&amp;A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expenses increased by $6.5 million, or 33.8%, to $25.6 million for the three months ended September 30, 2024, from $19.1 million for the three months ended September 30, 2023. This increase was primarily attributable to an increase in selling and marketing costs of $5.1 million (mainly due to increased salaries from increased headcount of 36), increased sales commissions, incentive bonuses and employee benefits of $2.7 million, $0.9 million of increased stock-based compensation expense, $0.8 million primarily due to additional post market study, in each case when compared to the three months ended September 30, 2023. General and administrative expenses increased $1.3 million due to increased personnel expenses of $0.8 million, and increased stock-based compensation of $0.8 million partially offset by $0.5 million of lower audit and audit related expenses in each case when compared to the three months ended September 30, 2023.</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by $1.7 million, or 24.5%, to $8.8 million for the three months ended September 30, 2024, from $7.1 million for the three months ended September 30, 2023. This increase was primarily attributable to $1.0 million due to increased facility costs and $0.5 million from increased stock-based compensation and $0.6 million in increased personnel costs when compared to the three months ended September 30, 2023.</w:t>
      </w:r>
    </w:p>
    <w:p>
      <w:pPr>
        <w:pStyle w:val="TextBody"/>
        <w:bidi w:val="0"/>
        <w:spacing w:before="1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increased $2.8 million to income of $2.9 million for the three months ended September 30, 2024, compared to income of $0.1 million for the three months ended September 30, 2023. The increase was primarily due to (i) increased interest income of $1.2 million, as compared to the prior year period, from higher interest rates earned on higher short term investment balances and (ii) lower loss on extinguishment of debt of $1.4 million due to the repayment of the Oxford term loan, as compared to the prior year period.</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29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nine months ended September 30, 2024 and 2023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nine months ended September 30, 2024 and 2023 together with the dollar increase or decrease and percentage change in those items:</w:t>
      </w:r>
    </w:p>
    <w:p>
      <w:pPr>
        <w:pStyle w:val="TextBody"/>
        <w:bidi w:val="0"/>
        <w:spacing w:before="120" w:after="283"/>
        <w:jc w:val="left"/>
        <w:rPr/>
      </w:pPr>
      <w:r>
        <w:rPr/>
        <w:t> </w:t>
      </w:r>
    </w:p>
    <w:tbl>
      <w:tblPr>
        <w:tblW w:w="9539" w:type="dxa"/>
        <w:jc w:val="left"/>
        <w:tblInd w:w="0" w:type="dxa"/>
        <w:tblLayout w:type="fixed"/>
        <w:tblCellMar>
          <w:top w:w="28" w:type="dxa"/>
          <w:left w:w="28" w:type="dxa"/>
          <w:bottom w:w="28" w:type="dxa"/>
          <w:right w:w="28" w:type="dxa"/>
        </w:tblCellMar>
      </w:tblPr>
      <w:tblGrid>
        <w:gridCol w:w="3756"/>
        <w:gridCol w:w="287"/>
        <w:gridCol w:w="1001"/>
        <w:gridCol w:w="225"/>
        <w:gridCol w:w="198"/>
        <w:gridCol w:w="287"/>
        <w:gridCol w:w="1001"/>
        <w:gridCol w:w="166"/>
        <w:gridCol w:w="146"/>
        <w:gridCol w:w="211"/>
        <w:gridCol w:w="676"/>
        <w:gridCol w:w="146"/>
        <w:gridCol w:w="146"/>
        <w:gridCol w:w="146"/>
        <w:gridCol w:w="736"/>
        <w:gridCol w:w="411"/>
      </w:tblGrid>
      <w:tr>
        <w:trPr/>
        <w:tc>
          <w:tcPr>
            <w:tcW w:w="37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vAlign w:val="center"/>
          </w:tcPr>
          <w:p>
            <w:pPr>
              <w:pStyle w:val="TableContents"/>
              <w:bidi w:val="0"/>
              <w:spacing w:before="0" w:after="283"/>
              <w:jc w:val="left"/>
              <w:rPr/>
            </w:pPr>
            <w:r>
              <w:rPr/>
              <w:t> </w:t>
            </w:r>
          </w:p>
        </w:tc>
        <w:tc>
          <w:tcPr>
            <w:tcW w:w="2999"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1" w:type="dxa"/>
            <w:gridSpan w:val="6"/>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756" w:type="dxa"/>
            <w:tcBorders/>
            <w:shd w:fill="FFFFFF" w:val="clear"/>
            <w:vAlign w:val="center"/>
          </w:tcPr>
          <w:p>
            <w:pPr>
              <w:pStyle w:val="TableContents"/>
              <w:bidi w:val="0"/>
              <w:spacing w:before="0" w:after="283"/>
              <w:jc w:val="left"/>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percentages)</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99,713</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29,558</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70,155</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88" w:type="dxa"/>
            <w:gridSpan w:val="2"/>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12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73,225</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25,160</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11" w:type="dxa"/>
            <w:tcBorders/>
            <w:shd w:fill="FFFFFF" w:val="clear"/>
            <w:vAlign w:val="center"/>
          </w:tcPr>
          <w:p>
            <w:pPr>
              <w:pStyle w:val="TableContents"/>
              <w:bidi w:val="0"/>
              <w:spacing w:before="0" w:after="283"/>
              <w:jc w:val="left"/>
              <w:rPr/>
            </w:pPr>
            <w:r>
              <w:rPr/>
              <w:t> </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98,385</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(28,230</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288" w:type="dxa"/>
            <w:gridSpan w:val="2"/>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left"/>
              <w:rPr/>
            </w:pPr>
            <w:r>
              <w:rPr/>
              <w:t> </w:t>
            </w:r>
          </w:p>
        </w:tc>
        <w:tc>
          <w:tcPr>
            <w:tcW w:w="12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6,767</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(21,479</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88" w:type="dxa"/>
            <w:gridSpan w:val="2"/>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left"/>
              <w:rPr/>
            </w:pPr>
            <w:r>
              <w:rPr/>
              <w:t> </w:t>
            </w:r>
          </w:p>
        </w:tc>
        <w:tc>
          <w:tcPr>
            <w:tcW w:w="12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short-term investments</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(20,991</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sz w:val="20"/>
        </w:rPr>
      </w:pPr>
      <w:r>
        <w:rPr>
          <w:rFonts w:ascii="Times New Roman" w:hAnsi="Times New Roman"/>
          <w:b/>
          <w:i/>
          <w:color w:val="000000"/>
          <w:sz w:val="20"/>
        </w:rPr>
        <w:t>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increased by $39.2 million, or 64.8%, to $99.7 million for the nine months ended September 30, 2024, from $60.5 million for the nine months ended September 30, 2023. The increase was due to incremental sales of 32,184 LALs primarily due to an increased LDD installed base and incremental sales of 33 LDDs from strong adoption of our RxSight technology by practices and doctors combined with an increased LDD installed base.</w:t>
      </w:r>
    </w:p>
    <w:p>
      <w:pPr>
        <w:pStyle w:val="TextBody"/>
        <w:bidi w:val="0"/>
        <w:spacing w:before="16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increased by $5.2 million, or 21.2%, to $29.6 million for the nine months ended September 30, 2024 from $24.4 million for the nine months ended September 30, 2023, primarily due to the increase in the number of LALs and LDDs sold during the period. Gross margin increased to 70.4% for the nine months ended September 30, 2024 from 59.7% for the nine months ended September 30, 2023, primarily due to favorable product mix from a greater percentage of revenue from LAL sales and increased margins on our LDD due to lower material costs from the introduction of our compact LDD during the third quarter of 2023. </w:t>
      </w:r>
    </w:p>
    <w:p>
      <w:pPr>
        <w:pStyle w:val="TextBody"/>
        <w:bidi w:val="0"/>
        <w:spacing w:before="160" w:after="283"/>
        <w:jc w:val="left"/>
        <w:rPr>
          <w:rFonts w:ascii="Times New Roman" w:hAnsi="Times New Roman"/>
          <w:sz w:val="20"/>
        </w:rPr>
      </w:pPr>
      <w:r>
        <w:rPr>
          <w:rFonts w:ascii="Times New Roman" w:hAnsi="Times New Roman"/>
          <w:b/>
          <w:i/>
          <w:color w:val="000000"/>
          <w:sz w:val="20"/>
        </w:rPr>
        <w:t>SG&amp;A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SG&amp;A expenses increased by $19.6 million, or 36.5%, to $73.2 million for the nine months ended September 30, 2024, from $53.6 million for the nine months ended September 30, 2023. This increase was primarily attributable to an increase in selling and marketing costs of $14.0 million (mainly due to increased salaries from increased headcount of 36), increased sales commissions, incentive bonuses and employee benefits of $7.2 million, $2.3 million of increased stock-based compensation expense, $2.4 million in additional post market study costs, and new customer acquisition costs and increased travel costs of $0.9 million from increased LDD sales, in each case when compared to the nine months ended September 30, 2023. General and administrative expenses increased $5.5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30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million due to increased personnel expenses of $2.1 million, increased stock-based compensation of $1.4 million and increased facility costs of $1.4 million when compared to the nine months ended September 30, 2023.</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by $3.5 million, or 15.9%, to $25.2 million for the nine months ended September 30, 2024, from $21.7 million for the nine months ended September 30, 2023. This increase was primarily attributable to $0.9 million in increased personnel costs primarily from increased headcount and $1.2 million from increased stock-based compensation.</w:t>
      </w:r>
    </w:p>
    <w:p>
      <w:pPr>
        <w:pStyle w:val="TextBody"/>
        <w:bidi w:val="0"/>
        <w:spacing w:before="1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was income of $6.8 million for the nine months ended September 30, 2024, as compared to expense of $0.2 million for the nine months ended September 30, 2023. The increase was primarily due to (i) decreased interest expense of $3.3 million between periods, (ii) a $1.8 million decrease in the loss from extinguishment of term loan in 2023 due to the repayment of the Oxford term loan, and (iii) increased interest income between periods of $1.9 million from higher interest rates earned on higher short-term investment balances. </w:t>
      </w:r>
    </w:p>
    <w:p>
      <w:pPr>
        <w:pStyle w:val="TextBody"/>
        <w:bidi w:val="0"/>
        <w:spacing w:before="1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and negative cash flows from operations since our inception, and we anticipate that we will incur significant losses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we had cash, cash equivalents and short-term investments of $237.1 million. For the nine months ended September 30, 2024, and 2023, our loss from operations were $28.2 million and $39.2 million, respectively. We had an accumulated deficit of $616.2 million as of September 30, 2024. </w:t>
      </w:r>
    </w:p>
    <w:p>
      <w:pPr>
        <w:pStyle w:val="TextBody"/>
        <w:bidi w:val="0"/>
        <w:spacing w:before="16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Shelf Registration Statement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8, 2024, we filed an automatic shelf registration statement on Form S-3 (“shelf registration statement”). The shelf registration statement is effective for three years and permits us to sell, from time to time, common stock, preferred stock, debt securities, warrants, and/or units. The shelf registration statement is intended to provide us with the flexibility to access additional capital. At the time of filing the shelf registration statement, we also filed a prospectus supplement to sell up to an aggregate value of $115.0 million dollars of common stock through a public offering (“Public Offering”). </w:t>
      </w:r>
    </w:p>
    <w:p>
      <w:pPr>
        <w:pStyle w:val="TextBody"/>
        <w:bidi w:val="0"/>
        <w:spacing w:before="120" w:after="283"/>
        <w:jc w:val="left"/>
        <w:rPr>
          <w:rFonts w:ascii="Times New Roman" w:hAnsi="Times New Roman"/>
          <w:sz w:val="20"/>
        </w:rPr>
      </w:pPr>
      <w:r>
        <w:rPr>
          <w:rFonts w:ascii="Times New Roman" w:hAnsi="Times New Roman"/>
          <w:b/>
          <w:i/>
          <w:color w:val="000000"/>
          <w:sz w:val="20"/>
        </w:rPr>
        <w:t>Public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8, 2024, we entered into an underwriting agreement with BofA Securities, Inc., in which we agreed to issue and sell 1,785,714 shares of our common stock in the Public Offering, pursuant to the shelf registration statement. The shares of common stock were sold at a price to the public of $56.00 per share. Under the terms of the underwriting agreement, we also granted the underwriters an option exercisable for 30 days from the date of the underwriting agreement to purchase up to an additional 267,857 shares of common stock on the same terms and conditions. The underwriters' option was exercised in full on May 10, 2024 and the Public Offering (inclusive of the underwriters' option shares) closed on May 13, 2024. We received net proceeds of approximately $107.5 million from the Public Offering, after deducting underwriters' discounts and commissions of $6.9 million and other offering expenses of $0.6 million.</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60" w:after="283"/>
        <w:jc w:val="left"/>
        <w:rPr>
          <w:rFonts w:ascii="Times New Roman" w:hAnsi="Times New Roman"/>
          <w:sz w:val="20"/>
        </w:rPr>
      </w:pPr>
      <w:r>
        <w:rPr>
          <w:rFonts w:ascii="Times New Roman" w:hAnsi="Times New Roman"/>
          <w:b/>
          <w:i/>
          <w:color w:val="000000"/>
          <w:sz w:val="20"/>
        </w:rPr>
        <w:t>November 2024 lease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100 Columbia lease to include 120 Columbia Suites 300, 400 and 500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6, 2024, we entered into a new lease amendment to one of our existing leases comprising our headquarters, manufacturing, research and development and administrative offices in Aliso Viejo, California. We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31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entered into the new amended lease to have continued long-term access to our facilities and acquire additional square footage. </w:t>
      </w:r>
    </w:p>
    <w:p>
      <w:pPr>
        <w:pStyle w:val="TextBody"/>
        <w:bidi w:val="0"/>
        <w:spacing w:before="160" w:after="283"/>
        <w:jc w:val="left"/>
        <w:rPr>
          <w:rFonts w:ascii="Times New Roman" w:hAnsi="Times New Roman"/>
          <w:sz w:val="20"/>
        </w:rPr>
      </w:pPr>
      <w:r>
        <w:rPr>
          <w:rFonts w:ascii="Times New Roman" w:hAnsi="Times New Roman"/>
          <w:b/>
          <w:i/>
          <w:color w:val="000000"/>
          <w:sz w:val="20"/>
        </w:rPr>
        <w:t>April 2024 lease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18, 2024, we entered into a new lease, and amendments to two existing leases, for three of our four facilities comprising our headquarters, manufacturing, research and development and administrative offices in Aliso Viejo, California. We entered into the new lease and amended two existing leases to extend the rental terms and options, ensure continued long-term access to our facilities, acquire additional square footage to expand manufacturing, and align the lease end dates for each of our four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7 – Leases in the Notes to the condensed consolidated financial statements included in this report.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Standby letter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standby letter of credit was not required to be renewed and expired on September 30, 2024.</w:t>
      </w:r>
    </w:p>
    <w:p>
      <w:pPr>
        <w:pStyle w:val="TextBody"/>
        <w:bidi w:val="0"/>
        <w:spacing w:before="12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liquidity and capital funding requirements will depend on numerous factors, including: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growth, including potential international expansion;</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efforts;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sales and marketing activities;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working capital investments, primarily in inventories and accounts receivable;</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or borrow to finance our operations;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costs and timing of any clinical trial results for our current or future products;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and effect of competing or complementary products;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our current employees and the need and ability to hire additional management, sales, research and development, scientific and customer support personnel;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collaborative, licensing or other arrangements that we have or may establish;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and finance lease payments for our facilities; and</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We may also opportunistically raise capital under advantageous circumstances from time to time, such as the Public Offering, in order to support the expansion of our sales and operations in the U.S. and internationally and to pursue other business opportunities. If we determine that we need to raise additional funds,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32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 If we raise additional funds by issuing equity securities, our stockholders may experience dilution.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Part II, Item 1A (“Risk Factors”) of this report for additional risks associated with our substantial capital requirements.</w:t>
      </w:r>
    </w:p>
    <w:p>
      <w:pPr>
        <w:pStyle w:val="TextBody"/>
        <w:bidi w:val="0"/>
        <w:spacing w:before="16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cash equivalents, and restricted cash for each of the periods presented below (in thousands): </w:t>
      </w:r>
    </w:p>
    <w:tbl>
      <w:tblPr>
        <w:tblW w:w="9781" w:type="dxa"/>
        <w:jc w:val="left"/>
        <w:tblInd w:w="0" w:type="dxa"/>
        <w:tblLayout w:type="fixed"/>
        <w:tblCellMar>
          <w:top w:w="28" w:type="dxa"/>
          <w:left w:w="28" w:type="dxa"/>
          <w:bottom w:w="28" w:type="dxa"/>
          <w:right w:w="28" w:type="dxa"/>
        </w:tblCellMar>
      </w:tblPr>
      <w:tblGrid>
        <w:gridCol w:w="5566"/>
        <w:gridCol w:w="146"/>
        <w:gridCol w:w="334"/>
        <w:gridCol w:w="1332"/>
        <w:gridCol w:w="262"/>
        <w:gridCol w:w="231"/>
        <w:gridCol w:w="334"/>
        <w:gridCol w:w="1165"/>
        <w:gridCol w:w="4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center"/>
              <w:rPr/>
            </w:pPr>
            <w:r>
              <w:rP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1666" w:type="dxa"/>
            <w:gridSpan w:val="2"/>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149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w:t>
            </w:r>
          </w:p>
        </w:tc>
        <w:tc>
          <w:tcPr>
            <w:tcW w:w="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(100,631</w:t>
            </w:r>
          </w:p>
        </w:tc>
        <w:tc>
          <w:tcPr>
            <w:tcW w:w="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120,343</w:t>
            </w:r>
          </w:p>
        </w:tc>
        <w:tc>
          <w:tcPr>
            <w:tcW w:w="26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foreign exchange rate on cash, cash equivalents</w:t>
              <w:br/>
              <w:t>   and restricted cash</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nine months ended September 30, 2024, was $12.7 million, consisting primarily of a net loss of $21.5 million and a change in operating assets and liabilities of $5.6 million, partially offset by non-cash stock-based compensation of $17.4 million and depreciation and amortization of $3.1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nine months ended September 30, 2023, was $33.3 million, consisting primarily of a net loss of $39.4 million and a change in operating assets and liabilities of $5.9 million, partially offset by non-cash stock-based compensation of $11.3 million and depreciation and amortization of $3.0 million.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nine months ended September 30, 2024, was $100.6 million, consisting of net purchases of short-term investments of $96.0 million and purchases of property and equipment of $4.6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nine months ended September 30, 2023, was $26.7 million, consisting of net maturities of short-term investments of $23.5 million and purchases of property and equipment of $3.2 million. </w:t>
      </w:r>
    </w:p>
    <w:p>
      <w:pPr>
        <w:pStyle w:val="TextBody"/>
        <w:bidi w:val="0"/>
        <w:spacing w:before="160" w:after="283"/>
        <w:jc w:val="left"/>
        <w:rPr>
          <w:rFonts w:ascii="Times New Roman" w:hAnsi="Times New Roman"/>
          <w:sz w:val="20"/>
        </w:rPr>
      </w:pPr>
      <w:r>
        <w:rPr>
          <w:rFonts w:ascii="Times New Roman" w:hAnsi="Times New Roman"/>
          <w:b/>
          <w:color w:val="000000"/>
          <w:sz w:val="20"/>
        </w:rPr>
        <w:t>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nine months ended September 30, 2024, was $120.3 million consisting primarily of proceeds from issuances of common stock from the Public Offering of $108.1 million and, proceeds from issuance of common stock from stock option exercises of $17.8 million, partially offset by tax payments for employee stock compensation of $4.8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nine months ended September 30, 2023, was $58.0 million consisting primarily of proceeds from issuances of common stock from our public offering of $54.1 million, proceeds from issuance of common stock for at-the-market offerings of $42.4 million and proceeds from issuance of common stock of $5.9 million partially offset by a net paydown of the June 2023 LSA of $40.0 million.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33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February 28, 2024. We believe that the accounting policies we use are critical to the process of making significant judgments and estimates in the preparation of our financial statements and understanding and evaluating our reported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summary of our critical accounting policies and estimates, refer to “Management's Discussion and Analysis of Financial Condition and Results of Operations” included in our Annual Report on Form 10-K filed with the SEC on February 28, 2024. There have been no material changes to our critical accounting policies and estimates during the three months ended September 30, 2024.</w:t>
      </w:r>
    </w:p>
    <w:p>
      <w:pPr>
        <w:pStyle w:val="TextBody"/>
        <w:bidi w:val="0"/>
        <w:spacing w:before="16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our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 </w:t>
      </w:r>
    </w:p>
    <w:p>
      <w:pPr>
        <w:pStyle w:val="TextBody"/>
        <w:bidi w:val="0"/>
        <w:spacing w:before="1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section titled “Summary of Significant Accounting Policies—Recent Accounting Pronouncements” in Note 2 to our financial statements included elsewhere in this report for additional information.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Supply chain constraints and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34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 macroeconomic conditions including recent inflationary pressures and the rise in interest rates have created significant uncertainty in the U.S. economy and capital markets, which may continue through the remainder of 2024 and beyond and could negatively impact our financial results and liquidity. </w:t>
      </w:r>
    </w:p>
    <w:p>
      <w:pPr>
        <w:pStyle w:val="TextBody"/>
        <w:bidi w:val="0"/>
        <w:jc w:val="left"/>
        <w:rPr>
          <w:rFonts w:ascii="Times New Roman" w:hAnsi="Times New Roman"/>
          <w:sz w:val="20"/>
        </w:rPr>
      </w:pPr>
      <w:bookmarkStart w:id="10" w:name="item_3_quantitative_qualitative_disclosu"/>
      <w:bookmarkEnd w:id="10"/>
      <w:r>
        <w:rPr>
          <w:rFonts w:ascii="Times New Roman" w:hAnsi="Times New Roman"/>
          <w:b/>
          <w:color w:val="000000"/>
          <w:sz w:val="20"/>
        </w:rPr>
        <w:br/>
        <w:t>ITEM 3.</w:t>
      </w:r>
      <w:r>
        <w:rPr>
          <w:rFonts w:ascii="Times New Roman" w:hAnsi="Times New Roman"/>
          <w:color w:val="222222"/>
          <w:sz w:val="20"/>
        </w:rPr>
        <w:t xml:space="preserve"> </w:t>
      </w:r>
      <w:r>
        <w:rPr>
          <w:rFonts w:ascii="Times New Roman" w:hAnsi="Times New Roman"/>
          <w:b/>
          <w:color w:val="000000"/>
          <w:sz w:val="20"/>
        </w:rPr>
        <w:t>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is the potential loss arising from the adverse changes in market rates and prices.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Fluctuation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cash and cash equivalents and short-term investments of $237.1 million as of September 30, 2024, which consisted of $220.4 million in highly liquid money market and U.S. Treasury securities with maturities of twelve months or less.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and short-term investments. Declines in interest rates, however, would reduce future investment income. We considered the historical volatility of short-term interest rates and determined that it was reasonably possible that an adverse change of 100 basis points could be experienced in the near term. A hypothetical 1.00% (100 basis points) change in interest rates would not have materially impacted the fair value of our marketable securities as of September 30, 2024 and December 31, 2023. If overall interest rates had increased or decreased by 1.00% (100 basis points), our interest income would not have been materially affected during the quarter ended September 30, 2024 or September 30, 2023. </w:t>
      </w:r>
    </w:p>
    <w:p>
      <w:pPr>
        <w:pStyle w:val="TextBody"/>
        <w:bidi w:val="0"/>
        <w:spacing w:before="120" w:after="283"/>
        <w:jc w:val="left"/>
        <w:rPr>
          <w:rFonts w:ascii="Times New Roman" w:hAnsi="Times New Roman"/>
          <w:sz w:val="20"/>
        </w:rPr>
      </w:pPr>
      <w:r>
        <w:rPr>
          <w:rFonts w:ascii="Times New Roman" w:hAnsi="Times New Roman"/>
          <w:b/>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we have de minimis amounts of revenue and expenses that are denominated in currencies other than U.S. dollars.</w:t>
      </w:r>
    </w:p>
    <w:p>
      <w:pPr>
        <w:pStyle w:val="TextBody"/>
        <w:bidi w:val="0"/>
        <w:spacing w:before="16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w:t>
      </w:r>
      <w:r>
        <w:rPr>
          <w:rFonts w:ascii="Times New Roman" w:hAnsi="Times New Roman"/>
          <w:color w:val="222222"/>
          <w:sz w:val="20"/>
        </w:rPr>
        <w:t xml:space="preserve"> </w:t>
      </w:r>
      <w:r>
        <w:rPr>
          <w:rFonts w:ascii="Times New Roman" w:hAnsi="Times New Roman"/>
          <w:b/>
          <w:color w:val="000000"/>
          <w:sz w:val="20"/>
        </w:rPr>
        <w:t>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September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35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September 30, 2024 that have materially affected, or are reasonably likely to materially affect, our internal control over financial reporting.</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before="240" w:after="283"/>
        <w:jc w:val="center"/>
        <w:rPr>
          <w:rFonts w:ascii="Times New Roman" w:hAnsi="Times New Roman"/>
          <w:sz w:val="20"/>
        </w:rPr>
      </w:pPr>
      <w:bookmarkStart w:id="12" w:name="part_ii_or_information"/>
      <w:bookmarkEnd w:id="12"/>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w:t>
      </w:r>
    </w:p>
    <w:p>
      <w:pPr>
        <w:pStyle w:val="TextBody"/>
        <w:bidi w:val="0"/>
        <w:spacing w:before="120" w:after="283"/>
        <w:jc w:val="left"/>
        <w:rPr/>
      </w:pPr>
      <w:r>
        <w:rPr/>
        <w:t> </w:t>
      </w:r>
    </w:p>
    <w:p>
      <w:pPr>
        <w:pStyle w:val="TextBody"/>
        <w:bidi w:val="0"/>
        <w:spacing w:before="120" w:after="120"/>
        <w:jc w:val="left"/>
        <w:rPr>
          <w:rFonts w:ascii="Times New Roman" w:hAnsi="Times New Roman"/>
          <w:b/>
          <w:color w:val="000000"/>
          <w:sz w:val="20"/>
        </w:rPr>
      </w:pPr>
      <w:bookmarkStart w:id="14" w:name="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 and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and if we fail to effectively train our sales force, increase our sales and marketing capabilities, or develop broad brand awareness in a cost-effective manner, our growth will be impeded, and our business will suffer.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net operating losses, and we expect to continue to incur losses in the future. If we ever achieve profitability, we may not be able to sustain it.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support our continued operations and the growth of our business, we may seek to raise additional capital, which may not be available to us on acceptable terms, or at all.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and if we are unable to compete effectively, we may not be able to achieve or maintain significant market penetration or improve our results of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36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expand sales of our products internationally in the future, but we may experience difficulties in obtaining regulatory clearance or approval or in successfully marketing our products internationally even if approved.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variety of risks associated with marketing our products internationally could materially adversely affect our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political and market conditions, including downgrades of the U.S. credit rating, may adversely affect our business, results of operations and financial condition, including our revenue growth and profitability.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a significant disruption in our information technology systems or breaches of data security.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protect the confidentiality of our trade secrets and other proprietary information, our business and competitive position may be harmed.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 which could impair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obtain and maintain necessary regulatory clearances or approvals for our products, or if clearances or approvals for future products and indications are delayed or not issued, our commercial operations may be harmed.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reliance on third parties: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stock may be volatile, and you could lose all or part of your investment.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recruit, retain, manage and motivate qualified executives as we build out the management team, and we are highly dependent on our management team.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litigation proceedings could adversely affect our business.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 and products</w:t>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have a limited operating history and if we fail to effectively train our sales force, increase our sales and marketing capabilities or develop broad brand awareness in a cost-effective manner, our growth will be impeded, and our business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incorporated in March 1997 and began commercializing our products in the second half of 2019, when we initiated a full launch of our LAL and LDD.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37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have a history of net losses, and we expect to continue to incur losses in the future. If we ever achieve profitability, we may not be able to sustain 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from operations since our inception and expect to continue to incur losses from operations in the future. We reported losses from operations of $50.1 million and $63.3 million for the years ended December 31, 2023 and 2022, respectively, and $9.2 million for the three months ended September 30, 2024. As a result of these losses, as of September 30, 2024, we had an accumulated deficit of $616.2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costs associated with being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 order to support our continued operations and the growth of our business, we may seek to raise additional capital, which may not be available to us on acceptable terms, or at all.</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38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these and other factors, we expect to continue to incur net losses and negative cash flows from operations in the future. Our future liquidity and capital funding requirements will depend on numerous factors,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sales growth;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efforts;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sales and marketing activities;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leveraging future strategic partnerships;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working capital investments, primarily in inventories and accounts receivable;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borrow or raise additional funds through future debt or equity offerings to finance our operations;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costs and timing of any clinical trial results for our current or future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and effect of competing or complementary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amount of reimbursement for procedures using our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our current employees and the need and ability to hire additional management, sales, research and development, scientific and customer support personnel;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collaborative, licensing or other arrangements that we have or may establish;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and finance lease payments for our facilities;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39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favorable terms, or at all. Our ability to raise additional funds may be adversely impacted by potential worsening global economic conditions and the recent disruptions to, and volatility in, the credit and financial markets in the United States and worldwide resulting from the conflicts in Eastern Europe, the Middle East and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and December 31, 2023, we had $237.1 million and $127.2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we cannot assure you that we will be able to generate sufficient liquidity as and when needed. Further, although we do not anticipate the need to raise additional capital or incur additional debt in order to reach profit from operations, as such metric may be disclosed in the Company’s future Annual Reports on Form 10-K or Quarterly Reports on Form 10-Q filed with the SEC, though we may opportunistically seek to raise capital under advantageous circumstances from time to time in order to support the expansion of our sales and operations in the U.S. and internationally and to pursue other business opportunities.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Global economic, political and market conditions, including downgrades of the U.S. credit rating, may adversely affect our business, results of operations and financial condition, including our revenue growth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Deterioration in the economic conditions globally resulting in instability in global financial markets, including the following, may pose a risk to our business: inflation and rising interest rates, large sovereign debts and fiscal deficits of several countries in Europe and in emerging markets’ jurisdictions, levels of non-performing loans on the balance sheets of European banks, the effect of the United Kingdom leaving the European Union, and instability in the capital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social and political circumstances in the U.S.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U.S. and worldwide and have a material adverse effect on our business, financial conditions, results of operations and prospects.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40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actual and perceived effectiveness and reliability of our RxSight system, especially relative to alternative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patient events involving our RxSight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studies and trials relating to our RxSight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sustain meaningful clinical benefits for our patients;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regulatory approval to market our planned or future products for use in the United States or internationally;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relative cost and perceived advantages and disadvantages of alternative technologies or treatment methods for conditions treated by our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patient willingness to pay for the additional costs associated with our premium intraocular lens out of pocket;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doctors adopt our RxSight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rights in and to our RxSight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patients value the customized vision delivered by the RxSight system and are satisfied with their results;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achieving and maintaining compliance with regulatory requirements applicable to our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are successful in educating doctors about IOLs in general, and the benefits of our RxSight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among doctors;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our marketing and commercial organization;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marketing and sales efforts in the United States, including our efforts to build out our sales team;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the commercialization of our products into international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develop, validate and maintain a commercially viable manufacturing process that is compliant with the Quality Systems Regulations (“QSR”), or QSMR when it goes into effect in February 2026, and other applicable foreign, federal and state regulatory requirements;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ongoing or future clinical trials;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are required by the FDA or comparable non-U.S. regulatory authorities to conduct additional clinical trials for current or future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successfully market and sell our products, we will not be able to grow our revenue or achieve profitability, which will have a material adverse effect on our business, financial condition and results of operations.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41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Adoption of our products depends upon appropriate training for doctors, and inadequate training may lead to negative patient outcomes, affect adoption of our products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our RxSight system will depend upon attaining significant market acceptance of these products among patients and doctors.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RxSight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long-standing relationships with competing companies and distributors that sell other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response and negative selling efforts from providers of alternative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experience with our products and concerns that we are relatively new to market;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or perceived lack of sufficient clinical evidence, including long-term data, supporting safety or clinical benefits;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 commitment and skill development that may be required to gain familiarity and proficiency with our products;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42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confusion regarding the wide range of commercially available premium IOL offerings and their ability to deliver promised results at near, middle and far distances without reliance on glasses;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reticence to select a premium IOL due to nonperformance and adverse side effects associated with competing products in the market;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generate patient referral due to dissatisfaction with results obtained through treatment with our products, the out-of-pocket cost of treatments using our products or otherwise.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RxSight system involves surgical risks and is contraindicated in certain patients, which may limit adoption.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and Bausch + Lomb.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43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dilated. Due to these additional requirements, market acceptance of the LAL may be impacted. We believe the principal competitive factors in our markets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quality of patient outcomes, oftentimes measured by visual acuity, and adverse event rates;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experience, including patient recovery time and level of discomfort;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treating doctors and referral sources;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Doctor learning curves and willingness to adopt new technologies;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Ease-of-use and reliability;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benefits and cost savings;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Strength of clinical evidence;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distribution and marketing to surgeons and potential patients;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price and qualification for coverage and reimbursement.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compete primarily on the basis that our products are designed to enable more doctors to treat more patients more efficiently and effectively. Our continued success depends on our ability to: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innovative, proprietary products that address significant clinical needs in a manner that is safe and effective for patients and easy-to-use for doctors;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regulatory clearances or approvals;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safety and effectiveness in our sponsored and third-party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sales force across key markets to increase doctors’ awareness;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coverage and adequate reimbursement for procedures using our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and retain skilled research, development, sales and clinical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cost-effectively manufacture, market and sell our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doctors with a sufficient return on investment as compared to alternative premium IOL procedures that justifies the upfront cost of our LDD;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enforce and defend our intellectual property rights and operate our business without infringing, misappropriating or otherwise violating the intellectual property rights of others.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currently maintain our research and development, manufacturing and administrative operations in Aliso Viejo, California, and we do not have redundant facilities. We operate in four separate facilities, designated as a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44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single manufacturing facility, and should any one of these facilities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Furthermore, the current leases on our four facilities expire or have options to extend until January 31, 2031, with two options to extend for five years each.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Technological change may adversely affect sales of our products and may cause our products to become obsolete.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45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our clinical trials are unsuccessful or significantly delayed, or if we do not complete our clinical trials, our business may be harmed.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and timely completion of nonclinical studies or clinical development of our products, as well as the associated costs, including any unforeseen costs we may incur as a result of clinical trial delays;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enrollment in our clinical trials may be slower than we anticipate, or we may experience high screen failure rates in our clinical trials, resulting in significant delays;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produce negative or inconclusive results, and we may decide, or regulators may require us, to conduct additional clinical and/or preclinical testing which may be expensive and time-consuming;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trial results may not meet the level of statistical significance required by the FDA or other regulatory authorities;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similar foreign regulatory authorities may find that one or more of our products is not sufficiently safe for investigational use in humans;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similar foreign regulatory authorities may interpret data from preclinical testing and clinical trials in different ways than we do;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delays or failure in obtaining approval of our clinical trial protocols from the FDA or other regulatory authorities;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delays in obtaining institutional review board approvals or governmental approvals to conduct clinical trials at prospective sites;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similar foreign regulatory authorities may find our or our suppliers’ manufacturing processes or facilities unsatisfactory;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similar foreign regulatory authorities may change their review policies or adopt new regulations that may negatively affect or delay our ability to bring a product to market or receive approvals or clearances to treat new indications;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trouble in managing multiple clinical sites;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trouble finding patients to enroll in our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agreeing on acceptable terms with third-party research organizations and trial sites that may help us conduct the clinical trials;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regulators, may suspend or terminate our clinical trials because the participating patients are being exposed to unacceptable health risks.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Failures or perceived failures in our clinical trials will delay and may prevent our product development and regulatory approval process, damage our business prospects and negatively affect our reputation and competitive position.</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46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Unauthorized third parties may seek to access our devices or other products and services, or related devices, products, and services, and modify or use them in a way inconsistent with our FDA clearances and approvals, which may create risks to users.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experience a significant disruption in our information technology systems or breaches of data security.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rely upon the capacity, reliability and security of our information technology infrastructure and our ability to expand and continually update this infrastructure in response to our business needs. In some cases, we rely upon third-party hosting and support services to meet these needs. The internet has experienced increasingly sophisticated and damaging threats in the form of phishing emails, malware, malicious websites, ransomware, exploitation of application vulnerabilities, and nation-state attacks. It is also becoming more common for these attacks to leverage previously unknown vulnerabilities. The growing and evolving cyber-risk environment means that individuals, companies, and organizations of all sizes, including ourselves, our customers, suppliers and our hosting and support partners, are increasingly vulnerable to attacks and disruptions on their networks and systems by a wide range of actors on an ongoing and regular basis.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example, as previously disclosed, on May 2, 2024, an unauthorized actor targeted the personal cell phone number of an RxSight employee. On May 3, 2024, the unauthorized actor obtained unauthorized access to the employee’s cloud-based work account and to e-mails and files that were accessible from that account. We discovered the incident on the same day, May 3, 2024, promptly disabled the employee’s account, initiated response and investigation procedures, contacted our insurance provider, and retained external cybersecurity experts to assist in our response and investigation. While the unauthorized actor accessed and acquired copies of e-mail messages and other materials that were accessible from the employee’s cloud-based work account, our information systems were never interrupted and remained operational during this unauthorized access, and we have not observed any aspect of this incident will have a material impact on our operations, financial systems, or financial condition. However, there can be no assurance as to whether the incident will have a future material impact on our operations, financial systems, or financial condition and we remain subject to various risks due to the incident.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maintain information security tools and technologies, staff, policies and procedures for managing risk to our networks and information systems, and conduct employee training on cybersecurity designed to mitigate persistent and continuously evolving cybersecurity threats. Our network security controls are comprised of administrative, physical and technical controls, which include, but are not limited to, the implementation of firewalls, anti-virus protection, patches, log monitors, routine backups, off-site storage, network audits and other routine updates and modifications. We also routinely monitor and develop our internal information technology systems to address risks to our information systems. Any system failure, accident or security breach could result in disruptions to our business processes, network degradation, and system down time, along with the potential that a third-party will gain unauthorized access to, or acquire intellectual property, proprietary business information, and data related to our employees, customers, suppliers, and business partners, including personal data. To the extent that any disruption, degradation, downtime or other security event results in a loss or damage to our data or systems, or in inappropriate disclosure of confidential or personal data, it could adversely impact us and our customers, potentially resulting in, among other things, financial losses, loss of customers or business, our inability to transact business, adverse impact on our reputation, violations of applicable privacy, data protection, security and other laws, regulatory fines, penalties, litigation, reputational damage, reimbursement, or additional compliance and regulatory costs. We may also incur additional costs related to cybersecurity risk management and remediation. There can be no assurance that we or our service providers, if applicable, will not suffer losses relating to cyber-attacks or security breaches or incidents in the future or that our insurance coverage will be adequate to cover all the costs resulting from such events. No assurances can be given that our efforts to reduce the risk of such attacks or to detect attacks that occur will be successful and our failure to do so could have a material adverse effect on our business, financial condition and results of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47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or indication and fail to capitalize on products or indications that may be more profitable or for which there is a greater likelihood of success.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typical development cycle of new medical device products can be lengthy and complicated and may require complex technology and engineering. Such developments may involve external suppliers and service providers,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48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we fail to identify, acquire and develop other products, we may be unable to grow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we are unable to develop suitable potential products through internal research programs or by obtaining rights from third parties, it could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49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our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50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market and sell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 including changes to regulatory requirements and implementation of new regulations in foreign countries;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compliance with non-U.S. laws and regulations;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protection measures, import or export licensing requirements, or other restrictive actions by U.S. or non-U.S. governments;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51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52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not be able to achieve or maintain satisfactory pricing and margins for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sizes of the markets for our current and future products have not been established with precision and may be smaller than we estimate.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pStyle w:val="TextBody"/>
        <w:bidi w:val="0"/>
        <w:spacing w:before="120" w:after="120"/>
        <w:jc w:val="left"/>
        <w:rPr>
          <w:rFonts w:ascii="Times New Roman" w:hAnsi="Times New Roman"/>
          <w:sz w:val="20"/>
        </w:rPr>
      </w:pPr>
      <w:r>
        <w:rPr>
          <w:rFonts w:ascii="Times New Roman" w:hAnsi="Times New Roman"/>
          <w:b/>
          <w:i/>
          <w:color w:val="000000"/>
          <w:sz w:val="20"/>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53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quarterly and annual results may fluctuate significantly and may not fully reflect the underlying performance of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have expanded, and expect to continue to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and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Certain of our operating results and financial metrics may be difficult to predict as a result of seasonality.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to offset future taxable income may be subject to certain limitations.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December 31, 2023, we had federal net operating loss carryforwards (“NOLs”) of approximately $311.2 million, some of which will begin to expire in various years ranging from 2024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in tax years beginning after December 31, 2020 is limited to 80% of taxable income. It is uncertain if and to what extent various states will conform to the Tax Act, as modified by the CARES Act.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54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55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56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material adverse effect on our competitive position, business, financial conditions, results of operations and prospects.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Recently, the government released a draft framework that may be used by an agency when deciding to exercise its march-in rights for public comments, and as such, the framework for deciding when march-in rights are exercised may change. Any exercise by the government of such rights could harm our competitive position, business, financial condition, results of operations and prospects.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technology for an adequate amount of time.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57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future reliance on third parties may require us to share our trade secrets, which increases the possibility that a competitor will discover them or that our trade secrets will be misappropriated or disclosed.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58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their work product could hamper or prevent our ability to commercialize our products, which would have a material adverse effect on our business, results of operations, financial condition and prospects.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be costly, divert management’s attention and resources, damage our reputation and brand and cause us to incur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59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60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party from using the technology at issue on the grounds that our patents do not cover the technology in question.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rights to develop and commercialize our products are subject, in part, to the terms and conditions of licenses granted to us by others.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Although we do not currently rely upon any material licenses to any patent rights, proprietary technology, or other intellectual property from any third parties for the development of our products and technology, we may in the future rely, in part, upon licenses to certain patent rights, proprietary technology and other intellectual property from third parties that are important or necessary to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that may be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patent applications, the rights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61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licensed may be reduced or eliminated, and our right to develop and commercialize any of our products that are subject of such licensed rights could be adversely affected.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Disputes may arise between us and our future licensors regarding intellectual property subject to a license agreement,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products, and what activities satisfy those diligence obligations;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the license;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any of our future licensors and us and our partners.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addition, certain of our future agreements with third parties may limit or delay our ability to consummate certain transactions, may impact the value of those transactions, or may limit our ability to pursue certain activities.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62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example, we may in the future enter into license agreements that are not assignable or transferable, or that require the licensor’s express consent in order for an assignment or transfer to take place.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not be successful in obtaining necessary rights to any products we may develop through acquisitions and in-licenses.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63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Any collaboration or partnership arrangements that we may enter into in the future may not be successful, which could adversely affect our ability to develop and commercialize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current and future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64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and other proprietary information, our business and competitive position may be harmed.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Changes in United States patent law or the patent law of other countries or jurisdictions could diminish the value of patents in general, thereby impairing our ability to protect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65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impair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66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Since June 1, 2023, European applications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litigation.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a product that is similar to our current products and future products we intend to commercialize and that is not covered by the patents that we own or exclusively in-license and have the right to enforce;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any of our current or future licensors or collaborators might not have been the first to make the inventions covered by the issued patents or pending patent applications that we own, license or may own or license in the future;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of our current or future licensors or collaborators might not have been the first to file patent applications covering certain of our inventions;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our intellectual property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current or future owned or in-licensed patent applications will not lead to issued patents;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in-license may not provide us with any competitive advantages, or may be held invalid or unenforceable as a result of legal challenges, including as a result of legal challenges by our competitors;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use of “open source” software could subject our proprietary software to general release, adversely affect our ability to sell our products and subject us to possible litigation.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may incorporate open source software in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67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our trademarks, service marks and tradenames are not adequately protected, then we may not be able to build name recognition in our markets and our business may be adversely affected.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pStyle w:val="TextBody"/>
        <w:bidi w:val="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fail to obtain and maintain necessary regulatory clearances or approvals for our products, or if clearances or approvals for future products and indications are delayed or not issued, our commercial operations would be harmed.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design, development and manufacture;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preclinical and clinical testing, labeling, packaging, storage and distribution;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premarketing clearance or approval;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record keeping;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safety and effective;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changes;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68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marketing, promotion and advertising, sales and distribution;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 marketing surveillance, including reporting of deaths or serious injuries and recalls and correction and removals.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FDA can delay, limit or deny clearance or approval of a device for many reasons,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to the satisfaction of the FDA or the applicable regulatory entity or notified body that our products are safe or effective for their intended uses;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disagreement of the FDA or the applicable foreign regulatory body with the design, conduct or implementation of our clinical trials or the analyses or interpretation of data from pre-clinical studies or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from our pre-clinical studies and clinical trials may be insufficient to support clearance or approval, where required;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applicable regulatory authority may identify significant deficiencies in our manufacturing processes, facilities or analytical methods or those of our third-party contract manufacturers;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approval policies or regulations of the FDA or applicable foreign regulatory bodies to change significantly in a manner rendering our clinical data or regulatory filings insufficient for clearance or approval;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foreign regulatory authorities may audit our clinical trial data and conclude that the data is not sufficiently reliable to support approval or clearance.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69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we are required to timely file various reports with the FDA, including, Medical Device Reporting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FDA and state authorities have broad enforcement powers. Our failure to comply with applicable regulatory requirements could result in enforcement action by the FDA or state agencies, which may include any of the following sanctions: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warning letters, fines, injunctions, consent decrees and civil penalties;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repair, replacement, refunds, recalls, termination of distribution, administrative detention or seizure of our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restrictions, partial suspension or total shutdown of production;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denial of our requests for 510(k) clearance or PMA of new products, new intended uses or modifications to existing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510(k) clearance or PMAs that have already been granted;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70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United States.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Medical devices regulated by the FDA are subject to “general controls” which include: registration with the FDA; listing commercially distributed products with the FDA; complying with all applicable requirements under the QSR, or QSMR when its goes into effect in February 2026;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71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we fail to comply with applicable regulatory requirements, a regulatory agency or enforcement authority may, among other things: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our facility to an adverse inspectional finding or Form 483, or other compliance or enforcement notice, communication or correspondence;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or untitled letters that would result in adverse publicity or may require corrective advertising;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impose civil or criminal penalties;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withdraw regulatory clearances or approvals;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clear or approve pending applications or supplements to approved applications submitted by us;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impose restrictions on our operations, including closing our sub-assembly suppliers’ facilities;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product recall.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violations of the FDCA relating to the promotion of approved products may lead to investigations alleging violations of federal and state healthcare fraud and abuse and other laws, as well as state consumer protection laws.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Recently,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Material modifications to our products may require new 510(k) clearances or pre-market approvals or may require us to recall or cease marketing our products until clearances or approvals are obtained.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72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in Canada and in Mexico.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(2) 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products may be subject to recalls after receiving FDA or foreign approval or clearance, which could divert managerial and financial resources, harm our reputation and adversely affect our business.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73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or our suppliers, fail to comply with the FDA’s QSR or QSMR when it goes into effect in February 2026, or other applicable foreign regulations, our manufacturing or distribution operations could be delayed or shut down and our revenue could suffer.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manufacturing and design processes and those of our third-party component suppliers are required to comply with the FDA’s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Further, the FDA issued a final rule in February 2024 replacing the QSR with Quality Management System Regulation (“QMSR”), which incorporates by reference the quality management system requirements of ISO 13485:2016. The FDA has stated that the standards contained in ISO 13485:216 are substantially similar to those set forth in the existing QSR. The FDA will begin to enforce the QMSR requirements upon the effective date, February 2, 2026. If we or any of our suppliers or contractors fail to meet the regulatory requirements or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can provide no assurance that we will continue to remain in material compliance with the QSR, or QSMR when it goes into effect in February 2026.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74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Taking corrective action may be expensive, time consuming and a distraction for management and if we experience a delay at our manufacturing facility, we may be unable to produce our products, which would harm our business.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adversely affect our business, financial condition, results of operations and cash flows in our key markets.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with the exception of a temporary suspension implemented under various COVID-19 relief legislation.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75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fail to comply with United States federal and state fraud and abuse and other healthcare laws and regulations, we could face substantial penalties and our business operations and financial condition could be adversely affected.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76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associates and their covered subcontractors, including mandatory contractual terms, with respect to safeguarding the privacy, security and transmission of individually identifiable health information;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77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Changes in the CMS fee schedules may harm our revenue and operating results.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Legislative or regulatory reforms may make it more difficult and costly for us to obtain regulatory clearance or approval of our planned or future products and to manufacture, market and distribute our products after clearance or approval is obtained.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2017, the European Union (“EU”) published the new EU Medical Device Regulation (“EU MDR”) (2017/745), the application of which was postponed until May 26, 2021 for class I devices (lowest risk) and May 26, 2024 for all other class devices (higher risk devices). In February 2023, EU Parliament voted to extend the EU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EU MDR, notified bodies are required to seek designation to operate as conformity assessment authorities under the new law. While we are currently in compliance with the EU MDR and in process of transferring certification from MDD to EU MDR, compliance with any new or changing regulations in the EU or other jurisdictions where we currently commercialize our products or intend to commercialize in the future is a time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78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consuming process that may require comprehensive quality system audits and new conformity assessment certifications for our products. Major changes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reclassification of some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emphasis on clinical data;</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transparency, including publication of clinical trial data and safety summaries;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defined content and structure for technical files to support registration;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unique device identification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burden on post-market surveillance and clinical follow-up;</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reduction of adverse event reporting time from 30 to 15 days after the event;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delayed review times;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power to notified bodies.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clinical trials may fail to demonstrate competent and reliable evidence of the safety and effectiveness of our products, which would prevent or delay commercialization of our products in development.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Defects or failures associated with our products could lead to recalls, safety alerts or litigation, as well as significant costs and negative publicity.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medical device industry has historically been subject to extensive litigation over product liability claims. We may be subject to product liability claims if our products cause, or merely appear to have caused, an injury or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79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required to file adverse event reports under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80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Environmental health and safety laws may result in liabilities, expenses and restrictions on our operations. Failure to comply with environmental laws and regulations could subject us to significant liability.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face risks related to our collection and use of data, which could result in investigations, inquiries, litigation, fines, legislative and regulatory action and negative press about our privacy and data and security protection practices.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have been and could again be subject to attacks on our systems by outside parties, or by fraudulent or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81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inappropriate behavior by our service providers or employees. Third parties may also gain access to users’ accounts using stolen or inferred credentials, computer malware, viruses, spamming, sim-swap attacks, phishing attacks or other means, and may use such access to obtain users’ personal data or prevent use of their accounts. Data breaches or other incidents could result in a violation of applicable United States and international privacy, data protection, security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This risk is enhanced in certain jurisdictions and, as we expand our operations domestically and internationally, we may be subject to additional laws in other jurisdictions. Any failure, or perceived failure, by us to comply with privacy, data protection or security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regulations or rules concerning personal information and data security and have prioritized privacy and security violations for enforcement actions. Additionally, in the United States, California adopted the CCPA in January 2020, which requires certain companies that process information of California consumers to, among other things, provide certain disclosures to California consumers and afford such consumers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unauthorized access and exfiltration, theft, or disclosure of personal information.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proposed or enacted privacy laws that are similar to the CCPA and CPRA, further complicating the legal landscape. Further, other states have enacted laws that cover certain aspects of the collection, use, disclosure, and/or other processing of health information, such as Washington’s My Health, My Data Act, which, among other things, provides for a private right of action. It remains unclear how various provisions of the CCPA and these other new and evolving state laws will be interpreted and enforced.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practices and policies and to incur substantial costs and expenses in an effort to comply.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the GDPR is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data protection or security, which enhances risks relating to compliance with such laws. Further, the United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82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Kingdom has adopted the UK General Data Protection Regulation and UK Data Protection Act, which retain the GDPR in the United Kingdom’s national law and provide for a penalty structure similar to the GDPR. These recent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that are required to be implemented, and the United Kingdom has adopted new standard contractual clauses that also are required to be implemented. In June 2021, the European Commission issued an adequacy decision in respect of the United Kingdom’s data protection framework, enabling data transfers from EU member states to the United Kingdom to continue without requiring contractual or other additional measures. While it is intended to last for at least four years, the European Commission may revoke the adequacy decision at any point, and if this occurs it could lead to additional costs and increase our overall risk exposure. These developments and other regulatory guidance or developments may impose 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This could adversely affect the manner in which we provide our services and thus materially affect our operations and financial results.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 inconsistent with our practices and policies. Any noncompliance, or perceived noncompliance, with laws, regulations, standards and other obligations or changes in interpretations or applications of existing laws, regulations, standards and other obligations, may subject us to fines, audits, inquiries, whistleblower complaints, adverse media coverage, investigations, lawsuits, loss of export privileges, severe criminal or civil sanction or other penalties. Additionally, although we endeavor to comply with our public statements and documentation, we may at times fail to do so or be alleged to have failed to do so. The publication of our privacy policies and other statements that provide notices and representations about privacy, data protection or security can subject us to potential government or legal action if they are found to be deceptive, unfair or misrepresentative of our actual practices. Any concerns about our privacy, data protection or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Disruptions at the FDA and other agencies, including delays,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83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March 2020, in response to the COVID-19 pandemic, foreign and domestic inspections of facilities were largely placed on hold, the FDA worked to resume routine surveillance, bioresearch monitoring and pre-approval inspections on a prioritized basis. During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or may be unable to complete required inspections during the review period, which can delay clinical development and result in a complete response letter. On May 11, 2023, the federal government ended the COVID-19 public health emergency, which ended a number of temporary changes made to federally funded programs while some continue to be in effect. The full impact of such policy changes and the wind-down of the public health emergency on the FDA and other regulatory policies and operations is unclear. Disruptions at the FDA could significantly impact the ability of the FDA to timely review and process our regulatory submissions, which could have a material adverse effect on our business.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commercialized the RxSight system outside of the United States,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protection privacy, security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84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reliance on third parties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and our component suppliers may not meet regulatory quality standards applicable to our manufacturing processes, which could have an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85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failure of third parties to meet their contractual, regulatory, and other obligations could adversely affect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data protection and security risk given current legal and regulatory environments. Failure of third parties to meet their contractual, regulatory and other obligations may have a material adverse effect on our business, financial condition and results of operations.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trading price of our common stock has been and may continue to be highly volatile and could be subject to wide fluctuations in response to various factors, some of which we cannot control. From the date of our initial public offering through August 1, 2024, our common stock has traded at a low of $8.80 and a high of $66.54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Part II, Item 1A, “Risk Factors,” and elsewhere in this report, these factors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of our results of operations and updates regarding our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preclinical studies and clinical trials of our current and future products or those of our competitors;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or proprietary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86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medical device sector;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global and national events, such as the conflicts in Eastern Europe, and general economic downturns.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Part II, Item 1A, “Risk Factors,” could have a dramatic and adverse impact on the market price of our common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unfavorable research about our business, our stock price and trading volume could decline.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These sales, or the perception in the market that the holders of a large number of shares intend to sell shares, could reduce the market price of our common stock.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87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September 30, 2024, we had 40,254,105 shares of common stock issued and outstanding. All of these shares are available for sale in the public market, subject to limitations under Rule 144 with respect to affiliates of our company.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filed registration statements on Form S-8 under the Securities Act registering the offer and sale of up to an aggregate of 10,660,797 shares of common stock pursuant to our Equity Plans and an aggregate of 757,694 shares of common stock pursuant to our 2021 ESPP. Our 2021 Plan and 2021 ESPP each contain an evergreen provision that may increase the number of shares available for issuance pursuant to such plans on the first day of each fiscal year. See Note 6 – Stock-Based Compensation Expense in the Notes to the unaudited condensed consolidated financial statements included in this report.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May 8, 2024, we filed an automatic shelf registration statement on Form S-3ASR with the SEC that enables us to offer for sale, from time to time and as the capital markets permit, an unspecified amount of common stock, preferred stock, debt securities, warrants and units. The shelf registration statement became automatically effective upon filing and is valid for three years. Each time we offer to sell securities under the registration statement, we will provide a prospectus supplement that will contain specific information about the terms of that offering and the securities being offered. For example, on May 9, 2024, we filed a prospectus supplement for the offer and sale of up to 1,785,714 shares of our common stock in an underwritten public offering (the “Public Offering”). On May 13, 2024, we issued 2,053,571 shares of our common stock at a price to the public of $56.00 per share, which included the full exercise by the underwriters of their option to purchase up to 267,857 additional shares. Our net proceeds from the offering were $107.5 million, after deducting $6.9 in underwriting discounts and commissions and $0.6 million in other offering costs.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cannot predict what effect, if any, sales of our shares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a public company we are incurring significant legal, accounting and other expenses and these expenses may increase since after December 31, 2023, we are no longer considered an “emerging growth company.” We are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and effort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employees and persons to serve on our Board of Directors, our board committees or as executive officers.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Because we no longer qualify as an “emerging growth company” we will incur additional expenses and management’s time may be diverted in an effort to comply with compliance-related activities to comply with the increased documentation and reporting requirements under Section 404(b) of the Sarbanes-Oxley Act of 2002. The Sarbanes-Oxley Act requires, among other things, that we assess the effectiveness of our internal control over financial reporting annually and the effectiveness of our disclosure controls and procedures quarterly. In addition, our independent registered public accounting firm will have to attest to the effectiveness of our internal control over financial reporting under Section 404(b). We have implemented improved processes for documenting and evaluating our system of internal controls required under Section 404(b) however, the rules governing the standards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88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Provisions in our certificate of incorporation, bylaws and Delaware law might discourage, delay or prevent a change in control of our company or changes in our management and, therefore, depress the market price of our common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are elected at one time;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only the Board of Directors to establish the number of directors and fill vacancies on the board;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could use to implement a stockholder rights plan (also known as a poison pill);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amend the bylaws;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or for proposing matters that can be acted upon by stockholders at annual stockholder meetings;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stockholders to amend some provisions described above.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89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voting stock, for a period of three years after the date of the transaction in which the person became an interested stockholder, unless the business combination is approved in a prescribed manner.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of breach of fiduciary duty;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arising under the DGCL, our amended and restated certificate of incorporation or our bylaws;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This Delaware forum provision does not apply to actions arising under the Securities Exchange Act of 1934 because the federal courts have exclusive jurisdiction over such claims.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90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 required to collect such taxes in the future. Such tax assessments, penalties and interest or future requirements may adversely affect the results of our operations.</w:t>
      </w:r>
    </w:p>
    <w:p>
      <w:pPr>
        <w:pStyle w:val="TextBody"/>
        <w:bidi w:val="0"/>
        <w:spacing w:before="120" w:after="120"/>
        <w:jc w:val="left"/>
        <w:rPr>
          <w:rFonts w:ascii="Times New Roman" w:hAnsi="Times New Roman"/>
          <w:sz w:val="20"/>
        </w:rPr>
      </w:pPr>
      <w:r>
        <w:rPr>
          <w:rFonts w:ascii="Times New Roman" w:hAnsi="Times New Roman"/>
          <w:b/>
          <w:i/>
          <w:color w:val="000000"/>
          <w:sz w:val="20"/>
        </w:rPr>
        <w:t>Our Board of Directors are authorized to issue and designate shares of our preferred stock in additional series without stockholder approval under our charter documents and Delaware law.</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As an example, for taxable years beginning during or after 2022, the Tax Act eliminated the option to immediately deduct research and development expenditures currently and required taxpayers to capitalize and amortize them over five or fifteen years pursuant to Section 174 of the Code, which may impact our effective tax rate and our cash tax liability. However, recently proposed tax legislation, if enacted, would restore the ability to deduct currently domestic research and development expenditures through 2025 and would retroactively restore this benefit for 2022 and 2023. Regulatory or legislative developments may arise from various U.S. tax reform proposals, some of which include proposed changes to the U.S. tax law,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was effective beginning in fiscal year 2023. We do not currently expect that the IRA will have a material impact on our income tax liability.</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and employees.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91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commercialize our current and future products will be limited and the potential for successfully growing our business will be harmed.</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 or security breaches or incidents.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computer systems, as well as those of our contractors and other third parties with whom we do business, are vulnerable to damage from computer viruses, ransomware and other malicious code, unauthorized access, natural disasters (including hurricanes), terrorism, war and telecommunication and electrical failures. Any disruption or interruption in our systems, or those of our contractors or other third parties with whom we do business, whether from these or other causes, could cause interruptions in our operations, result in a material disruption of the commercialization of our RxSight system and our future products, and result in significant legal and financial exposure and reputational damages that could potentially have an adverse effect on our business.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secure processing, maintenance, and transmission of this information is critical to our operations. Despite our security measures, our information technology and infrastructure may be vulnerable to attacks by hackers, internal bad actors, or others, or breached due to technical vulnerabilities, employee error, malfeasance, or other disruptions. Although, to our knowledge, we have not experienced any such material security breach to date, any security breach or security incident could compromise our systems and networks and the information stored or otherwise processed on them could be accessed, publicly disclosed, lost, stolen, rendered unavailable, modified, or otherwise processed without authorization. Any such actual or perceived access, disclosure, or other security breach or incident, loss, or unauthorized processing of information (whether affecting us or one of our third-party service providers or other third parties with whom we do business)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techniques and sophistication used to conduct cyber-attacks and security breaches or other incidents, including of information technology systems, as well as the sources and targets of these attacks, may take many forms (including phishing, social engineering, denial or degradation of service attacks, sim swaps, ransomware, malware or other malicious code), change frequently and are often not recognized until such attacks are launched or have been in place for a period of time. In addition, our employees, contractors, or third parties with whom we do business may attempt to circumvent our security measures in order to misappropriate information, including confidential, personal, or otherwise regulated or protected information, and may purposefully or inadvertently cause a breach or incident involving, or compromise of, such information. Third parties may have the technology or know-how to breach the security of the information collected, stored, or transmitted by us, our contractors, third-party service providers, or other third parties with whom we do business, and our respective security measures, as well as those of our respective third-party service providers, may not effectively prohibit others from obtaining improper access to this information. Advances in computer and software capabilities and encryption technology, new tools, geopolitical tensions and conflicts, and other developments may increase the risk of such a breach, incident, or compromise. There is no assurance that any security procedures or controls that we, our contractors, or our third-party service providers or other third parties with whom we do business have implemented will be sufficient to prevent data-security related incidents from occurring.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92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Economic conditions may adversely affect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Global economic, political and market conditions, armed conflict, including in Eastern Europe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 our ability to predict future operating results and on our financial condition and operating results. If global economic conditions remain uncertain or deteriorate, it may materially impact our business, operating results and financial condition.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For example, we and other key international economies are currently operating in a period of economic uncertainty and the United States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present conditions and state of the U.S. and global economies make it difficult to predict whether, when and to what extent a recession has occurred or will occur in the near future.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Additionally, adverse worldwide economic conditions may also adversely impact our suppliers’ ability to provide us with materials and components, cause them to limit or place burdensome conditions upon future transactions with us, or affect their ability to fulfill their respective contractual obligations to us, which could have a material adverse effect on our business, financial condition and results of operations.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Litigation and other legal proceedings may adversely affect our business.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93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results of operations could be materially harmed if we are unable to accurately forecast customer demand for our products and manage our inventory.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seek to maintain sufficient levels of inventory in order to protect ourselves from supply interruptions, but due to the expansion of global lead times, particularly in Europe and Asia,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6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94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 Use of Proceeds from 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color w:val="000000"/>
          <w:sz w:val="20"/>
        </w:rPr>
      </w:pPr>
      <w:bookmarkStart w:id="16" w:name="item3_default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color w:val="000000"/>
          <w:sz w:val="20"/>
        </w:rPr>
      </w:pPr>
      <w:bookmarkStart w:id="18" w:name="item5other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sz w:val="20"/>
        </w:rPr>
      </w:pPr>
      <w:r>
        <w:rPr>
          <w:rFonts w:ascii="Times New Roman" w:hAnsi="Times New Roman"/>
          <w:i/>
          <w:color w:val="000000"/>
          <w:sz w:val="20"/>
        </w:rPr>
        <w:t>Rule 10b5-1 Trading Arrangements</w:t>
      </w:r>
      <w:r>
        <w:rPr>
          <w:rFonts w:ascii="Times New Roman" w:hAnsi="Times New Roman"/>
          <w:color w:val="000000"/>
          <w:sz w:val="20"/>
        </w:rPr>
        <w:t xml:space="preserve"> </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On August 30, 2024, Robert Warner, a member of our Board of Directors, entered into a Rule 10b5-1 trading arrangement that is intended to satisfy the affirmative defense conditions of Exchange Act Rule 10b5-1(c) (a “Rule 10b5-1 Trading Plan”) for the sale of securities of our common stock. Mr. Warner's Rule 10b5-1 Trading Plan, which has a term from August 30, 2024 to August 29, 2025, provides for the sale of up to 12,817 shares of common stock at a pre-determined limit prices.</w:t>
      </w:r>
    </w:p>
    <w:p>
      <w:pPr>
        <w:pStyle w:val="TextBody"/>
        <w:bidi w:val="0"/>
        <w:spacing w:before="120" w:after="160"/>
        <w:ind w:left="0" w:right="0" w:firstLine="360"/>
        <w:jc w:val="left"/>
        <w:rPr>
          <w:rFonts w:ascii="Times New Roman" w:hAnsi="Times New Roman"/>
          <w:color w:val="000000"/>
          <w:sz w:val="20"/>
        </w:rPr>
      </w:pPr>
      <w:r>
        <w:rPr>
          <w:rFonts w:ascii="Times New Roman" w:hAnsi="Times New Roman"/>
          <w:color w:val="000000"/>
          <w:sz w:val="20"/>
        </w:rPr>
        <w:t>On August 22, 2024, Shweta Maniar, a member of our Board of Directors, entered into a Rule 10b5-1 trading arrangement that is intended to satisfy the affirmative defense conditions of Exchange Act Rule 10b5-1(c) (a “Rule 10b5-1 Trading Plan”) for the sale of securities of our common stock. Ms. Maniar’s Rule 10b5-1 Trading Plan, which has a term from November 26, 2024 to November 26, 2025, provides for the sale of up to 12,130 shares of common stock at a pre-determined limit prices.</w:t>
      </w:r>
    </w:p>
    <w:p>
      <w:pPr>
        <w:pStyle w:val="TextBody"/>
        <w:bidi w:val="0"/>
        <w:spacing w:before="120" w:after="160"/>
        <w:ind w:left="0" w:right="0" w:firstLine="360"/>
        <w:jc w:val="left"/>
        <w:rPr/>
      </w:pPr>
      <w:r>
        <w:rPr/>
        <w:t> </w:t>
      </w:r>
    </w:p>
    <w:p>
      <w:pPr>
        <w:pStyle w:val="TextBody"/>
        <w:bidi w:val="0"/>
        <w:spacing w:before="120" w:after="160"/>
        <w:jc w:val="left"/>
        <w:rPr/>
      </w:pPr>
      <w:r>
        <w:rPr/>
        <w:t> </w:t>
      </w:r>
    </w:p>
    <w:p>
      <w:pPr>
        <w:pStyle w:val="TextBody"/>
        <w:bidi w:val="0"/>
        <w:spacing w:before="240" w:after="283"/>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95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report unless otherwise stated.</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11"/>
        <w:gridCol w:w="6705"/>
        <w:gridCol w:w="586"/>
        <w:gridCol w:w="552"/>
        <w:gridCol w:w="736"/>
        <w:gridCol w:w="815"/>
      </w:tblGrid>
      <w:tr>
        <w:trPr/>
        <w:tc>
          <w:tcPr>
            <w:tcW w:w="811" w:type="dxa"/>
            <w:tcBorders/>
            <w:vAlign w:val="center"/>
          </w:tcPr>
          <w:p>
            <w:pPr>
              <w:pStyle w:val="TableContents"/>
              <w:bidi w:val="0"/>
              <w:spacing w:before="0" w:after="283"/>
              <w:jc w:val="left"/>
              <w:rPr>
                <w:sz w:val="4"/>
                <w:szCs w:val="4"/>
              </w:rPr>
            </w:pPr>
            <w:r>
              <w:rPr>
                <w:sz w:val="4"/>
                <w:szCs w:val="4"/>
              </w:rPr>
            </w:r>
          </w:p>
        </w:tc>
        <w:tc>
          <w:tcPr>
            <w:tcW w:w="67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w:t>
            </w:r>
          </w:p>
        </w:tc>
        <w:tc>
          <w:tcPr>
            <w:tcW w:w="6705" w:type="dxa"/>
            <w:tcBorders/>
            <w:tcMar>
              <w:top w:w="0" w:type="dxa"/>
              <w:left w:w="0" w:type="dxa"/>
              <w:bottom w:w="0" w:type="dxa"/>
              <w:right w:w="0" w:type="dxa"/>
            </w:tcMar>
            <w:vAlign w:val="center"/>
          </w:tcPr>
          <w:p>
            <w:pPr>
              <w:pStyle w:val="TableContents"/>
              <w:bidi w:val="0"/>
              <w:spacing w:before="0" w:after="283"/>
              <w:jc w:val="left"/>
              <w:rPr/>
            </w:pPr>
            <w:r>
              <w:rPr/>
              <w:t> </w:t>
            </w:r>
          </w:p>
        </w:tc>
        <w:tc>
          <w:tcPr>
            <w:tcW w:w="2689"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Number</w:t>
            </w:r>
          </w:p>
        </w:tc>
        <w:tc>
          <w:tcPr>
            <w:tcW w:w="6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Form</w:t>
            </w:r>
          </w:p>
        </w:tc>
        <w:tc>
          <w:tcPr>
            <w:tcW w:w="5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File No.</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w:t>
            </w:r>
          </w:p>
        </w:tc>
        <w:tc>
          <w:tcPr>
            <w:tcW w:w="8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Filing Date</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705" w:type="dxa"/>
            <w:tcBorders/>
            <w:tcMar>
              <w:top w:w="0" w:type="dxa"/>
              <w:left w:w="0" w:type="dxa"/>
              <w:bottom w:w="0" w:type="dxa"/>
              <w:right w:w="0" w:type="dxa"/>
            </w:tcMar>
            <w:vAlign w:val="center"/>
          </w:tcPr>
          <w:p>
            <w:pPr>
              <w:pStyle w:val="TableContents"/>
              <w:bidi w:val="0"/>
              <w:spacing w:before="0" w:after="283"/>
              <w:jc w:val="left"/>
              <w:rPr/>
            </w:pPr>
            <w:hyperlink w:anchor="rxst-ex10_1.htm">
              <w:r>
                <w:rPr>
                  <w:rStyle w:val="InternetLink"/>
                  <w:rFonts w:ascii="Times New Roman" w:hAnsi="Times New Roman"/>
                  <w:color w:val="0000FF"/>
                  <w:sz w:val="20"/>
                  <w:u w:val="single"/>
                </w:rPr>
                <w:t>Amendment # 3 to the Sublease Agreement</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705"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rxst-ex31_1.htm">
              <w:r>
                <w:rPr>
                  <w:rStyle w:val="InternetLink"/>
                  <w:rFonts w:ascii="Times New Roman" w:hAnsi="Times New Roman"/>
                  <w:color w:val="0000FF"/>
                  <w:sz w:val="20"/>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705"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hyperlink w:anchor="rxst-ex31_2.htm">
              <w:r>
                <w:rPr>
                  <w:rStyle w:val="InternetLink"/>
                  <w:rFonts w:ascii="Times New Roman" w:hAnsi="Times New Roman"/>
                  <w:color w:val="0000FF"/>
                  <w:sz w:val="20"/>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705"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705"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4" w:type="dxa"/>
            <w:gridSpan w:val="5"/>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9"/>
        <w:gridCol w:w="9476"/>
      </w:tblGrid>
      <w:tr>
        <w:trPr/>
        <w:tc>
          <w:tcPr>
            <w:tcW w:w="729" w:type="dxa"/>
            <w:tcBorders/>
            <w:vAlign w:val="center"/>
          </w:tcPr>
          <w:p>
            <w:pPr>
              <w:pStyle w:val="TableContents"/>
              <w:bidi w:val="0"/>
              <w:spacing w:before="0" w:after="283"/>
              <w:jc w:val="left"/>
              <w:rPr>
                <w:sz w:val="4"/>
                <w:szCs w:val="4"/>
              </w:rPr>
            </w:pPr>
            <w:r>
              <w:rPr>
                <w:sz w:val="4"/>
                <w:szCs w:val="4"/>
              </w:rPr>
            </w:r>
          </w:p>
        </w:tc>
        <w:tc>
          <w:tcPr>
            <w:tcW w:w="9476" w:type="dxa"/>
            <w:tcBorders/>
            <w:vAlign w:val="center"/>
          </w:tcPr>
          <w:p>
            <w:pPr>
              <w:pStyle w:val="TableContents"/>
              <w:bidi w:val="0"/>
              <w:spacing w:before="0" w:after="283"/>
              <w:jc w:val="left"/>
              <w:rPr>
                <w:sz w:val="4"/>
                <w:szCs w:val="4"/>
              </w:rPr>
            </w:pPr>
            <w:r>
              <w:rPr>
                <w:sz w:val="4"/>
                <w:szCs w:val="4"/>
              </w:rPr>
            </w:r>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certifications attached as Exhibit 32.1 and 32.2 that accompany this report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240" w:after="16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19" w:type="dxa"/>
        <w:jc w:val="left"/>
        <w:tblInd w:w="0" w:type="dxa"/>
        <w:tblLayout w:type="fixed"/>
        <w:tblCellMar>
          <w:top w:w="28" w:type="dxa"/>
          <w:left w:w="28" w:type="dxa"/>
          <w:bottom w:w="28" w:type="dxa"/>
          <w:right w:w="28" w:type="dxa"/>
        </w:tblCellMar>
      </w:tblPr>
      <w:tblGrid>
        <w:gridCol w:w="2101"/>
        <w:gridCol w:w="406"/>
        <w:gridCol w:w="146"/>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RxSight,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Ron Kurtz, M.D.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Ron Kurtz, M.D.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President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Shelley Thunen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Shelley Thunen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 President and Chief Financial Officer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16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bookmarkStart w:id="21" w:name="rxst-ex10_1.htm"/>
      <w:bookmarkStart w:id="22" w:name="ksrxstex10_1"/>
      <w:bookmarkEnd w:id="21"/>
      <w:bookmarkEnd w:id="22"/>
      <w:r>
        <w:rPr/>
        <w:t> </w:t>
      </w:r>
      <w:r>
        <w:br w:type="page"/>
      </w:r>
    </w:p>
    <w:p>
      <w:pPr>
        <w:pStyle w:val="TextBody"/>
        <w:bidi w:val="0"/>
        <w:spacing w:before="0" w:after="160"/>
        <w:jc w:val="right"/>
        <w:rPr>
          <w:rFonts w:ascii="Times New Roman" w:hAnsi="Times New Roman"/>
          <w:b/>
          <w:color w:val="000000"/>
          <w:sz w:val="24"/>
          <w:u w:val="single"/>
        </w:rPr>
      </w:pPr>
      <w:r>
        <w:rPr>
          <w:rFonts w:ascii="Times New Roman" w:hAnsi="Times New Roman"/>
          <w:b/>
          <w:color w:val="000000"/>
          <w:sz w:val="24"/>
          <w:u w:val="single"/>
        </w:rPr>
        <w:t>Exhibit 10.1</w:t>
      </w:r>
    </w:p>
    <w:p>
      <w:pPr>
        <w:pStyle w:val="TextBody"/>
        <w:bidi w:val="0"/>
        <w:spacing w:before="0" w:after="160"/>
        <w:jc w:val="left"/>
        <w:rPr/>
      </w:pPr>
      <w:r>
        <w:rPr/>
        <w:drawing>
          <wp:inline distT="0" distB="0" distL="0" distR="0">
            <wp:extent cx="19240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533400"/>
                    </a:xfrm>
                    <a:prstGeom prst="rect">
                      <a:avLst/>
                    </a:prstGeom>
                  </pic:spPr>
                </pic:pic>
              </a:graphicData>
            </a:graphic>
          </wp:inline>
        </w:drawing>
      </w:r>
    </w:p>
    <w:p>
      <w:pPr>
        <w:pStyle w:val="TextBody"/>
        <w:bidi w:val="0"/>
        <w:spacing w:before="0" w:after="160"/>
        <w:jc w:val="center"/>
        <w:rPr/>
      </w:pPr>
      <w:r>
        <w:rPr/>
        <w:t> </w:t>
      </w:r>
    </w:p>
    <w:p>
      <w:pPr>
        <w:pStyle w:val="TextBody"/>
        <w:bidi w:val="0"/>
        <w:spacing w:before="0" w:after="160"/>
        <w:jc w:val="center"/>
        <w:rPr>
          <w:rFonts w:ascii="Times New Roman" w:hAnsi="Times New Roman"/>
          <w:sz w:val="20"/>
        </w:rPr>
      </w:pPr>
      <w:r>
        <w:rPr>
          <w:rFonts w:ascii="Times New Roman" w:hAnsi="Times New Roman"/>
          <w:b/>
          <w:color w:val="000000"/>
          <w:sz w:val="28"/>
          <w:u w:val="single"/>
        </w:rPr>
        <w:t>Amendment # 3 to the Sublease Agreement</w:t>
      </w:r>
      <w:r>
        <w:rPr>
          <w:rFonts w:ascii="Times New Roman" w:hAnsi="Times New Roman"/>
          <w:color w:val="000000"/>
          <w:sz w:val="20"/>
        </w:rPr>
        <w:t xml:space="preserve"> </w:t>
      </w:r>
    </w:p>
    <w:p>
      <w:pPr>
        <w:pStyle w:val="TextBody"/>
        <w:bidi w:val="0"/>
        <w:spacing w:before="0" w:after="120"/>
        <w:ind w:left="0" w:right="0" w:firstLine="720"/>
        <w:jc w:val="left"/>
        <w:rPr>
          <w:rFonts w:ascii="Times New Roman" w:hAnsi="Times New Roman"/>
          <w:sz w:val="20"/>
        </w:rPr>
      </w:pPr>
      <w:r>
        <w:rPr>
          <w:rFonts w:ascii="Times New Roman" w:hAnsi="Times New Roman"/>
          <w:b/>
          <w:color w:val="000000"/>
          <w:sz w:val="20"/>
        </w:rPr>
        <w:t>THIS 3</w:t>
      </w:r>
      <w:r>
        <w:rPr>
          <w:rFonts w:ascii="Times New Roman" w:hAnsi="Times New Roman"/>
          <w:b/>
          <w:color w:val="000000"/>
          <w:sz w:val="13"/>
        </w:rPr>
        <w:t>rd</w:t>
      </w:r>
      <w:r>
        <w:rPr>
          <w:rFonts w:ascii="Times New Roman" w:hAnsi="Times New Roman"/>
          <w:color w:val="000000"/>
          <w:sz w:val="20"/>
        </w:rPr>
        <w:t xml:space="preserve"> </w:t>
      </w:r>
      <w:r>
        <w:rPr>
          <w:rFonts w:ascii="Times New Roman" w:hAnsi="Times New Roman"/>
          <w:b/>
          <w:color w:val="000000"/>
          <w:sz w:val="20"/>
        </w:rPr>
        <w:t>AMENDMENT TO THE SUBLEASE AGREEMENT</w:t>
      </w:r>
      <w:r>
        <w:rPr>
          <w:rFonts w:ascii="Times New Roman" w:hAnsi="Times New Roman"/>
          <w:color w:val="000000"/>
          <w:sz w:val="20"/>
        </w:rPr>
        <w:t xml:space="preserve"> (hereinafter referred to as “</w:t>
      </w:r>
      <w:r>
        <w:rPr>
          <w:rFonts w:ascii="Times New Roman" w:hAnsi="Times New Roman"/>
          <w:b/>
          <w:color w:val="000000"/>
          <w:sz w:val="20"/>
        </w:rPr>
        <w:t>Amendment</w:t>
      </w:r>
      <w:r>
        <w:rPr>
          <w:rFonts w:ascii="Times New Roman" w:hAnsi="Times New Roman"/>
          <w:color w:val="000000"/>
          <w:sz w:val="20"/>
        </w:rPr>
        <w:t>”) is made and entered into effective August 1, 2024 (the “</w:t>
      </w:r>
      <w:r>
        <w:rPr>
          <w:rFonts w:ascii="Times New Roman" w:hAnsi="Times New Roman"/>
          <w:b/>
          <w:color w:val="000000"/>
          <w:sz w:val="20"/>
        </w:rPr>
        <w:t>Amendment Effective Date</w:t>
      </w:r>
      <w:r>
        <w:rPr>
          <w:rFonts w:ascii="Times New Roman" w:hAnsi="Times New Roman"/>
          <w:color w:val="000000"/>
          <w:sz w:val="20"/>
        </w:rPr>
        <w:t>”), by and between RxSight, Inc., a Delaware corporation (“</w:t>
      </w:r>
      <w:r>
        <w:rPr>
          <w:rFonts w:ascii="Times New Roman" w:hAnsi="Times New Roman"/>
          <w:b/>
          <w:color w:val="000000"/>
          <w:sz w:val="20"/>
        </w:rPr>
        <w:t>RxSight</w:t>
      </w:r>
      <w:r>
        <w:rPr>
          <w:rFonts w:ascii="Times New Roman" w:hAnsi="Times New Roman"/>
          <w:color w:val="000000"/>
          <w:sz w:val="20"/>
        </w:rPr>
        <w:t>”), and Compass Bible Church (“Sublessee”, and together with RxSight, the “</w:t>
      </w:r>
      <w:r>
        <w:rPr>
          <w:rFonts w:ascii="Times New Roman" w:hAnsi="Times New Roman"/>
          <w:b/>
          <w:color w:val="000000"/>
          <w:sz w:val="20"/>
        </w:rPr>
        <w:t>Parties</w:t>
      </w:r>
      <w:r>
        <w:rPr>
          <w:rFonts w:ascii="Times New Roman" w:hAnsi="Times New Roman"/>
          <w:color w:val="000000"/>
          <w:sz w:val="20"/>
        </w:rPr>
        <w:t>”).</w:t>
      </w:r>
    </w:p>
    <w:p>
      <w:pPr>
        <w:pStyle w:val="TextBody"/>
        <w:bidi w:val="0"/>
        <w:spacing w:before="0" w:after="120"/>
        <w:ind w:left="0" w:right="0" w:firstLine="720"/>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Parties entered into that certain Sublease Agreement dated effective as of April 4, 2022, as amended from time to time (the “</w:t>
      </w:r>
      <w:r>
        <w:rPr>
          <w:rFonts w:ascii="Times New Roman" w:hAnsi="Times New Roman"/>
          <w:b/>
          <w:color w:val="000000"/>
          <w:sz w:val="20"/>
        </w:rPr>
        <w:t>Agreement</w:t>
      </w:r>
      <w:r>
        <w:rPr>
          <w:rFonts w:ascii="Times New Roman" w:hAnsi="Times New Roman"/>
          <w:color w:val="000000"/>
          <w:sz w:val="20"/>
        </w:rPr>
        <w:t>”), and</w:t>
      </w:r>
    </w:p>
    <w:p>
      <w:pPr>
        <w:pStyle w:val="TextBody"/>
        <w:bidi w:val="0"/>
        <w:spacing w:before="0" w:after="120"/>
        <w:ind w:left="0" w:right="0" w:firstLine="720"/>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Parties desire to amend the Agreement in the manner reflected herein, and</w:t>
      </w:r>
    </w:p>
    <w:p>
      <w:pPr>
        <w:pStyle w:val="TextBody"/>
        <w:bidi w:val="0"/>
        <w:spacing w:before="0" w:after="120"/>
        <w:ind w:left="0" w:right="0" w:firstLine="720"/>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Parties to the Agreement have approved this Amendment in the manner reflected herein,</w:t>
      </w:r>
    </w:p>
    <w:p>
      <w:pPr>
        <w:pStyle w:val="TextBody"/>
        <w:bidi w:val="0"/>
        <w:spacing w:before="0" w:after="120"/>
        <w:ind w:left="0" w:right="0" w:firstLine="720"/>
        <w:jc w:val="left"/>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premises and mutual covenants and conditions herein, the Parties, intending to be legally bound, hereby agree as follows:</w:t>
      </w:r>
    </w:p>
    <w:p>
      <w:pPr>
        <w:pStyle w:val="TextBody"/>
        <w:bidi w:val="0"/>
        <w:spacing w:before="0" w:after="120"/>
        <w:ind w:left="10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term of the Agreement shall end on August 31, 2024 (“Expiration Date”).</w:t>
      </w:r>
    </w:p>
    <w:p>
      <w:pPr>
        <w:pStyle w:val="TextBody"/>
        <w:bidi w:val="0"/>
        <w:spacing w:before="0" w:after="120"/>
        <w:ind w:left="10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Sublessee shall pay rent for the entire month of August 2024. </w:t>
      </w:r>
    </w:p>
    <w:p>
      <w:pPr>
        <w:pStyle w:val="TextBody"/>
        <w:bidi w:val="0"/>
        <w:spacing w:before="0" w:after="120"/>
        <w:ind w:left="1080"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Sublessee may vacate the Premises and terminate the Agreement prior to the Expiration Date so long as it is mutually agreed to by the Parties. Upon mutual agreement of an early termination, RxSight agrees to prorate the rent for August through the final date of Sublessee’s occupancy and return any rental difference for the month of August.</w:t>
      </w:r>
    </w:p>
    <w:p>
      <w:pPr>
        <w:pStyle w:val="TextBody"/>
        <w:bidi w:val="0"/>
        <w:spacing w:before="0" w:after="120"/>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Amendment may be executed in one or more facsimile, electronic, or original counterparts, each of which shall be deemed an original and both of which together shall constitute the same instrument.</w:t>
      </w:r>
    </w:p>
    <w:p>
      <w:pPr>
        <w:pStyle w:val="TextBody"/>
        <w:bidi w:val="0"/>
        <w:spacing w:before="0" w:after="120"/>
        <w:ind w:left="36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terms and provisions of the Agreement not amended hereby, either expressly or by necessary implication, shall remain in full force and effect. From and after the Amendment Effective Date, all references to the term “Agreement” in this Amendment or the original Agreement shall include the terms contained in this Amendment.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WITNESS WHEREOF, the Parties hereto have executed this Amendment to the Agreement effective as of the Amendment Effective Date. </w:t>
      </w:r>
    </w:p>
    <w:tbl>
      <w:tblPr>
        <w:tblW w:w="5516" w:type="dxa"/>
        <w:jc w:val="left"/>
        <w:tblInd w:w="0" w:type="dxa"/>
        <w:tblLayout w:type="fixed"/>
        <w:tblCellMar>
          <w:top w:w="28" w:type="dxa"/>
          <w:left w:w="28" w:type="dxa"/>
          <w:bottom w:w="28" w:type="dxa"/>
          <w:right w:w="28" w:type="dxa"/>
        </w:tblCellMar>
      </w:tblPr>
      <w:tblGrid>
        <w:gridCol w:w="1186"/>
        <w:gridCol w:w="1966"/>
        <w:gridCol w:w="146"/>
        <w:gridCol w:w="631"/>
        <w:gridCol w:w="146"/>
        <w:gridCol w:w="1441"/>
      </w:tblGrid>
      <w:tr>
        <w:trPr/>
        <w:tc>
          <w:tcPr>
            <w:tcW w:w="118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120"/>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RxSight, Inc.</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Compass Bible Church</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6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 xml:space="preserve">/s/ Shelley Thunen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Rick Talcott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Shelley Thunen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Rick Talcott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CFO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96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 xml:space="preserve">August 1, 2024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 xml:space="preserve">August 1, 2024 </w:t>
            </w:r>
          </w:p>
        </w:tc>
      </w:tr>
    </w:tbl>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center"/>
        <w:rPr>
          <w:rFonts w:ascii="Times New Roman" w:hAnsi="Times New Roman"/>
          <w:sz w:val="20"/>
        </w:rPr>
      </w:pPr>
      <w:r>
        <w:rPr>
          <w:rFonts w:ascii="Calibri;sans-serif" w:hAnsi="Calibri;sans-serif"/>
          <w:color w:val="000000"/>
          <w:sz w:val="22"/>
        </w:rPr>
        <w:t xml:space="preserve">Page </w:t>
      </w:r>
      <w:r>
        <w:rPr>
          <w:rFonts w:ascii="Calibri;sans-serif" w:hAnsi="Calibri;sans-serif"/>
          <w:b/>
          <w:color w:val="000000"/>
          <w:sz w:val="22"/>
        </w:rPr>
        <w:t>1</w:t>
      </w:r>
      <w:r>
        <w:rPr>
          <w:rFonts w:ascii="Times New Roman" w:hAnsi="Times New Roman"/>
          <w:color w:val="000000"/>
          <w:sz w:val="20"/>
        </w:rPr>
        <w:t xml:space="preserve"> </w:t>
      </w:r>
      <w:r>
        <w:rPr>
          <w:rFonts w:ascii="Calibri;sans-serif" w:hAnsi="Calibri;sans-serif"/>
          <w:color w:val="000000"/>
          <w:sz w:val="22"/>
        </w:rPr>
        <w:t>of</w:t>
      </w:r>
      <w:r>
        <w:rPr>
          <w:rFonts w:ascii="Times New Roman" w:hAnsi="Times New Roman"/>
          <w:color w:val="000000"/>
          <w:sz w:val="20"/>
        </w:rPr>
        <w:t xml:space="preserve"> </w:t>
      </w:r>
      <w:r>
        <w:rPr>
          <w:rFonts w:ascii="Calibri;sans-serif" w:hAnsi="Calibri;sans-serif"/>
          <w:b/>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rxst-ex31_1.htm"/>
      <w:bookmarkStart w:id="24" w:name="ksrxst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Ron Kurtz, M.D., certify that:</w:t>
      </w:r>
    </w:p>
    <w:tbl>
      <w:tblPr>
        <w:tblW w:w="5897" w:type="dxa"/>
        <w:jc w:val="left"/>
        <w:tblInd w:w="0" w:type="dxa"/>
        <w:tblLayout w:type="fixed"/>
        <w:tblCellMar>
          <w:top w:w="28" w:type="dxa"/>
          <w:left w:w="28" w:type="dxa"/>
          <w:bottom w:w="28" w:type="dxa"/>
          <w:right w:w="28" w:type="dxa"/>
        </w:tblCellMar>
      </w:tblPr>
      <w:tblGrid>
        <w:gridCol w:w="271"/>
        <w:gridCol w:w="5626"/>
      </w:tblGrid>
      <w:tr>
        <w:trPr/>
        <w:tc>
          <w:tcPr>
            <w:tcW w:w="271"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quarterly report on Form 10-Q of RxSight, Inc.;</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tbl>
      <w:tblPr>
        <w:tblW w:w="5984" w:type="dxa"/>
        <w:jc w:val="left"/>
        <w:tblInd w:w="0" w:type="dxa"/>
        <w:tblLayout w:type="fixed"/>
        <w:tblCellMar>
          <w:top w:w="28" w:type="dxa"/>
          <w:left w:w="28" w:type="dxa"/>
          <w:bottom w:w="28" w:type="dxa"/>
          <w:right w:w="28" w:type="dxa"/>
        </w:tblCellMar>
      </w:tblPr>
      <w:tblGrid>
        <w:gridCol w:w="2101"/>
        <w:gridCol w:w="146"/>
        <w:gridCol w:w="406"/>
        <w:gridCol w:w="333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Kurtz, M.D.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Ron Kurtz, M.D.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President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rxst-ex31_2.htm"/>
      <w:bookmarkStart w:id="26" w:name="ksrxst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Shelley Thunen, certify that:</w:t>
      </w:r>
    </w:p>
    <w:tbl>
      <w:tblPr>
        <w:tblW w:w="5897" w:type="dxa"/>
        <w:jc w:val="left"/>
        <w:tblInd w:w="0" w:type="dxa"/>
        <w:tblLayout w:type="fixed"/>
        <w:tblCellMar>
          <w:top w:w="28" w:type="dxa"/>
          <w:left w:w="28" w:type="dxa"/>
          <w:bottom w:w="28" w:type="dxa"/>
          <w:right w:w="28" w:type="dxa"/>
        </w:tblCellMar>
      </w:tblPr>
      <w:tblGrid>
        <w:gridCol w:w="271"/>
        <w:gridCol w:w="5626"/>
      </w:tblGrid>
      <w:tr>
        <w:trPr/>
        <w:tc>
          <w:tcPr>
            <w:tcW w:w="271"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quarterly report on Form 10-Q of RxSight, Inc.;</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ableContents"/>
              <w:bidi w:val="0"/>
              <w:spacing w:before="0" w:after="283"/>
              <w:jc w:val="left"/>
              <w:rPr/>
            </w:pPr>
            <w:r>
              <w:rPr/>
              <w:t> </w:t>
            </w:r>
          </w:p>
        </w:tc>
      </w:tr>
    </w:tbl>
    <w:p>
      <w:pPr>
        <w:pStyle w:val="TextBody"/>
        <w:bidi w:val="0"/>
        <w:jc w:val="left"/>
        <w:rPr/>
      </w:pPr>
      <w:r>
        <w:rPr/>
        <w:t> </w:t>
      </w:r>
    </w:p>
    <w:tbl>
      <w:tblPr>
        <w:tblW w:w="6254" w:type="dxa"/>
        <w:jc w:val="left"/>
        <w:tblInd w:w="0" w:type="dxa"/>
        <w:tblLayout w:type="fixed"/>
        <w:tblCellMar>
          <w:top w:w="28" w:type="dxa"/>
          <w:left w:w="28" w:type="dxa"/>
          <w:bottom w:w="28" w:type="dxa"/>
          <w:right w:w="28" w:type="dxa"/>
        </w:tblCellMar>
      </w:tblPr>
      <w:tblGrid>
        <w:gridCol w:w="2101"/>
        <w:gridCol w:w="146"/>
        <w:gridCol w:w="406"/>
        <w:gridCol w:w="360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Shelley Thunen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Shelley Thunen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Co-President and 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rxst-ex32_1.htm"/>
      <w:bookmarkStart w:id="28" w:name="ksrxst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RxSight, Inc. (the “Company”) on Form 10-Q for the quarterly period ended September 30, 2024, as filed with the Securities and Exchange Commission on the date hereof (the “Report”), I, Ron Kurtz, M.D., Chief Executive Officer of the Company, certify, pursuant to 18 U.S.C. §1350, as adopted pursuant to §906 of the Sarbanes-Oxley Act of 2002, that, to my knowledge:</w:t>
      </w:r>
    </w:p>
    <w:p>
      <w:pPr>
        <w:pStyle w:val="TextBody"/>
        <w:bidi w:val="0"/>
        <w:jc w:val="left"/>
        <w:rPr/>
      </w:pPr>
      <w:r>
        <w:rPr/>
        <w:t> </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bidi w:val="0"/>
        <w:jc w:val="left"/>
        <w:rPr/>
      </w:pPr>
      <w:r>
        <w:rPr/>
        <w:t> </w:t>
      </w:r>
    </w:p>
    <w:tbl>
      <w:tblPr>
        <w:tblW w:w="5984" w:type="dxa"/>
        <w:jc w:val="left"/>
        <w:tblInd w:w="0" w:type="dxa"/>
        <w:tblLayout w:type="fixed"/>
        <w:tblCellMar>
          <w:top w:w="28" w:type="dxa"/>
          <w:left w:w="28" w:type="dxa"/>
          <w:bottom w:w="28" w:type="dxa"/>
          <w:right w:w="28" w:type="dxa"/>
        </w:tblCellMar>
      </w:tblPr>
      <w:tblGrid>
        <w:gridCol w:w="2101"/>
        <w:gridCol w:w="146"/>
        <w:gridCol w:w="406"/>
        <w:gridCol w:w="333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Kurtz, M.D.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Ron Kurtz, M.D.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President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rxst-ex32_2.htm"/>
      <w:bookmarkStart w:id="30" w:name="ksrxst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RxSight, Inc. (the “Company”) on Form 10-Q for the quarterly period ended September 30, 2024, as filed with the Securities and Exchange Commission on the date hereof (the “Report”), I, Shelley Thunen, Chief Financial Officer of the Company, certify, pursuant to 18 U.S.C. §1350, as adopted pursuant to §906 of the Sarbanes-Oxley Act of 2002, that, to my knowledge:</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pBdr/>
        <w:bidi w:val="0"/>
        <w:ind w:left="0" w:right="0" w:hanging="490"/>
        <w:jc w:val="left"/>
        <w:rPr/>
      </w:pPr>
      <w:r>
        <w:rPr/>
        <w:t> </w:t>
      </w:r>
    </w:p>
    <w:tbl>
      <w:tblPr>
        <w:tblW w:w="6254" w:type="dxa"/>
        <w:jc w:val="left"/>
        <w:tblInd w:w="0" w:type="dxa"/>
        <w:tblLayout w:type="fixed"/>
        <w:tblCellMar>
          <w:top w:w="28" w:type="dxa"/>
          <w:left w:w="28" w:type="dxa"/>
          <w:bottom w:w="28" w:type="dxa"/>
          <w:right w:w="28" w:type="dxa"/>
        </w:tblCellMar>
      </w:tblPr>
      <w:tblGrid>
        <w:gridCol w:w="2101"/>
        <w:gridCol w:w="146"/>
        <w:gridCol w:w="406"/>
        <w:gridCol w:w="360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Shelley Thunen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Shelley Thunen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Co-President and 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66097</Words>
  <Characters>366416</Characters>
  <CharactersWithSpaces>433620</CharactersWithSpaces>
  <Paragraphs>7216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